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5E7388" w14:textId="77777777" w:rsidR="00146A21" w:rsidRDefault="00146A21" w:rsidP="00146A21">
      <w:pPr>
        <w:pStyle w:val="Header1"/>
        <w:rPr>
          <w:b/>
        </w:rPr>
      </w:pPr>
      <w:bookmarkStart w:id="0" w:name="OLE_LINK3"/>
      <w:bookmarkStart w:id="1" w:name="OLE_LINK4"/>
      <w:bookmarkStart w:id="2" w:name="OLE_LINK121"/>
      <w:bookmarkStart w:id="3" w:name="OLE_LINK122"/>
      <w:bookmarkStart w:id="4" w:name="OLE_LINK129"/>
      <w:r>
        <w:rPr>
          <w:b/>
        </w:rPr>
        <w:t>Supplementary Information</w:t>
      </w:r>
    </w:p>
    <w:p w14:paraId="0DE0C3D8" w14:textId="6E97AD2D" w:rsidR="006E623F" w:rsidRDefault="00146A21" w:rsidP="00146A21">
      <w:pPr>
        <w:pStyle w:val="Header"/>
        <w:rPr>
          <w:rFonts w:ascii="Times New Roman" w:hAnsi="Times New Roman" w:cs="Times New Roman"/>
          <w:b/>
        </w:rPr>
      </w:pPr>
      <w:r>
        <w:rPr>
          <w:b/>
        </w:rPr>
        <w:t xml:space="preserve">Radchuk et al. </w:t>
      </w:r>
      <w:bookmarkStart w:id="5" w:name="OLE_LINK483"/>
      <w:bookmarkStart w:id="6" w:name="OLE_LINK484"/>
      <w:r w:rsidRPr="00B17A17">
        <w:rPr>
          <w:b/>
          <w:lang w:val="en-GB"/>
        </w:rPr>
        <w:t xml:space="preserve">Adaptive responses of animals to climate change are </w:t>
      </w:r>
      <w:r w:rsidR="00B17A17">
        <w:rPr>
          <w:b/>
          <w:lang w:val="en-GB"/>
        </w:rPr>
        <w:t xml:space="preserve">most </w:t>
      </w:r>
      <w:r w:rsidRPr="00B17A17">
        <w:rPr>
          <w:b/>
          <w:lang w:val="en-GB"/>
        </w:rPr>
        <w:t>likely insufficient</w:t>
      </w:r>
      <w:bookmarkEnd w:id="5"/>
      <w:bookmarkEnd w:id="6"/>
    </w:p>
    <w:p w14:paraId="509FB0C6" w14:textId="77777777" w:rsidR="00146A21" w:rsidRDefault="00146A21" w:rsidP="009207F8">
      <w:pPr>
        <w:rPr>
          <w:rFonts w:ascii="Times New Roman" w:hAnsi="Times New Roman" w:cs="Times New Roman"/>
          <w:b/>
        </w:rPr>
      </w:pPr>
    </w:p>
    <w:p w14:paraId="2187CE56" w14:textId="3EDCCA27" w:rsidR="009207F8" w:rsidRPr="00DE7EDD" w:rsidRDefault="009207F8" w:rsidP="009207F8">
      <w:pPr>
        <w:rPr>
          <w:rFonts w:ascii="Times New Roman" w:hAnsi="Times New Roman" w:cs="Times New Roman"/>
          <w:b/>
        </w:rPr>
      </w:pPr>
      <w:r w:rsidRPr="00A3536E">
        <w:rPr>
          <w:rFonts w:ascii="Times New Roman" w:hAnsi="Times New Roman" w:cs="Times New Roman"/>
          <w:b/>
          <w:bCs/>
          <w:caps/>
        </w:rPr>
        <w:t>Supplementary Information Guide</w:t>
      </w:r>
    </w:p>
    <w:p w14:paraId="72036C31" w14:textId="733FC24C" w:rsidR="009207F8" w:rsidRDefault="009E7D4C" w:rsidP="00A3536E">
      <w:pPr>
        <w:spacing w:line="360" w:lineRule="auto"/>
        <w:rPr>
          <w:rFonts w:ascii="Times New Roman" w:hAnsi="Times New Roman" w:cs="Times New Roman"/>
        </w:rPr>
      </w:pPr>
      <w:r>
        <w:rPr>
          <w:rFonts w:ascii="Times New Roman" w:hAnsi="Times New Roman" w:cs="Times New Roman"/>
        </w:rPr>
        <w:t>Supplementary Figures (</w:t>
      </w:r>
      <w:r w:rsidR="00657CB0">
        <w:rPr>
          <w:rFonts w:ascii="Times New Roman" w:hAnsi="Times New Roman" w:cs="Times New Roman"/>
        </w:rPr>
        <w:t>1-</w:t>
      </w:r>
      <w:r w:rsidR="00BA2F1C">
        <w:rPr>
          <w:rFonts w:ascii="Times New Roman" w:hAnsi="Times New Roman" w:cs="Times New Roman"/>
        </w:rPr>
        <w:t>17</w:t>
      </w:r>
      <w:r w:rsidR="00C0093D">
        <w:rPr>
          <w:rFonts w:ascii="Times New Roman" w:hAnsi="Times New Roman" w:cs="Times New Roman"/>
        </w:rPr>
        <w:t>)</w:t>
      </w:r>
      <w:r w:rsidR="00273CCF">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t>2</w:t>
      </w:r>
    </w:p>
    <w:p w14:paraId="1323DC30" w14:textId="6F2B047C" w:rsidR="009207F8" w:rsidRDefault="009207F8" w:rsidP="00A3536E">
      <w:pPr>
        <w:spacing w:line="360" w:lineRule="auto"/>
        <w:rPr>
          <w:rFonts w:ascii="Times New Roman" w:hAnsi="Times New Roman" w:cs="Times New Roman"/>
        </w:rPr>
      </w:pPr>
      <w:r>
        <w:rPr>
          <w:rFonts w:ascii="Times New Roman" w:hAnsi="Times New Roman" w:cs="Times New Roman"/>
        </w:rPr>
        <w:t xml:space="preserve">Supplementary </w:t>
      </w:r>
      <w:r w:rsidRPr="00DE7EDD">
        <w:rPr>
          <w:rFonts w:ascii="Times New Roman" w:hAnsi="Times New Roman" w:cs="Times New Roman"/>
        </w:rPr>
        <w:t xml:space="preserve">Tables </w:t>
      </w:r>
      <w:r w:rsidR="00100C55">
        <w:rPr>
          <w:rFonts w:ascii="Times New Roman" w:hAnsi="Times New Roman" w:cs="Times New Roman"/>
        </w:rPr>
        <w:t>(</w:t>
      </w:r>
      <w:r w:rsidR="00657CB0">
        <w:rPr>
          <w:rFonts w:ascii="Times New Roman" w:hAnsi="Times New Roman" w:cs="Times New Roman"/>
        </w:rPr>
        <w:t>1-</w:t>
      </w:r>
      <w:r w:rsidR="00BA2F1C">
        <w:rPr>
          <w:rFonts w:ascii="Times New Roman" w:hAnsi="Times New Roman" w:cs="Times New Roman"/>
        </w:rPr>
        <w:t>4</w:t>
      </w:r>
      <w:r w:rsidR="00100C55">
        <w:rPr>
          <w:rFonts w:ascii="Times New Roman" w:hAnsi="Times New Roman" w:cs="Times New Roman"/>
        </w:rPr>
        <w:t>)</w:t>
      </w:r>
      <w:r w:rsidR="00657CB0">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r>
      <w:r w:rsidR="00273CCF">
        <w:rPr>
          <w:rFonts w:ascii="Times New Roman" w:hAnsi="Times New Roman" w:cs="Times New Roman"/>
        </w:rPr>
        <w:tab/>
        <w:t xml:space="preserve">          2</w:t>
      </w:r>
      <w:r w:rsidR="00BA2F1C">
        <w:rPr>
          <w:rFonts w:ascii="Times New Roman" w:hAnsi="Times New Roman" w:cs="Times New Roman"/>
        </w:rPr>
        <w:t>3</w:t>
      </w:r>
    </w:p>
    <w:p w14:paraId="321F200B" w14:textId="49F1029E" w:rsidR="009207F8" w:rsidRDefault="009207F8" w:rsidP="00A3536E">
      <w:pPr>
        <w:spacing w:line="360" w:lineRule="auto"/>
        <w:rPr>
          <w:rFonts w:ascii="Times New Roman" w:hAnsi="Times New Roman" w:cs="Times New Roman"/>
        </w:rPr>
      </w:pPr>
      <w:r>
        <w:rPr>
          <w:rFonts w:ascii="Times New Roman" w:hAnsi="Times New Roman" w:cs="Times New Roman"/>
        </w:rPr>
        <w:t xml:space="preserve">Supplementary </w:t>
      </w:r>
      <w:r w:rsidR="00657CB0">
        <w:rPr>
          <w:rFonts w:ascii="Times New Roman" w:hAnsi="Times New Roman" w:cs="Times New Roman"/>
        </w:rPr>
        <w:t>Note 1</w:t>
      </w:r>
      <w:r w:rsidR="0089605B">
        <w:rPr>
          <w:rFonts w:ascii="Times New Roman" w:hAnsi="Times New Roman" w:cs="Times New Roman"/>
        </w:rPr>
        <w:tab/>
      </w:r>
      <w:r w:rsidR="0089605B">
        <w:rPr>
          <w:rFonts w:ascii="Times New Roman" w:hAnsi="Times New Roman" w:cs="Times New Roman"/>
        </w:rPr>
        <w:tab/>
      </w:r>
      <w:r w:rsidR="0089605B">
        <w:rPr>
          <w:rFonts w:ascii="Times New Roman" w:hAnsi="Times New Roman" w:cs="Times New Roman"/>
        </w:rPr>
        <w:tab/>
      </w:r>
      <w:r w:rsidR="0089605B">
        <w:rPr>
          <w:rFonts w:ascii="Times New Roman" w:hAnsi="Times New Roman" w:cs="Times New Roman"/>
        </w:rPr>
        <w:tab/>
      </w:r>
      <w:r w:rsidR="0089605B">
        <w:rPr>
          <w:rFonts w:ascii="Times New Roman" w:hAnsi="Times New Roman" w:cs="Times New Roman"/>
        </w:rPr>
        <w:tab/>
      </w:r>
      <w:r w:rsidR="0089605B">
        <w:rPr>
          <w:rFonts w:ascii="Times New Roman" w:hAnsi="Times New Roman" w:cs="Times New Roman"/>
        </w:rPr>
        <w:tab/>
      </w:r>
      <w:r w:rsidR="0089605B">
        <w:rPr>
          <w:rFonts w:ascii="Times New Roman" w:hAnsi="Times New Roman" w:cs="Times New Roman"/>
        </w:rPr>
        <w:tab/>
      </w:r>
      <w:r w:rsidR="0089605B">
        <w:rPr>
          <w:rFonts w:ascii="Times New Roman" w:hAnsi="Times New Roman" w:cs="Times New Roman"/>
        </w:rPr>
        <w:tab/>
      </w:r>
      <w:r w:rsidR="0089605B">
        <w:rPr>
          <w:rFonts w:ascii="Times New Roman" w:hAnsi="Times New Roman" w:cs="Times New Roman"/>
        </w:rPr>
        <w:tab/>
        <w:t xml:space="preserve">          27</w:t>
      </w:r>
    </w:p>
    <w:p w14:paraId="0371D310" w14:textId="20CC1F57" w:rsidR="00273CCF" w:rsidRPr="003F6F81" w:rsidRDefault="00273CCF" w:rsidP="00273CCF">
      <w:pPr>
        <w:spacing w:line="360" w:lineRule="auto"/>
        <w:rPr>
          <w:rFonts w:ascii="Times New Roman" w:hAnsi="Times New Roman" w:cs="Times New Roman"/>
          <w:sz w:val="22"/>
          <w:lang w:val="en-GB"/>
        </w:rPr>
      </w:pPr>
      <w:r w:rsidRPr="00273CCF">
        <w:rPr>
          <w:rFonts w:ascii="Times New Roman" w:hAnsi="Times New Roman" w:cs="Times New Roman"/>
          <w:sz w:val="22"/>
        </w:rPr>
        <w:tab/>
      </w:r>
      <w:r w:rsidR="003F6F81" w:rsidRPr="00EA13AC">
        <w:rPr>
          <w:rFonts w:ascii="Times New Roman" w:hAnsi="Times New Roman" w:cs="Times New Roman"/>
          <w:sz w:val="22"/>
        </w:rPr>
        <w:t>Effects of precipitation</w:t>
      </w:r>
      <w:r>
        <w:rPr>
          <w:rFonts w:ascii="Times New Roman" w:hAnsi="Times New Roman" w:cs="Times New Roman"/>
          <w:sz w:val="22"/>
          <w:lang w:val="en-GB"/>
        </w:rPr>
        <w:tab/>
      </w:r>
      <w:r w:rsidR="00AD689D">
        <w:rPr>
          <w:rFonts w:ascii="Times New Roman" w:hAnsi="Times New Roman" w:cs="Times New Roman"/>
          <w:sz w:val="22"/>
          <w:lang w:val="en-GB"/>
        </w:rPr>
        <w:tab/>
      </w:r>
      <w:r>
        <w:rPr>
          <w:rFonts w:ascii="Times New Roman" w:hAnsi="Times New Roman" w:cs="Times New Roman"/>
          <w:sz w:val="22"/>
          <w:lang w:val="en-GB"/>
        </w:rPr>
        <w:tab/>
      </w:r>
      <w:r>
        <w:rPr>
          <w:rFonts w:ascii="Times New Roman" w:hAnsi="Times New Roman" w:cs="Times New Roman"/>
          <w:sz w:val="22"/>
          <w:lang w:val="en-GB"/>
        </w:rPr>
        <w:tab/>
      </w:r>
      <w:r>
        <w:rPr>
          <w:rFonts w:ascii="Times New Roman" w:hAnsi="Times New Roman" w:cs="Times New Roman"/>
          <w:sz w:val="22"/>
          <w:lang w:val="en-GB"/>
        </w:rPr>
        <w:tab/>
      </w:r>
      <w:r>
        <w:rPr>
          <w:rFonts w:ascii="Times New Roman" w:hAnsi="Times New Roman" w:cs="Times New Roman"/>
          <w:sz w:val="22"/>
          <w:lang w:val="en-GB"/>
        </w:rPr>
        <w:tab/>
      </w:r>
      <w:r>
        <w:rPr>
          <w:rFonts w:ascii="Times New Roman" w:hAnsi="Times New Roman" w:cs="Times New Roman"/>
          <w:sz w:val="22"/>
          <w:lang w:val="en-GB"/>
        </w:rPr>
        <w:tab/>
      </w:r>
      <w:r w:rsidR="003F6F81">
        <w:rPr>
          <w:rFonts w:ascii="Times New Roman" w:hAnsi="Times New Roman" w:cs="Times New Roman"/>
          <w:sz w:val="22"/>
          <w:lang w:val="en-GB"/>
        </w:rPr>
        <w:tab/>
      </w:r>
      <w:r w:rsidR="003F6F81">
        <w:rPr>
          <w:rFonts w:ascii="Times New Roman" w:hAnsi="Times New Roman" w:cs="Times New Roman"/>
          <w:sz w:val="22"/>
          <w:lang w:val="en-GB"/>
        </w:rPr>
        <w:tab/>
      </w:r>
      <w:r w:rsidR="00BE334C">
        <w:rPr>
          <w:rFonts w:ascii="Times New Roman" w:hAnsi="Times New Roman" w:cs="Times New Roman"/>
          <w:sz w:val="22"/>
          <w:lang w:val="en-GB"/>
        </w:rPr>
        <w:t xml:space="preserve">           27</w:t>
      </w:r>
    </w:p>
    <w:p w14:paraId="773AE21E" w14:textId="5DC3E5A4" w:rsidR="00273CCF" w:rsidRDefault="00273CCF" w:rsidP="00273CCF">
      <w:pPr>
        <w:spacing w:line="360" w:lineRule="auto"/>
        <w:rPr>
          <w:rFonts w:ascii="Times New Roman" w:hAnsi="Times New Roman" w:cs="Times New Roman"/>
          <w:sz w:val="22"/>
          <w:lang w:val="en-GB"/>
        </w:rPr>
      </w:pPr>
      <w:r>
        <w:rPr>
          <w:rFonts w:ascii="Times New Roman" w:hAnsi="Times New Roman" w:cs="Times New Roman"/>
          <w:sz w:val="22"/>
        </w:rPr>
        <w:tab/>
      </w:r>
      <w:r w:rsidRPr="00273CCF">
        <w:rPr>
          <w:rFonts w:ascii="Times New Roman" w:hAnsi="Times New Roman" w:cs="Times New Roman"/>
          <w:sz w:val="22"/>
          <w:lang w:val="en-GB"/>
        </w:rPr>
        <w:t>Heterogeneity among studies</w:t>
      </w:r>
      <w:r w:rsidR="00D11815">
        <w:rPr>
          <w:rFonts w:ascii="Times New Roman" w:hAnsi="Times New Roman" w:cs="Times New Roman"/>
          <w:sz w:val="22"/>
          <w:lang w:val="en-GB"/>
        </w:rPr>
        <w:tab/>
      </w:r>
      <w:r w:rsidR="00D11815">
        <w:rPr>
          <w:rFonts w:ascii="Times New Roman" w:hAnsi="Times New Roman" w:cs="Times New Roman"/>
          <w:sz w:val="22"/>
          <w:lang w:val="en-GB"/>
        </w:rPr>
        <w:tab/>
      </w:r>
      <w:r w:rsidR="00D11815">
        <w:rPr>
          <w:rFonts w:ascii="Times New Roman" w:hAnsi="Times New Roman" w:cs="Times New Roman"/>
          <w:sz w:val="22"/>
          <w:lang w:val="en-GB"/>
        </w:rPr>
        <w:tab/>
      </w:r>
      <w:r w:rsidR="00D11815">
        <w:rPr>
          <w:rFonts w:ascii="Times New Roman" w:hAnsi="Times New Roman" w:cs="Times New Roman"/>
          <w:sz w:val="22"/>
          <w:lang w:val="en-GB"/>
        </w:rPr>
        <w:tab/>
      </w:r>
      <w:r w:rsidR="00BE334C">
        <w:rPr>
          <w:rFonts w:ascii="Times New Roman" w:hAnsi="Times New Roman" w:cs="Times New Roman"/>
          <w:sz w:val="22"/>
          <w:lang w:val="en-GB"/>
        </w:rPr>
        <w:tab/>
      </w:r>
      <w:r w:rsidR="00BE334C">
        <w:rPr>
          <w:rFonts w:ascii="Times New Roman" w:hAnsi="Times New Roman" w:cs="Times New Roman"/>
          <w:sz w:val="22"/>
          <w:lang w:val="en-GB"/>
        </w:rPr>
        <w:tab/>
      </w:r>
      <w:r w:rsidR="00BE334C">
        <w:rPr>
          <w:rFonts w:ascii="Times New Roman" w:hAnsi="Times New Roman" w:cs="Times New Roman"/>
          <w:sz w:val="22"/>
          <w:lang w:val="en-GB"/>
        </w:rPr>
        <w:tab/>
      </w:r>
      <w:r w:rsidR="00BE334C">
        <w:rPr>
          <w:rFonts w:ascii="Times New Roman" w:hAnsi="Times New Roman" w:cs="Times New Roman"/>
          <w:sz w:val="22"/>
          <w:lang w:val="en-GB"/>
        </w:rPr>
        <w:tab/>
        <w:t xml:space="preserve">           27</w:t>
      </w:r>
    </w:p>
    <w:p w14:paraId="3E60CD14" w14:textId="04C0E2ED" w:rsidR="00273CCF" w:rsidRDefault="00273CCF" w:rsidP="00273CCF">
      <w:pPr>
        <w:spacing w:line="360" w:lineRule="auto"/>
        <w:rPr>
          <w:rFonts w:ascii="Times New Roman" w:hAnsi="Times New Roman" w:cs="Times New Roman"/>
          <w:sz w:val="22"/>
        </w:rPr>
      </w:pPr>
      <w:r>
        <w:rPr>
          <w:rFonts w:ascii="Times New Roman" w:hAnsi="Times New Roman" w:cs="Times New Roman"/>
          <w:sz w:val="22"/>
          <w:lang w:val="en-GB"/>
        </w:rPr>
        <w:tab/>
      </w:r>
      <w:r w:rsidR="00EA13AC" w:rsidRPr="00EA13AC">
        <w:rPr>
          <w:sz w:val="22"/>
          <w:lang w:val="en-GB"/>
        </w:rPr>
        <w:t>Test of publication bias</w:t>
      </w:r>
      <w:r w:rsidR="00EA13AC">
        <w:rPr>
          <w:b/>
          <w:sz w:val="22"/>
          <w:lang w:val="en-GB"/>
        </w:rPr>
        <w:tab/>
      </w:r>
      <w:r w:rsidR="00EA13AC">
        <w:rPr>
          <w:b/>
          <w:sz w:val="22"/>
          <w:lang w:val="en-GB"/>
        </w:rPr>
        <w:tab/>
      </w:r>
      <w:r w:rsidR="00EA13AC">
        <w:rPr>
          <w:b/>
          <w:sz w:val="22"/>
          <w:lang w:val="en-GB"/>
        </w:rPr>
        <w:tab/>
      </w:r>
      <w:r w:rsidR="00EA13AC">
        <w:rPr>
          <w:b/>
          <w:sz w:val="22"/>
          <w:lang w:val="en-GB"/>
        </w:rPr>
        <w:tab/>
      </w:r>
      <w:r w:rsidR="00EA13AC">
        <w:rPr>
          <w:b/>
          <w:sz w:val="22"/>
          <w:lang w:val="en-GB"/>
        </w:rPr>
        <w:tab/>
      </w:r>
      <w:r w:rsidR="00AD689D">
        <w:rPr>
          <w:rFonts w:ascii="Times New Roman" w:hAnsi="Times New Roman" w:cs="Times New Roman"/>
          <w:sz w:val="22"/>
        </w:rPr>
        <w:tab/>
      </w:r>
      <w:r w:rsidR="00AD689D">
        <w:rPr>
          <w:rFonts w:ascii="Times New Roman" w:hAnsi="Times New Roman" w:cs="Times New Roman"/>
          <w:sz w:val="22"/>
        </w:rPr>
        <w:tab/>
      </w:r>
      <w:r w:rsidR="00AD689D">
        <w:rPr>
          <w:rFonts w:ascii="Times New Roman" w:hAnsi="Times New Roman" w:cs="Times New Roman"/>
          <w:sz w:val="22"/>
        </w:rPr>
        <w:tab/>
        <w:t xml:space="preserve">           </w:t>
      </w:r>
      <w:r>
        <w:rPr>
          <w:rFonts w:ascii="Times New Roman" w:hAnsi="Times New Roman" w:cs="Times New Roman"/>
          <w:sz w:val="22"/>
        </w:rPr>
        <w:t>2</w:t>
      </w:r>
      <w:r w:rsidR="00AD689D">
        <w:rPr>
          <w:rFonts w:ascii="Times New Roman" w:hAnsi="Times New Roman" w:cs="Times New Roman"/>
          <w:sz w:val="22"/>
        </w:rPr>
        <w:t>8</w:t>
      </w:r>
    </w:p>
    <w:p w14:paraId="76C4FCE3" w14:textId="766A4328" w:rsidR="009207F8" w:rsidRDefault="009207F8" w:rsidP="00A3536E">
      <w:pPr>
        <w:pStyle w:val="Normal1"/>
        <w:spacing w:after="60" w:line="360" w:lineRule="auto"/>
      </w:pPr>
      <w:r>
        <w:t>Supplementary References</w:t>
      </w:r>
      <w:r w:rsidR="000362FC">
        <w:tab/>
      </w:r>
      <w:r w:rsidR="000362FC">
        <w:tab/>
      </w:r>
      <w:r w:rsidR="000362FC">
        <w:tab/>
      </w:r>
      <w:r w:rsidR="000362FC">
        <w:tab/>
      </w:r>
      <w:r w:rsidR="000362FC">
        <w:tab/>
      </w:r>
      <w:r w:rsidR="000362FC">
        <w:tab/>
      </w:r>
      <w:r w:rsidR="000362FC">
        <w:tab/>
      </w:r>
      <w:r w:rsidR="000362FC">
        <w:tab/>
      </w:r>
      <w:r w:rsidR="000362FC">
        <w:tab/>
        <w:t xml:space="preserve">          </w:t>
      </w:r>
      <w:r w:rsidR="00BE0080">
        <w:t>29</w:t>
      </w:r>
    </w:p>
    <w:p w14:paraId="41EA1423" w14:textId="77777777" w:rsidR="009F3657" w:rsidRDefault="009F3657" w:rsidP="00A3536E">
      <w:pPr>
        <w:pStyle w:val="Normal1"/>
        <w:spacing w:after="60" w:line="360" w:lineRule="auto"/>
      </w:pPr>
    </w:p>
    <w:p w14:paraId="59768F9A" w14:textId="77777777" w:rsidR="0054397E" w:rsidRDefault="0054397E" w:rsidP="009207F8">
      <w:pPr>
        <w:pStyle w:val="Normal1"/>
        <w:spacing w:after="60" w:line="276" w:lineRule="auto"/>
        <w:sectPr w:rsidR="0054397E" w:rsidSect="006F1713">
          <w:headerReference w:type="even" r:id="rId9"/>
          <w:headerReference w:type="default" r:id="rId10"/>
          <w:footerReference w:type="even" r:id="rId11"/>
          <w:footerReference w:type="default" r:id="rId12"/>
          <w:pgSz w:w="12240" w:h="15840"/>
          <w:pgMar w:top="1440" w:right="1440" w:bottom="1440" w:left="1440" w:header="0" w:footer="709" w:gutter="0"/>
          <w:cols w:space="720"/>
          <w:formProt w:val="0"/>
          <w:docGrid w:linePitch="240" w:charSpace="-6145"/>
        </w:sectPr>
      </w:pPr>
    </w:p>
    <w:p w14:paraId="199AB888" w14:textId="513F1C0C" w:rsidR="006E623F" w:rsidRDefault="006E623F" w:rsidP="006E623F">
      <w:pPr>
        <w:spacing w:line="360" w:lineRule="auto"/>
      </w:pPr>
      <w:r>
        <w:rPr>
          <w:rFonts w:ascii="Times New Roman" w:hAnsi="Times New Roman" w:cs="Times New Roman"/>
          <w:b/>
          <w:bCs/>
          <w:caps/>
        </w:rPr>
        <w:lastRenderedPageBreak/>
        <w:t xml:space="preserve">Supplementary </w:t>
      </w:r>
      <w:r w:rsidRPr="006E623F">
        <w:rPr>
          <w:rFonts w:ascii="Times New Roman" w:hAnsi="Times New Roman" w:cs="Times New Roman"/>
          <w:b/>
          <w:bCs/>
          <w:caps/>
        </w:rPr>
        <w:t>Figures</w:t>
      </w:r>
    </w:p>
    <w:p w14:paraId="72C0D598" w14:textId="5DFCDE51" w:rsidR="00117818" w:rsidRPr="002B0D63" w:rsidRDefault="00DA63C4" w:rsidP="00602484">
      <w:pPr>
        <w:pStyle w:val="Normal1"/>
        <w:spacing w:after="60" w:line="276" w:lineRule="auto"/>
      </w:pPr>
      <w:bookmarkStart w:id="7" w:name="3hv69ve"/>
      <w:bookmarkStart w:id="8" w:name="1x0gk37"/>
      <w:bookmarkEnd w:id="0"/>
      <w:bookmarkEnd w:id="1"/>
      <w:bookmarkEnd w:id="7"/>
      <w:bookmarkEnd w:id="8"/>
      <w:r>
        <w:rPr>
          <w:noProof/>
          <w:lang w:eastAsia="en-GB"/>
        </w:rPr>
        <w:drawing>
          <wp:inline distT="0" distB="0" distL="0" distR="0" wp14:anchorId="48E9A703" wp14:editId="419B3135">
            <wp:extent cx="5858759" cy="4760259"/>
            <wp:effectExtent l="0" t="0" r="8890" b="0"/>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1_DataAvailability_LicencesPics.pdf"/>
                    <pic:cNvPicPr/>
                  </pic:nvPicPr>
                  <pic:blipFill rotWithShape="1">
                    <a:blip r:embed="rId13">
                      <a:extLst>
                        <a:ext uri="{28A0092B-C50C-407E-A947-70E740481C1C}">
                          <a14:useLocalDpi xmlns:a14="http://schemas.microsoft.com/office/drawing/2010/main" val="0"/>
                        </a:ext>
                      </a:extLst>
                    </a:blip>
                    <a:srcRect l="7692" r="1"/>
                    <a:stretch/>
                  </pic:blipFill>
                  <pic:spPr bwMode="auto">
                    <a:xfrm>
                      <a:off x="0" y="0"/>
                      <a:ext cx="5858759" cy="4760259"/>
                    </a:xfrm>
                    <a:prstGeom prst="rect">
                      <a:avLst/>
                    </a:prstGeom>
                    <a:ln>
                      <a:noFill/>
                    </a:ln>
                    <a:extLst>
                      <a:ext uri="{53640926-AAD7-44D8-BBD7-CCE9431645EC}">
                        <a14:shadowObscured xmlns:a14="http://schemas.microsoft.com/office/drawing/2010/main"/>
                      </a:ext>
                    </a:extLst>
                  </pic:spPr>
                </pic:pic>
              </a:graphicData>
            </a:graphic>
          </wp:inline>
        </w:drawing>
      </w:r>
    </w:p>
    <w:p w14:paraId="334D4370" w14:textId="1660FAFA" w:rsidR="002B0D63" w:rsidRPr="002B0D63" w:rsidRDefault="00C6512E" w:rsidP="002B0D63">
      <w:pPr>
        <w:pStyle w:val="Normal1"/>
        <w:spacing w:after="60" w:line="360" w:lineRule="auto"/>
        <w:rPr>
          <w:lang w:val="en-US"/>
        </w:rPr>
      </w:pPr>
      <w:r>
        <w:rPr>
          <w:rFonts w:eastAsiaTheme="minorEastAsia"/>
          <w:color w:val="auto"/>
        </w:rPr>
        <w:t xml:space="preserve">Supplementary Figure </w:t>
      </w:r>
      <w:r w:rsidR="00B21BB2" w:rsidRPr="00C53B23">
        <w:rPr>
          <w:rFonts w:eastAsiaTheme="minorEastAsia"/>
          <w:color w:val="auto"/>
        </w:rPr>
        <w:t xml:space="preserve">1. Data availability for 1413 species in the PRC dataset (‘Phenotypic Response to Climate’ data). For each species, a single horizontal black line indicates availability of data on different climatic factors, trait categories (phenological and morphological) and selection, as well as on the duration of the study (years: &lt;10, 10-20, 20-30 and &gt;30) and the study location: Northern Hemisphere Europe (NHE), Northern Hemisphere America (NHAm), Northern Hemisphere Asia (NHAs) or Southern Hemisphere (SH). Pictograms show the taxon </w:t>
      </w:r>
      <w:r w:rsidR="00B21BB2">
        <w:rPr>
          <w:rFonts w:eastAsiaTheme="minorEastAsia"/>
          <w:color w:val="auto"/>
        </w:rPr>
        <w:t>to which</w:t>
      </w:r>
      <w:r w:rsidR="00B21BB2" w:rsidRPr="00C53B23">
        <w:rPr>
          <w:rFonts w:eastAsiaTheme="minorEastAsia"/>
          <w:color w:val="auto"/>
        </w:rPr>
        <w:t xml:space="preserve"> a species belong</w:t>
      </w:r>
      <w:r w:rsidR="00B21BB2">
        <w:rPr>
          <w:rFonts w:eastAsiaTheme="minorEastAsia"/>
          <w:color w:val="auto"/>
        </w:rPr>
        <w:t>s</w:t>
      </w:r>
      <w:r w:rsidR="00B21BB2" w:rsidRPr="00C53B23">
        <w:rPr>
          <w:rFonts w:eastAsiaTheme="minorEastAsia"/>
          <w:color w:val="auto"/>
        </w:rPr>
        <w:t xml:space="preserve"> (Aves, Mammalia, Amphibia, Reptilia, Insecta and Arachnida) and the number next to the pictogram specifies the number of studies for th</w:t>
      </w:r>
      <w:r w:rsidR="00B21BB2">
        <w:rPr>
          <w:rFonts w:eastAsiaTheme="minorEastAsia"/>
          <w:color w:val="auto"/>
        </w:rPr>
        <w:t>at</w:t>
      </w:r>
      <w:r w:rsidR="00B21BB2" w:rsidRPr="00C53B23">
        <w:rPr>
          <w:rFonts w:eastAsiaTheme="minorEastAsia"/>
          <w:color w:val="auto"/>
        </w:rPr>
        <w:t xml:space="preserve"> taxon</w:t>
      </w:r>
      <w:r w:rsidR="00D87C44">
        <w:rPr>
          <w:rFonts w:eastAsiaTheme="minorEastAsia"/>
          <w:color w:val="auto"/>
        </w:rPr>
        <w:t>.</w:t>
      </w:r>
      <w:r w:rsidR="002B0D63">
        <w:rPr>
          <w:rFonts w:eastAsiaTheme="minorEastAsia"/>
          <w:color w:val="auto"/>
        </w:rPr>
        <w:t xml:space="preserve"> The silhouettes were taken from </w:t>
      </w:r>
      <w:hyperlink r:id="rId14" w:history="1">
        <w:r w:rsidR="002B0D63" w:rsidRPr="002B6FA2">
          <w:rPr>
            <w:rStyle w:val="Hyperlink"/>
            <w:rFonts w:eastAsiaTheme="minorEastAsia"/>
          </w:rPr>
          <w:t>http://phylopic.org</w:t>
        </w:r>
      </w:hyperlink>
      <w:r w:rsidR="002B0D63">
        <w:rPr>
          <w:rFonts w:eastAsiaTheme="minorEastAsia"/>
          <w:color w:val="auto"/>
        </w:rPr>
        <w:t xml:space="preserve"> </w:t>
      </w:r>
      <w:r w:rsidR="00965FD5">
        <w:rPr>
          <w:rFonts w:eastAsiaTheme="minorEastAsia"/>
          <w:color w:val="auto"/>
        </w:rPr>
        <w:t>(</w:t>
      </w:r>
      <w:r w:rsidR="002B0D63">
        <w:rPr>
          <w:rFonts w:eastAsiaTheme="minorEastAsia"/>
          <w:color w:val="auto"/>
        </w:rPr>
        <w:t>licen</w:t>
      </w:r>
      <w:r w:rsidR="00965FD5">
        <w:rPr>
          <w:rFonts w:eastAsiaTheme="minorEastAsia"/>
          <w:color w:val="auto"/>
        </w:rPr>
        <w:t>s</w:t>
      </w:r>
      <w:r w:rsidR="002B0D63">
        <w:rPr>
          <w:rFonts w:eastAsiaTheme="minorEastAsia"/>
          <w:color w:val="auto"/>
        </w:rPr>
        <w:t>e</w:t>
      </w:r>
      <w:r w:rsidR="00965FD5">
        <w:rPr>
          <w:rFonts w:eastAsiaTheme="minorEastAsia"/>
          <w:color w:val="auto"/>
        </w:rPr>
        <w:t xml:space="preserve"> </w:t>
      </w:r>
      <w:r w:rsidR="00965FD5" w:rsidRPr="00965FD5">
        <w:rPr>
          <w:rFonts w:eastAsiaTheme="minorEastAsia"/>
          <w:color w:val="auto"/>
        </w:rPr>
        <w:t>CC BY-SA 3.0</w:t>
      </w:r>
      <w:r w:rsidR="00965FD5">
        <w:rPr>
          <w:rFonts w:eastAsiaTheme="minorEastAsia"/>
          <w:color w:val="auto"/>
        </w:rPr>
        <w:t>).</w:t>
      </w:r>
      <w:r w:rsidR="002B0D63">
        <w:rPr>
          <w:rFonts w:eastAsiaTheme="minorEastAsia"/>
          <w:color w:val="auto"/>
        </w:rPr>
        <w:t xml:space="preserve"> No changes were made to the silhouettes. </w:t>
      </w:r>
      <w:r w:rsidR="00B1074E">
        <w:rPr>
          <w:rFonts w:eastAsiaTheme="minorEastAsia"/>
          <w:color w:val="auto"/>
        </w:rPr>
        <w:t>Illustration</w:t>
      </w:r>
      <w:r w:rsidR="002B0D63">
        <w:rPr>
          <w:rFonts w:eastAsiaTheme="minorEastAsia"/>
          <w:color w:val="auto"/>
        </w:rPr>
        <w:t xml:space="preserve"> credit</w:t>
      </w:r>
      <w:r w:rsidR="00B1074E">
        <w:rPr>
          <w:rFonts w:eastAsiaTheme="minorEastAsia"/>
          <w:color w:val="auto"/>
        </w:rPr>
        <w:t>s</w:t>
      </w:r>
      <w:r w:rsidR="002B0D63">
        <w:rPr>
          <w:rFonts w:eastAsiaTheme="minorEastAsia"/>
          <w:color w:val="auto"/>
        </w:rPr>
        <w:t xml:space="preserve">: </w:t>
      </w:r>
      <w:bookmarkStart w:id="9" w:name="OLE_LINK548"/>
      <w:bookmarkStart w:id="10" w:name="OLE_LINK549"/>
      <w:bookmarkStart w:id="11" w:name="OLE_LINK550"/>
      <w:r w:rsidR="002B0D63">
        <w:rPr>
          <w:rFonts w:eastAsiaTheme="minorEastAsia"/>
          <w:color w:val="auto"/>
        </w:rPr>
        <w:t xml:space="preserve">Aves - </w:t>
      </w:r>
      <w:r w:rsidR="002B0D63" w:rsidRPr="002B0D63">
        <w:rPr>
          <w:rFonts w:eastAsiaTheme="minorEastAsia"/>
          <w:color w:val="auto"/>
        </w:rPr>
        <w:t>Ferran Sayol</w:t>
      </w:r>
      <w:r w:rsidR="002B0D63">
        <w:rPr>
          <w:rFonts w:eastAsiaTheme="minorEastAsia"/>
          <w:color w:val="auto"/>
        </w:rPr>
        <w:t xml:space="preserve">, Mammalia - </w:t>
      </w:r>
      <w:r w:rsidR="002B0D63" w:rsidRPr="002B0D63">
        <w:rPr>
          <w:rFonts w:eastAsiaTheme="minorEastAsia"/>
          <w:color w:val="auto"/>
        </w:rPr>
        <w:t>Steven Traver</w:t>
      </w:r>
      <w:r w:rsidR="002B0D63">
        <w:rPr>
          <w:rFonts w:eastAsiaTheme="minorEastAsia"/>
          <w:color w:val="auto"/>
        </w:rPr>
        <w:t xml:space="preserve">, Amphibia - </w:t>
      </w:r>
      <w:r w:rsidR="002B0D63" w:rsidRPr="002B0D63">
        <w:rPr>
          <w:lang w:val="en-US"/>
        </w:rPr>
        <w:t>Emily Willoughby</w:t>
      </w:r>
      <w:r w:rsidR="002B0D63">
        <w:rPr>
          <w:lang w:val="en-US"/>
        </w:rPr>
        <w:t xml:space="preserve">, Reptilia - </w:t>
      </w:r>
      <w:r w:rsidR="002B0D63" w:rsidRPr="002B0D63">
        <w:rPr>
          <w:lang w:val="en-US"/>
        </w:rPr>
        <w:t>Mattia Menchetti / Yan Wong</w:t>
      </w:r>
      <w:r w:rsidR="002B0D63">
        <w:rPr>
          <w:lang w:val="en-US"/>
        </w:rPr>
        <w:t xml:space="preserve">, Insecta - </w:t>
      </w:r>
      <w:r w:rsidR="002B0D63" w:rsidRPr="002B0D63">
        <w:rPr>
          <w:lang w:val="en-US"/>
        </w:rPr>
        <w:t>M. A. Broussard</w:t>
      </w:r>
      <w:r w:rsidR="002B0D63">
        <w:rPr>
          <w:lang w:val="en-US"/>
        </w:rPr>
        <w:t xml:space="preserve">, and Arachnida – </w:t>
      </w:r>
      <w:r w:rsidR="002B0D63" w:rsidRPr="002B0D63">
        <w:rPr>
          <w:lang w:val="en-US"/>
        </w:rPr>
        <w:t>Lafage</w:t>
      </w:r>
      <w:r w:rsidR="002B0D63">
        <w:rPr>
          <w:lang w:val="en-US"/>
        </w:rPr>
        <w:t xml:space="preserve">. </w:t>
      </w:r>
      <w:bookmarkEnd w:id="9"/>
      <w:bookmarkEnd w:id="10"/>
      <w:bookmarkEnd w:id="11"/>
    </w:p>
    <w:p w14:paraId="61CC7A2C" w14:textId="39EFFFEB" w:rsidR="00602484" w:rsidRDefault="00602484" w:rsidP="002C0699">
      <w:pPr>
        <w:pStyle w:val="Normal1"/>
        <w:spacing w:after="60" w:line="360" w:lineRule="auto"/>
        <w:sectPr w:rsidR="00602484" w:rsidSect="006F1713">
          <w:pgSz w:w="12240" w:h="15840"/>
          <w:pgMar w:top="1440" w:right="1440" w:bottom="1440" w:left="1440" w:header="0" w:footer="709" w:gutter="0"/>
          <w:cols w:space="720"/>
          <w:formProt w:val="0"/>
          <w:docGrid w:linePitch="240" w:charSpace="-6145"/>
        </w:sectPr>
      </w:pPr>
    </w:p>
    <w:p w14:paraId="5DCF723C" w14:textId="30569174" w:rsidR="005E74DF" w:rsidRDefault="005E74DF">
      <w:pPr>
        <w:spacing w:line="360" w:lineRule="auto"/>
        <w:rPr>
          <w:rFonts w:ascii="Times New Roman" w:hAnsi="Times New Roman" w:cs="Times New Roman"/>
          <w:lang w:val="en-GB"/>
        </w:rPr>
      </w:pPr>
      <w:r>
        <w:rPr>
          <w:noProof/>
          <w:lang w:val="en-GB" w:eastAsia="en-GB"/>
        </w:rPr>
        <w:lastRenderedPageBreak/>
        <w:drawing>
          <wp:inline distT="0" distB="0" distL="0" distR="0" wp14:anchorId="0416EEFA" wp14:editId="5B4C8F0C">
            <wp:extent cx="9031943" cy="4326782"/>
            <wp:effectExtent l="0" t="0" r="10795"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1.pdf"/>
                    <pic:cNvPicPr/>
                  </pic:nvPicPr>
                  <pic:blipFill rotWithShape="1">
                    <a:blip r:embed="rId15">
                      <a:extLst>
                        <a:ext uri="{28A0092B-C50C-407E-A947-70E740481C1C}">
                          <a14:useLocalDpi xmlns:a14="http://schemas.microsoft.com/office/drawing/2010/main" val="0"/>
                        </a:ext>
                      </a:extLst>
                    </a:blip>
                    <a:srcRect l="5467" t="9434" r="1" b="1"/>
                    <a:stretch/>
                  </pic:blipFill>
                  <pic:spPr bwMode="auto">
                    <a:xfrm>
                      <a:off x="0" y="0"/>
                      <a:ext cx="9033585" cy="4327569"/>
                    </a:xfrm>
                    <a:prstGeom prst="rect">
                      <a:avLst/>
                    </a:prstGeom>
                    <a:ln>
                      <a:noFill/>
                    </a:ln>
                    <a:extLst>
                      <a:ext uri="{53640926-AAD7-44D8-BBD7-CCE9431645EC}">
                        <a14:shadowObscured xmlns:a14="http://schemas.microsoft.com/office/drawing/2010/main"/>
                      </a:ext>
                    </a:extLst>
                  </pic:spPr>
                </pic:pic>
              </a:graphicData>
            </a:graphic>
          </wp:inline>
        </w:drawing>
      </w:r>
    </w:p>
    <w:p w14:paraId="2572C5E5" w14:textId="301300EE" w:rsidR="00904111" w:rsidRDefault="009A5E27">
      <w:pPr>
        <w:spacing w:line="360" w:lineRule="auto"/>
        <w:rPr>
          <w:rFonts w:ascii="Times New Roman" w:hAnsi="Times New Roman" w:cs="Times New Roman"/>
          <w:lang w:val="en-GB"/>
        </w:rPr>
      </w:pPr>
      <w:bookmarkStart w:id="12" w:name="OLE_LINK123"/>
      <w:bookmarkStart w:id="13" w:name="OLE_LINK124"/>
      <w:bookmarkEnd w:id="2"/>
      <w:bookmarkEnd w:id="3"/>
      <w:bookmarkEnd w:id="4"/>
      <w:r>
        <w:rPr>
          <w:rFonts w:ascii="Times New Roman" w:hAnsi="Times New Roman" w:cs="Times New Roman"/>
          <w:lang w:val="en-GB"/>
        </w:rPr>
        <w:t xml:space="preserve">Supplementary Figure </w:t>
      </w:r>
      <w:r w:rsidR="00904111">
        <w:rPr>
          <w:rFonts w:ascii="Times New Roman" w:hAnsi="Times New Roman" w:cs="Times New Roman"/>
          <w:lang w:val="en-GB"/>
        </w:rPr>
        <w:t>2</w:t>
      </w:r>
      <w:r w:rsidR="00904111" w:rsidRPr="00800BAA">
        <w:rPr>
          <w:rFonts w:ascii="Times New Roman" w:hAnsi="Times New Roman" w:cs="Times New Roman"/>
          <w:lang w:val="en-GB"/>
        </w:rPr>
        <w:t xml:space="preserve">. Locations of studies </w:t>
      </w:r>
      <w:r w:rsidR="00904111">
        <w:rPr>
          <w:rFonts w:ascii="Times New Roman" w:hAnsi="Times New Roman" w:cs="Times New Roman"/>
          <w:lang w:val="en-GB"/>
        </w:rPr>
        <w:t>in</w:t>
      </w:r>
      <w:r w:rsidR="00904111" w:rsidRPr="00800BAA">
        <w:rPr>
          <w:rFonts w:ascii="Times New Roman" w:hAnsi="Times New Roman" w:cs="Times New Roman"/>
          <w:lang w:val="en-GB"/>
        </w:rPr>
        <w:t xml:space="preserve"> the PRC dataset </w:t>
      </w:r>
      <w:bookmarkStart w:id="14" w:name="OLE_LINK160"/>
      <w:bookmarkStart w:id="15" w:name="OLE_LINK161"/>
      <w:r w:rsidR="00904111" w:rsidRPr="00800BAA">
        <w:rPr>
          <w:rFonts w:ascii="Times New Roman" w:hAnsi="Times New Roman" w:cs="Times New Roman"/>
          <w:lang w:val="en-GB"/>
        </w:rPr>
        <w:t>(‘Phenotypic Response to Climate’</w:t>
      </w:r>
      <w:bookmarkEnd w:id="14"/>
      <w:bookmarkEnd w:id="15"/>
      <w:r w:rsidR="00904111" w:rsidRPr="00800BAA">
        <w:rPr>
          <w:rFonts w:ascii="Times New Roman" w:hAnsi="Times New Roman" w:cs="Times New Roman"/>
          <w:lang w:val="en-GB"/>
        </w:rPr>
        <w:t>, including both studies with and without data on selection</w:t>
      </w:r>
      <w:bookmarkStart w:id="16" w:name="OLE_LINK2"/>
      <w:bookmarkStart w:id="17" w:name="OLE_LINK1"/>
      <w:bookmarkEnd w:id="16"/>
      <w:bookmarkEnd w:id="17"/>
      <w:r w:rsidR="00904111" w:rsidRPr="00800BAA">
        <w:rPr>
          <w:rFonts w:ascii="Times New Roman" w:hAnsi="Times New Roman" w:cs="Times New Roman"/>
          <w:lang w:val="en-GB"/>
        </w:rPr>
        <w:t xml:space="preserve">) are shown with empty circles, and locations of studies </w:t>
      </w:r>
      <w:r w:rsidR="00904111">
        <w:rPr>
          <w:rFonts w:ascii="Times New Roman" w:hAnsi="Times New Roman" w:cs="Times New Roman"/>
          <w:lang w:val="en-GB"/>
        </w:rPr>
        <w:t xml:space="preserve">in </w:t>
      </w:r>
      <w:r w:rsidR="00904111" w:rsidRPr="00800BAA">
        <w:rPr>
          <w:rFonts w:ascii="Times New Roman" w:hAnsi="Times New Roman" w:cs="Times New Roman"/>
          <w:lang w:val="en-GB"/>
        </w:rPr>
        <w:t xml:space="preserve">the PRCS dataset (‘Phenotypic Responses to Climate with Selection data’, a subset with only studies </w:t>
      </w:r>
      <w:r w:rsidR="00904111">
        <w:rPr>
          <w:rFonts w:ascii="Times New Roman" w:hAnsi="Times New Roman" w:cs="Times New Roman"/>
          <w:lang w:val="en-GB"/>
        </w:rPr>
        <w:t>for which</w:t>
      </w:r>
      <w:r w:rsidR="00904111" w:rsidRPr="00800BAA">
        <w:rPr>
          <w:rFonts w:ascii="Times New Roman" w:hAnsi="Times New Roman" w:cs="Times New Roman"/>
          <w:lang w:val="en-GB"/>
        </w:rPr>
        <w:t xml:space="preserve"> selection data</w:t>
      </w:r>
      <w:r w:rsidR="00904111">
        <w:rPr>
          <w:rFonts w:ascii="Times New Roman" w:hAnsi="Times New Roman" w:cs="Times New Roman"/>
          <w:lang w:val="en-GB"/>
        </w:rPr>
        <w:t xml:space="preserve"> were available</w:t>
      </w:r>
      <w:r w:rsidR="00904111" w:rsidRPr="00800BAA">
        <w:rPr>
          <w:rFonts w:ascii="Times New Roman" w:hAnsi="Times New Roman" w:cs="Times New Roman"/>
          <w:lang w:val="en-GB"/>
        </w:rPr>
        <w:t>) are filled with orange</w:t>
      </w:r>
      <w:r w:rsidR="00904111">
        <w:rPr>
          <w:rFonts w:ascii="Times New Roman" w:hAnsi="Times New Roman" w:cs="Times New Roman"/>
          <w:lang w:val="en-GB"/>
        </w:rPr>
        <w:t xml:space="preserve"> colour</w:t>
      </w:r>
      <w:r w:rsidR="00904111" w:rsidRPr="00800BAA">
        <w:rPr>
          <w:rFonts w:ascii="Times New Roman" w:hAnsi="Times New Roman" w:cs="Times New Roman"/>
          <w:lang w:val="en-GB"/>
        </w:rPr>
        <w:t>. The size of the circles is proportional to the duration of the study</w:t>
      </w:r>
      <w:r w:rsidR="00904111">
        <w:rPr>
          <w:rFonts w:ascii="Times New Roman" w:hAnsi="Times New Roman" w:cs="Times New Roman"/>
          <w:lang w:val="en-GB"/>
        </w:rPr>
        <w:t xml:space="preserve"> (in years)</w:t>
      </w:r>
      <w:r w:rsidR="00904111" w:rsidRPr="00800BAA">
        <w:rPr>
          <w:rFonts w:ascii="Times New Roman" w:hAnsi="Times New Roman" w:cs="Times New Roman"/>
          <w:lang w:val="en-GB"/>
        </w:rPr>
        <w:t xml:space="preserve">. Insets show for each dataset </w:t>
      </w:r>
      <w:r w:rsidR="00904111">
        <w:rPr>
          <w:rFonts w:ascii="Times New Roman" w:hAnsi="Times New Roman" w:cs="Times New Roman"/>
          <w:lang w:val="en-GB"/>
        </w:rPr>
        <w:t xml:space="preserve">the </w:t>
      </w:r>
      <w:r w:rsidR="00904111" w:rsidRPr="00E249E4">
        <w:rPr>
          <w:rFonts w:ascii="Times New Roman" w:hAnsi="Times New Roman" w:cs="Times New Roman"/>
          <w:lang w:val="en-GB"/>
        </w:rPr>
        <w:t>relative coverage of a) different taxa; b) different climatic factors; and c) different trait categories.</w:t>
      </w:r>
      <w:r w:rsidR="00DD7953" w:rsidRPr="00E249E4">
        <w:rPr>
          <w:rFonts w:ascii="Times New Roman" w:hAnsi="Times New Roman" w:cs="Times New Roman"/>
          <w:lang w:val="en-GB"/>
        </w:rPr>
        <w:t xml:space="preserve"> This map was produced by </w:t>
      </w:r>
      <w:r w:rsidR="00274636" w:rsidRPr="00E249E4">
        <w:rPr>
          <w:rFonts w:ascii="Times New Roman" w:hAnsi="Times New Roman" w:cs="Times New Roman"/>
          <w:lang w:val="en-GB"/>
        </w:rPr>
        <w:t xml:space="preserve">V. </w:t>
      </w:r>
      <w:r w:rsidR="00DD7953" w:rsidRPr="00E249E4">
        <w:rPr>
          <w:rFonts w:ascii="Times New Roman" w:hAnsi="Times New Roman" w:cs="Times New Roman"/>
          <w:lang w:val="en-GB"/>
        </w:rPr>
        <w:t>Radchuk</w:t>
      </w:r>
      <w:r w:rsidR="00274636" w:rsidRPr="00E249E4">
        <w:rPr>
          <w:rFonts w:ascii="Times New Roman" w:hAnsi="Times New Roman" w:cs="Times New Roman"/>
          <w:lang w:val="en-GB"/>
        </w:rPr>
        <w:t xml:space="preserve"> </w:t>
      </w:r>
      <w:r w:rsidR="00DD7953" w:rsidRPr="00E249E4">
        <w:rPr>
          <w:rFonts w:ascii="Times New Roman" w:hAnsi="Times New Roman" w:cs="Times New Roman"/>
          <w:lang w:val="en-GB"/>
        </w:rPr>
        <w:t xml:space="preserve">using </w:t>
      </w:r>
      <w:r w:rsidR="00BE4366" w:rsidRPr="00E249E4">
        <w:rPr>
          <w:rFonts w:ascii="Times New Roman" w:hAnsi="Times New Roman" w:cs="Times New Roman"/>
          <w:lang w:val="en-GB"/>
        </w:rPr>
        <w:t xml:space="preserve">the </w:t>
      </w:r>
      <w:r w:rsidR="00DD7953" w:rsidRPr="00E249E4">
        <w:rPr>
          <w:rFonts w:ascii="Times New Roman" w:hAnsi="Times New Roman" w:cs="Times New Roman"/>
          <w:lang w:val="en-GB"/>
        </w:rPr>
        <w:t xml:space="preserve">function </w:t>
      </w:r>
      <w:r w:rsidR="009266EA" w:rsidRPr="00E249E4">
        <w:rPr>
          <w:rFonts w:ascii="Times New Roman" w:hAnsi="Times New Roman" w:cs="Times New Roman"/>
          <w:lang w:val="en-GB"/>
        </w:rPr>
        <w:t>map</w:t>
      </w:r>
      <w:r w:rsidR="009266EA" w:rsidRPr="009266EA">
        <w:rPr>
          <w:rFonts w:ascii="Times New Roman" w:hAnsi="Times New Roman" w:cs="Times New Roman"/>
          <w:lang w:val="en-GB"/>
        </w:rPr>
        <w:t>_data</w:t>
      </w:r>
      <w:r w:rsidR="009266EA">
        <w:rPr>
          <w:rFonts w:ascii="Times New Roman" w:hAnsi="Times New Roman" w:cs="Times New Roman"/>
          <w:lang w:val="en-GB"/>
        </w:rPr>
        <w:t xml:space="preserve">() </w:t>
      </w:r>
      <w:r w:rsidR="006E1C2F">
        <w:rPr>
          <w:rFonts w:ascii="Times New Roman" w:hAnsi="Times New Roman" w:cs="Times New Roman"/>
          <w:lang w:val="en-GB"/>
        </w:rPr>
        <w:t xml:space="preserve">from </w:t>
      </w:r>
      <w:r w:rsidR="00E249E4">
        <w:rPr>
          <w:rFonts w:ascii="Times New Roman" w:hAnsi="Times New Roman" w:cs="Times New Roman"/>
          <w:lang w:val="en-GB"/>
        </w:rPr>
        <w:t>ggplot2 package in R</w:t>
      </w:r>
      <w:r w:rsidR="00E07C04">
        <w:rPr>
          <w:rFonts w:ascii="Times New Roman" w:hAnsi="Times New Roman" w:cs="Times New Roman"/>
          <w:lang w:val="en-GB"/>
        </w:rPr>
        <w:fldChar w:fldCharType="begin" w:fldLock="1"/>
      </w:r>
      <w:r w:rsidR="00E07C04">
        <w:rPr>
          <w:rFonts w:ascii="Times New Roman" w:hAnsi="Times New Roman" w:cs="Times New Roman"/>
          <w:lang w:val="en-GB"/>
        </w:rPr>
        <w:instrText>ADDIN CSL_CITATION {"citationItems":[{"id":"ITEM-1","itemData":{"author":[{"dropping-particle":"","family":"Wikham","given":"Hadley","non-dropping-particle":"","parse-names":false,"suffix":""}],"id":"ITEM-1","issued":{"date-parts":[["2016"]]},"publisher":"Springer-Verlag","publisher-place":"New York","title":"ggplot2: Elegant Graphics for Data Analysis","type":"book"},"uris":["http://www.mendeley.com/documents/?uuid=b6174700-656d-4cbc-ba9e-1e958510233f"]}],"mendeley":{"formattedCitation":"&lt;sup&gt;1&lt;/sup&gt;","plainTextFormattedCitation":"1","previouslyFormattedCitation":"&lt;sup&gt;1&lt;/sup&gt;"},"properties":{"noteIndex":0},"schema":"https://github.com/citation-style-language/schema/raw/master/csl-citation.json"}</w:instrText>
      </w:r>
      <w:r w:rsidR="00E07C04">
        <w:rPr>
          <w:rFonts w:ascii="Times New Roman" w:hAnsi="Times New Roman" w:cs="Times New Roman"/>
          <w:lang w:val="en-GB"/>
        </w:rPr>
        <w:fldChar w:fldCharType="separate"/>
      </w:r>
      <w:r w:rsidR="00E07C04" w:rsidRPr="00E07C04">
        <w:rPr>
          <w:rFonts w:ascii="Times New Roman" w:hAnsi="Times New Roman" w:cs="Times New Roman"/>
          <w:noProof/>
          <w:vertAlign w:val="superscript"/>
          <w:lang w:val="en-GB"/>
        </w:rPr>
        <w:t>1</w:t>
      </w:r>
      <w:r w:rsidR="00E07C04">
        <w:rPr>
          <w:rFonts w:ascii="Times New Roman" w:hAnsi="Times New Roman" w:cs="Times New Roman"/>
          <w:lang w:val="en-GB"/>
        </w:rPr>
        <w:fldChar w:fldCharType="end"/>
      </w:r>
      <w:r w:rsidR="006E1C2F">
        <w:rPr>
          <w:rFonts w:ascii="Times New Roman" w:hAnsi="Times New Roman" w:cs="Times New Roman"/>
          <w:lang w:val="en-GB"/>
        </w:rPr>
        <w:t>.</w:t>
      </w:r>
    </w:p>
    <w:p w14:paraId="47084D54" w14:textId="70D522D8" w:rsidR="00DF35CC" w:rsidRDefault="000C68E7">
      <w:pPr>
        <w:spacing w:line="360" w:lineRule="auto"/>
        <w:rPr>
          <w:rFonts w:ascii="Times New Roman" w:hAnsi="Times New Roman" w:cs="Times New Roman"/>
          <w:lang w:val="en-GB"/>
        </w:rPr>
      </w:pPr>
      <w:r>
        <w:rPr>
          <w:rFonts w:ascii="Times New Roman" w:hAnsi="Times New Roman" w:cs="Times New Roman"/>
          <w:noProof/>
          <w:lang w:val="en-GB" w:eastAsia="en-GB"/>
        </w:rPr>
        <w:lastRenderedPageBreak/>
        <w:drawing>
          <wp:inline distT="0" distB="0" distL="0" distR="0" wp14:anchorId="3BA6B706" wp14:editId="6C5C4E32">
            <wp:extent cx="9072245" cy="3118485"/>
            <wp:effectExtent l="0" t="0" r="0" b="0"/>
            <wp:docPr id="11"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lFig3.pdf"/>
                    <pic:cNvPicPr/>
                  </pic:nvPicPr>
                  <pic:blipFill>
                    <a:blip r:embed="rId16">
                      <a:extLst>
                        <a:ext uri="{28A0092B-C50C-407E-A947-70E740481C1C}">
                          <a14:useLocalDpi xmlns:a14="http://schemas.microsoft.com/office/drawing/2010/main" val="0"/>
                        </a:ext>
                      </a:extLst>
                    </a:blip>
                    <a:stretch>
                      <a:fillRect/>
                    </a:stretch>
                  </pic:blipFill>
                  <pic:spPr>
                    <a:xfrm>
                      <a:off x="0" y="0"/>
                      <a:ext cx="9072245" cy="3118485"/>
                    </a:xfrm>
                    <a:prstGeom prst="rect">
                      <a:avLst/>
                    </a:prstGeom>
                  </pic:spPr>
                </pic:pic>
              </a:graphicData>
            </a:graphic>
          </wp:inline>
        </w:drawing>
      </w:r>
      <w:bookmarkStart w:id="18" w:name="_GoBack"/>
      <w:bookmarkEnd w:id="18"/>
    </w:p>
    <w:p w14:paraId="0EE1D655" w14:textId="4FD48F0A" w:rsidR="00953A33" w:rsidRDefault="009B7F2C">
      <w:pPr>
        <w:spacing w:line="360" w:lineRule="auto"/>
        <w:rPr>
          <w:rFonts w:ascii="Times New Roman" w:hAnsi="Times New Roman" w:cs="Times New Roman"/>
          <w:lang w:val="en-GB"/>
        </w:rPr>
      </w:pPr>
      <w:r>
        <w:rPr>
          <w:rFonts w:ascii="Times New Roman" w:hAnsi="Times New Roman" w:cs="Times New Roman"/>
          <w:lang w:val="en-GB"/>
        </w:rPr>
        <w:t xml:space="preserve">Supplementary </w:t>
      </w:r>
      <w:r w:rsidR="00953A33">
        <w:rPr>
          <w:rFonts w:ascii="Times New Roman" w:hAnsi="Times New Roman" w:cs="Times New Roman"/>
          <w:lang w:val="en-GB"/>
        </w:rPr>
        <w:t>Figure</w:t>
      </w:r>
      <w:r>
        <w:rPr>
          <w:rFonts w:ascii="Times New Roman" w:hAnsi="Times New Roman" w:cs="Times New Roman"/>
          <w:lang w:val="en-GB"/>
        </w:rPr>
        <w:t xml:space="preserve"> </w:t>
      </w:r>
      <w:r w:rsidR="00953A33">
        <w:rPr>
          <w:rFonts w:ascii="Times New Roman" w:hAnsi="Times New Roman" w:cs="Times New Roman"/>
          <w:lang w:val="en-GB"/>
        </w:rPr>
        <w:t>3</w:t>
      </w:r>
      <w:r w:rsidR="00953A33" w:rsidRPr="00800BAA">
        <w:rPr>
          <w:rFonts w:ascii="Times New Roman" w:hAnsi="Times New Roman" w:cs="Times New Roman"/>
          <w:lang w:val="en-GB"/>
        </w:rPr>
        <w:t>. Phenotypic responses of species to the amount of precipitation: a) effect of year on precipitation, b) effect of precipitation on trait values and c) weighted mean selection over time (WMS</w:t>
      </w:r>
      <w:r w:rsidR="00953A33">
        <w:rPr>
          <w:rFonts w:ascii="Times New Roman" w:hAnsi="Times New Roman" w:cs="Times New Roman"/>
          <w:lang w:val="en-GB"/>
        </w:rPr>
        <w:t>D</w:t>
      </w:r>
      <w:r w:rsidR="00953A33" w:rsidRPr="00800BAA">
        <w:rPr>
          <w:rFonts w:ascii="Times New Roman" w:hAnsi="Times New Roman" w:cs="Times New Roman"/>
          <w:lang w:val="en-GB"/>
        </w:rPr>
        <w:t>) acting on traits over the study period. Each study case is identified by a</w:t>
      </w:r>
      <w:r w:rsidR="00953A33">
        <w:rPr>
          <w:rFonts w:ascii="Times New Roman" w:hAnsi="Times New Roman" w:cs="Times New Roman"/>
          <w:lang w:val="en-GB"/>
        </w:rPr>
        <w:t>) the country and publication identity (publication identities ar</w:t>
      </w:r>
      <w:r w:rsidR="007E496E">
        <w:rPr>
          <w:rFonts w:ascii="Times New Roman" w:hAnsi="Times New Roman" w:cs="Times New Roman"/>
          <w:lang w:val="en-GB"/>
        </w:rPr>
        <w:t xml:space="preserve">e given in Supplementary </w:t>
      </w:r>
      <w:r w:rsidR="00992C39">
        <w:rPr>
          <w:rFonts w:ascii="Times New Roman" w:hAnsi="Times New Roman" w:cs="Times New Roman"/>
          <w:lang w:val="en-GB"/>
        </w:rPr>
        <w:t>Data</w:t>
      </w:r>
      <w:r w:rsidR="007E496E">
        <w:rPr>
          <w:rFonts w:ascii="Times New Roman" w:hAnsi="Times New Roman" w:cs="Times New Roman"/>
          <w:lang w:val="en-GB"/>
        </w:rPr>
        <w:t xml:space="preserve"> </w:t>
      </w:r>
      <w:r w:rsidR="00953A33">
        <w:rPr>
          <w:rFonts w:ascii="Times New Roman" w:hAnsi="Times New Roman" w:cs="Times New Roman"/>
          <w:lang w:val="en-GB"/>
        </w:rPr>
        <w:t>3)</w:t>
      </w:r>
      <w:r w:rsidR="00953A33" w:rsidRPr="00800BAA">
        <w:rPr>
          <w:rFonts w:ascii="Times New Roman" w:hAnsi="Times New Roman" w:cs="Times New Roman"/>
          <w:lang w:val="en-GB"/>
        </w:rPr>
        <w:t xml:space="preserve">, b) </w:t>
      </w:r>
      <w:r w:rsidR="00953A33">
        <w:rPr>
          <w:rFonts w:ascii="Times New Roman" w:hAnsi="Times New Roman" w:cs="Times New Roman"/>
          <w:lang w:val="en-GB"/>
        </w:rPr>
        <w:t>the trait and publication identity</w:t>
      </w:r>
      <w:r w:rsidR="00953A33" w:rsidRPr="00800BAA">
        <w:rPr>
          <w:rFonts w:ascii="Times New Roman" w:hAnsi="Times New Roman" w:cs="Times New Roman"/>
          <w:lang w:val="en-GB"/>
        </w:rPr>
        <w:t>, and c) the trait, fitnes</w:t>
      </w:r>
      <w:r w:rsidR="00953A33">
        <w:rPr>
          <w:rFonts w:ascii="Times New Roman" w:hAnsi="Times New Roman" w:cs="Times New Roman"/>
          <w:lang w:val="en-GB"/>
        </w:rPr>
        <w:t>s measure and publication identity</w:t>
      </w:r>
      <w:r w:rsidR="00953A33" w:rsidRPr="00800BAA">
        <w:rPr>
          <w:rFonts w:ascii="Times New Roman" w:hAnsi="Times New Roman" w:cs="Times New Roman"/>
          <w:lang w:val="en-GB"/>
        </w:rPr>
        <w:t>. Only phenological traits were covered by the studies extracted from the publications that focused on the effects of precipitation. The mean effects across studies in the PRCS dataset (‘Phenotypic Responses to Climate with Selection data’, shown in black) and the PRC dataset (‘Phenotypic Response to Climate’, shown in blue) suggest: a) the absence of a directional change of precipitation with time, b) the absence of a relationship</w:t>
      </w:r>
      <w:r w:rsidR="00953A33">
        <w:rPr>
          <w:rFonts w:ascii="Times New Roman" w:hAnsi="Times New Roman" w:cs="Times New Roman"/>
          <w:lang w:val="en-GB"/>
        </w:rPr>
        <w:t xml:space="preserve"> between precipitation and trait</w:t>
      </w:r>
      <w:r w:rsidR="00953A33" w:rsidRPr="00800BAA">
        <w:rPr>
          <w:rFonts w:ascii="Times New Roman" w:hAnsi="Times New Roman" w:cs="Times New Roman"/>
          <w:lang w:val="en-GB"/>
        </w:rPr>
        <w:t>, and c) evidence for negative selection on phenological traits, with significant variation in WMS</w:t>
      </w:r>
      <w:r w:rsidR="00953A33">
        <w:rPr>
          <w:rFonts w:ascii="Times New Roman" w:hAnsi="Times New Roman" w:cs="Times New Roman"/>
          <w:lang w:val="en-GB"/>
        </w:rPr>
        <w:t>D</w:t>
      </w:r>
      <w:r w:rsidR="00953A33" w:rsidRPr="00800BAA">
        <w:rPr>
          <w:rFonts w:ascii="Times New Roman" w:hAnsi="Times New Roman" w:cs="Times New Roman"/>
          <w:lang w:val="en-GB"/>
        </w:rPr>
        <w:t xml:space="preserve"> measured using different fitness components (recruitment, reproduction and adult survival).</w:t>
      </w:r>
    </w:p>
    <w:p w14:paraId="02936F52" w14:textId="66A184B8" w:rsidR="005E74DF" w:rsidRDefault="005E74DF">
      <w:pPr>
        <w:spacing w:line="360" w:lineRule="auto"/>
        <w:rPr>
          <w:rFonts w:ascii="Times New Roman" w:hAnsi="Times New Roman" w:cs="Times New Roman"/>
          <w:lang w:val="en-GB"/>
        </w:rPr>
      </w:pPr>
    </w:p>
    <w:p w14:paraId="426A0DE2" w14:textId="6603087A" w:rsidR="005E74DF" w:rsidRDefault="005E74DF">
      <w:pPr>
        <w:spacing w:line="360" w:lineRule="auto"/>
        <w:rPr>
          <w:rFonts w:ascii="Times New Roman" w:hAnsi="Times New Roman" w:cs="Times New Roman"/>
          <w:lang w:val="en-GB"/>
        </w:rPr>
        <w:sectPr w:rsidR="005E74DF" w:rsidSect="006F1713">
          <w:headerReference w:type="even" r:id="rId17"/>
          <w:headerReference w:type="default" r:id="rId18"/>
          <w:footerReference w:type="even" r:id="rId19"/>
          <w:footerReference w:type="default" r:id="rId20"/>
          <w:pgSz w:w="16838" w:h="11906" w:orient="landscape"/>
          <w:pgMar w:top="1417" w:right="1417" w:bottom="1417" w:left="1134" w:header="708" w:footer="708" w:gutter="0"/>
          <w:cols w:space="720"/>
          <w:formProt w:val="0"/>
          <w:docGrid w:linePitch="360" w:charSpace="-6145"/>
        </w:sectPr>
      </w:pPr>
    </w:p>
    <w:p w14:paraId="346F7EB5" w14:textId="6446265D" w:rsidR="0047198E" w:rsidRDefault="0047198E">
      <w:pPr>
        <w:spacing w:line="360" w:lineRule="auto"/>
        <w:rPr>
          <w:rFonts w:ascii="Times New Roman" w:hAnsi="Times New Roman" w:cs="Times New Roman"/>
          <w:lang w:val="en-GB"/>
        </w:rPr>
      </w:pPr>
      <w:bookmarkStart w:id="19" w:name="OLE_LINK125"/>
      <w:bookmarkStart w:id="20" w:name="OLE_LINK126"/>
      <w:bookmarkEnd w:id="12"/>
      <w:bookmarkEnd w:id="13"/>
      <w:r>
        <w:rPr>
          <w:rFonts w:ascii="Times New Roman" w:hAnsi="Times New Roman" w:cs="Times New Roman"/>
          <w:noProof/>
          <w:lang w:val="en-GB" w:eastAsia="en-GB"/>
        </w:rPr>
        <w:lastRenderedPageBreak/>
        <w:drawing>
          <wp:inline distT="0" distB="0" distL="0" distR="0" wp14:anchorId="723AB212" wp14:editId="5CE4A92C">
            <wp:extent cx="5760720" cy="5760720"/>
            <wp:effectExtent l="0" t="0" r="5080" b="508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yDur_SupplFig.pdf"/>
                    <pic:cNvPicPr/>
                  </pic:nvPicPr>
                  <pic:blipFill>
                    <a:blip r:embed="rId21">
                      <a:extLst>
                        <a:ext uri="{28A0092B-C50C-407E-A947-70E740481C1C}">
                          <a14:useLocalDpi xmlns:a14="http://schemas.microsoft.com/office/drawing/2010/main" val="0"/>
                        </a:ext>
                      </a:extLst>
                    </a:blip>
                    <a:stretch>
                      <a:fillRect/>
                    </a:stretch>
                  </pic:blipFill>
                  <pic:spPr>
                    <a:xfrm>
                      <a:off x="0" y="0"/>
                      <a:ext cx="5760720" cy="5760720"/>
                    </a:xfrm>
                    <a:prstGeom prst="rect">
                      <a:avLst/>
                    </a:prstGeom>
                  </pic:spPr>
                </pic:pic>
              </a:graphicData>
            </a:graphic>
          </wp:inline>
        </w:drawing>
      </w:r>
    </w:p>
    <w:p w14:paraId="3F96E942" w14:textId="29FEAAC1" w:rsidR="00AB1F98" w:rsidRDefault="00CC4CEA">
      <w:pPr>
        <w:spacing w:line="360" w:lineRule="auto"/>
        <w:rPr>
          <w:rFonts w:ascii="Times New Roman" w:hAnsi="Times New Roman" w:cs="Times New Roman"/>
          <w:lang w:val="en-GB"/>
        </w:rPr>
      </w:pPr>
      <w:r>
        <w:rPr>
          <w:rFonts w:ascii="Times New Roman" w:hAnsi="Times New Roman" w:cs="Times New Roman"/>
          <w:lang w:val="en-GB"/>
        </w:rPr>
        <w:t xml:space="preserve">Supplementary Figure </w:t>
      </w:r>
      <w:r w:rsidR="00AB1F98">
        <w:rPr>
          <w:rFonts w:ascii="Times New Roman" w:hAnsi="Times New Roman" w:cs="Times New Roman"/>
          <w:lang w:val="en-GB"/>
        </w:rPr>
        <w:t>4</w:t>
      </w:r>
      <w:r w:rsidR="00AB1F98" w:rsidRPr="00800BAA">
        <w:rPr>
          <w:rFonts w:ascii="Times New Roman" w:hAnsi="Times New Roman" w:cs="Times New Roman"/>
          <w:lang w:val="en-GB"/>
        </w:rPr>
        <w:t>. Probability density of the duration (years) of the studies in the PRC dataset (‘Phenotypic Response to Climate’, shown in black) and in the PRCS dataset (‘Phenotypic Responses to Climate with Selection data’, shown in orange). The vertical lines show me</w:t>
      </w:r>
      <w:r w:rsidR="00AB1F98">
        <w:rPr>
          <w:rFonts w:ascii="Times New Roman" w:hAnsi="Times New Roman" w:cs="Times New Roman"/>
          <w:lang w:val="en-GB"/>
        </w:rPr>
        <w:t>di</w:t>
      </w:r>
      <w:r w:rsidR="00AB1F98" w:rsidRPr="00800BAA">
        <w:rPr>
          <w:rFonts w:ascii="Times New Roman" w:hAnsi="Times New Roman" w:cs="Times New Roman"/>
          <w:lang w:val="en-GB"/>
        </w:rPr>
        <w:t xml:space="preserve">an study duration in each dataset. Probability densities were smoothed using Gaussian kernel density estimation based on the default bandwidth selection in the geom_density() function </w:t>
      </w:r>
      <w:bookmarkStart w:id="21" w:name="OLE_LINK556"/>
      <w:bookmarkStart w:id="22" w:name="OLE_LINK557"/>
      <w:r w:rsidR="00AB1F98" w:rsidRPr="00800BAA">
        <w:rPr>
          <w:rFonts w:ascii="Times New Roman" w:hAnsi="Times New Roman" w:cs="Times New Roman"/>
          <w:lang w:val="en-GB"/>
        </w:rPr>
        <w:t>(ggplot2 package in R</w:t>
      </w:r>
      <w:r w:rsidR="00E07C04">
        <w:rPr>
          <w:rFonts w:ascii="Times New Roman" w:hAnsi="Times New Roman" w:cs="Times New Roman"/>
          <w:lang w:val="en-GB"/>
        </w:rPr>
        <w:fldChar w:fldCharType="begin" w:fldLock="1"/>
      </w:r>
      <w:r w:rsidR="005470AF">
        <w:rPr>
          <w:rFonts w:ascii="Times New Roman" w:hAnsi="Times New Roman" w:cs="Times New Roman"/>
          <w:lang w:val="en-GB"/>
        </w:rPr>
        <w:instrText>ADDIN CSL_CITATION {"citationItems":[{"id":"ITEM-1","itemData":{"author":[{"dropping-particle":"","family":"Wikham","given":"Hadley","non-dropping-particle":"","parse-names":false,"suffix":""}],"id":"ITEM-1","issued":{"date-parts":[["2016"]]},"publisher":"Springer-Verlag","publisher-place":"New York","title":"ggplot2: Elegant Graphics for Data Analysis","type":"book"},"uris":["http://www.mendeley.com/documents/?uuid=b6174700-656d-4cbc-ba9e-1e958510233f"]}],"mendeley":{"formattedCitation":"&lt;sup&gt;1&lt;/sup&gt;","plainTextFormattedCitation":"1","previouslyFormattedCitation":"&lt;sup&gt;1&lt;/sup&gt;"},"properties":{"noteIndex":0},"schema":"https://github.com/citation-style-language/schema/raw/master/csl-citation.json"}</w:instrText>
      </w:r>
      <w:r w:rsidR="00E07C04">
        <w:rPr>
          <w:rFonts w:ascii="Times New Roman" w:hAnsi="Times New Roman" w:cs="Times New Roman"/>
          <w:lang w:val="en-GB"/>
        </w:rPr>
        <w:fldChar w:fldCharType="separate"/>
      </w:r>
      <w:r w:rsidR="00E07C04" w:rsidRPr="00E07C04">
        <w:rPr>
          <w:rFonts w:ascii="Times New Roman" w:hAnsi="Times New Roman" w:cs="Times New Roman"/>
          <w:noProof/>
          <w:vertAlign w:val="superscript"/>
          <w:lang w:val="en-GB"/>
        </w:rPr>
        <w:t>1</w:t>
      </w:r>
      <w:r w:rsidR="00E07C04">
        <w:rPr>
          <w:rFonts w:ascii="Times New Roman" w:hAnsi="Times New Roman" w:cs="Times New Roman"/>
          <w:lang w:val="en-GB"/>
        </w:rPr>
        <w:fldChar w:fldCharType="end"/>
      </w:r>
      <w:r w:rsidR="00AB1F98" w:rsidRPr="00800BAA">
        <w:rPr>
          <w:rFonts w:ascii="Times New Roman" w:hAnsi="Times New Roman" w:cs="Times New Roman"/>
          <w:lang w:val="en-GB"/>
        </w:rPr>
        <w:t>)</w:t>
      </w:r>
      <w:bookmarkEnd w:id="21"/>
      <w:bookmarkEnd w:id="22"/>
      <w:r w:rsidR="00AB1F98" w:rsidRPr="00800BAA">
        <w:rPr>
          <w:rFonts w:ascii="Times New Roman" w:hAnsi="Times New Roman" w:cs="Times New Roman"/>
          <w:lang w:val="en-GB"/>
        </w:rPr>
        <w:t>.</w:t>
      </w:r>
    </w:p>
    <w:p w14:paraId="6A6BD9A5" w14:textId="4B3ADB78" w:rsidR="005E74DF" w:rsidRDefault="005E74DF">
      <w:pPr>
        <w:spacing w:line="360" w:lineRule="auto"/>
        <w:rPr>
          <w:rFonts w:ascii="Times New Roman" w:hAnsi="Times New Roman" w:cs="Times New Roman"/>
          <w:lang w:val="en-GB"/>
        </w:rPr>
      </w:pPr>
    </w:p>
    <w:p w14:paraId="7E316661" w14:textId="31D536FA" w:rsidR="00175C4E" w:rsidRPr="00800BAA" w:rsidRDefault="00175C4E">
      <w:pPr>
        <w:spacing w:line="360" w:lineRule="auto"/>
        <w:rPr>
          <w:rFonts w:ascii="Times New Roman" w:hAnsi="Times New Roman" w:cs="Times New Roman"/>
          <w:lang w:val="en-GB"/>
        </w:rPr>
        <w:sectPr w:rsidR="00175C4E" w:rsidRPr="00800BAA" w:rsidSect="006F1713">
          <w:pgSz w:w="11906" w:h="16838"/>
          <w:pgMar w:top="1417" w:right="1417" w:bottom="1134" w:left="1417" w:header="708" w:footer="708" w:gutter="0"/>
          <w:cols w:space="720"/>
          <w:formProt w:val="0"/>
          <w:docGrid w:linePitch="360" w:charSpace="-6145"/>
        </w:sectPr>
      </w:pPr>
    </w:p>
    <w:p w14:paraId="5429A1A6" w14:textId="1966FA72" w:rsidR="00A6294E" w:rsidRDefault="000C68E7">
      <w:pPr>
        <w:spacing w:line="360" w:lineRule="auto"/>
        <w:rPr>
          <w:rFonts w:ascii="Times New Roman" w:hAnsi="Times New Roman" w:cs="Times New Roman"/>
          <w:lang w:val="en-GB"/>
        </w:rPr>
      </w:pPr>
      <w:bookmarkStart w:id="23" w:name="OLE_LINK99"/>
      <w:bookmarkStart w:id="24" w:name="OLE_LINK98"/>
      <w:bookmarkEnd w:id="19"/>
      <w:bookmarkEnd w:id="20"/>
      <w:r>
        <w:rPr>
          <w:rFonts w:ascii="Times New Roman" w:hAnsi="Times New Roman" w:cs="Times New Roman"/>
          <w:noProof/>
          <w:lang w:val="en-GB" w:eastAsia="en-GB"/>
        </w:rPr>
        <w:lastRenderedPageBreak/>
        <w:drawing>
          <wp:inline distT="0" distB="0" distL="0" distR="0" wp14:anchorId="1EA29B91" wp14:editId="547036E8">
            <wp:extent cx="9072245" cy="4885055"/>
            <wp:effectExtent l="0" t="0" r="0" b="0"/>
            <wp:docPr id="12"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lFig5.pdf"/>
                    <pic:cNvPicPr/>
                  </pic:nvPicPr>
                  <pic:blipFill>
                    <a:blip r:embed="rId22">
                      <a:extLst>
                        <a:ext uri="{28A0092B-C50C-407E-A947-70E740481C1C}">
                          <a14:useLocalDpi xmlns:a14="http://schemas.microsoft.com/office/drawing/2010/main" val="0"/>
                        </a:ext>
                      </a:extLst>
                    </a:blip>
                    <a:stretch>
                      <a:fillRect/>
                    </a:stretch>
                  </pic:blipFill>
                  <pic:spPr>
                    <a:xfrm>
                      <a:off x="0" y="0"/>
                      <a:ext cx="9072245" cy="4885055"/>
                    </a:xfrm>
                    <a:prstGeom prst="rect">
                      <a:avLst/>
                    </a:prstGeom>
                  </pic:spPr>
                </pic:pic>
              </a:graphicData>
            </a:graphic>
          </wp:inline>
        </w:drawing>
      </w:r>
    </w:p>
    <w:p w14:paraId="5C2B3040" w14:textId="734DBCDC" w:rsidR="00A6294E" w:rsidRDefault="006F2982">
      <w:pPr>
        <w:spacing w:line="360" w:lineRule="auto"/>
        <w:rPr>
          <w:rFonts w:ascii="Times New Roman" w:hAnsi="Times New Roman" w:cs="Times New Roman"/>
          <w:lang w:val="en-GB"/>
        </w:rPr>
        <w:sectPr w:rsidR="00A6294E" w:rsidSect="006F1713">
          <w:headerReference w:type="even" r:id="rId23"/>
          <w:headerReference w:type="default" r:id="rId24"/>
          <w:footerReference w:type="even" r:id="rId25"/>
          <w:footerReference w:type="default" r:id="rId26"/>
          <w:pgSz w:w="16838" w:h="11906" w:orient="landscape"/>
          <w:pgMar w:top="1417" w:right="1134" w:bottom="1417" w:left="1417" w:header="708" w:footer="708" w:gutter="0"/>
          <w:cols w:space="720"/>
          <w:formProt w:val="0"/>
          <w:docGrid w:linePitch="360" w:charSpace="-6145"/>
        </w:sectPr>
      </w:pPr>
      <w:r>
        <w:rPr>
          <w:rFonts w:ascii="Times New Roman" w:hAnsi="Times New Roman" w:cs="Times New Roman"/>
          <w:lang w:val="en-GB"/>
        </w:rPr>
        <w:t xml:space="preserve">Supplementary </w:t>
      </w:r>
      <w:r w:rsidR="00A6294E">
        <w:rPr>
          <w:rFonts w:ascii="Times New Roman" w:hAnsi="Times New Roman" w:cs="Times New Roman"/>
          <w:lang w:val="en-GB"/>
        </w:rPr>
        <w:t>Figure</w:t>
      </w:r>
      <w:r>
        <w:rPr>
          <w:rFonts w:ascii="Times New Roman" w:hAnsi="Times New Roman" w:cs="Times New Roman"/>
          <w:lang w:val="en-GB"/>
        </w:rPr>
        <w:t xml:space="preserve"> </w:t>
      </w:r>
      <w:r w:rsidR="00A6294E">
        <w:rPr>
          <w:rFonts w:ascii="Times New Roman" w:hAnsi="Times New Roman" w:cs="Times New Roman"/>
          <w:lang w:val="en-GB"/>
        </w:rPr>
        <w:t>5. Linear models explaining the warming rates by a) number of years in the time series and b) first year in the time series, and c) Pearson correlation between the number of years in the time series and the first year in the time series. Warming rates are lower for longer time series, as shown by the significant slope in a) and they are higher for series that started the most recently, as shown by the significant slope in b).</w:t>
      </w:r>
    </w:p>
    <w:p w14:paraId="701ED84D" w14:textId="5A35243D" w:rsidR="00A11F16" w:rsidRDefault="000C68E7" w:rsidP="00A11F16">
      <w:pPr>
        <w:rPr>
          <w:rFonts w:ascii="Times New Roman" w:hAnsi="Times New Roman" w:cs="Times New Roman"/>
        </w:rPr>
      </w:pPr>
      <w:r>
        <w:rPr>
          <w:rFonts w:ascii="Times New Roman" w:hAnsi="Times New Roman" w:cs="Times New Roman"/>
          <w:noProof/>
          <w:lang w:val="en-GB" w:eastAsia="en-GB"/>
        </w:rPr>
        <w:lastRenderedPageBreak/>
        <w:drawing>
          <wp:inline distT="0" distB="0" distL="0" distR="0" wp14:anchorId="43BC29FA" wp14:editId="0C4DD67D">
            <wp:extent cx="5760720" cy="5760720"/>
            <wp:effectExtent l="0" t="0" r="0" b="5080"/>
            <wp:docPr id="14" name="Bild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lFig6.pdf"/>
                    <pic:cNvPicPr/>
                  </pic:nvPicPr>
                  <pic:blipFill>
                    <a:blip r:embed="rId27">
                      <a:extLst>
                        <a:ext uri="{28A0092B-C50C-407E-A947-70E740481C1C}">
                          <a14:useLocalDpi xmlns:a14="http://schemas.microsoft.com/office/drawing/2010/main" val="0"/>
                        </a:ext>
                      </a:extLst>
                    </a:blip>
                    <a:stretch>
                      <a:fillRect/>
                    </a:stretch>
                  </pic:blipFill>
                  <pic:spPr>
                    <a:xfrm>
                      <a:off x="0" y="0"/>
                      <a:ext cx="5760720" cy="5760720"/>
                    </a:xfrm>
                    <a:prstGeom prst="rect">
                      <a:avLst/>
                    </a:prstGeom>
                  </pic:spPr>
                </pic:pic>
              </a:graphicData>
            </a:graphic>
          </wp:inline>
        </w:drawing>
      </w:r>
    </w:p>
    <w:p w14:paraId="7DD2949D" w14:textId="5202D6E9" w:rsidR="00A6294E" w:rsidRDefault="009707C9" w:rsidP="002C0699">
      <w:pPr>
        <w:spacing w:line="360" w:lineRule="auto"/>
        <w:rPr>
          <w:rFonts w:ascii="Times New Roman" w:hAnsi="Times New Roman" w:cs="Times New Roman"/>
        </w:rPr>
      </w:pPr>
      <w:r>
        <w:rPr>
          <w:rFonts w:ascii="Times New Roman" w:hAnsi="Times New Roman" w:cs="Times New Roman"/>
        </w:rPr>
        <w:t xml:space="preserve">Supplementary </w:t>
      </w:r>
      <w:r w:rsidR="00A6294E">
        <w:rPr>
          <w:rFonts w:ascii="Times New Roman" w:hAnsi="Times New Roman" w:cs="Times New Roman"/>
        </w:rPr>
        <w:t>Figure</w:t>
      </w:r>
      <w:r>
        <w:rPr>
          <w:rFonts w:ascii="Times New Roman" w:hAnsi="Times New Roman" w:cs="Times New Roman"/>
        </w:rPr>
        <w:t xml:space="preserve"> </w:t>
      </w:r>
      <w:r w:rsidR="00A6294E">
        <w:rPr>
          <w:rFonts w:ascii="Times New Roman" w:hAnsi="Times New Roman" w:cs="Times New Roman"/>
        </w:rPr>
        <w:t>6. Effect of temperature (blue), year (red), and abundance (green) on the phenological traits shown on the y</w:t>
      </w:r>
      <w:r w:rsidR="008116D7">
        <w:rPr>
          <w:rFonts w:ascii="Times New Roman" w:hAnsi="Times New Roman" w:cs="Times New Roman"/>
        </w:rPr>
        <w:t>-</w:t>
      </w:r>
      <w:r w:rsidR="00A6294E">
        <w:rPr>
          <w:rFonts w:ascii="Times New Roman" w:hAnsi="Times New Roman" w:cs="Times New Roman"/>
        </w:rPr>
        <w:t>axis. Effect sizes were obtained from the mixed-effects models including the abundance as an explanatory variable (</w:t>
      </w:r>
      <w:r w:rsidR="004A7B4C" w:rsidRPr="004A7B4C">
        <w:rPr>
          <w:rFonts w:ascii="Times New Roman" w:hAnsi="Times New Roman" w:cs="Times New Roman"/>
        </w:rPr>
        <w:t>Equation (5)</w:t>
      </w:r>
      <w:r w:rsidR="00A6294E" w:rsidRPr="004A7B4C">
        <w:rPr>
          <w:rFonts w:ascii="Times New Roman" w:hAnsi="Times New Roman" w:cs="Times New Roman"/>
        </w:rPr>
        <w:t xml:space="preserve"> in Methods). </w:t>
      </w:r>
      <w:r w:rsidR="00A6294E" w:rsidRPr="004A7B4C">
        <w:rPr>
          <w:rFonts w:ascii="Times New Roman" w:hAnsi="Times New Roman" w:cs="Times New Roman"/>
          <w:lang w:val="en-GB"/>
        </w:rPr>
        <w:t>Each</w:t>
      </w:r>
      <w:r w:rsidR="00A6294E" w:rsidRPr="00D0145C">
        <w:rPr>
          <w:rFonts w:ascii="Times New Roman" w:hAnsi="Times New Roman" w:cs="Times New Roman"/>
          <w:lang w:val="en-GB"/>
        </w:rPr>
        <w:t xml:space="preserve"> study is identified by </w:t>
      </w:r>
      <w:r w:rsidR="005A32A8">
        <w:rPr>
          <w:rFonts w:ascii="Times New Roman" w:hAnsi="Times New Roman" w:cs="Times New Roman"/>
          <w:lang w:val="en-GB"/>
        </w:rPr>
        <w:t>study</w:t>
      </w:r>
      <w:r w:rsidR="00A6294E" w:rsidRPr="00D0145C">
        <w:rPr>
          <w:rFonts w:ascii="Times New Roman" w:hAnsi="Times New Roman" w:cs="Times New Roman"/>
          <w:lang w:val="en-GB"/>
        </w:rPr>
        <w:t xml:space="preserve"> identity, trait and species.</w:t>
      </w:r>
      <w:r w:rsidR="00A6294E" w:rsidRPr="00D0145C">
        <w:rPr>
          <w:rFonts w:ascii="Times New Roman" w:eastAsia="Times New Roman" w:hAnsi="Times New Roman" w:cs="Times New Roman"/>
          <w:color w:val="00000A"/>
          <w:lang w:val="en-GB"/>
        </w:rPr>
        <w:t xml:space="preserve"> </w:t>
      </w:r>
      <w:r w:rsidR="00A6294E" w:rsidRPr="00D0145C">
        <w:rPr>
          <w:rFonts w:ascii="Times New Roman" w:hAnsi="Times New Roman" w:cs="Times New Roman"/>
          <w:lang w:val="en-GB"/>
        </w:rPr>
        <w:t>Studies are sorted by species</w:t>
      </w:r>
      <w:r w:rsidR="00A6294E">
        <w:rPr>
          <w:rFonts w:ascii="Times New Roman" w:hAnsi="Times New Roman" w:cs="Times New Roman"/>
          <w:lang w:val="en-GB"/>
        </w:rPr>
        <w:t xml:space="preserve"> and within it by </w:t>
      </w:r>
      <w:r w:rsidR="00610E11">
        <w:rPr>
          <w:rFonts w:ascii="Times New Roman" w:hAnsi="Times New Roman" w:cs="Times New Roman"/>
          <w:lang w:val="en-GB"/>
        </w:rPr>
        <w:t>study</w:t>
      </w:r>
      <w:r w:rsidR="00A6294E">
        <w:rPr>
          <w:rFonts w:ascii="Times New Roman" w:hAnsi="Times New Roman" w:cs="Times New Roman"/>
          <w:lang w:val="en-GB"/>
        </w:rPr>
        <w:t xml:space="preserve"> identity</w:t>
      </w:r>
      <w:r w:rsidR="00A6294E" w:rsidRPr="00D0145C">
        <w:rPr>
          <w:rFonts w:ascii="Times New Roman" w:hAnsi="Times New Roman" w:cs="Times New Roman"/>
          <w:lang w:val="en-GB"/>
        </w:rPr>
        <w:t>.</w:t>
      </w:r>
      <w:r w:rsidR="00A6294E">
        <w:rPr>
          <w:rFonts w:ascii="Times New Roman" w:hAnsi="Times New Roman" w:cs="Times New Roman"/>
          <w:lang w:val="en-GB"/>
        </w:rPr>
        <w:t xml:space="preserve"> </w:t>
      </w:r>
      <w:r w:rsidR="003457CB">
        <w:rPr>
          <w:rFonts w:ascii="Times New Roman" w:hAnsi="Times New Roman" w:cs="Times New Roman"/>
          <w:lang w:val="en-GB"/>
        </w:rPr>
        <w:t xml:space="preserve">For study identities see Supplementary Data 4. </w:t>
      </w:r>
      <w:r w:rsidR="00A6294E">
        <w:rPr>
          <w:rFonts w:ascii="Times New Roman" w:hAnsi="Times New Roman" w:cs="Times New Roman"/>
          <w:lang w:val="en-GB"/>
        </w:rPr>
        <w:t>Effects of temperature are generally larger compared to the effects of year and abundance, and negative (i.e. advancement of phenology with increasing temperature).</w:t>
      </w:r>
    </w:p>
    <w:p w14:paraId="129C54E8" w14:textId="77777777" w:rsidR="00A6294E" w:rsidRDefault="00A6294E" w:rsidP="002C0699">
      <w:pPr>
        <w:spacing w:line="360" w:lineRule="auto"/>
        <w:rPr>
          <w:rFonts w:ascii="Times New Roman" w:hAnsi="Times New Roman" w:cs="Times New Roman"/>
        </w:rPr>
      </w:pPr>
    </w:p>
    <w:p w14:paraId="63A31875" w14:textId="77777777" w:rsidR="00A11F16" w:rsidRDefault="00A11F16">
      <w:pPr>
        <w:rPr>
          <w:rFonts w:ascii="Times New Roman" w:hAnsi="Times New Roman" w:cs="Times New Roman"/>
          <w:lang w:val="en-GB"/>
        </w:rPr>
        <w:sectPr w:rsidR="00A11F16" w:rsidSect="006F1713">
          <w:pgSz w:w="11906" w:h="16838"/>
          <w:pgMar w:top="1417" w:right="1417" w:bottom="1134" w:left="1417" w:header="708" w:footer="708" w:gutter="0"/>
          <w:cols w:space="720"/>
          <w:formProt w:val="0"/>
          <w:docGrid w:linePitch="360" w:charSpace="-6145"/>
        </w:sectPr>
      </w:pPr>
    </w:p>
    <w:p w14:paraId="740B94CD" w14:textId="7A30D084" w:rsidR="00C356DB" w:rsidRDefault="003A241A" w:rsidP="0069370E">
      <w:pPr>
        <w:pStyle w:val="Normal1"/>
        <w:spacing w:after="60" w:line="360" w:lineRule="auto"/>
      </w:pPr>
      <w:bookmarkStart w:id="25" w:name="OLE_LINK131"/>
      <w:bookmarkStart w:id="26" w:name="OLE_LINK132"/>
      <w:r>
        <w:rPr>
          <w:noProof/>
          <w:lang w:eastAsia="en-GB"/>
        </w:rPr>
        <w:lastRenderedPageBreak/>
        <w:drawing>
          <wp:inline distT="0" distB="0" distL="0" distR="0" wp14:anchorId="3DBC53F6" wp14:editId="17654E5D">
            <wp:extent cx="5479025" cy="5465445"/>
            <wp:effectExtent l="0" t="0" r="7620" b="0"/>
            <wp:docPr id="17"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_OverYears_FigS8.pdf"/>
                    <pic:cNvPicPr/>
                  </pic:nvPicPr>
                  <pic:blipFill rotWithShape="1">
                    <a:blip r:embed="rId28">
                      <a:extLst>
                        <a:ext uri="{28A0092B-C50C-407E-A947-70E740481C1C}">
                          <a14:useLocalDpi xmlns:a14="http://schemas.microsoft.com/office/drawing/2010/main" val="0"/>
                        </a:ext>
                      </a:extLst>
                    </a:blip>
                    <a:srcRect t="5120" r="4885"/>
                    <a:stretch/>
                  </pic:blipFill>
                  <pic:spPr bwMode="auto">
                    <a:xfrm>
                      <a:off x="0" y="0"/>
                      <a:ext cx="5479334" cy="5465753"/>
                    </a:xfrm>
                    <a:prstGeom prst="rect">
                      <a:avLst/>
                    </a:prstGeom>
                    <a:ln>
                      <a:noFill/>
                    </a:ln>
                    <a:extLst>
                      <a:ext uri="{53640926-AAD7-44D8-BBD7-CCE9431645EC}">
                        <a14:shadowObscured xmlns:a14="http://schemas.microsoft.com/office/drawing/2010/main"/>
                      </a:ext>
                    </a:extLst>
                  </pic:spPr>
                </pic:pic>
              </a:graphicData>
            </a:graphic>
          </wp:inline>
        </w:drawing>
      </w:r>
    </w:p>
    <w:p w14:paraId="3FCAB3A7" w14:textId="0D05EDE3" w:rsidR="002C0699" w:rsidRDefault="009F149F" w:rsidP="0069370E">
      <w:pPr>
        <w:pStyle w:val="Normal1"/>
        <w:spacing w:after="60" w:line="360" w:lineRule="auto"/>
      </w:pPr>
      <w:r>
        <w:t xml:space="preserve">Supplementary </w:t>
      </w:r>
      <w:r w:rsidR="002C0699">
        <w:t>Figu</w:t>
      </w:r>
      <w:r>
        <w:t xml:space="preserve">re </w:t>
      </w:r>
      <w:r w:rsidR="002C0699">
        <w:t xml:space="preserve">7. Temporal trend in selection acting on phenological (black) and morphological (grey) traits. Each study is identified by publication identity, trait and fitness component. Bars show 95% confidence intervals and the symbol size is proportional to the study sample size. Across studies, we found no significant directional change in selection on either phenological </w:t>
      </w:r>
      <w:bookmarkStart w:id="27" w:name="OLE_LINK145"/>
      <w:bookmarkStart w:id="28" w:name="OLE_LINK146"/>
      <w:r w:rsidR="002C0699">
        <w:t>(</w:t>
      </w:r>
      <w:bookmarkStart w:id="29" w:name="OLE_LINK151"/>
      <w:bookmarkStart w:id="30" w:name="OLE_LINK152"/>
      <w:r w:rsidR="002C0699">
        <w:t>Slope = 0.0005±0.0019</w:t>
      </w:r>
      <w:r w:rsidR="002C0699" w:rsidRPr="00F4453E">
        <w:t xml:space="preserve"> </w:t>
      </w:r>
      <w:bookmarkStart w:id="31" w:name="OLE_LINK162"/>
      <w:bookmarkStart w:id="32" w:name="OLE_LINK163"/>
      <w:bookmarkStart w:id="33" w:name="OLE_LINK164"/>
      <w:bookmarkStart w:id="34" w:name="OLE_LINK165"/>
      <w:r w:rsidR="002C0699">
        <w:t>(year*SD)</w:t>
      </w:r>
      <w:bookmarkEnd w:id="31"/>
      <w:bookmarkEnd w:id="32"/>
      <w:r w:rsidR="002C0699" w:rsidRPr="008B1438">
        <w:rPr>
          <w:vertAlign w:val="superscript"/>
        </w:rPr>
        <w:t>-1</w:t>
      </w:r>
      <w:bookmarkEnd w:id="33"/>
      <w:bookmarkEnd w:id="34"/>
      <w:r w:rsidR="002C0699">
        <w:t>, LRT between the model with and without linear change in selection over years: χ</w:t>
      </w:r>
      <w:r w:rsidR="002C0699">
        <w:rPr>
          <w:vertAlign w:val="superscript"/>
        </w:rPr>
        <w:t xml:space="preserve">2 </w:t>
      </w:r>
      <w:r w:rsidR="002C0699">
        <w:t xml:space="preserve">= 0.09, df = 1, p = </w:t>
      </w:r>
      <w:r w:rsidR="002C0699" w:rsidRPr="00865C82">
        <w:t>0.</w:t>
      </w:r>
      <w:bookmarkEnd w:id="29"/>
      <w:bookmarkEnd w:id="30"/>
      <w:r w:rsidR="002C0699">
        <w:t>764)</w:t>
      </w:r>
      <w:bookmarkEnd w:id="27"/>
      <w:bookmarkEnd w:id="28"/>
      <w:r w:rsidR="002C0699">
        <w:t xml:space="preserve"> or morphological traits (Slope = 0.0005 ±0.0008 (year*SD)</w:t>
      </w:r>
      <w:r w:rsidR="002C0699" w:rsidRPr="008B1438">
        <w:rPr>
          <w:vertAlign w:val="superscript"/>
        </w:rPr>
        <w:t>-1</w:t>
      </w:r>
      <w:r w:rsidR="002C0699">
        <w:t>, LRT: χ</w:t>
      </w:r>
      <w:r w:rsidR="002C0699">
        <w:rPr>
          <w:vertAlign w:val="superscript"/>
        </w:rPr>
        <w:t xml:space="preserve">2 </w:t>
      </w:r>
      <w:r w:rsidR="002C0699">
        <w:t>= 0.46, df = 1, p = 0.497).</w:t>
      </w:r>
    </w:p>
    <w:p w14:paraId="20413E8F" w14:textId="77777777" w:rsidR="00C356DB" w:rsidRDefault="00C356DB">
      <w:pPr>
        <w:spacing w:line="360" w:lineRule="auto"/>
        <w:rPr>
          <w:rFonts w:ascii="Times New Roman" w:hAnsi="Times New Roman" w:cs="Times New Roman"/>
          <w:lang w:val="en-GB"/>
        </w:rPr>
        <w:sectPr w:rsidR="00C356DB" w:rsidSect="006F1713">
          <w:pgSz w:w="11906" w:h="16838"/>
          <w:pgMar w:top="1134" w:right="1417" w:bottom="1417" w:left="1417" w:header="708" w:footer="708" w:gutter="0"/>
          <w:cols w:space="720"/>
          <w:formProt w:val="0"/>
          <w:docGrid w:linePitch="360" w:charSpace="-6145"/>
        </w:sectPr>
      </w:pPr>
    </w:p>
    <w:p w14:paraId="7E246C51" w14:textId="77777777" w:rsidR="001C5424" w:rsidRDefault="007E0969" w:rsidP="007E0969">
      <w:pPr>
        <w:spacing w:line="360" w:lineRule="auto"/>
        <w:rPr>
          <w:rFonts w:ascii="Times New Roman" w:hAnsi="Times New Roman" w:cs="Times New Roman"/>
          <w:lang w:val="en-GB"/>
        </w:rPr>
      </w:pPr>
      <w:r>
        <w:rPr>
          <w:rFonts w:ascii="Times New Roman" w:hAnsi="Times New Roman" w:cs="Times New Roman"/>
          <w:noProof/>
          <w:lang w:val="en-GB" w:eastAsia="en-GB"/>
        </w:rPr>
        <w:lastRenderedPageBreak/>
        <w:drawing>
          <wp:inline distT="0" distB="0" distL="0" distR="0" wp14:anchorId="3BBA77CC" wp14:editId="2546CB8C">
            <wp:extent cx="5486962" cy="5486962"/>
            <wp:effectExtent l="0" t="0" r="0" b="0"/>
            <wp:docPr id="6"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_Adapt_T_Sel.pdf"/>
                    <pic:cNvPicPr/>
                  </pic:nvPicPr>
                  <pic:blipFill>
                    <a:blip r:embed="rId29">
                      <a:extLst>
                        <a:ext uri="{28A0092B-C50C-407E-A947-70E740481C1C}">
                          <a14:useLocalDpi xmlns:a14="http://schemas.microsoft.com/office/drawing/2010/main" val="0"/>
                        </a:ext>
                      </a:extLst>
                    </a:blip>
                    <a:stretch>
                      <a:fillRect/>
                    </a:stretch>
                  </pic:blipFill>
                  <pic:spPr>
                    <a:xfrm>
                      <a:off x="0" y="0"/>
                      <a:ext cx="5486962" cy="5486962"/>
                    </a:xfrm>
                    <a:prstGeom prst="rect">
                      <a:avLst/>
                    </a:prstGeom>
                  </pic:spPr>
                </pic:pic>
              </a:graphicData>
            </a:graphic>
          </wp:inline>
        </w:drawing>
      </w:r>
    </w:p>
    <w:p w14:paraId="5CF1299F" w14:textId="0E08E43F" w:rsidR="001C5424" w:rsidRDefault="00B678AC" w:rsidP="001C5424">
      <w:pPr>
        <w:spacing w:line="360" w:lineRule="auto"/>
        <w:rPr>
          <w:rFonts w:ascii="Times New Roman" w:hAnsi="Times New Roman" w:cs="Times New Roman"/>
          <w:lang w:val="en-GB"/>
        </w:rPr>
      </w:pPr>
      <w:r>
        <w:rPr>
          <w:rFonts w:ascii="Times New Roman" w:hAnsi="Times New Roman" w:cs="Times New Roman"/>
          <w:lang w:val="en-GB"/>
        </w:rPr>
        <w:t xml:space="preserve">Supplementary Figure </w:t>
      </w:r>
      <w:r w:rsidR="001C5424">
        <w:rPr>
          <w:rFonts w:ascii="Times New Roman" w:hAnsi="Times New Roman" w:cs="Times New Roman"/>
          <w:lang w:val="en-GB"/>
        </w:rPr>
        <w:t xml:space="preserve">8. </w:t>
      </w:r>
      <w:r w:rsidR="001C5424" w:rsidRPr="00726C1E">
        <w:rPr>
          <w:rFonts w:ascii="Times New Roman" w:hAnsi="Times New Roman" w:cs="Times New Roman"/>
          <w:lang w:val="en-GB"/>
        </w:rPr>
        <w:t xml:space="preserve">Product of the weighted mean </w:t>
      </w:r>
      <w:r w:rsidR="00060045">
        <w:rPr>
          <w:rFonts w:ascii="Times New Roman" w:hAnsi="Times New Roman" w:cs="Times New Roman"/>
          <w:lang w:val="en-GB"/>
        </w:rPr>
        <w:t xml:space="preserve">annual </w:t>
      </w:r>
      <w:r w:rsidR="001C5424" w:rsidRPr="00726C1E">
        <w:rPr>
          <w:rFonts w:ascii="Times New Roman" w:hAnsi="Times New Roman" w:cs="Times New Roman"/>
          <w:lang w:val="en-GB"/>
        </w:rPr>
        <w:t xml:space="preserve">selection differential (WMSD) with the sign of the </w:t>
      </w:r>
      <w:r w:rsidR="001C5424">
        <w:rPr>
          <w:rFonts w:ascii="Times New Roman" w:hAnsi="Times New Roman" w:cs="Times New Roman"/>
          <w:lang w:val="en-GB"/>
        </w:rPr>
        <w:t xml:space="preserve">slopes obtained when assessing condition 2 and 3 (the overall sign of the climate-driven </w:t>
      </w:r>
      <w:r w:rsidR="001C5424" w:rsidRPr="00726C1E">
        <w:rPr>
          <w:rFonts w:ascii="Times New Roman" w:hAnsi="Times New Roman" w:cs="Times New Roman"/>
          <w:lang w:val="en-GB"/>
        </w:rPr>
        <w:t>phenotypic change over time</w:t>
      </w:r>
      <w:r w:rsidR="001C5424">
        <w:rPr>
          <w:rFonts w:ascii="Times New Roman" w:hAnsi="Times New Roman" w:cs="Times New Roman"/>
          <w:lang w:val="en-GB"/>
        </w:rPr>
        <w:t>)</w:t>
      </w:r>
      <w:r w:rsidR="001C5424" w:rsidRPr="00726C1E">
        <w:rPr>
          <w:rFonts w:ascii="Times New Roman" w:hAnsi="Times New Roman" w:cs="Times New Roman"/>
          <w:lang w:val="en-GB"/>
        </w:rPr>
        <w:t>. The product, computed as WMSD*sign</w:t>
      </w:r>
      <w:r w:rsidR="00F93505">
        <w:rPr>
          <w:rFonts w:ascii="Times New Roman" w:hAnsi="Times New Roman" w:cs="Times New Roman"/>
          <w:lang w:val="en-GB"/>
        </w:rPr>
        <w:t xml:space="preserve"> </w:t>
      </w:r>
      <w:r w:rsidR="00316A1F">
        <w:rPr>
          <w:rFonts w:ascii="Times New Roman" w:hAnsi="Times New Roman" w:cs="Times New Roman"/>
          <w:lang w:val="en-GB"/>
        </w:rPr>
        <w:t xml:space="preserve">of slopes for condition 1 and condition 2 </w:t>
      </w:r>
      <w:r w:rsidR="001C5424" w:rsidRPr="00726C1E">
        <w:rPr>
          <w:rFonts w:ascii="Times New Roman" w:hAnsi="Times New Roman" w:cs="Times New Roman"/>
          <w:lang w:val="en-GB"/>
        </w:rPr>
        <w:t>(</w:t>
      </w:r>
      <m:oMath>
        <m:sSub>
          <m:sSubPr>
            <m:ctrlPr>
              <w:rPr>
                <w:rFonts w:ascii="Cambria Math" w:hAnsi="Cambria Math"/>
                <w:i/>
              </w:rPr>
            </m:ctrlPr>
          </m:sSubPr>
          <m:e>
            <m:r>
              <w:rPr>
                <w:rFonts w:ascii="Cambria Math" w:hAnsi="Cambria Math"/>
              </w:rPr>
              <m:t>β</m:t>
            </m:r>
          </m:e>
          <m:sub>
            <m:r>
              <m:rPr>
                <m:sty m:val="p"/>
              </m:rPr>
              <w:rPr>
                <w:rFonts w:ascii="Cambria Math" w:hAnsi="Cambria Math"/>
              </w:rPr>
              <m:t>Clim</m:t>
            </m:r>
          </m:sub>
        </m:sSub>
      </m:oMath>
      <w:r w:rsidR="00F93505">
        <w:rPr>
          <w:rFonts w:ascii="Times New Roman" w:hAnsi="Times New Roman" w:cs="Times New Roman"/>
          <w:lang w:val="en-GB"/>
        </w:rPr>
        <w:t xml:space="preserve"> </w:t>
      </w:r>
      <w:r w:rsidR="001C5424" w:rsidRPr="00726C1E">
        <w:rPr>
          <w:rFonts w:ascii="Times New Roman" w:hAnsi="Times New Roman" w:cs="Times New Roman"/>
          <w:lang w:val="en-GB"/>
        </w:rPr>
        <w:t>*</w:t>
      </w:r>
      <w:r w:rsidR="001C5424">
        <w:rPr>
          <w:rFonts w:ascii="Times New Roman" w:hAnsi="Times New Roman" w:cs="Times New Roman"/>
          <w:lang w:val="en-GB"/>
        </w:rPr>
        <w:t xml:space="preserve"> </w:t>
      </w:r>
      <m:oMath>
        <m:sSub>
          <m:sSubPr>
            <m:ctrlPr>
              <w:rPr>
                <w:rFonts w:ascii="Cambria Math" w:hAnsi="Cambria Math"/>
                <w:i/>
              </w:rPr>
            </m:ctrlPr>
          </m:sSubPr>
          <m:e>
            <m:r>
              <w:rPr>
                <w:rFonts w:ascii="Cambria Math" w:hAnsi="Cambria Math"/>
              </w:rPr>
              <m:t>β</m:t>
            </m:r>
          </m:e>
          <m:sub>
            <m:r>
              <m:rPr>
                <m:sty m:val="p"/>
              </m:rPr>
              <w:rPr>
                <w:rFonts w:ascii="Cambria Math" w:hAnsi="Cambria Math"/>
              </w:rPr>
              <m:t>Trait</m:t>
            </m:r>
          </m:sub>
        </m:sSub>
      </m:oMath>
      <w:r w:rsidR="001C5424" w:rsidRPr="00726C1E">
        <w:rPr>
          <w:rFonts w:ascii="Times New Roman" w:hAnsi="Times New Roman" w:cs="Times New Roman"/>
          <w:lang w:val="en-GB"/>
        </w:rPr>
        <w:t xml:space="preserve">), is shown separately for phenological (black) and morphological (grey) traits. This product is positive if selection acts in the same direction as the observed climate-driven trait change over time, indicating adaptive trait change. If this product is negative, the trait change is maladaptive. Each study is identified by publication identity, trait, and fitness component. </w:t>
      </w:r>
      <w:r w:rsidR="000E1A52">
        <w:rPr>
          <w:rFonts w:ascii="Times New Roman" w:hAnsi="Times New Roman" w:cs="Times New Roman"/>
          <w:lang w:val="en-GB"/>
        </w:rPr>
        <w:t>The s</w:t>
      </w:r>
      <w:r w:rsidR="001C5424" w:rsidRPr="00726C1E">
        <w:rPr>
          <w:rFonts w:ascii="Times New Roman" w:hAnsi="Times New Roman" w:cs="Times New Roman"/>
          <w:lang w:val="en-GB"/>
        </w:rPr>
        <w:t>tudies are sorted by trait category (phenological, morphological), and within it by species, fitness category and publication identity. Repeated labels correspond to either different locations reported in the same publication, or to measurements on different sexes. Across studies, changes in phenological traits were mainly adaptive, whereas there was no consistent change in morphological traits.</w:t>
      </w:r>
    </w:p>
    <w:p w14:paraId="333D40B1" w14:textId="565C60AD" w:rsidR="00D5069D" w:rsidRDefault="00D5069D" w:rsidP="007E0969">
      <w:pPr>
        <w:spacing w:line="360" w:lineRule="auto"/>
        <w:rPr>
          <w:rFonts w:ascii="Times New Roman" w:hAnsi="Times New Roman" w:cs="Times New Roman"/>
          <w:lang w:val="en-GB"/>
        </w:rPr>
      </w:pPr>
      <w:r>
        <w:rPr>
          <w:rFonts w:ascii="Times New Roman" w:hAnsi="Times New Roman" w:cs="Times New Roman"/>
          <w:lang w:val="en-GB"/>
        </w:rPr>
        <w:br w:type="page"/>
      </w:r>
    </w:p>
    <w:p w14:paraId="6C762239" w14:textId="60830BCD" w:rsidR="006F4D60" w:rsidRDefault="00CA3434" w:rsidP="00326418">
      <w:pPr>
        <w:spacing w:line="360" w:lineRule="auto"/>
        <w:rPr>
          <w:rFonts w:ascii="Times New Roman" w:hAnsi="Times New Roman" w:cs="Times New Roman"/>
          <w:lang w:val="en-GB"/>
        </w:rPr>
      </w:pPr>
      <w:r>
        <w:rPr>
          <w:rFonts w:ascii="Times New Roman" w:hAnsi="Times New Roman" w:cs="Times New Roman"/>
          <w:noProof/>
          <w:lang w:val="en-GB" w:eastAsia="en-GB"/>
        </w:rPr>
        <w:lastRenderedPageBreak/>
        <w:drawing>
          <wp:inline distT="0" distB="0" distL="0" distR="0" wp14:anchorId="1E68B13C" wp14:editId="245DC4F0">
            <wp:extent cx="5600843" cy="5324900"/>
            <wp:effectExtent l="0" t="0" r="0" b="9525"/>
            <wp:docPr id="43" name="Bild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bRisk_Simple.pdf"/>
                    <pic:cNvPicPr/>
                  </pic:nvPicPr>
                  <pic:blipFill rotWithShape="1">
                    <a:blip r:embed="rId30">
                      <a:extLst>
                        <a:ext uri="{28A0092B-C50C-407E-A947-70E740481C1C}">
                          <a14:useLocalDpi xmlns:a14="http://schemas.microsoft.com/office/drawing/2010/main" val="0"/>
                        </a:ext>
                      </a:extLst>
                    </a:blip>
                    <a:srcRect t="8704" r="6551" b="2449"/>
                    <a:stretch/>
                  </pic:blipFill>
                  <pic:spPr bwMode="auto">
                    <a:xfrm>
                      <a:off x="0" y="0"/>
                      <a:ext cx="5601585" cy="5325605"/>
                    </a:xfrm>
                    <a:prstGeom prst="rect">
                      <a:avLst/>
                    </a:prstGeom>
                    <a:ln>
                      <a:noFill/>
                    </a:ln>
                    <a:extLst>
                      <a:ext uri="{53640926-AAD7-44D8-BBD7-CCE9431645EC}">
                        <a14:shadowObscured xmlns:a14="http://schemas.microsoft.com/office/drawing/2010/main"/>
                      </a:ext>
                    </a:extLst>
                  </pic:spPr>
                </pic:pic>
              </a:graphicData>
            </a:graphic>
          </wp:inline>
        </w:drawing>
      </w:r>
    </w:p>
    <w:p w14:paraId="583CAA69" w14:textId="77777777" w:rsidR="006F4D60" w:rsidRDefault="006F4D60" w:rsidP="00326418">
      <w:pPr>
        <w:spacing w:line="360" w:lineRule="auto"/>
        <w:rPr>
          <w:rFonts w:ascii="Times New Roman" w:hAnsi="Times New Roman" w:cs="Times New Roman"/>
          <w:lang w:val="en-GB"/>
        </w:rPr>
      </w:pPr>
    </w:p>
    <w:p w14:paraId="13743732" w14:textId="5FB1B0CC" w:rsidR="006F4D60" w:rsidRDefault="00C65B6E" w:rsidP="00326418">
      <w:pPr>
        <w:spacing w:line="360" w:lineRule="auto"/>
        <w:rPr>
          <w:rFonts w:ascii="Times New Roman" w:hAnsi="Times New Roman" w:cs="Times New Roman"/>
          <w:lang w:val="en-GB"/>
        </w:rPr>
      </w:pPr>
      <w:r>
        <w:rPr>
          <w:rFonts w:ascii="Times New Roman" w:hAnsi="Times New Roman" w:cs="Times New Roman"/>
          <w:lang w:val="en-GB"/>
        </w:rPr>
        <w:t xml:space="preserve">Supplementary Figure </w:t>
      </w:r>
      <w:r w:rsidR="00352572">
        <w:rPr>
          <w:rFonts w:ascii="Times New Roman" w:hAnsi="Times New Roman" w:cs="Times New Roman"/>
          <w:lang w:val="en-GB"/>
        </w:rPr>
        <w:t xml:space="preserve">9. </w:t>
      </w:r>
      <w:r w:rsidR="00352572" w:rsidRPr="00326418">
        <w:rPr>
          <w:rFonts w:ascii="Times New Roman" w:hAnsi="Times New Roman" w:cs="Times New Roman"/>
          <w:lang w:val="en-GB"/>
        </w:rPr>
        <w:t>Distribution of the proportion of studies at risk for 100</w:t>
      </w:r>
      <w:r w:rsidR="00352572">
        <w:rPr>
          <w:rFonts w:ascii="Times New Roman" w:hAnsi="Times New Roman" w:cs="Times New Roman"/>
          <w:lang w:val="en-GB"/>
        </w:rPr>
        <w:t>,000 random values of</w:t>
      </w:r>
      <w:r w:rsidR="00352572">
        <w:t xml:space="preserve"> </w:t>
      </w:r>
      <m:oMath>
        <m:sSup>
          <m:sSupPr>
            <m:ctrlPr>
              <w:rPr>
                <w:rFonts w:ascii="Cambria Math" w:hAnsi="Cambria Math"/>
                <w:i/>
              </w:rPr>
            </m:ctrlPr>
          </m:sSupPr>
          <m:e>
            <m:r>
              <w:rPr>
                <w:rFonts w:ascii="Cambria Math" w:hAnsi="Cambria Math"/>
              </w:rPr>
              <m:t>ω</m:t>
            </m:r>
          </m:e>
          <m:sup>
            <m:r>
              <m:rPr>
                <m:sty m:val="p"/>
              </m:rPr>
              <w:rPr>
                <w:rFonts w:ascii="Cambria Math" w:hAnsi="Cambria Math"/>
              </w:rPr>
              <m:t>2</m:t>
            </m:r>
          </m:sup>
        </m:sSup>
      </m:oMath>
      <w:r w:rsidR="00352572">
        <w:rPr>
          <w:rFonts w:ascii="Times New Roman" w:hAnsi="Times New Roman" w:cs="Times New Roman"/>
          <w:lang w:val="en-GB"/>
        </w:rPr>
        <w:t xml:space="preserve">. </w:t>
      </w:r>
      <w:r w:rsidR="00352572" w:rsidRPr="00326418">
        <w:rPr>
          <w:rFonts w:ascii="Times New Roman" w:hAnsi="Times New Roman" w:cs="Times New Roman"/>
          <w:lang w:val="en-GB"/>
        </w:rPr>
        <w:t xml:space="preserve">Since we do not have </w:t>
      </w:r>
      <m:oMath>
        <m:sSup>
          <m:sSupPr>
            <m:ctrlPr>
              <w:rPr>
                <w:rFonts w:ascii="Cambria Math" w:hAnsi="Cambria Math"/>
                <w:i/>
              </w:rPr>
            </m:ctrlPr>
          </m:sSupPr>
          <m:e>
            <m:r>
              <w:rPr>
                <w:rFonts w:ascii="Cambria Math" w:hAnsi="Cambria Math"/>
              </w:rPr>
              <m:t>ω</m:t>
            </m:r>
          </m:e>
          <m:sup>
            <m:r>
              <m:rPr>
                <m:sty m:val="p"/>
              </m:rPr>
              <w:rPr>
                <w:rFonts w:ascii="Cambria Math" w:hAnsi="Cambria Math"/>
              </w:rPr>
              <m:t>2</m:t>
            </m:r>
          </m:sup>
        </m:sSup>
      </m:oMath>
      <w:r w:rsidR="00352572">
        <w:t xml:space="preserve"> </w:t>
      </w:r>
      <w:r w:rsidR="00352572" w:rsidRPr="00326418">
        <w:rPr>
          <w:rFonts w:ascii="Times New Roman" w:hAnsi="Times New Roman" w:cs="Times New Roman"/>
          <w:lang w:val="en-GB"/>
        </w:rPr>
        <w:t>values for each study, we draw those value</w:t>
      </w:r>
      <w:r w:rsidR="00352572">
        <w:rPr>
          <w:rFonts w:ascii="Times New Roman" w:hAnsi="Times New Roman" w:cs="Times New Roman"/>
          <w:lang w:val="en-GB"/>
        </w:rPr>
        <w:t xml:space="preserve">s from a published compilation </w:t>
      </w:r>
      <w:r w:rsidR="00352572" w:rsidRPr="00326418">
        <w:rPr>
          <w:rFonts w:ascii="Times New Roman" w:hAnsi="Times New Roman" w:cs="Times New Roman"/>
          <w:lang w:val="en-GB"/>
        </w:rPr>
        <w:t xml:space="preserve">of </w:t>
      </w:r>
      <m:oMath>
        <m:sSup>
          <m:sSupPr>
            <m:ctrlPr>
              <w:rPr>
                <w:rFonts w:ascii="Cambria Math" w:hAnsi="Cambria Math"/>
                <w:i/>
              </w:rPr>
            </m:ctrlPr>
          </m:sSupPr>
          <m:e>
            <m:r>
              <w:rPr>
                <w:rFonts w:ascii="Cambria Math" w:hAnsi="Cambria Math"/>
              </w:rPr>
              <m:t>ω</m:t>
            </m:r>
          </m:e>
          <m:sup>
            <m:r>
              <w:rPr>
                <w:rFonts w:ascii="Cambria Math" w:hAnsi="Cambria Math"/>
              </w:rPr>
              <m:t>2</m:t>
            </m:r>
          </m:sup>
        </m:sSup>
      </m:oMath>
      <w:r w:rsidR="00352572">
        <w:t xml:space="preserve"> </w:t>
      </w:r>
      <w:r w:rsidR="00352572" w:rsidRPr="00326418">
        <w:rPr>
          <w:rFonts w:ascii="Times New Roman" w:hAnsi="Times New Roman" w:cs="Times New Roman"/>
          <w:lang w:val="en-GB"/>
        </w:rPr>
        <w:t>values</w:t>
      </w:r>
      <w:r w:rsidR="00352572">
        <w:rPr>
          <w:rFonts w:ascii="Times New Roman" w:hAnsi="Times New Roman" w:cs="Times New Roman"/>
          <w:lang w:val="en-GB"/>
        </w:rPr>
        <w:fldChar w:fldCharType="begin" w:fldLock="1"/>
      </w:r>
      <w:r w:rsidR="00E07C04">
        <w:rPr>
          <w:rFonts w:ascii="Times New Roman" w:hAnsi="Times New Roman" w:cs="Times New Roman"/>
          <w:lang w:val="en-GB"/>
        </w:rPr>
        <w:instrText>ADDIN CSL_CITATION {"citationItems":[{"id":"ITEM-1","itemData":{"DOI":"10.1086/510633","ISBN":"0003-0147","ISSN":"0003-0147","PMID":"17211806","abstract":"JSTOR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abstract: We tested the ability of six quantitative genetic models to explain the evolution of phenotypic means using an extensive database compiled by Gingerich. Our approach differs from past efforts in that we use explicit models of evolutionary process, with parameters estimated from contemporary populations, to analyze a large sample of divergence data on many different timescales. We show that one quantitative genetic model yields a good fit to data on phenotypic divergence across timescales ranging from a few gen-erations to 10 million generations. The key feature of this model is a fitness optimum that moves within fixed limits. Conversely, a model of neutral evolution, models with a stationary optimum that un-dergoes Brownian or white noise motion, a model with a moving optimum, and a peak shift model all fail to account for the data on most or all timescales. We discuss our results within the framework of Simpson's concept of adaptive landscapes and zones. Our analysis suggests that the underlying process causing phenotypic stasis is ad-aptation to an optimum that moves within an adaptive zone with stable boundaries. We discuss the implication of our results for com-parative studies and phylogeny inference based on phenotypic characters.","author":[{"dropping-particle":"","family":"Estes","given":"Suzanne","non-dropping-particle":"","parse-names":false,"suffix":""},{"dropping-particle":"","family":"Arnold","given":"Stevan J.","non-dropping-particle":"","parse-names":false,"suffix":""}],"container-title":"The American Naturalist","id":"ITEM-1","issue":"2","issued":{"date-parts":[["2007"]]},"page":"227-244","title":"Resolving the paradox of stasis: Models with stabilizing selection explain evolutionary divergence on all timescales","type":"article-journal","volume":"169"},"uris":["http://www.mendeley.com/documents/?uuid=0a379836-2700-4e9e-b84a-17f97528da9d"]}],"mendeley":{"formattedCitation":"&lt;sup&gt;2&lt;/sup&gt;","plainTextFormattedCitation":"2","previouslyFormattedCitation":"&lt;sup&gt;2&lt;/sup&gt;"},"properties":{"noteIndex":0},"schema":"https://github.com/citation-style-language/schema/raw/master/csl-citation.json"}</w:instrText>
      </w:r>
      <w:r w:rsidR="00352572">
        <w:rPr>
          <w:rFonts w:ascii="Times New Roman" w:hAnsi="Times New Roman" w:cs="Times New Roman"/>
          <w:lang w:val="en-GB"/>
        </w:rPr>
        <w:fldChar w:fldCharType="separate"/>
      </w:r>
      <w:r w:rsidR="00E07C04" w:rsidRPr="00E07C04">
        <w:rPr>
          <w:rFonts w:ascii="Times New Roman" w:hAnsi="Times New Roman" w:cs="Times New Roman"/>
          <w:noProof/>
          <w:vertAlign w:val="superscript"/>
          <w:lang w:val="en-GB"/>
        </w:rPr>
        <w:t>2</w:t>
      </w:r>
      <w:r w:rsidR="00352572">
        <w:rPr>
          <w:rFonts w:ascii="Times New Roman" w:hAnsi="Times New Roman" w:cs="Times New Roman"/>
          <w:lang w:val="en-GB"/>
        </w:rPr>
        <w:fldChar w:fldCharType="end"/>
      </w:r>
      <w:r w:rsidR="00352572" w:rsidRPr="00326418">
        <w:rPr>
          <w:rFonts w:ascii="Times New Roman" w:hAnsi="Times New Roman" w:cs="Times New Roman"/>
          <w:lang w:val="en-GB"/>
        </w:rPr>
        <w:t>. Here we represent the propo</w:t>
      </w:r>
      <w:r w:rsidR="00352572">
        <w:rPr>
          <w:rFonts w:ascii="Times New Roman" w:hAnsi="Times New Roman" w:cs="Times New Roman"/>
          <w:lang w:val="en-GB"/>
        </w:rPr>
        <w:t xml:space="preserve">rtion of studies for which the </w:t>
      </w:r>
      <w:r w:rsidR="00352572" w:rsidRPr="00326418">
        <w:rPr>
          <w:rFonts w:ascii="Times New Roman" w:hAnsi="Times New Roman" w:cs="Times New Roman"/>
          <w:lang w:val="en-GB"/>
        </w:rPr>
        <w:t xml:space="preserve">estimated observed lag is larger than the estimated critical lag </w:t>
      </w:r>
      <w:r w:rsidR="00352572">
        <w:rPr>
          <w:rFonts w:ascii="Times New Roman" w:hAnsi="Times New Roman" w:cs="Times New Roman"/>
          <w:lang w:val="en-GB"/>
        </w:rPr>
        <w:t xml:space="preserve">(i.e. population growth </w:t>
      </w:r>
      <m:oMath>
        <m:r>
          <w:rPr>
            <w:rFonts w:ascii="Cambria Math" w:hAnsi="Cambria Math" w:cs="Times New Roman"/>
            <w:lang w:val="en-GB"/>
          </w:rPr>
          <m:t>λ</m:t>
        </m:r>
      </m:oMath>
      <w:r w:rsidR="00352572">
        <w:rPr>
          <w:rFonts w:ascii="Times New Roman" w:hAnsi="Times New Roman" w:cs="Times New Roman"/>
          <w:lang w:val="en-GB"/>
        </w:rPr>
        <w:t xml:space="preserve"> &lt; 1) </w:t>
      </w:r>
      <w:r w:rsidR="00352572" w:rsidRPr="00326418">
        <w:rPr>
          <w:rFonts w:ascii="Times New Roman" w:hAnsi="Times New Roman" w:cs="Times New Roman"/>
          <w:lang w:val="en-GB"/>
        </w:rPr>
        <w:t>wh</w:t>
      </w:r>
      <w:r w:rsidR="00352572">
        <w:rPr>
          <w:rFonts w:ascii="Times New Roman" w:hAnsi="Times New Roman" w:cs="Times New Roman"/>
          <w:lang w:val="en-GB"/>
        </w:rPr>
        <w:t>en one value of</w:t>
      </w:r>
      <w:r w:rsidR="00352572">
        <w:t xml:space="preserve"> </w:t>
      </w:r>
      <m:oMath>
        <m:sSup>
          <m:sSupPr>
            <m:ctrlPr>
              <w:rPr>
                <w:rFonts w:ascii="Cambria Math" w:hAnsi="Cambria Math"/>
                <w:i/>
              </w:rPr>
            </m:ctrlPr>
          </m:sSupPr>
          <m:e>
            <m:r>
              <w:rPr>
                <w:rFonts w:ascii="Cambria Math" w:hAnsi="Cambria Math"/>
              </w:rPr>
              <m:t>ω</m:t>
            </m:r>
          </m:e>
          <m:sup>
            <m:r>
              <w:rPr>
                <w:rFonts w:ascii="Cambria Math" w:hAnsi="Cambria Math"/>
              </w:rPr>
              <m:t>2</m:t>
            </m:r>
          </m:sup>
        </m:sSup>
      </m:oMath>
      <w:r w:rsidR="00352572">
        <w:t xml:space="preserve"> </w:t>
      </w:r>
      <w:r w:rsidR="00352572">
        <w:rPr>
          <w:rFonts w:ascii="Times New Roman" w:hAnsi="Times New Roman" w:cs="Times New Roman"/>
          <w:lang w:val="en-GB"/>
        </w:rPr>
        <w:t xml:space="preserve">is drawn </w:t>
      </w:r>
      <w:r w:rsidR="00352572" w:rsidRPr="00326418">
        <w:rPr>
          <w:rFonts w:ascii="Times New Roman" w:hAnsi="Times New Roman" w:cs="Times New Roman"/>
          <w:lang w:val="en-GB"/>
        </w:rPr>
        <w:t xml:space="preserve">per </w:t>
      </w:r>
      <w:r w:rsidR="00352572">
        <w:rPr>
          <w:rFonts w:ascii="Times New Roman" w:hAnsi="Times New Roman" w:cs="Times New Roman"/>
          <w:lang w:val="en-GB"/>
        </w:rPr>
        <w:t>study</w:t>
      </w:r>
      <w:r w:rsidR="00352572" w:rsidRPr="00326418">
        <w:rPr>
          <w:rFonts w:ascii="Times New Roman" w:hAnsi="Times New Roman" w:cs="Times New Roman"/>
          <w:lang w:val="en-GB"/>
        </w:rPr>
        <w:t xml:space="preserve">. The distribution shows </w:t>
      </w:r>
      <w:r w:rsidR="00352572">
        <w:rPr>
          <w:rFonts w:ascii="Times New Roman" w:hAnsi="Times New Roman" w:cs="Times New Roman"/>
          <w:lang w:val="en-GB"/>
        </w:rPr>
        <w:t xml:space="preserve">that the probability </w:t>
      </w:r>
      <w:r w:rsidR="00352572" w:rsidRPr="00326418">
        <w:rPr>
          <w:rFonts w:ascii="Times New Roman" w:hAnsi="Times New Roman" w:cs="Times New Roman"/>
          <w:lang w:val="en-GB"/>
        </w:rPr>
        <w:t>that no</w:t>
      </w:r>
      <w:r w:rsidR="00352572">
        <w:rPr>
          <w:rFonts w:ascii="Times New Roman" w:hAnsi="Times New Roman" w:cs="Times New Roman"/>
          <w:lang w:val="en-GB"/>
        </w:rPr>
        <w:t>ne of study</w:t>
      </w:r>
      <w:r w:rsidR="00352572" w:rsidRPr="00326418">
        <w:rPr>
          <w:rFonts w:ascii="Times New Roman" w:hAnsi="Times New Roman" w:cs="Times New Roman"/>
          <w:lang w:val="en-GB"/>
        </w:rPr>
        <w:t xml:space="preserve"> species </w:t>
      </w:r>
      <w:r w:rsidR="00352572">
        <w:rPr>
          <w:rFonts w:ascii="Times New Roman" w:hAnsi="Times New Roman" w:cs="Times New Roman"/>
          <w:lang w:val="en-GB"/>
        </w:rPr>
        <w:t xml:space="preserve">is </w:t>
      </w:r>
      <w:r w:rsidR="00352572" w:rsidRPr="00326418">
        <w:rPr>
          <w:rFonts w:ascii="Times New Roman" w:hAnsi="Times New Roman" w:cs="Times New Roman"/>
          <w:lang w:val="en-GB"/>
        </w:rPr>
        <w:t>a</w:t>
      </w:r>
      <w:r w:rsidR="00352572">
        <w:rPr>
          <w:rFonts w:ascii="Times New Roman" w:hAnsi="Times New Roman" w:cs="Times New Roman"/>
          <w:lang w:val="en-GB"/>
        </w:rPr>
        <w:t>t</w:t>
      </w:r>
      <w:r w:rsidR="00352572" w:rsidRPr="00326418">
        <w:rPr>
          <w:rFonts w:ascii="Times New Roman" w:hAnsi="Times New Roman" w:cs="Times New Roman"/>
          <w:lang w:val="en-GB"/>
        </w:rPr>
        <w:t xml:space="preserve"> risk is virtually zero (red arrow).</w:t>
      </w:r>
    </w:p>
    <w:p w14:paraId="31736149" w14:textId="77777777" w:rsidR="00374FB9" w:rsidRDefault="00374FB9" w:rsidP="00326418">
      <w:pPr>
        <w:spacing w:line="360" w:lineRule="auto"/>
        <w:rPr>
          <w:rFonts w:ascii="Times New Roman" w:hAnsi="Times New Roman" w:cs="Times New Roman"/>
          <w:lang w:val="en-GB"/>
        </w:rPr>
      </w:pPr>
    </w:p>
    <w:p w14:paraId="414A413D" w14:textId="77777777" w:rsidR="00374FB9" w:rsidRDefault="00374FB9" w:rsidP="00326418">
      <w:pPr>
        <w:spacing w:line="360" w:lineRule="auto"/>
        <w:rPr>
          <w:rFonts w:ascii="Times New Roman" w:hAnsi="Times New Roman" w:cs="Times New Roman"/>
          <w:lang w:val="en-GB"/>
        </w:rPr>
        <w:sectPr w:rsidR="00374FB9" w:rsidSect="006F1713">
          <w:pgSz w:w="11906" w:h="16838"/>
          <w:pgMar w:top="1134" w:right="1417" w:bottom="1417" w:left="1417" w:header="708" w:footer="708" w:gutter="0"/>
          <w:cols w:space="720"/>
          <w:formProt w:val="0"/>
          <w:docGrid w:linePitch="360" w:charSpace="-6145"/>
        </w:sectPr>
      </w:pPr>
    </w:p>
    <w:bookmarkEnd w:id="23"/>
    <w:bookmarkEnd w:id="24"/>
    <w:p w14:paraId="5F399391" w14:textId="76028874" w:rsidR="00374FB9" w:rsidRDefault="008D27A2">
      <w:pPr>
        <w:spacing w:line="360" w:lineRule="auto"/>
        <w:rPr>
          <w:rFonts w:ascii="Times New Roman" w:hAnsi="Times New Roman" w:cs="Times New Roman"/>
          <w:lang w:val="en-GB"/>
        </w:rPr>
      </w:pPr>
      <w:r w:rsidRPr="008D27A2">
        <w:rPr>
          <w:noProof/>
          <w:lang w:val="en-GB" w:eastAsia="en-GB"/>
        </w:rPr>
        <w:lastRenderedPageBreak/>
        <w:drawing>
          <wp:inline distT="0" distB="0" distL="0" distR="0" wp14:anchorId="5E3377AA" wp14:editId="0ED4BDE7">
            <wp:extent cx="5760720" cy="7177637"/>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7177637"/>
                    </a:xfrm>
                    <a:prstGeom prst="rect">
                      <a:avLst/>
                    </a:prstGeom>
                    <a:noFill/>
                    <a:ln>
                      <a:noFill/>
                    </a:ln>
                  </pic:spPr>
                </pic:pic>
              </a:graphicData>
            </a:graphic>
          </wp:inline>
        </w:drawing>
      </w:r>
    </w:p>
    <w:p w14:paraId="0CC558B9" w14:textId="44613619" w:rsidR="00374FB9" w:rsidRDefault="00374FB9">
      <w:pPr>
        <w:spacing w:line="360" w:lineRule="auto"/>
        <w:rPr>
          <w:rFonts w:ascii="Times New Roman" w:hAnsi="Times New Roman" w:cs="Times New Roman"/>
          <w:lang w:val="en-GB"/>
        </w:rPr>
      </w:pPr>
      <w:r>
        <w:rPr>
          <w:rFonts w:ascii="Times New Roman" w:hAnsi="Times New Roman" w:cs="Times New Roman"/>
          <w:lang w:val="en-GB"/>
        </w:rPr>
        <w:t>Supplementary Figure 10.</w:t>
      </w:r>
      <w:r w:rsidR="00F72E75">
        <w:rPr>
          <w:rFonts w:ascii="Times New Roman" w:hAnsi="Times New Roman" w:cs="Times New Roman"/>
          <w:lang w:val="en-GB"/>
        </w:rPr>
        <w:t xml:space="preserve"> </w:t>
      </w:r>
      <w:r w:rsidR="000E1A52">
        <w:rPr>
          <w:rFonts w:ascii="Times New Roman" w:hAnsi="Times New Roman" w:cs="Times New Roman"/>
          <w:lang w:val="en-GB"/>
        </w:rPr>
        <w:t>F</w:t>
      </w:r>
      <w:r w:rsidR="00F72E75">
        <w:rPr>
          <w:rFonts w:ascii="Times New Roman" w:hAnsi="Times New Roman" w:cs="Times New Roman"/>
          <w:lang w:val="en-GB"/>
        </w:rPr>
        <w:t xml:space="preserve">lowchart </w:t>
      </w:r>
      <w:r w:rsidR="001003AA">
        <w:rPr>
          <w:rFonts w:ascii="Times New Roman" w:hAnsi="Times New Roman" w:cs="Times New Roman"/>
          <w:lang w:val="en-GB"/>
        </w:rPr>
        <w:t xml:space="preserve">showing the number of studies included at each stage of the systematic literature review, which in the end resulted in the </w:t>
      </w:r>
      <w:r w:rsidR="001003AA" w:rsidRPr="001003AA">
        <w:rPr>
          <w:rFonts w:ascii="Times New Roman" w:hAnsi="Times New Roman" w:cs="Times New Roman"/>
          <w:lang w:val="en-GB"/>
        </w:rPr>
        <w:t>‘Phenotypic Response to Climate’</w:t>
      </w:r>
      <w:r w:rsidR="001003AA">
        <w:rPr>
          <w:rFonts w:ascii="Times New Roman" w:hAnsi="Times New Roman" w:cs="Times New Roman"/>
          <w:lang w:val="en-GB"/>
        </w:rPr>
        <w:t xml:space="preserve"> (PRC) dataset</w:t>
      </w:r>
      <w:r w:rsidR="00800340">
        <w:rPr>
          <w:rFonts w:ascii="Times New Roman" w:hAnsi="Times New Roman" w:cs="Times New Roman"/>
          <w:lang w:val="en-GB"/>
        </w:rPr>
        <w:t xml:space="preserve">. </w:t>
      </w:r>
      <w:r w:rsidR="009335EB">
        <w:rPr>
          <w:rFonts w:ascii="Times New Roman" w:hAnsi="Times New Roman" w:cs="Times New Roman"/>
          <w:lang w:val="en-GB"/>
        </w:rPr>
        <w:t xml:space="preserve">The </w:t>
      </w:r>
      <w:r w:rsidR="00800340">
        <w:rPr>
          <w:rFonts w:ascii="Times New Roman" w:hAnsi="Times New Roman" w:cs="Times New Roman"/>
          <w:lang w:val="en-GB"/>
        </w:rPr>
        <w:t xml:space="preserve">flowchart follows </w:t>
      </w:r>
      <w:r w:rsidR="002750C8">
        <w:rPr>
          <w:rFonts w:ascii="Times New Roman" w:hAnsi="Times New Roman" w:cs="Times New Roman"/>
          <w:lang w:val="en-GB"/>
        </w:rPr>
        <w:t xml:space="preserve">the structure of </w:t>
      </w:r>
      <w:r w:rsidR="00800340">
        <w:rPr>
          <w:rFonts w:ascii="Times New Roman" w:hAnsi="Times New Roman" w:cs="Times New Roman"/>
          <w:lang w:val="en-GB"/>
        </w:rPr>
        <w:t>PRISMA flow diagram</w:t>
      </w:r>
      <w:r w:rsidR="009335EB">
        <w:rPr>
          <w:rFonts w:ascii="Times New Roman" w:hAnsi="Times New Roman" w:cs="Times New Roman"/>
          <w:lang w:val="en-GB"/>
        </w:rPr>
        <w:t>s</w:t>
      </w:r>
      <w:r w:rsidR="00800340">
        <w:rPr>
          <w:rFonts w:ascii="Times New Roman" w:hAnsi="Times New Roman" w:cs="Times New Roman"/>
          <w:lang w:val="en-GB"/>
        </w:rPr>
        <w:t xml:space="preserve">. </w:t>
      </w:r>
    </w:p>
    <w:p w14:paraId="6D593BD9" w14:textId="77777777" w:rsidR="00374FB9" w:rsidRDefault="00374FB9">
      <w:pPr>
        <w:spacing w:line="360" w:lineRule="auto"/>
        <w:rPr>
          <w:rFonts w:ascii="Times New Roman" w:hAnsi="Times New Roman" w:cs="Times New Roman"/>
          <w:lang w:val="en-GB"/>
        </w:rPr>
      </w:pPr>
    </w:p>
    <w:p w14:paraId="1359E3B4" w14:textId="77777777" w:rsidR="00374FB9" w:rsidRDefault="00374FB9">
      <w:pPr>
        <w:spacing w:line="360" w:lineRule="auto"/>
        <w:rPr>
          <w:rFonts w:ascii="Times New Roman" w:hAnsi="Times New Roman" w:cs="Times New Roman"/>
          <w:lang w:val="en-GB"/>
        </w:rPr>
        <w:sectPr w:rsidR="00374FB9" w:rsidSect="006F1713">
          <w:pgSz w:w="11906" w:h="16838"/>
          <w:pgMar w:top="1134" w:right="1417" w:bottom="1417" w:left="1417" w:header="708" w:footer="708" w:gutter="0"/>
          <w:cols w:space="720"/>
          <w:formProt w:val="0"/>
          <w:docGrid w:linePitch="360" w:charSpace="-6145"/>
        </w:sectPr>
      </w:pPr>
    </w:p>
    <w:p w14:paraId="7C58057E" w14:textId="23970B18" w:rsidR="0099226B" w:rsidRDefault="002638C4">
      <w:pPr>
        <w:spacing w:line="360" w:lineRule="auto"/>
        <w:rPr>
          <w:rFonts w:ascii="Times New Roman" w:hAnsi="Times New Roman" w:cs="Times New Roman"/>
          <w:lang w:val="en-GB"/>
        </w:rPr>
      </w:pPr>
      <w:r>
        <w:rPr>
          <w:rFonts w:ascii="Times New Roman" w:hAnsi="Times New Roman" w:cs="Times New Roman"/>
          <w:noProof/>
          <w:lang w:val="en-GB" w:eastAsia="en-GB"/>
        </w:rPr>
        <w:lastRenderedPageBreak/>
        <w:drawing>
          <wp:inline distT="0" distB="0" distL="0" distR="0" wp14:anchorId="74914B57" wp14:editId="69F74F8F">
            <wp:extent cx="5760085" cy="7193830"/>
            <wp:effectExtent l="0" t="0" r="5715" b="0"/>
            <wp:docPr id="8"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_year_raw_20.pdf"/>
                    <pic:cNvPicPr/>
                  </pic:nvPicPr>
                  <pic:blipFill rotWithShape="1">
                    <a:blip r:embed="rId32">
                      <a:extLst>
                        <a:ext uri="{28A0092B-C50C-407E-A947-70E740481C1C}">
                          <a14:useLocalDpi xmlns:a14="http://schemas.microsoft.com/office/drawing/2010/main" val="0"/>
                        </a:ext>
                      </a:extLst>
                    </a:blip>
                    <a:srcRect t="8058" b="4517"/>
                    <a:stretch/>
                  </pic:blipFill>
                  <pic:spPr bwMode="auto">
                    <a:xfrm>
                      <a:off x="0" y="0"/>
                      <a:ext cx="5760720" cy="7194623"/>
                    </a:xfrm>
                    <a:prstGeom prst="rect">
                      <a:avLst/>
                    </a:prstGeom>
                    <a:ln>
                      <a:noFill/>
                    </a:ln>
                    <a:extLst>
                      <a:ext uri="{53640926-AAD7-44D8-BBD7-CCE9431645EC}">
                        <a14:shadowObscured xmlns:a14="http://schemas.microsoft.com/office/drawing/2010/main"/>
                      </a:ext>
                    </a:extLst>
                  </pic:spPr>
                </pic:pic>
              </a:graphicData>
            </a:graphic>
          </wp:inline>
        </w:drawing>
      </w:r>
    </w:p>
    <w:p w14:paraId="72615FF4" w14:textId="24D95A57" w:rsidR="001B4CE5" w:rsidRDefault="0020532B">
      <w:pPr>
        <w:spacing w:line="360" w:lineRule="auto"/>
        <w:rPr>
          <w:rFonts w:ascii="Times New Roman" w:hAnsi="Times New Roman" w:cs="Times New Roman"/>
          <w:lang w:val="en-GB"/>
        </w:rPr>
      </w:pPr>
      <w:r>
        <w:rPr>
          <w:rFonts w:ascii="Times New Roman" w:hAnsi="Times New Roman" w:cs="Times New Roman"/>
          <w:lang w:val="en-GB"/>
        </w:rPr>
        <w:t xml:space="preserve">Supplementary Figure </w:t>
      </w:r>
      <w:r w:rsidR="001B4CE5">
        <w:rPr>
          <w:rFonts w:ascii="Times New Roman" w:hAnsi="Times New Roman" w:cs="Times New Roman"/>
          <w:lang w:val="en-GB"/>
        </w:rPr>
        <w:t>1</w:t>
      </w:r>
      <w:r w:rsidR="00163D3B">
        <w:rPr>
          <w:rFonts w:ascii="Times New Roman" w:hAnsi="Times New Roman" w:cs="Times New Roman"/>
          <w:lang w:val="en-GB"/>
        </w:rPr>
        <w:t>1</w:t>
      </w:r>
      <w:r w:rsidR="001B4CE5" w:rsidRPr="00800BAA">
        <w:rPr>
          <w:rFonts w:ascii="Times New Roman" w:hAnsi="Times New Roman" w:cs="Times New Roman"/>
          <w:lang w:val="en-GB"/>
        </w:rPr>
        <w:t xml:space="preserve">. Relations between year and temperature for each </w:t>
      </w:r>
      <w:bookmarkStart w:id="35" w:name="OLE_LINK105"/>
      <w:bookmarkStart w:id="36" w:name="OLE_LINK104"/>
      <w:r w:rsidR="001B4CE5" w:rsidRPr="00800BAA">
        <w:rPr>
          <w:rFonts w:ascii="Times New Roman" w:hAnsi="Times New Roman" w:cs="Times New Roman"/>
          <w:lang w:val="en-GB"/>
        </w:rPr>
        <w:t>study (titles above panels indicate authors and study species)</w:t>
      </w:r>
      <w:bookmarkEnd w:id="35"/>
      <w:bookmarkEnd w:id="36"/>
      <w:r w:rsidR="001B4CE5" w:rsidRPr="00800BAA">
        <w:rPr>
          <w:rFonts w:ascii="Times New Roman" w:hAnsi="Times New Roman" w:cs="Times New Roman"/>
          <w:lang w:val="en-GB"/>
        </w:rPr>
        <w:t xml:space="preserve"> in the PRCS (‘Phenotypic Responses to Climate with Selection data’) dataset. </w:t>
      </w:r>
      <w:r w:rsidR="001B4CE5">
        <w:rPr>
          <w:rFonts w:ascii="Times New Roman" w:hAnsi="Times New Roman" w:cs="Times New Roman"/>
          <w:lang w:val="en-GB"/>
        </w:rPr>
        <w:t xml:space="preserve">pv is </w:t>
      </w:r>
      <w:r w:rsidR="00FE5F08">
        <w:rPr>
          <w:rFonts w:ascii="Times New Roman" w:hAnsi="Times New Roman" w:cs="Times New Roman"/>
          <w:lang w:val="en-GB"/>
        </w:rPr>
        <w:t>the</w:t>
      </w:r>
      <w:r w:rsidR="001B4CE5">
        <w:rPr>
          <w:rFonts w:ascii="Times New Roman" w:hAnsi="Times New Roman" w:cs="Times New Roman"/>
          <w:lang w:val="en-GB"/>
        </w:rPr>
        <w:t xml:space="preserve"> p</w:t>
      </w:r>
      <w:r w:rsidR="00FE5F08">
        <w:rPr>
          <w:rFonts w:ascii="Times New Roman" w:hAnsi="Times New Roman" w:cs="Times New Roman"/>
          <w:lang w:val="en-GB"/>
        </w:rPr>
        <w:t xml:space="preserve"> </w:t>
      </w:r>
      <w:r w:rsidR="001B4CE5">
        <w:rPr>
          <w:rFonts w:ascii="Times New Roman" w:hAnsi="Times New Roman" w:cs="Times New Roman"/>
          <w:lang w:val="en-GB"/>
        </w:rPr>
        <w:t xml:space="preserve">value of the slope as estimated by LRT. </w:t>
      </w:r>
      <w:r w:rsidR="001B4CE5" w:rsidRPr="00800BAA">
        <w:rPr>
          <w:rFonts w:ascii="Times New Roman" w:hAnsi="Times New Roman" w:cs="Times New Roman"/>
          <w:lang w:val="en-GB"/>
        </w:rPr>
        <w:t>Note that</w:t>
      </w:r>
      <w:r w:rsidR="001B4CE5">
        <w:rPr>
          <w:rFonts w:ascii="Times New Roman" w:hAnsi="Times New Roman" w:cs="Times New Roman"/>
          <w:lang w:val="en-GB"/>
        </w:rPr>
        <w:t xml:space="preserve"> the range of the</w:t>
      </w:r>
      <w:r w:rsidR="001B4CE5" w:rsidRPr="00800BAA">
        <w:rPr>
          <w:rFonts w:ascii="Times New Roman" w:hAnsi="Times New Roman" w:cs="Times New Roman"/>
          <w:lang w:val="en-GB"/>
        </w:rPr>
        <w:t xml:space="preserve"> x- and y-axes can differ among studies.</w:t>
      </w:r>
    </w:p>
    <w:p w14:paraId="4EBDBF6F" w14:textId="77777777" w:rsidR="0020532B" w:rsidRPr="00800BAA" w:rsidRDefault="0020532B">
      <w:pPr>
        <w:spacing w:line="360" w:lineRule="auto"/>
        <w:rPr>
          <w:rFonts w:ascii="Times New Roman" w:hAnsi="Times New Roman" w:cs="Times New Roman"/>
          <w:lang w:val="en-GB"/>
        </w:rPr>
      </w:pPr>
    </w:p>
    <w:p w14:paraId="28C78808" w14:textId="72F218E3" w:rsidR="00061696" w:rsidRDefault="00061696">
      <w:pPr>
        <w:spacing w:line="360" w:lineRule="auto"/>
        <w:rPr>
          <w:rFonts w:ascii="Times New Roman" w:hAnsi="Times New Roman" w:cs="Times New Roman"/>
          <w:lang w:val="en-GB"/>
        </w:rPr>
        <w:sectPr w:rsidR="00061696" w:rsidSect="006F1713">
          <w:pgSz w:w="11906" w:h="16838"/>
          <w:pgMar w:top="1134" w:right="1417" w:bottom="1417" w:left="1417" w:header="708" w:footer="708" w:gutter="0"/>
          <w:cols w:space="720"/>
          <w:formProt w:val="0"/>
          <w:docGrid w:linePitch="360" w:charSpace="-6145"/>
        </w:sectPr>
      </w:pPr>
    </w:p>
    <w:p w14:paraId="57868E7A" w14:textId="381A95CF" w:rsidR="00175C4E" w:rsidRDefault="008E11A8">
      <w:pPr>
        <w:spacing w:line="360" w:lineRule="auto"/>
        <w:rPr>
          <w:rFonts w:ascii="Times New Roman" w:hAnsi="Times New Roman" w:cs="Times New Roman"/>
          <w:lang w:val="en-GB"/>
        </w:rPr>
      </w:pPr>
      <w:r>
        <w:rPr>
          <w:rFonts w:ascii="Times New Roman" w:hAnsi="Times New Roman" w:cs="Times New Roman"/>
          <w:lang w:val="en-GB"/>
        </w:rPr>
        <w:lastRenderedPageBreak/>
        <w:t xml:space="preserve">Continuation </w:t>
      </w:r>
      <w:r w:rsidR="00DD7814">
        <w:rPr>
          <w:rFonts w:ascii="Times New Roman" w:hAnsi="Times New Roman" w:cs="Times New Roman"/>
          <w:lang w:val="en-GB"/>
        </w:rPr>
        <w:t xml:space="preserve">Supplementary </w:t>
      </w:r>
      <w:r>
        <w:rPr>
          <w:rFonts w:ascii="Times New Roman" w:hAnsi="Times New Roman" w:cs="Times New Roman"/>
          <w:lang w:val="en-GB"/>
        </w:rPr>
        <w:t>Figure</w:t>
      </w:r>
      <w:r w:rsidR="00DD7814">
        <w:rPr>
          <w:rFonts w:ascii="Times New Roman" w:hAnsi="Times New Roman" w:cs="Times New Roman"/>
          <w:lang w:val="en-GB"/>
        </w:rPr>
        <w:t xml:space="preserve"> </w:t>
      </w:r>
      <w:r w:rsidR="009336A2">
        <w:rPr>
          <w:rFonts w:ascii="Times New Roman" w:hAnsi="Times New Roman" w:cs="Times New Roman"/>
          <w:lang w:val="en-GB"/>
        </w:rPr>
        <w:t>11.</w:t>
      </w:r>
    </w:p>
    <w:bookmarkEnd w:id="25"/>
    <w:bookmarkEnd w:id="26"/>
    <w:p w14:paraId="15F107F6" w14:textId="781B1A0A" w:rsidR="00803210" w:rsidRDefault="00AB306A" w:rsidP="00803210">
      <w:pPr>
        <w:spacing w:line="360" w:lineRule="auto"/>
        <w:rPr>
          <w:rFonts w:ascii="Times New Roman" w:hAnsi="Times New Roman" w:cs="Times New Roman"/>
          <w:lang w:val="en-GB"/>
        </w:rPr>
      </w:pPr>
      <w:r>
        <w:rPr>
          <w:rFonts w:ascii="Times New Roman" w:hAnsi="Times New Roman" w:cs="Times New Roman"/>
          <w:noProof/>
          <w:lang w:val="en-GB" w:eastAsia="en-GB"/>
        </w:rPr>
        <w:drawing>
          <wp:inline distT="0" distB="0" distL="0" distR="0" wp14:anchorId="42C2FAFA" wp14:editId="0C02B087">
            <wp:extent cx="5672031" cy="8100013"/>
            <wp:effectExtent l="0" t="0" r="0" b="3175"/>
            <wp:docPr id="18"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_year_raw_21_41.pdf"/>
                    <pic:cNvPicPr/>
                  </pic:nvPicPr>
                  <pic:blipFill rotWithShape="1">
                    <a:blip r:embed="rId33">
                      <a:extLst>
                        <a:ext uri="{28A0092B-C50C-407E-A947-70E740481C1C}">
                          <a14:useLocalDpi xmlns:a14="http://schemas.microsoft.com/office/drawing/2010/main" val="0"/>
                        </a:ext>
                      </a:extLst>
                    </a:blip>
                    <a:srcRect l="-1" t="1564" r="1529"/>
                    <a:stretch/>
                  </pic:blipFill>
                  <pic:spPr bwMode="auto">
                    <a:xfrm>
                      <a:off x="0" y="0"/>
                      <a:ext cx="5672656" cy="8100906"/>
                    </a:xfrm>
                    <a:prstGeom prst="rect">
                      <a:avLst/>
                    </a:prstGeom>
                    <a:ln>
                      <a:noFill/>
                    </a:ln>
                    <a:extLst>
                      <a:ext uri="{53640926-AAD7-44D8-BBD7-CCE9431645EC}">
                        <a14:shadowObscured xmlns:a14="http://schemas.microsoft.com/office/drawing/2010/main"/>
                      </a:ext>
                    </a:extLst>
                  </pic:spPr>
                </pic:pic>
              </a:graphicData>
            </a:graphic>
          </wp:inline>
        </w:drawing>
      </w:r>
    </w:p>
    <w:p w14:paraId="39298479" w14:textId="4D3A2C14" w:rsidR="00C90D0D" w:rsidRPr="00800BAA" w:rsidRDefault="00A9509C" w:rsidP="00803210">
      <w:pPr>
        <w:spacing w:line="360" w:lineRule="auto"/>
        <w:rPr>
          <w:rFonts w:ascii="Times New Roman" w:hAnsi="Times New Roman" w:cs="Times New Roman"/>
          <w:lang w:val="en-GB"/>
        </w:rPr>
      </w:pPr>
      <w:r>
        <w:rPr>
          <w:rFonts w:ascii="Times New Roman" w:hAnsi="Times New Roman" w:cs="Times New Roman"/>
          <w:noProof/>
          <w:lang w:val="en-GB" w:eastAsia="en-GB"/>
        </w:rPr>
        <w:lastRenderedPageBreak/>
        <w:drawing>
          <wp:inline distT="0" distB="0" distL="0" distR="0" wp14:anchorId="4BB9D481" wp14:editId="60FDD58D">
            <wp:extent cx="5648960" cy="7110730"/>
            <wp:effectExtent l="0" t="0" r="0" b="1270"/>
            <wp:docPr id="7"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enTrait_20.pdf"/>
                    <pic:cNvPicPr/>
                  </pic:nvPicPr>
                  <pic:blipFill rotWithShape="1">
                    <a:blip r:embed="rId34">
                      <a:extLst>
                        <a:ext uri="{28A0092B-C50C-407E-A947-70E740481C1C}">
                          <a14:useLocalDpi xmlns:a14="http://schemas.microsoft.com/office/drawing/2010/main" val="0"/>
                        </a:ext>
                      </a:extLst>
                    </a:blip>
                    <a:srcRect l="823" t="8232" r="1101" b="5349"/>
                    <a:stretch/>
                  </pic:blipFill>
                  <pic:spPr bwMode="auto">
                    <a:xfrm>
                      <a:off x="0" y="0"/>
                      <a:ext cx="5649889" cy="7111900"/>
                    </a:xfrm>
                    <a:prstGeom prst="rect">
                      <a:avLst/>
                    </a:prstGeom>
                    <a:ln>
                      <a:noFill/>
                    </a:ln>
                    <a:extLst>
                      <a:ext uri="{53640926-AAD7-44D8-BBD7-CCE9431645EC}">
                        <a14:shadowObscured xmlns:a14="http://schemas.microsoft.com/office/drawing/2010/main"/>
                      </a:ext>
                    </a:extLst>
                  </pic:spPr>
                </pic:pic>
              </a:graphicData>
            </a:graphic>
          </wp:inline>
        </w:drawing>
      </w:r>
    </w:p>
    <w:p w14:paraId="2DFF7AA8" w14:textId="68BAF878" w:rsidR="00061696" w:rsidRDefault="00080470">
      <w:pPr>
        <w:spacing w:line="360" w:lineRule="auto"/>
        <w:rPr>
          <w:rFonts w:ascii="Times New Roman" w:hAnsi="Times New Roman" w:cs="Times New Roman"/>
          <w:lang w:val="en-GB"/>
        </w:rPr>
        <w:sectPr w:rsidR="00061696" w:rsidSect="006F1713">
          <w:pgSz w:w="11906" w:h="16838"/>
          <w:pgMar w:top="1134" w:right="1417" w:bottom="1417" w:left="1417" w:header="708" w:footer="708" w:gutter="0"/>
          <w:cols w:space="720"/>
          <w:formProt w:val="0"/>
          <w:docGrid w:linePitch="360" w:charSpace="-6145"/>
        </w:sectPr>
      </w:pPr>
      <w:r>
        <w:rPr>
          <w:rFonts w:ascii="Times New Roman" w:hAnsi="Times New Roman" w:cs="Times New Roman"/>
          <w:lang w:val="en-GB"/>
        </w:rPr>
        <w:t xml:space="preserve">Supplementary </w:t>
      </w:r>
      <w:r w:rsidR="00740A84">
        <w:rPr>
          <w:rFonts w:ascii="Times New Roman" w:hAnsi="Times New Roman" w:cs="Times New Roman"/>
          <w:lang w:val="en-GB"/>
        </w:rPr>
        <w:t xml:space="preserve">Figure </w:t>
      </w:r>
      <w:r w:rsidR="00E41E7C">
        <w:rPr>
          <w:rFonts w:ascii="Times New Roman" w:hAnsi="Times New Roman" w:cs="Times New Roman"/>
          <w:lang w:val="en-GB"/>
        </w:rPr>
        <w:t>1</w:t>
      </w:r>
      <w:r w:rsidR="00DD59FF">
        <w:rPr>
          <w:rFonts w:ascii="Times New Roman" w:hAnsi="Times New Roman" w:cs="Times New Roman"/>
          <w:lang w:val="en-GB"/>
        </w:rPr>
        <w:t>2</w:t>
      </w:r>
      <w:r w:rsidR="00E41E7C" w:rsidRPr="00800BAA">
        <w:rPr>
          <w:rFonts w:ascii="Times New Roman" w:hAnsi="Times New Roman" w:cs="Times New Roman"/>
          <w:lang w:val="en-GB"/>
        </w:rPr>
        <w:t>. Relation</w:t>
      </w:r>
      <w:r w:rsidR="00E41E7C">
        <w:rPr>
          <w:rFonts w:ascii="Times New Roman" w:hAnsi="Times New Roman" w:cs="Times New Roman"/>
          <w:lang w:val="en-GB"/>
        </w:rPr>
        <w:t>ship</w:t>
      </w:r>
      <w:r w:rsidR="00E41E7C" w:rsidRPr="00800BAA">
        <w:rPr>
          <w:rFonts w:ascii="Times New Roman" w:hAnsi="Times New Roman" w:cs="Times New Roman"/>
          <w:lang w:val="en-GB"/>
        </w:rPr>
        <w:t>s between phenological traits (z-scaled) and temperature for each study in the PRCS (</w:t>
      </w:r>
      <w:r w:rsidR="00E41E7C" w:rsidRPr="00800BAA">
        <w:rPr>
          <w:rFonts w:ascii="Times New Roman" w:eastAsia="Times New Roman" w:hAnsi="Times New Roman" w:cs="Times New Roman"/>
          <w:color w:val="000000"/>
          <w:lang w:val="en-GB"/>
        </w:rPr>
        <w:t xml:space="preserve">‘Phenotypic Responses to Climate with Selection data’) </w:t>
      </w:r>
      <w:r w:rsidR="00E41E7C" w:rsidRPr="00800BAA">
        <w:rPr>
          <w:rFonts w:ascii="Times New Roman" w:hAnsi="Times New Roman" w:cs="Times New Roman"/>
          <w:lang w:val="en-GB"/>
        </w:rPr>
        <w:t xml:space="preserve">dataset (titles above panels indicate authors and study species). </w:t>
      </w:r>
      <w:r w:rsidR="00E41E7C">
        <w:rPr>
          <w:rFonts w:ascii="Times New Roman" w:hAnsi="Times New Roman" w:cs="Times New Roman"/>
          <w:lang w:val="en-GB"/>
        </w:rPr>
        <w:t xml:space="preserve">pv is </w:t>
      </w:r>
      <w:r w:rsidR="00FE5F08">
        <w:rPr>
          <w:rFonts w:ascii="Times New Roman" w:hAnsi="Times New Roman" w:cs="Times New Roman"/>
          <w:lang w:val="en-GB"/>
        </w:rPr>
        <w:t>the</w:t>
      </w:r>
      <w:r w:rsidR="00E41E7C">
        <w:rPr>
          <w:rFonts w:ascii="Times New Roman" w:hAnsi="Times New Roman" w:cs="Times New Roman"/>
          <w:lang w:val="en-GB"/>
        </w:rPr>
        <w:t xml:space="preserve"> p</w:t>
      </w:r>
      <w:r w:rsidR="00297058">
        <w:rPr>
          <w:rFonts w:ascii="Times New Roman" w:hAnsi="Times New Roman" w:cs="Times New Roman"/>
          <w:lang w:val="en-GB"/>
        </w:rPr>
        <w:t xml:space="preserve"> </w:t>
      </w:r>
      <w:r w:rsidR="00E41E7C">
        <w:rPr>
          <w:rFonts w:ascii="Times New Roman" w:hAnsi="Times New Roman" w:cs="Times New Roman"/>
          <w:lang w:val="en-GB"/>
        </w:rPr>
        <w:t xml:space="preserve">value of the slope as estimated by LRT. </w:t>
      </w:r>
      <w:r w:rsidR="00E41E7C" w:rsidRPr="00800BAA">
        <w:rPr>
          <w:rFonts w:ascii="Times New Roman" w:hAnsi="Times New Roman" w:cs="Times New Roman"/>
          <w:lang w:val="en-GB"/>
        </w:rPr>
        <w:t>Note that</w:t>
      </w:r>
      <w:r w:rsidR="00E41E7C">
        <w:rPr>
          <w:rFonts w:ascii="Times New Roman" w:hAnsi="Times New Roman" w:cs="Times New Roman"/>
          <w:lang w:val="en-GB"/>
        </w:rPr>
        <w:t xml:space="preserve"> the range of the</w:t>
      </w:r>
      <w:r w:rsidR="00E41E7C" w:rsidRPr="00800BAA">
        <w:rPr>
          <w:rFonts w:ascii="Times New Roman" w:hAnsi="Times New Roman" w:cs="Times New Roman"/>
          <w:lang w:val="en-GB"/>
        </w:rPr>
        <w:t xml:space="preserve"> x- and y-axes can differ among studies.</w:t>
      </w:r>
    </w:p>
    <w:p w14:paraId="287E0CDA" w14:textId="041A2ABF" w:rsidR="00D07667" w:rsidRDefault="00183E3E">
      <w:pPr>
        <w:spacing w:line="360" w:lineRule="auto"/>
        <w:rPr>
          <w:rFonts w:ascii="Times New Roman" w:hAnsi="Times New Roman" w:cs="Times New Roman"/>
          <w:lang w:val="en-GB"/>
        </w:rPr>
      </w:pPr>
      <w:r>
        <w:rPr>
          <w:rFonts w:ascii="Times New Roman" w:hAnsi="Times New Roman" w:cs="Times New Roman"/>
          <w:lang w:val="en-GB"/>
        </w:rPr>
        <w:lastRenderedPageBreak/>
        <w:t>Continuation</w:t>
      </w:r>
      <w:r w:rsidR="00DB66DA">
        <w:rPr>
          <w:rFonts w:ascii="Times New Roman" w:hAnsi="Times New Roman" w:cs="Times New Roman"/>
          <w:lang w:val="en-GB"/>
        </w:rPr>
        <w:t xml:space="preserve"> Supplementary</w:t>
      </w:r>
      <w:r>
        <w:rPr>
          <w:rFonts w:ascii="Times New Roman" w:hAnsi="Times New Roman" w:cs="Times New Roman"/>
          <w:lang w:val="en-GB"/>
        </w:rPr>
        <w:t xml:space="preserve"> Fig</w:t>
      </w:r>
      <w:r w:rsidR="000B2001">
        <w:rPr>
          <w:rFonts w:ascii="Times New Roman" w:hAnsi="Times New Roman" w:cs="Times New Roman"/>
          <w:lang w:val="en-GB"/>
        </w:rPr>
        <w:t>ure</w:t>
      </w:r>
      <w:r w:rsidR="00DB66DA">
        <w:rPr>
          <w:rFonts w:ascii="Times New Roman" w:hAnsi="Times New Roman" w:cs="Times New Roman"/>
          <w:lang w:val="en-GB"/>
        </w:rPr>
        <w:t xml:space="preserve"> </w:t>
      </w:r>
      <w:r>
        <w:rPr>
          <w:rFonts w:ascii="Times New Roman" w:hAnsi="Times New Roman" w:cs="Times New Roman"/>
          <w:lang w:val="en-GB"/>
        </w:rPr>
        <w:t>1</w:t>
      </w:r>
      <w:r w:rsidR="00DD59FF">
        <w:rPr>
          <w:rFonts w:ascii="Times New Roman" w:hAnsi="Times New Roman" w:cs="Times New Roman"/>
          <w:lang w:val="en-GB"/>
        </w:rPr>
        <w:t>2.</w:t>
      </w:r>
    </w:p>
    <w:p w14:paraId="0C01AEDF" w14:textId="492F4B98" w:rsidR="00C90D0D" w:rsidRPr="00917380" w:rsidRDefault="00D16E1E">
      <w:pPr>
        <w:spacing w:line="360" w:lineRule="auto"/>
        <w:rPr>
          <w:rFonts w:ascii="Times New Roman" w:hAnsi="Times New Roman" w:cs="Times New Roman"/>
          <w:lang w:val="en-GB"/>
        </w:rPr>
      </w:pPr>
      <w:r>
        <w:rPr>
          <w:rFonts w:ascii="Times New Roman" w:hAnsi="Times New Roman" w:cs="Times New Roman"/>
          <w:noProof/>
          <w:lang w:val="en-GB" w:eastAsia="en-GB"/>
        </w:rPr>
        <w:drawing>
          <wp:inline distT="0" distB="0" distL="0" distR="0" wp14:anchorId="3673DAF7" wp14:editId="50AA7045">
            <wp:extent cx="5560906" cy="8100694"/>
            <wp:effectExtent l="0" t="0" r="1905" b="2540"/>
            <wp:docPr id="19" name="Bild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enTrait_21_42.pdf"/>
                    <pic:cNvPicPr/>
                  </pic:nvPicPr>
                  <pic:blipFill rotWithShape="1">
                    <a:blip r:embed="rId35">
                      <a:extLst>
                        <a:ext uri="{28A0092B-C50C-407E-A947-70E740481C1C}">
                          <a14:useLocalDpi xmlns:a14="http://schemas.microsoft.com/office/drawing/2010/main" val="0"/>
                        </a:ext>
                      </a:extLst>
                    </a:blip>
                    <a:srcRect l="1176" t="1564" r="2290"/>
                    <a:stretch/>
                  </pic:blipFill>
                  <pic:spPr bwMode="auto">
                    <a:xfrm>
                      <a:off x="0" y="0"/>
                      <a:ext cx="5561051" cy="8100906"/>
                    </a:xfrm>
                    <a:prstGeom prst="rect">
                      <a:avLst/>
                    </a:prstGeom>
                    <a:ln>
                      <a:noFill/>
                    </a:ln>
                    <a:extLst>
                      <a:ext uri="{53640926-AAD7-44D8-BBD7-CCE9431645EC}">
                        <a14:shadowObscured xmlns:a14="http://schemas.microsoft.com/office/drawing/2010/main"/>
                      </a:ext>
                    </a:extLst>
                  </pic:spPr>
                </pic:pic>
              </a:graphicData>
            </a:graphic>
          </wp:inline>
        </w:drawing>
      </w:r>
    </w:p>
    <w:p w14:paraId="49E24F38" w14:textId="7F231157" w:rsidR="00917380" w:rsidRDefault="00917380">
      <w:pPr>
        <w:spacing w:line="360" w:lineRule="auto"/>
        <w:rPr>
          <w:rFonts w:ascii="Times New Roman" w:hAnsi="Times New Roman" w:cs="Times New Roman"/>
          <w:lang w:val="en-GB"/>
        </w:rPr>
        <w:sectPr w:rsidR="00917380" w:rsidSect="006F1713">
          <w:pgSz w:w="11906" w:h="16838"/>
          <w:pgMar w:top="1134" w:right="1417" w:bottom="1417" w:left="1417" w:header="708" w:footer="708" w:gutter="0"/>
          <w:cols w:space="720"/>
          <w:formProt w:val="0"/>
          <w:docGrid w:linePitch="360" w:charSpace="-6145"/>
        </w:sectPr>
      </w:pPr>
    </w:p>
    <w:p w14:paraId="5357E996" w14:textId="6699D26D" w:rsidR="00D07667" w:rsidRDefault="000E6B9F">
      <w:pPr>
        <w:spacing w:line="360" w:lineRule="auto"/>
        <w:rPr>
          <w:rFonts w:ascii="Times New Roman" w:hAnsi="Times New Roman" w:cs="Times New Roman"/>
          <w:lang w:val="en-GB"/>
        </w:rPr>
      </w:pPr>
      <w:bookmarkStart w:id="37" w:name="OLE_LINK136"/>
      <w:bookmarkStart w:id="38" w:name="OLE_LINK137"/>
      <w:r>
        <w:rPr>
          <w:rFonts w:ascii="Times New Roman" w:hAnsi="Times New Roman" w:cs="Times New Roman"/>
          <w:noProof/>
          <w:lang w:val="en-GB" w:eastAsia="en-GB"/>
        </w:rPr>
        <w:lastRenderedPageBreak/>
        <w:drawing>
          <wp:inline distT="0" distB="0" distL="0" distR="0" wp14:anchorId="362A84C0" wp14:editId="299E4751">
            <wp:extent cx="6060831" cy="4653915"/>
            <wp:effectExtent l="0" t="0" r="10160" b="0"/>
            <wp:docPr id="15" name="Bild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rphTrait_10.pdf"/>
                    <pic:cNvPicPr/>
                  </pic:nvPicPr>
                  <pic:blipFill rotWithShape="1">
                    <a:blip r:embed="rId36">
                      <a:extLst>
                        <a:ext uri="{28A0092B-C50C-407E-A947-70E740481C1C}">
                          <a14:useLocalDpi xmlns:a14="http://schemas.microsoft.com/office/drawing/2010/main" val="0"/>
                        </a:ext>
                      </a:extLst>
                    </a:blip>
                    <a:srcRect t="12006" r="833" b="7197"/>
                    <a:stretch/>
                  </pic:blipFill>
                  <pic:spPr bwMode="auto">
                    <a:xfrm>
                      <a:off x="0" y="0"/>
                      <a:ext cx="6061606" cy="4654510"/>
                    </a:xfrm>
                    <a:prstGeom prst="rect">
                      <a:avLst/>
                    </a:prstGeom>
                    <a:ln>
                      <a:noFill/>
                    </a:ln>
                    <a:extLst>
                      <a:ext uri="{53640926-AAD7-44D8-BBD7-CCE9431645EC}">
                        <a14:shadowObscured xmlns:a14="http://schemas.microsoft.com/office/drawing/2010/main"/>
                      </a:ext>
                    </a:extLst>
                  </pic:spPr>
                </pic:pic>
              </a:graphicData>
            </a:graphic>
          </wp:inline>
        </w:drawing>
      </w:r>
    </w:p>
    <w:p w14:paraId="6AAB5288" w14:textId="6E10F674" w:rsidR="0049715F" w:rsidRDefault="00FF532C">
      <w:pPr>
        <w:spacing w:line="360" w:lineRule="auto"/>
        <w:rPr>
          <w:rFonts w:ascii="Times New Roman" w:hAnsi="Times New Roman" w:cs="Times New Roman"/>
          <w:lang w:val="en-GB"/>
        </w:rPr>
        <w:sectPr w:rsidR="0049715F" w:rsidSect="006F1713">
          <w:pgSz w:w="16838" w:h="11906" w:orient="landscape"/>
          <w:pgMar w:top="1417" w:right="1134" w:bottom="1417" w:left="1417" w:header="708" w:footer="708" w:gutter="0"/>
          <w:cols w:space="720"/>
          <w:formProt w:val="0"/>
          <w:docGrid w:linePitch="360" w:charSpace="-6145"/>
        </w:sectPr>
      </w:pPr>
      <w:r>
        <w:rPr>
          <w:rFonts w:ascii="Times New Roman" w:hAnsi="Times New Roman" w:cs="Times New Roman"/>
          <w:lang w:val="en-GB"/>
        </w:rPr>
        <w:t xml:space="preserve">Supplementary </w:t>
      </w:r>
      <w:r w:rsidR="0049715F">
        <w:rPr>
          <w:rFonts w:ascii="Times New Roman" w:hAnsi="Times New Roman" w:cs="Times New Roman"/>
          <w:lang w:val="en-GB"/>
        </w:rPr>
        <w:t>Figure</w:t>
      </w:r>
      <w:r>
        <w:rPr>
          <w:rFonts w:ascii="Times New Roman" w:hAnsi="Times New Roman" w:cs="Times New Roman"/>
          <w:lang w:val="en-GB"/>
        </w:rPr>
        <w:t xml:space="preserve"> </w:t>
      </w:r>
      <w:r w:rsidR="0049715F">
        <w:rPr>
          <w:rFonts w:ascii="Times New Roman" w:hAnsi="Times New Roman" w:cs="Times New Roman"/>
          <w:lang w:val="en-GB"/>
        </w:rPr>
        <w:t>1</w:t>
      </w:r>
      <w:r w:rsidR="00DD59FF">
        <w:rPr>
          <w:rFonts w:ascii="Times New Roman" w:hAnsi="Times New Roman" w:cs="Times New Roman"/>
          <w:lang w:val="en-GB"/>
        </w:rPr>
        <w:t>3</w:t>
      </w:r>
      <w:r w:rsidR="0049715F" w:rsidRPr="00800BAA">
        <w:rPr>
          <w:rFonts w:ascii="Times New Roman" w:hAnsi="Times New Roman" w:cs="Times New Roman"/>
          <w:lang w:val="en-GB"/>
        </w:rPr>
        <w:t>. Relation</w:t>
      </w:r>
      <w:r w:rsidR="0049715F">
        <w:rPr>
          <w:rFonts w:ascii="Times New Roman" w:hAnsi="Times New Roman" w:cs="Times New Roman"/>
          <w:lang w:val="en-GB"/>
        </w:rPr>
        <w:t>ship</w:t>
      </w:r>
      <w:r w:rsidR="0049715F" w:rsidRPr="00800BAA">
        <w:rPr>
          <w:rFonts w:ascii="Times New Roman" w:hAnsi="Times New Roman" w:cs="Times New Roman"/>
          <w:lang w:val="en-GB"/>
        </w:rPr>
        <w:t xml:space="preserve">s between morphological traits (z-scaled) and temperature for each study in the PRCS (‘Phenotypic Responses to Climate with Selection data’) dataset (titles above panels indicate authors and study species). </w:t>
      </w:r>
      <w:r w:rsidR="0049715F">
        <w:rPr>
          <w:rFonts w:ascii="Times New Roman" w:hAnsi="Times New Roman" w:cs="Times New Roman"/>
          <w:lang w:val="en-GB"/>
        </w:rPr>
        <w:t xml:space="preserve">pv is </w:t>
      </w:r>
      <w:r w:rsidR="00FE5F08">
        <w:rPr>
          <w:rFonts w:ascii="Times New Roman" w:hAnsi="Times New Roman" w:cs="Times New Roman"/>
          <w:lang w:val="en-GB"/>
        </w:rPr>
        <w:t>the</w:t>
      </w:r>
      <w:r w:rsidR="0049715F">
        <w:rPr>
          <w:rFonts w:ascii="Times New Roman" w:hAnsi="Times New Roman" w:cs="Times New Roman"/>
          <w:lang w:val="en-GB"/>
        </w:rPr>
        <w:t xml:space="preserve"> p</w:t>
      </w:r>
      <w:r w:rsidR="00297058">
        <w:rPr>
          <w:rFonts w:ascii="Times New Roman" w:hAnsi="Times New Roman" w:cs="Times New Roman"/>
          <w:lang w:val="en-GB"/>
        </w:rPr>
        <w:t xml:space="preserve"> </w:t>
      </w:r>
      <w:r w:rsidR="0049715F">
        <w:rPr>
          <w:rFonts w:ascii="Times New Roman" w:hAnsi="Times New Roman" w:cs="Times New Roman"/>
          <w:lang w:val="en-GB"/>
        </w:rPr>
        <w:t xml:space="preserve">value of the slope as estimated by LRT. </w:t>
      </w:r>
      <w:r w:rsidR="0049715F" w:rsidRPr="00800BAA">
        <w:rPr>
          <w:rFonts w:ascii="Times New Roman" w:hAnsi="Times New Roman" w:cs="Times New Roman"/>
          <w:lang w:val="en-GB"/>
        </w:rPr>
        <w:t>Note that</w:t>
      </w:r>
      <w:r w:rsidR="0049715F">
        <w:rPr>
          <w:rFonts w:ascii="Times New Roman" w:hAnsi="Times New Roman" w:cs="Times New Roman"/>
          <w:lang w:val="en-GB"/>
        </w:rPr>
        <w:t xml:space="preserve"> the range of the</w:t>
      </w:r>
      <w:r w:rsidR="0049715F" w:rsidRPr="00800BAA">
        <w:rPr>
          <w:rFonts w:ascii="Times New Roman" w:hAnsi="Times New Roman" w:cs="Times New Roman"/>
          <w:lang w:val="en-GB"/>
        </w:rPr>
        <w:t xml:space="preserve"> x- and y-axes can differ among studies.</w:t>
      </w:r>
    </w:p>
    <w:p w14:paraId="08680C24" w14:textId="1CA056B4" w:rsidR="00A11F16" w:rsidRDefault="000E6B9F" w:rsidP="00A11F16">
      <w:pPr>
        <w:rPr>
          <w:rFonts w:ascii="Times New Roman" w:hAnsi="Times New Roman" w:cs="Times New Roman"/>
          <w:lang w:val="en-GB"/>
        </w:rPr>
      </w:pPr>
      <w:bookmarkStart w:id="39" w:name="OLE_LINK431"/>
      <w:bookmarkStart w:id="40" w:name="OLE_LINK432"/>
      <w:bookmarkStart w:id="41" w:name="OLE_LINK140"/>
      <w:bookmarkStart w:id="42" w:name="OLE_LINK141"/>
      <w:bookmarkEnd w:id="37"/>
      <w:bookmarkEnd w:id="38"/>
      <w:r>
        <w:rPr>
          <w:rFonts w:ascii="Times New Roman" w:hAnsi="Times New Roman" w:cs="Times New Roman"/>
          <w:noProof/>
          <w:lang w:val="en-GB" w:eastAsia="en-GB"/>
        </w:rPr>
        <w:lastRenderedPageBreak/>
        <w:drawing>
          <wp:inline distT="0" distB="0" distL="0" distR="0" wp14:anchorId="4E2B041E" wp14:editId="6D47EE44">
            <wp:extent cx="5689512" cy="7174230"/>
            <wp:effectExtent l="0" t="0" r="635" b="0"/>
            <wp:docPr id="16" name="Bild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_PhenTrait_19.pdf"/>
                    <pic:cNvPicPr/>
                  </pic:nvPicPr>
                  <pic:blipFill rotWithShape="1">
                    <a:blip r:embed="rId37">
                      <a:extLst>
                        <a:ext uri="{28A0092B-C50C-407E-A947-70E740481C1C}">
                          <a14:useLocalDpi xmlns:a14="http://schemas.microsoft.com/office/drawing/2010/main" val="0"/>
                        </a:ext>
                      </a:extLst>
                    </a:blip>
                    <a:srcRect l="1221" t="8262" b="4549"/>
                    <a:stretch/>
                  </pic:blipFill>
                  <pic:spPr bwMode="auto">
                    <a:xfrm>
                      <a:off x="0" y="0"/>
                      <a:ext cx="5690372" cy="7175314"/>
                    </a:xfrm>
                    <a:prstGeom prst="rect">
                      <a:avLst/>
                    </a:prstGeom>
                    <a:ln>
                      <a:noFill/>
                    </a:ln>
                    <a:extLst>
                      <a:ext uri="{53640926-AAD7-44D8-BBD7-CCE9431645EC}">
                        <a14:shadowObscured xmlns:a14="http://schemas.microsoft.com/office/drawing/2010/main"/>
                      </a:ext>
                    </a:extLst>
                  </pic:spPr>
                </pic:pic>
              </a:graphicData>
            </a:graphic>
          </wp:inline>
        </w:drawing>
      </w:r>
    </w:p>
    <w:p w14:paraId="1AA671B6" w14:textId="1BCBAB11" w:rsidR="00A11F16" w:rsidRDefault="007B5C43" w:rsidP="00F55898">
      <w:pPr>
        <w:spacing w:line="360" w:lineRule="auto"/>
        <w:rPr>
          <w:rFonts w:ascii="Times New Roman" w:hAnsi="Times New Roman" w:cs="Times New Roman"/>
          <w:lang w:val="en-GB"/>
        </w:rPr>
      </w:pPr>
      <w:r>
        <w:rPr>
          <w:rFonts w:ascii="Times New Roman" w:hAnsi="Times New Roman" w:cs="Times New Roman"/>
        </w:rPr>
        <w:t xml:space="preserve">Supplementary </w:t>
      </w:r>
      <w:r w:rsidR="005E5C21" w:rsidRPr="00237E25">
        <w:rPr>
          <w:rFonts w:ascii="Times New Roman" w:hAnsi="Times New Roman" w:cs="Times New Roman"/>
        </w:rPr>
        <w:t>Fig</w:t>
      </w:r>
      <w:r w:rsidR="005E5C21">
        <w:rPr>
          <w:rFonts w:ascii="Times New Roman" w:hAnsi="Times New Roman" w:cs="Times New Roman"/>
        </w:rPr>
        <w:t>ure</w:t>
      </w:r>
      <w:r>
        <w:rPr>
          <w:rFonts w:ascii="Times New Roman" w:hAnsi="Times New Roman" w:cs="Times New Roman"/>
        </w:rPr>
        <w:t xml:space="preserve"> </w:t>
      </w:r>
      <w:r w:rsidR="00DD59FF">
        <w:rPr>
          <w:rFonts w:ascii="Times New Roman" w:hAnsi="Times New Roman" w:cs="Times New Roman"/>
        </w:rPr>
        <w:t>14</w:t>
      </w:r>
      <w:r w:rsidR="005E5C21" w:rsidRPr="00237E25">
        <w:rPr>
          <w:rFonts w:ascii="Times New Roman" w:hAnsi="Times New Roman" w:cs="Times New Roman"/>
        </w:rPr>
        <w:t>.</w:t>
      </w:r>
      <w:r w:rsidR="005E5C21">
        <w:rPr>
          <w:rFonts w:ascii="Times New Roman" w:hAnsi="Times New Roman" w:cs="Times New Roman"/>
        </w:rPr>
        <w:t xml:space="preserve"> Yearly selection differentials (and their CI, shown with bars) measured on phenological traits shown for each study </w:t>
      </w:r>
      <w:r w:rsidR="005E5C21" w:rsidRPr="00800BAA">
        <w:rPr>
          <w:rFonts w:ascii="Times New Roman" w:hAnsi="Times New Roman" w:cs="Times New Roman"/>
          <w:lang w:val="en-GB"/>
        </w:rPr>
        <w:t xml:space="preserve">(titles above panels indicate authors and study species). </w:t>
      </w:r>
      <w:bookmarkStart w:id="43" w:name="OLE_LINK5"/>
      <w:bookmarkStart w:id="44" w:name="OLE_LINK6"/>
      <w:r w:rsidR="00CB4935">
        <w:rPr>
          <w:rFonts w:ascii="Times New Roman" w:hAnsi="Times New Roman" w:cs="Times New Roman"/>
          <w:lang w:val="en-GB"/>
        </w:rPr>
        <w:t>The r</w:t>
      </w:r>
      <w:r w:rsidR="005E5C21">
        <w:rPr>
          <w:rFonts w:ascii="Times New Roman" w:hAnsi="Times New Roman" w:cs="Times New Roman"/>
          <w:lang w:val="en-GB"/>
        </w:rPr>
        <w:t xml:space="preserve">ed solid line shows the estimate of WMSD (weighted mean selection differential) and the shaded polygon indicates ± SE of WMSD. The overlap of the red shaded polygon with 0 indicates that selection is not significantly different from 0. </w:t>
      </w:r>
      <w:bookmarkEnd w:id="43"/>
      <w:bookmarkEnd w:id="44"/>
      <w:r w:rsidR="005E5C21" w:rsidRPr="00800BAA">
        <w:rPr>
          <w:rFonts w:ascii="Times New Roman" w:hAnsi="Times New Roman" w:cs="Times New Roman"/>
          <w:lang w:val="en-GB"/>
        </w:rPr>
        <w:t xml:space="preserve">Note that </w:t>
      </w:r>
      <w:r w:rsidR="005E5C21">
        <w:rPr>
          <w:rFonts w:ascii="Times New Roman" w:hAnsi="Times New Roman" w:cs="Times New Roman"/>
          <w:lang w:val="en-GB"/>
        </w:rPr>
        <w:t xml:space="preserve">the range of </w:t>
      </w:r>
      <w:r w:rsidR="005E5C21" w:rsidRPr="00800BAA">
        <w:rPr>
          <w:rFonts w:ascii="Times New Roman" w:hAnsi="Times New Roman" w:cs="Times New Roman"/>
          <w:lang w:val="en-GB"/>
        </w:rPr>
        <w:t>x- and y-axes can differ among studies.</w:t>
      </w:r>
    </w:p>
    <w:p w14:paraId="341E67B8" w14:textId="77777777" w:rsidR="005E5C21" w:rsidRDefault="005E5C21" w:rsidP="00A11F16">
      <w:pPr>
        <w:rPr>
          <w:rFonts w:ascii="Times New Roman" w:hAnsi="Times New Roman" w:cs="Times New Roman"/>
          <w:lang w:val="en-GB"/>
        </w:rPr>
      </w:pPr>
    </w:p>
    <w:p w14:paraId="0801807B" w14:textId="69710A2B" w:rsidR="00A11F16" w:rsidRDefault="00A11F16" w:rsidP="00A11F16">
      <w:pPr>
        <w:rPr>
          <w:rFonts w:ascii="Times New Roman" w:hAnsi="Times New Roman" w:cs="Times New Roman"/>
        </w:rPr>
      </w:pPr>
      <w:r w:rsidRPr="00237E25">
        <w:rPr>
          <w:rFonts w:ascii="Times New Roman" w:hAnsi="Times New Roman" w:cs="Times New Roman"/>
        </w:rPr>
        <w:lastRenderedPageBreak/>
        <w:t>Continuation</w:t>
      </w:r>
      <w:r w:rsidR="00D91F42">
        <w:rPr>
          <w:rFonts w:ascii="Times New Roman" w:hAnsi="Times New Roman" w:cs="Times New Roman"/>
        </w:rPr>
        <w:t xml:space="preserve"> </w:t>
      </w:r>
      <w:r w:rsidR="00E74BBF">
        <w:rPr>
          <w:rFonts w:ascii="Times New Roman" w:hAnsi="Times New Roman" w:cs="Times New Roman"/>
        </w:rPr>
        <w:t xml:space="preserve">Supplementary </w:t>
      </w:r>
      <w:r w:rsidR="00D91F42">
        <w:rPr>
          <w:rFonts w:ascii="Times New Roman" w:hAnsi="Times New Roman" w:cs="Times New Roman"/>
        </w:rPr>
        <w:t>Fig</w:t>
      </w:r>
      <w:r w:rsidR="00DA5E91">
        <w:rPr>
          <w:rFonts w:ascii="Times New Roman" w:hAnsi="Times New Roman" w:cs="Times New Roman"/>
        </w:rPr>
        <w:t>ure</w:t>
      </w:r>
      <w:r w:rsidR="00E74BBF">
        <w:rPr>
          <w:rFonts w:ascii="Times New Roman" w:hAnsi="Times New Roman" w:cs="Times New Roman"/>
        </w:rPr>
        <w:t xml:space="preserve"> </w:t>
      </w:r>
      <w:r w:rsidR="00D91F42">
        <w:rPr>
          <w:rFonts w:ascii="Times New Roman" w:hAnsi="Times New Roman" w:cs="Times New Roman"/>
        </w:rPr>
        <w:t>1</w:t>
      </w:r>
      <w:r w:rsidR="00DD59FF">
        <w:rPr>
          <w:rFonts w:ascii="Times New Roman" w:hAnsi="Times New Roman" w:cs="Times New Roman"/>
        </w:rPr>
        <w:t>4.</w:t>
      </w:r>
    </w:p>
    <w:p w14:paraId="3CAA9FE9" w14:textId="133BFEDB" w:rsidR="00A11F16" w:rsidRPr="00237E25" w:rsidRDefault="00A11F16" w:rsidP="00A11F16">
      <w:pPr>
        <w:rPr>
          <w:rFonts w:ascii="Times New Roman" w:hAnsi="Times New Roman" w:cs="Times New Roman"/>
        </w:rPr>
      </w:pPr>
      <w:r>
        <w:rPr>
          <w:rFonts w:ascii="Times New Roman" w:hAnsi="Times New Roman" w:cs="Times New Roman"/>
        </w:rPr>
        <w:t>.</w:t>
      </w:r>
      <w:r w:rsidR="00D16E1E">
        <w:rPr>
          <w:rFonts w:ascii="Times New Roman" w:hAnsi="Times New Roman" w:cs="Times New Roman"/>
          <w:noProof/>
          <w:lang w:val="en-GB" w:eastAsia="en-GB"/>
        </w:rPr>
        <w:drawing>
          <wp:inline distT="0" distB="0" distL="0" distR="0" wp14:anchorId="7FACCF14" wp14:editId="411A57AD">
            <wp:extent cx="5692140" cy="7186507"/>
            <wp:effectExtent l="0" t="0" r="0" b="1905"/>
            <wp:docPr id="20" name="Bild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_PhenTrait_20_38.pdf"/>
                    <pic:cNvPicPr/>
                  </pic:nvPicPr>
                  <pic:blipFill rotWithShape="1">
                    <a:blip r:embed="rId38">
                      <a:extLst>
                        <a:ext uri="{28A0092B-C50C-407E-A947-70E740481C1C}">
                          <a14:useLocalDpi xmlns:a14="http://schemas.microsoft.com/office/drawing/2010/main" val="0"/>
                        </a:ext>
                      </a:extLst>
                    </a:blip>
                    <a:srcRect l="1176" t="7819" b="4843"/>
                    <a:stretch/>
                  </pic:blipFill>
                  <pic:spPr bwMode="auto">
                    <a:xfrm>
                      <a:off x="0" y="0"/>
                      <a:ext cx="5692982" cy="7187570"/>
                    </a:xfrm>
                    <a:prstGeom prst="rect">
                      <a:avLst/>
                    </a:prstGeom>
                    <a:ln>
                      <a:noFill/>
                    </a:ln>
                    <a:extLst>
                      <a:ext uri="{53640926-AAD7-44D8-BBD7-CCE9431645EC}">
                        <a14:shadowObscured xmlns:a14="http://schemas.microsoft.com/office/drawing/2010/main"/>
                      </a:ext>
                    </a:extLst>
                  </pic:spPr>
                </pic:pic>
              </a:graphicData>
            </a:graphic>
          </wp:inline>
        </w:drawing>
      </w:r>
    </w:p>
    <w:p w14:paraId="78C59471" w14:textId="77777777" w:rsidR="00A11F16" w:rsidRDefault="00A11F16" w:rsidP="00A11F16">
      <w:pPr>
        <w:spacing w:line="360" w:lineRule="auto"/>
        <w:rPr>
          <w:rFonts w:ascii="Times New Roman" w:hAnsi="Times New Roman" w:cs="Times New Roman"/>
          <w:b/>
          <w:bCs/>
          <w:caps/>
        </w:rPr>
        <w:sectPr w:rsidR="00A11F16" w:rsidSect="006F1713">
          <w:pgSz w:w="11906" w:h="16838"/>
          <w:pgMar w:top="1134" w:right="1417" w:bottom="1417" w:left="1417" w:header="708" w:footer="708" w:gutter="0"/>
          <w:cols w:space="720"/>
          <w:formProt w:val="0"/>
          <w:docGrid w:linePitch="360" w:charSpace="-6145"/>
        </w:sectPr>
      </w:pPr>
    </w:p>
    <w:p w14:paraId="050C0866" w14:textId="2A71CBF4" w:rsidR="00A11F16" w:rsidRPr="00316C1F" w:rsidRDefault="002B1771" w:rsidP="00A11F16">
      <w:pPr>
        <w:rPr>
          <w:rFonts w:ascii="Times New Roman" w:hAnsi="Times New Roman" w:cs="Times New Roman"/>
          <w:lang w:val="en-GB"/>
        </w:rPr>
      </w:pPr>
      <w:r>
        <w:rPr>
          <w:rFonts w:ascii="Times New Roman" w:hAnsi="Times New Roman" w:cs="Times New Roman"/>
          <w:noProof/>
          <w:lang w:val="en-GB" w:eastAsia="en-GB"/>
        </w:rPr>
        <w:lastRenderedPageBreak/>
        <w:drawing>
          <wp:inline distT="0" distB="0" distL="0" distR="0" wp14:anchorId="6AAA1E03" wp14:editId="574C4BB6">
            <wp:extent cx="6064771" cy="4630420"/>
            <wp:effectExtent l="0" t="0" r="0" b="0"/>
            <wp:docPr id="21" name="Bild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_MorphTrait_1_12.pdf"/>
                    <pic:cNvPicPr/>
                  </pic:nvPicPr>
                  <pic:blipFill rotWithShape="1">
                    <a:blip r:embed="rId39">
                      <a:extLst>
                        <a:ext uri="{28A0092B-C50C-407E-A947-70E740481C1C}">
                          <a14:useLocalDpi xmlns:a14="http://schemas.microsoft.com/office/drawing/2010/main" val="0"/>
                        </a:ext>
                      </a:extLst>
                    </a:blip>
                    <a:srcRect l="768" t="12006" b="7603"/>
                    <a:stretch/>
                  </pic:blipFill>
                  <pic:spPr bwMode="auto">
                    <a:xfrm>
                      <a:off x="0" y="0"/>
                      <a:ext cx="6065612" cy="4631062"/>
                    </a:xfrm>
                    <a:prstGeom prst="rect">
                      <a:avLst/>
                    </a:prstGeom>
                    <a:ln>
                      <a:noFill/>
                    </a:ln>
                    <a:extLst>
                      <a:ext uri="{53640926-AAD7-44D8-BBD7-CCE9431645EC}">
                        <a14:shadowObscured xmlns:a14="http://schemas.microsoft.com/office/drawing/2010/main"/>
                      </a:ext>
                    </a:extLst>
                  </pic:spPr>
                </pic:pic>
              </a:graphicData>
            </a:graphic>
          </wp:inline>
        </w:drawing>
      </w:r>
    </w:p>
    <w:p w14:paraId="0AB585FC" w14:textId="6F6E6671" w:rsidR="00FA6EC3" w:rsidRDefault="00FA6EC3" w:rsidP="00FA6EC3">
      <w:pPr>
        <w:spacing w:line="360" w:lineRule="auto"/>
        <w:rPr>
          <w:rFonts w:ascii="Times New Roman" w:hAnsi="Times New Roman" w:cs="Times New Roman"/>
          <w:lang w:val="en-GB"/>
        </w:rPr>
      </w:pPr>
      <w:r>
        <w:rPr>
          <w:rFonts w:ascii="Times New Roman" w:hAnsi="Times New Roman" w:cs="Times New Roman"/>
        </w:rPr>
        <w:t>Supplementary Figure 1</w:t>
      </w:r>
      <w:r w:rsidR="00DD59FF">
        <w:rPr>
          <w:rFonts w:ascii="Times New Roman" w:hAnsi="Times New Roman" w:cs="Times New Roman"/>
        </w:rPr>
        <w:t>5</w:t>
      </w:r>
      <w:r w:rsidRPr="00237E25">
        <w:rPr>
          <w:rFonts w:ascii="Times New Roman" w:hAnsi="Times New Roman" w:cs="Times New Roman"/>
        </w:rPr>
        <w:t xml:space="preserve">. </w:t>
      </w:r>
      <w:r>
        <w:rPr>
          <w:rFonts w:ascii="Times New Roman" w:hAnsi="Times New Roman" w:cs="Times New Roman"/>
        </w:rPr>
        <w:t xml:space="preserve">Yearly selection differentials (and their CI, shown with bars) measured on morphological traits shown for each study </w:t>
      </w:r>
      <w:r w:rsidRPr="00800BAA">
        <w:rPr>
          <w:rFonts w:ascii="Times New Roman" w:hAnsi="Times New Roman" w:cs="Times New Roman"/>
          <w:lang w:val="en-GB"/>
        </w:rPr>
        <w:t xml:space="preserve">(titles above panels indicate authors and study species). </w:t>
      </w:r>
      <w:r w:rsidR="007A264C">
        <w:rPr>
          <w:rFonts w:ascii="Times New Roman" w:hAnsi="Times New Roman" w:cs="Times New Roman"/>
          <w:lang w:val="en-GB"/>
        </w:rPr>
        <w:t>The r</w:t>
      </w:r>
      <w:r>
        <w:rPr>
          <w:rFonts w:ascii="Times New Roman" w:hAnsi="Times New Roman" w:cs="Times New Roman"/>
          <w:lang w:val="en-GB"/>
        </w:rPr>
        <w:t xml:space="preserve">ed solid line shows the estimate of WMSD (weighted mean selection differential) and the shaded polygon indicates 95% CI of the estimate of WMSD. The overlap of the red shaded polygon with 0 indicates that selection is not significantly different from 0. </w:t>
      </w:r>
      <w:r w:rsidRPr="00800BAA">
        <w:rPr>
          <w:rFonts w:ascii="Times New Roman" w:hAnsi="Times New Roman" w:cs="Times New Roman"/>
          <w:lang w:val="en-GB"/>
        </w:rPr>
        <w:t>Note that</w:t>
      </w:r>
      <w:r>
        <w:rPr>
          <w:rFonts w:ascii="Times New Roman" w:hAnsi="Times New Roman" w:cs="Times New Roman"/>
          <w:lang w:val="en-GB"/>
        </w:rPr>
        <w:t xml:space="preserve"> the range of</w:t>
      </w:r>
      <w:r w:rsidRPr="00800BAA">
        <w:rPr>
          <w:rFonts w:ascii="Times New Roman" w:hAnsi="Times New Roman" w:cs="Times New Roman"/>
          <w:lang w:val="en-GB"/>
        </w:rPr>
        <w:t xml:space="preserve"> x- and y-axes can differ among studies</w:t>
      </w:r>
      <w:r>
        <w:rPr>
          <w:rFonts w:ascii="Times New Roman" w:hAnsi="Times New Roman" w:cs="Times New Roman"/>
          <w:lang w:val="en-GB"/>
        </w:rPr>
        <w:t>.</w:t>
      </w:r>
    </w:p>
    <w:p w14:paraId="7A9D96F7" w14:textId="77777777" w:rsidR="00FA6EC3" w:rsidRDefault="00FA6EC3" w:rsidP="00A11F16">
      <w:pPr>
        <w:spacing w:line="360" w:lineRule="auto"/>
        <w:rPr>
          <w:rFonts w:ascii="Times New Roman" w:hAnsi="Times New Roman" w:cs="Times New Roman"/>
          <w:b/>
          <w:bCs/>
          <w:caps/>
        </w:rPr>
        <w:sectPr w:rsidR="00FA6EC3" w:rsidSect="006F1713">
          <w:pgSz w:w="16838" w:h="11906" w:orient="landscape"/>
          <w:pgMar w:top="1417" w:right="1134" w:bottom="1417" w:left="1417" w:header="708" w:footer="708" w:gutter="0"/>
          <w:cols w:space="720"/>
          <w:formProt w:val="0"/>
          <w:docGrid w:linePitch="360" w:charSpace="-6145"/>
        </w:sectPr>
      </w:pPr>
    </w:p>
    <w:p w14:paraId="6992C3A8" w14:textId="12C37728" w:rsidR="00A11F16" w:rsidRPr="001136E9" w:rsidRDefault="00A11F16" w:rsidP="00A11F16">
      <w:pPr>
        <w:rPr>
          <w:rFonts w:ascii="Times New Roman" w:hAnsi="Times New Roman" w:cs="Times New Roman"/>
          <w:lang w:val="en-GB"/>
        </w:rPr>
      </w:pPr>
      <w:r w:rsidRPr="001136E9">
        <w:rPr>
          <w:rFonts w:ascii="Times New Roman" w:hAnsi="Times New Roman" w:cs="Times New Roman"/>
          <w:lang w:val="en-GB"/>
        </w:rPr>
        <w:lastRenderedPageBreak/>
        <w:t>Con</w:t>
      </w:r>
      <w:r w:rsidR="000E47B4">
        <w:rPr>
          <w:rFonts w:ascii="Times New Roman" w:hAnsi="Times New Roman" w:cs="Times New Roman"/>
          <w:lang w:val="en-GB"/>
        </w:rPr>
        <w:t xml:space="preserve">tinuation </w:t>
      </w:r>
      <w:r w:rsidR="006A4B62">
        <w:rPr>
          <w:rFonts w:ascii="Times New Roman" w:hAnsi="Times New Roman" w:cs="Times New Roman"/>
          <w:lang w:val="en-GB"/>
        </w:rPr>
        <w:t xml:space="preserve">Supplementary </w:t>
      </w:r>
      <w:r w:rsidR="000E47B4">
        <w:rPr>
          <w:rFonts w:ascii="Times New Roman" w:hAnsi="Times New Roman" w:cs="Times New Roman"/>
          <w:lang w:val="en-GB"/>
        </w:rPr>
        <w:t>Fig</w:t>
      </w:r>
      <w:r w:rsidR="00DA5E91">
        <w:rPr>
          <w:rFonts w:ascii="Times New Roman" w:hAnsi="Times New Roman" w:cs="Times New Roman"/>
          <w:lang w:val="en-GB"/>
        </w:rPr>
        <w:t>ure</w:t>
      </w:r>
      <w:r w:rsidR="006A4B62">
        <w:rPr>
          <w:rFonts w:ascii="Times New Roman" w:hAnsi="Times New Roman" w:cs="Times New Roman"/>
          <w:lang w:val="en-GB"/>
        </w:rPr>
        <w:t xml:space="preserve"> </w:t>
      </w:r>
      <w:r w:rsidR="00DD59FF">
        <w:rPr>
          <w:rFonts w:ascii="Times New Roman" w:hAnsi="Times New Roman" w:cs="Times New Roman"/>
          <w:lang w:val="en-GB"/>
        </w:rPr>
        <w:t>15.</w:t>
      </w:r>
    </w:p>
    <w:p w14:paraId="3E68F9D2" w14:textId="41A96996" w:rsidR="00A11F16" w:rsidRDefault="002B1771" w:rsidP="00A11F16">
      <w:r>
        <w:rPr>
          <w:noProof/>
          <w:lang w:val="en-GB" w:eastAsia="en-GB"/>
        </w:rPr>
        <w:drawing>
          <wp:inline distT="0" distB="0" distL="0" distR="0" wp14:anchorId="1B44798F" wp14:editId="61BDDCB6">
            <wp:extent cx="6914027" cy="5098832"/>
            <wp:effectExtent l="0" t="0" r="0" b="0"/>
            <wp:docPr id="23" name="Bild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_MorphTrait_13_21.pdf"/>
                    <pic:cNvPicPr/>
                  </pic:nvPicPr>
                  <pic:blipFill rotWithShape="1">
                    <a:blip r:embed="rId40">
                      <a:extLst>
                        <a:ext uri="{28A0092B-C50C-407E-A947-70E740481C1C}">
                          <a14:useLocalDpi xmlns:a14="http://schemas.microsoft.com/office/drawing/2010/main" val="0"/>
                        </a:ext>
                      </a:extLst>
                    </a:blip>
                    <a:srcRect l="1007" t="6716" r="-1" b="4758"/>
                    <a:stretch/>
                  </pic:blipFill>
                  <pic:spPr bwMode="auto">
                    <a:xfrm>
                      <a:off x="0" y="0"/>
                      <a:ext cx="6915284" cy="5099759"/>
                    </a:xfrm>
                    <a:prstGeom prst="rect">
                      <a:avLst/>
                    </a:prstGeom>
                    <a:ln>
                      <a:noFill/>
                    </a:ln>
                    <a:extLst>
                      <a:ext uri="{53640926-AAD7-44D8-BBD7-CCE9431645EC}">
                        <a14:shadowObscured xmlns:a14="http://schemas.microsoft.com/office/drawing/2010/main"/>
                      </a:ext>
                    </a:extLst>
                  </pic:spPr>
                </pic:pic>
              </a:graphicData>
            </a:graphic>
          </wp:inline>
        </w:drawing>
      </w:r>
    </w:p>
    <w:p w14:paraId="5C44B572" w14:textId="77777777" w:rsidR="00A11F16" w:rsidRDefault="00A11F16" w:rsidP="00A11F16">
      <w:pPr>
        <w:spacing w:line="360" w:lineRule="auto"/>
        <w:rPr>
          <w:rFonts w:ascii="Times New Roman" w:hAnsi="Times New Roman" w:cs="Times New Roman"/>
          <w:b/>
          <w:bCs/>
          <w:caps/>
        </w:rPr>
      </w:pPr>
    </w:p>
    <w:p w14:paraId="52F1AD2E" w14:textId="77777777" w:rsidR="00A11F16" w:rsidRDefault="00A11F16" w:rsidP="00A11F16">
      <w:pPr>
        <w:spacing w:line="360" w:lineRule="auto"/>
        <w:rPr>
          <w:rFonts w:ascii="Times New Roman" w:hAnsi="Times New Roman" w:cs="Times New Roman"/>
          <w:b/>
          <w:bCs/>
          <w:caps/>
        </w:rPr>
        <w:sectPr w:rsidR="00A11F16" w:rsidSect="006F1713">
          <w:pgSz w:w="16838" w:h="11906" w:orient="landscape"/>
          <w:pgMar w:top="1417" w:right="1134" w:bottom="1417" w:left="1417" w:header="708" w:footer="708" w:gutter="0"/>
          <w:cols w:space="720"/>
          <w:formProt w:val="0"/>
          <w:docGrid w:linePitch="360" w:charSpace="-6145"/>
        </w:sectPr>
      </w:pPr>
    </w:p>
    <w:bookmarkEnd w:id="39"/>
    <w:bookmarkEnd w:id="40"/>
    <w:p w14:paraId="36238136" w14:textId="4BC0FBAC" w:rsidR="001500AE" w:rsidRDefault="000C68E7" w:rsidP="00237E25">
      <w:pPr>
        <w:rPr>
          <w:rFonts w:ascii="Times New Roman" w:hAnsi="Times New Roman" w:cs="Times New Roman"/>
        </w:rPr>
      </w:pPr>
      <w:r>
        <w:rPr>
          <w:rFonts w:ascii="Times New Roman" w:hAnsi="Times New Roman" w:cs="Times New Roman"/>
          <w:noProof/>
          <w:lang w:val="en-GB" w:eastAsia="en-GB"/>
        </w:rPr>
        <w:lastRenderedPageBreak/>
        <w:drawing>
          <wp:inline distT="0" distB="0" distL="0" distR="0" wp14:anchorId="4583CEE0" wp14:editId="46BA53CA">
            <wp:extent cx="6400943" cy="4480660"/>
            <wp:effectExtent l="0" t="0" r="0" b="0"/>
            <wp:docPr id="24" name="Bild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lFig16.pdf"/>
                    <pic:cNvPicPr/>
                  </pic:nvPicPr>
                  <pic:blipFill>
                    <a:blip r:embed="rId41">
                      <a:extLst>
                        <a:ext uri="{28A0092B-C50C-407E-A947-70E740481C1C}">
                          <a14:useLocalDpi xmlns:a14="http://schemas.microsoft.com/office/drawing/2010/main" val="0"/>
                        </a:ext>
                      </a:extLst>
                    </a:blip>
                    <a:stretch>
                      <a:fillRect/>
                    </a:stretch>
                  </pic:blipFill>
                  <pic:spPr>
                    <a:xfrm>
                      <a:off x="0" y="0"/>
                      <a:ext cx="6401978" cy="4481384"/>
                    </a:xfrm>
                    <a:prstGeom prst="rect">
                      <a:avLst/>
                    </a:prstGeom>
                  </pic:spPr>
                </pic:pic>
              </a:graphicData>
            </a:graphic>
          </wp:inline>
        </w:drawing>
      </w:r>
    </w:p>
    <w:p w14:paraId="652EEA82" w14:textId="07D5E553" w:rsidR="00636996" w:rsidRDefault="00806775" w:rsidP="001500AE">
      <w:pPr>
        <w:spacing w:line="360" w:lineRule="auto"/>
        <w:rPr>
          <w:rFonts w:ascii="Times New Roman" w:hAnsi="Times New Roman" w:cs="Times New Roman"/>
        </w:rPr>
        <w:sectPr w:rsidR="00636996" w:rsidSect="006F1713">
          <w:pgSz w:w="16838" w:h="11906" w:orient="landscape"/>
          <w:pgMar w:top="1417" w:right="1134" w:bottom="1417" w:left="1417" w:header="708" w:footer="708" w:gutter="0"/>
          <w:cols w:space="720"/>
          <w:formProt w:val="0"/>
          <w:docGrid w:linePitch="360" w:charSpace="-6145"/>
        </w:sectPr>
      </w:pPr>
      <w:r>
        <w:rPr>
          <w:rFonts w:ascii="Times New Roman" w:hAnsi="Times New Roman" w:cs="Times New Roman"/>
        </w:rPr>
        <w:t xml:space="preserve">Supplementary </w:t>
      </w:r>
      <w:r w:rsidR="00636996">
        <w:rPr>
          <w:rFonts w:ascii="Times New Roman" w:hAnsi="Times New Roman" w:cs="Times New Roman"/>
        </w:rPr>
        <w:t>Figure</w:t>
      </w:r>
      <w:r w:rsidR="0048443D">
        <w:rPr>
          <w:rFonts w:ascii="Times New Roman" w:hAnsi="Times New Roman" w:cs="Times New Roman"/>
        </w:rPr>
        <w:t xml:space="preserve"> </w:t>
      </w:r>
      <w:r w:rsidR="00636996">
        <w:rPr>
          <w:rFonts w:ascii="Times New Roman" w:hAnsi="Times New Roman" w:cs="Times New Roman"/>
        </w:rPr>
        <w:t>1</w:t>
      </w:r>
      <w:r w:rsidR="00DD57EC">
        <w:rPr>
          <w:rFonts w:ascii="Times New Roman" w:hAnsi="Times New Roman" w:cs="Times New Roman"/>
        </w:rPr>
        <w:t>6</w:t>
      </w:r>
      <w:r w:rsidR="00636996">
        <w:rPr>
          <w:rFonts w:ascii="Times New Roman" w:hAnsi="Times New Roman" w:cs="Times New Roman"/>
        </w:rPr>
        <w:t xml:space="preserve">. Funnel plots of the effect sizes obtained when testing each of the three conditions with the PRCS dataset. Shown are sample sizes (number of years) and effect sizes: a) an effect of year on temperature, b) an effect of temperature on phenological traits; c) an effect of temperature on morphological traits; d) selection on phenological traits; e) selection on morphological traits. </w:t>
      </w:r>
      <w:r w:rsidR="009335EB">
        <w:rPr>
          <w:rFonts w:ascii="Times New Roman" w:hAnsi="Times New Roman" w:cs="Times New Roman"/>
        </w:rPr>
        <w:t>The s</w:t>
      </w:r>
      <w:r w:rsidR="00636996">
        <w:rPr>
          <w:rFonts w:ascii="Times New Roman" w:hAnsi="Times New Roman" w:cs="Times New Roman"/>
        </w:rPr>
        <w:t xml:space="preserve">olid line is a null effect and </w:t>
      </w:r>
      <w:r w:rsidR="000A77CB">
        <w:rPr>
          <w:rFonts w:ascii="Times New Roman" w:hAnsi="Times New Roman" w:cs="Times New Roman"/>
        </w:rPr>
        <w:t xml:space="preserve">the </w:t>
      </w:r>
      <w:r w:rsidR="00636996">
        <w:rPr>
          <w:rFonts w:ascii="Times New Roman" w:hAnsi="Times New Roman" w:cs="Times New Roman"/>
        </w:rPr>
        <w:t>dashed line depicts the mean effect size across all the studies for each model.</w:t>
      </w:r>
      <w:bookmarkStart w:id="45" w:name="OLE_LINK433"/>
      <w:bookmarkStart w:id="46" w:name="OLE_LINK434"/>
      <w:r w:rsidR="00636996">
        <w:rPr>
          <w:rFonts w:ascii="Times New Roman" w:hAnsi="Times New Roman" w:cs="Times New Roman"/>
        </w:rPr>
        <w:t xml:space="preserve"> z and p</w:t>
      </w:r>
      <w:r w:rsidR="006A029B">
        <w:rPr>
          <w:rFonts w:ascii="Times New Roman" w:hAnsi="Times New Roman" w:cs="Times New Roman"/>
        </w:rPr>
        <w:t xml:space="preserve"> </w:t>
      </w:r>
      <w:r w:rsidR="00636996">
        <w:rPr>
          <w:rFonts w:ascii="Times New Roman" w:hAnsi="Times New Roman" w:cs="Times New Roman"/>
        </w:rPr>
        <w:t>values above each panel show the results of Egger’s test assessing the asymmetry of the funnel plot (p &lt; 0.05 indicates a significant asymmetry signaling a potential publication bias).</w:t>
      </w:r>
      <w:bookmarkEnd w:id="45"/>
      <w:bookmarkEnd w:id="46"/>
    </w:p>
    <w:p w14:paraId="61502BB2" w14:textId="1D64B301" w:rsidR="00923E8A" w:rsidRDefault="00D16E1E" w:rsidP="00237E25">
      <w:pPr>
        <w:rPr>
          <w:rFonts w:ascii="Times New Roman" w:hAnsi="Times New Roman" w:cs="Times New Roman"/>
        </w:rPr>
      </w:pPr>
      <w:r>
        <w:rPr>
          <w:rFonts w:ascii="Times New Roman" w:hAnsi="Times New Roman" w:cs="Times New Roman"/>
          <w:noProof/>
          <w:lang w:val="en-GB" w:eastAsia="en-GB"/>
        </w:rPr>
        <w:lastRenderedPageBreak/>
        <w:drawing>
          <wp:inline distT="0" distB="0" distL="0" distR="0" wp14:anchorId="3B33FE49" wp14:editId="09BC5A30">
            <wp:extent cx="8967537" cy="4504055"/>
            <wp:effectExtent l="0" t="0" r="0" b="0"/>
            <wp:docPr id="22"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nelPlots_PRC_FigS17.pdf"/>
                    <pic:cNvPicPr/>
                  </pic:nvPicPr>
                  <pic:blipFill rotWithShape="1">
                    <a:blip r:embed="rId42">
                      <a:extLst>
                        <a:ext uri="{28A0092B-C50C-407E-A947-70E740481C1C}">
                          <a14:useLocalDpi xmlns:a14="http://schemas.microsoft.com/office/drawing/2010/main" val="0"/>
                        </a:ext>
                      </a:extLst>
                    </a:blip>
                    <a:srcRect t="707" r="1147"/>
                    <a:stretch/>
                  </pic:blipFill>
                  <pic:spPr bwMode="auto">
                    <a:xfrm>
                      <a:off x="0" y="0"/>
                      <a:ext cx="8968136" cy="4504356"/>
                    </a:xfrm>
                    <a:prstGeom prst="rect">
                      <a:avLst/>
                    </a:prstGeom>
                    <a:ln>
                      <a:noFill/>
                    </a:ln>
                    <a:extLst>
                      <a:ext uri="{53640926-AAD7-44D8-BBD7-CCE9431645EC}">
                        <a14:shadowObscured xmlns:a14="http://schemas.microsoft.com/office/drawing/2010/main"/>
                      </a:ext>
                    </a:extLst>
                  </pic:spPr>
                </pic:pic>
              </a:graphicData>
            </a:graphic>
          </wp:inline>
        </w:drawing>
      </w:r>
    </w:p>
    <w:p w14:paraId="0FE72961" w14:textId="49939678" w:rsidR="001500AE" w:rsidRDefault="001500AE" w:rsidP="008C77B8">
      <w:pPr>
        <w:spacing w:line="360" w:lineRule="auto"/>
        <w:rPr>
          <w:rFonts w:ascii="Times New Roman" w:hAnsi="Times New Roman" w:cs="Times New Roman"/>
        </w:rPr>
      </w:pPr>
      <w:r>
        <w:rPr>
          <w:rFonts w:ascii="Times New Roman" w:hAnsi="Times New Roman" w:cs="Times New Roman"/>
        </w:rPr>
        <w:t>Supplementary Figure 1</w:t>
      </w:r>
      <w:r w:rsidR="00DD57EC">
        <w:rPr>
          <w:rFonts w:ascii="Times New Roman" w:hAnsi="Times New Roman" w:cs="Times New Roman"/>
        </w:rPr>
        <w:t>7</w:t>
      </w:r>
      <w:r>
        <w:rPr>
          <w:rFonts w:ascii="Times New Roman" w:hAnsi="Times New Roman" w:cs="Times New Roman"/>
        </w:rPr>
        <w:t xml:space="preserve">. Funnel plots of the effect sizes obtained when testing two conditions with the PRC dataset. Shown are sample sizes (number of years) and effect sizes: a) an effect of year on temperature, b) an effect of temperature on phenological traits; and c) an effect of temperature on morphological traits. </w:t>
      </w:r>
      <w:r w:rsidR="009335EB">
        <w:rPr>
          <w:rFonts w:ascii="Times New Roman" w:hAnsi="Times New Roman" w:cs="Times New Roman"/>
        </w:rPr>
        <w:t>The s</w:t>
      </w:r>
      <w:r>
        <w:rPr>
          <w:rFonts w:ascii="Times New Roman" w:hAnsi="Times New Roman" w:cs="Times New Roman"/>
        </w:rPr>
        <w:t xml:space="preserve">olid line is a null effect and </w:t>
      </w:r>
      <w:r w:rsidR="000A77CB">
        <w:rPr>
          <w:rFonts w:ascii="Times New Roman" w:hAnsi="Times New Roman" w:cs="Times New Roman"/>
        </w:rPr>
        <w:t xml:space="preserve">the </w:t>
      </w:r>
      <w:r>
        <w:rPr>
          <w:rFonts w:ascii="Times New Roman" w:hAnsi="Times New Roman" w:cs="Times New Roman"/>
        </w:rPr>
        <w:t>dashed line depicts the mean effect size across all the studies for each model. z and p</w:t>
      </w:r>
      <w:r w:rsidR="006A029B">
        <w:rPr>
          <w:rFonts w:ascii="Times New Roman" w:hAnsi="Times New Roman" w:cs="Times New Roman"/>
        </w:rPr>
        <w:t xml:space="preserve"> </w:t>
      </w:r>
      <w:r>
        <w:rPr>
          <w:rFonts w:ascii="Times New Roman" w:hAnsi="Times New Roman" w:cs="Times New Roman"/>
        </w:rPr>
        <w:t>values above each panel show the results of Egger’s test assessing the asymmetry of the funnel plot (p &lt; 0.05 indicates a significant asymmetry signaling a potential publication bias).</w:t>
      </w:r>
    </w:p>
    <w:p w14:paraId="15238D0F" w14:textId="77777777" w:rsidR="001500AE" w:rsidRDefault="001500AE" w:rsidP="00237E25">
      <w:pPr>
        <w:rPr>
          <w:rFonts w:ascii="Times New Roman" w:hAnsi="Times New Roman" w:cs="Times New Roman"/>
        </w:rPr>
        <w:sectPr w:rsidR="001500AE" w:rsidSect="006F1713">
          <w:pgSz w:w="16838" w:h="11906" w:orient="landscape"/>
          <w:pgMar w:top="1417" w:right="1134" w:bottom="1417" w:left="1417" w:header="708" w:footer="708" w:gutter="0"/>
          <w:cols w:space="720"/>
          <w:formProt w:val="0"/>
          <w:docGrid w:linePitch="360" w:charSpace="-6145"/>
        </w:sectPr>
      </w:pPr>
    </w:p>
    <w:p w14:paraId="2FCC69E1" w14:textId="153165EE" w:rsidR="006E623F" w:rsidRDefault="006E623F" w:rsidP="00C46C6C">
      <w:pPr>
        <w:spacing w:line="360" w:lineRule="auto"/>
        <w:rPr>
          <w:rFonts w:ascii="Times New Roman" w:hAnsi="Times New Roman" w:cs="Times New Roman"/>
          <w:b/>
          <w:bCs/>
          <w:caps/>
        </w:rPr>
      </w:pPr>
      <w:r w:rsidRPr="006E623F">
        <w:rPr>
          <w:rFonts w:ascii="Times New Roman" w:hAnsi="Times New Roman" w:cs="Times New Roman"/>
          <w:b/>
          <w:bCs/>
          <w:caps/>
        </w:rPr>
        <w:lastRenderedPageBreak/>
        <w:t>Supplementary tables</w:t>
      </w:r>
    </w:p>
    <w:p w14:paraId="43F72AF8" w14:textId="6BF2E1C3" w:rsidR="00F23DA5" w:rsidRDefault="00F23DA5" w:rsidP="00F23DA5">
      <w:pPr>
        <w:spacing w:line="360" w:lineRule="auto"/>
        <w:rPr>
          <w:rFonts w:ascii="Times New Roman" w:hAnsi="Times New Roman" w:cs="Times New Roman"/>
          <w:lang w:val="ru-RU"/>
        </w:rPr>
      </w:pPr>
      <w:r>
        <w:rPr>
          <w:rFonts w:ascii="Times New Roman" w:hAnsi="Times New Roman" w:cs="Times New Roman"/>
        </w:rPr>
        <w:t>Supplementary Table 1</w:t>
      </w:r>
      <w:r w:rsidR="006520B9">
        <w:rPr>
          <w:rFonts w:ascii="Times New Roman" w:hAnsi="Times New Roman" w:cs="Times New Roman"/>
        </w:rPr>
        <w:t>.</w:t>
      </w:r>
      <w:r>
        <w:rPr>
          <w:rFonts w:ascii="Times New Roman" w:hAnsi="Times New Roman" w:cs="Times New Roman"/>
        </w:rPr>
        <w:t xml:space="preserve"> Heterogeneit</w:t>
      </w:r>
      <w:r>
        <w:rPr>
          <w:rFonts w:ascii="Times New Roman" w:hAnsi="Times New Roman" w:cs="Times New Roman"/>
          <w:lang w:val="en-GB"/>
        </w:rPr>
        <w:t xml:space="preserve">y estimates for the </w:t>
      </w:r>
      <w:bookmarkStart w:id="47" w:name="__DdeLink__11712_773578752"/>
      <w:r>
        <w:rPr>
          <w:rFonts w:ascii="Times New Roman" w:hAnsi="Times New Roman" w:cs="Times New Roman"/>
          <w:lang w:val="en-GB"/>
        </w:rPr>
        <w:t>mixed-effect meta-</w:t>
      </w:r>
      <w:bookmarkEnd w:id="47"/>
      <w:r>
        <w:rPr>
          <w:rFonts w:ascii="Times New Roman" w:hAnsi="Times New Roman" w:cs="Times New Roman"/>
          <w:lang w:val="en-GB"/>
        </w:rPr>
        <w:t xml:space="preserve">analyses used in this study. </w:t>
      </w:r>
      <w:r w:rsidRPr="000B6DDF">
        <w:rPr>
          <w:rFonts w:ascii="Times New Roman" w:hAnsi="Times New Roman" w:cs="Times New Roman"/>
          <w:i/>
          <w:lang w:val="en-GB"/>
        </w:rPr>
        <w:t>Q</w:t>
      </w:r>
      <w:r>
        <w:rPr>
          <w:rFonts w:ascii="Times New Roman" w:hAnsi="Times New Roman" w:cs="Times New Roman"/>
          <w:lang w:val="en-GB"/>
        </w:rPr>
        <w:t xml:space="preserve"> is the total amount of heterogeneity and the column </w:t>
      </w:r>
      <w:r w:rsidR="000A77CB">
        <w:rPr>
          <w:rFonts w:ascii="Times New Roman" w:hAnsi="Times New Roman" w:cs="Times New Roman"/>
          <w:lang w:val="en-GB"/>
        </w:rPr>
        <w:t>‘</w:t>
      </w:r>
      <w:r>
        <w:rPr>
          <w:rFonts w:ascii="Times New Roman" w:hAnsi="Times New Roman" w:cs="Times New Roman"/>
          <w:lang w:val="en-GB"/>
        </w:rPr>
        <w:t xml:space="preserve">p value’ indicates whether this amount of heterogeneity is significant, </w:t>
      </w:r>
      <w:r w:rsidRPr="008B3A99">
        <w:rPr>
          <w:rFonts w:ascii="Times New Roman" w:hAnsi="Times New Roman" w:cs="Times New Roman"/>
          <w:i/>
          <w:lang w:val="en-GB"/>
        </w:rPr>
        <w:t>I</w:t>
      </w:r>
      <w:r>
        <w:rPr>
          <w:rFonts w:ascii="Times New Roman" w:hAnsi="Times New Roman" w:cs="Times New Roman"/>
          <w:vertAlign w:val="superscript"/>
          <w:lang w:val="en-GB"/>
        </w:rPr>
        <w:t>2</w:t>
      </w:r>
      <w:r>
        <w:rPr>
          <w:rFonts w:ascii="Times New Roman" w:hAnsi="Times New Roman" w:cs="Times New Roman"/>
          <w:lang w:val="en-GB"/>
        </w:rPr>
        <w:t xml:space="preserve"> </w:t>
      </w:r>
      <w:bookmarkStart w:id="48" w:name="OLE_LINK87"/>
      <w:r>
        <w:rPr>
          <w:rFonts w:ascii="Times New Roman" w:hAnsi="Times New Roman" w:cs="Times New Roman"/>
          <w:lang w:val="en-GB"/>
        </w:rPr>
        <w:t>reflects the proportion of the total heterogeneity due to between-study variance and ranges from 0 to 1</w:t>
      </w:r>
      <w:bookmarkEnd w:id="48"/>
      <w:r>
        <w:rPr>
          <w:rFonts w:ascii="Times New Roman" w:hAnsi="Times New Roman" w:cs="Times New Roman"/>
          <w:lang w:val="en-GB"/>
        </w:rPr>
        <w:t xml:space="preserve">, and </w:t>
      </w:r>
      <w:r w:rsidRPr="008B3A99">
        <w:rPr>
          <w:rFonts w:ascii="Times New Roman" w:hAnsi="Times New Roman" w:cs="Times New Roman"/>
          <w:i/>
          <w:lang w:val="en-GB"/>
        </w:rPr>
        <w:t>H</w:t>
      </w:r>
      <w:r>
        <w:rPr>
          <w:rFonts w:ascii="Times New Roman" w:hAnsi="Times New Roman" w:cs="Times New Roman"/>
          <w:vertAlign w:val="superscript"/>
          <w:lang w:val="en-GB"/>
        </w:rPr>
        <w:t>2</w:t>
      </w:r>
      <w:r>
        <w:rPr>
          <w:rFonts w:ascii="Times New Roman" w:hAnsi="Times New Roman" w:cs="Times New Roman"/>
          <w:lang w:val="en-GB"/>
        </w:rPr>
        <w:t xml:space="preserve"> </w:t>
      </w:r>
      <w:bookmarkStart w:id="49" w:name="OLE_LINK89"/>
      <w:bookmarkStart w:id="50" w:name="OLE_LINK88"/>
      <w:r>
        <w:rPr>
          <w:rFonts w:ascii="Times New Roman" w:hAnsi="Times New Roman" w:cs="Times New Roman"/>
          <w:lang w:val="en-GB"/>
        </w:rPr>
        <w:t>is the ratio showing the proportion of observed heterogeneity in relation to what would be expected under the null hypothesis</w:t>
      </w:r>
      <w:bookmarkEnd w:id="49"/>
      <w:bookmarkEnd w:id="50"/>
      <w:r>
        <w:rPr>
          <w:rFonts w:ascii="Times New Roman" w:hAnsi="Times New Roman" w:cs="Times New Roman"/>
          <w:lang w:val="en-GB"/>
        </w:rPr>
        <w:t>. The heterogeneity estimates are shown for the models fitted to both datasets and for the models testing how sensitive the results are to excluding two studies.</w:t>
      </w:r>
    </w:p>
    <w:tbl>
      <w:tblPr>
        <w:tblStyle w:val="LightShading"/>
        <w:tblW w:w="0" w:type="auto"/>
        <w:tblLayout w:type="fixed"/>
        <w:tblLook w:val="04A0" w:firstRow="1" w:lastRow="0" w:firstColumn="1" w:lastColumn="0" w:noHBand="0" w:noVBand="1"/>
      </w:tblPr>
      <w:tblGrid>
        <w:gridCol w:w="1384"/>
        <w:gridCol w:w="8788"/>
        <w:gridCol w:w="992"/>
        <w:gridCol w:w="1041"/>
        <w:gridCol w:w="1041"/>
        <w:gridCol w:w="1088"/>
      </w:tblGrid>
      <w:tr w:rsidR="00F23DA5" w:rsidRPr="00E10E33" w14:paraId="0CCC3E5F" w14:textId="77777777" w:rsidTr="00403ECC">
        <w:trPr>
          <w:cnfStyle w:val="100000000000" w:firstRow="1" w:lastRow="0" w:firstColumn="0" w:lastColumn="0" w:oddVBand="0" w:evenVBand="0" w:oddHBand="0" w:evenHBand="0" w:firstRowFirstColumn="0" w:firstRowLastColumn="0" w:lastRowFirstColumn="0" w:lastRowLastColumn="0"/>
          <w:trHeight w:val="41"/>
        </w:trPr>
        <w:tc>
          <w:tcPr>
            <w:cnfStyle w:val="001000000000" w:firstRow="0" w:lastRow="0" w:firstColumn="1" w:lastColumn="0" w:oddVBand="0" w:evenVBand="0" w:oddHBand="0" w:evenHBand="0" w:firstRowFirstColumn="0" w:firstRowLastColumn="0" w:lastRowFirstColumn="0" w:lastRowLastColumn="0"/>
            <w:tcW w:w="1384" w:type="dxa"/>
            <w:tcBorders>
              <w:top w:val="single" w:sz="12" w:space="0" w:color="auto"/>
              <w:bottom w:val="single" w:sz="12" w:space="0" w:color="auto"/>
            </w:tcBorders>
            <w:shd w:val="clear" w:color="auto" w:fill="auto"/>
            <w:noWrap/>
            <w:hideMark/>
          </w:tcPr>
          <w:p w14:paraId="7C3852BE" w14:textId="77777777" w:rsidR="00F23DA5" w:rsidRPr="00E10E33" w:rsidRDefault="00F23DA5" w:rsidP="006C6178">
            <w:pPr>
              <w:contextualSpacing/>
              <w:rPr>
                <w:rFonts w:ascii="Times New Roman" w:hAnsi="Times New Roman" w:cs="Times New Roman"/>
                <w:sz w:val="22"/>
                <w:szCs w:val="22"/>
              </w:rPr>
            </w:pPr>
            <w:r w:rsidRPr="00E10E33">
              <w:rPr>
                <w:rFonts w:ascii="Times New Roman" w:hAnsi="Times New Roman" w:cs="Times New Roman"/>
                <w:sz w:val="22"/>
                <w:szCs w:val="22"/>
              </w:rPr>
              <w:t>Data</w:t>
            </w:r>
          </w:p>
        </w:tc>
        <w:tc>
          <w:tcPr>
            <w:tcW w:w="8788" w:type="dxa"/>
            <w:tcBorders>
              <w:top w:val="single" w:sz="12" w:space="0" w:color="auto"/>
              <w:bottom w:val="single" w:sz="12" w:space="0" w:color="auto"/>
            </w:tcBorders>
            <w:shd w:val="clear" w:color="auto" w:fill="auto"/>
            <w:noWrap/>
            <w:hideMark/>
          </w:tcPr>
          <w:p w14:paraId="17CB3D62" w14:textId="77777777" w:rsidR="00F23DA5" w:rsidRPr="00E10E33" w:rsidRDefault="00F23DA5" w:rsidP="006C6178">
            <w:pPr>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Response</w:t>
            </w:r>
          </w:p>
        </w:tc>
        <w:tc>
          <w:tcPr>
            <w:tcW w:w="992" w:type="dxa"/>
            <w:tcBorders>
              <w:top w:val="single" w:sz="12" w:space="0" w:color="auto"/>
              <w:bottom w:val="single" w:sz="12" w:space="0" w:color="auto"/>
            </w:tcBorders>
            <w:shd w:val="clear" w:color="auto" w:fill="auto"/>
            <w:noWrap/>
            <w:hideMark/>
          </w:tcPr>
          <w:p w14:paraId="6AFEA3E7" w14:textId="77777777" w:rsidR="00F23DA5" w:rsidRPr="00E10E33" w:rsidRDefault="00F23DA5" w:rsidP="006C6178">
            <w:pPr>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2D1171">
              <w:rPr>
                <w:rFonts w:ascii="Times New Roman" w:hAnsi="Times New Roman" w:cs="Times New Roman"/>
                <w:i/>
                <w:sz w:val="22"/>
                <w:szCs w:val="22"/>
              </w:rPr>
              <w:t>I</w:t>
            </w:r>
            <w:r w:rsidRPr="000B5DB3">
              <w:rPr>
                <w:rFonts w:ascii="Times New Roman" w:hAnsi="Times New Roman" w:cs="Times New Roman"/>
                <w:sz w:val="22"/>
                <w:szCs w:val="22"/>
                <w:vertAlign w:val="superscript"/>
              </w:rPr>
              <w:t>2</w:t>
            </w:r>
          </w:p>
        </w:tc>
        <w:tc>
          <w:tcPr>
            <w:tcW w:w="1041" w:type="dxa"/>
            <w:tcBorders>
              <w:top w:val="single" w:sz="12" w:space="0" w:color="auto"/>
              <w:bottom w:val="single" w:sz="12" w:space="0" w:color="auto"/>
            </w:tcBorders>
            <w:shd w:val="clear" w:color="auto" w:fill="auto"/>
            <w:noWrap/>
            <w:hideMark/>
          </w:tcPr>
          <w:p w14:paraId="45E2C3D0" w14:textId="77777777" w:rsidR="00F23DA5" w:rsidRPr="00E10E33" w:rsidRDefault="00F23DA5" w:rsidP="006C6178">
            <w:pPr>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2D1171">
              <w:rPr>
                <w:rFonts w:ascii="Times New Roman" w:hAnsi="Times New Roman" w:cs="Times New Roman"/>
                <w:i/>
                <w:sz w:val="22"/>
                <w:szCs w:val="22"/>
              </w:rPr>
              <w:t>H</w:t>
            </w:r>
            <w:r w:rsidRPr="000B5DB3">
              <w:rPr>
                <w:rFonts w:ascii="Times New Roman" w:hAnsi="Times New Roman" w:cs="Times New Roman"/>
                <w:sz w:val="22"/>
                <w:szCs w:val="22"/>
                <w:vertAlign w:val="superscript"/>
              </w:rPr>
              <w:t>2</w:t>
            </w:r>
          </w:p>
        </w:tc>
        <w:tc>
          <w:tcPr>
            <w:tcW w:w="1041" w:type="dxa"/>
            <w:tcBorders>
              <w:top w:val="single" w:sz="12" w:space="0" w:color="auto"/>
              <w:bottom w:val="single" w:sz="12" w:space="0" w:color="auto"/>
            </w:tcBorders>
            <w:shd w:val="clear" w:color="auto" w:fill="auto"/>
            <w:noWrap/>
            <w:hideMark/>
          </w:tcPr>
          <w:p w14:paraId="277ED5CF" w14:textId="77777777" w:rsidR="00F23DA5" w:rsidRPr="002D1171" w:rsidRDefault="00F23DA5" w:rsidP="006C6178">
            <w:pPr>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sz w:val="22"/>
                <w:szCs w:val="22"/>
              </w:rPr>
            </w:pPr>
            <w:r w:rsidRPr="002D1171">
              <w:rPr>
                <w:rFonts w:ascii="Times New Roman" w:hAnsi="Times New Roman" w:cs="Times New Roman"/>
                <w:i/>
                <w:sz w:val="22"/>
                <w:szCs w:val="22"/>
              </w:rPr>
              <w:t>Q</w:t>
            </w:r>
          </w:p>
        </w:tc>
        <w:tc>
          <w:tcPr>
            <w:tcW w:w="1088" w:type="dxa"/>
            <w:tcBorders>
              <w:top w:val="single" w:sz="12" w:space="0" w:color="auto"/>
              <w:bottom w:val="single" w:sz="12" w:space="0" w:color="auto"/>
            </w:tcBorders>
            <w:shd w:val="clear" w:color="auto" w:fill="auto"/>
            <w:noWrap/>
            <w:hideMark/>
          </w:tcPr>
          <w:p w14:paraId="47DD3878" w14:textId="77777777" w:rsidR="00F23DA5" w:rsidRPr="00E10E33" w:rsidRDefault="00F23DA5" w:rsidP="006C6178">
            <w:pPr>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p value</w:t>
            </w:r>
          </w:p>
        </w:tc>
      </w:tr>
      <w:tr w:rsidR="00F23DA5" w:rsidRPr="00E10E33" w14:paraId="2B0BD122" w14:textId="77777777" w:rsidTr="00403ECC">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1384" w:type="dxa"/>
            <w:vMerge w:val="restart"/>
            <w:tcBorders>
              <w:top w:val="single" w:sz="12" w:space="0" w:color="auto"/>
            </w:tcBorders>
            <w:shd w:val="clear" w:color="auto" w:fill="auto"/>
            <w:hideMark/>
          </w:tcPr>
          <w:p w14:paraId="12816FC6" w14:textId="77777777" w:rsidR="00F23DA5" w:rsidRPr="00E10E33" w:rsidRDefault="00F23DA5" w:rsidP="006C6178">
            <w:pPr>
              <w:contextualSpacing/>
              <w:rPr>
                <w:rFonts w:ascii="Times New Roman" w:hAnsi="Times New Roman" w:cs="Times New Roman"/>
                <w:b w:val="0"/>
                <w:sz w:val="22"/>
                <w:szCs w:val="22"/>
              </w:rPr>
            </w:pPr>
            <w:r w:rsidRPr="00E10E33">
              <w:rPr>
                <w:rFonts w:ascii="Times New Roman" w:hAnsi="Times New Roman" w:cs="Times New Roman"/>
                <w:b w:val="0"/>
                <w:sz w:val="22"/>
                <w:szCs w:val="22"/>
              </w:rPr>
              <w:t>PRCS</w:t>
            </w:r>
          </w:p>
        </w:tc>
        <w:tc>
          <w:tcPr>
            <w:tcW w:w="8788" w:type="dxa"/>
            <w:tcBorders>
              <w:top w:val="single" w:sz="12" w:space="0" w:color="auto"/>
            </w:tcBorders>
            <w:shd w:val="clear" w:color="auto" w:fill="auto"/>
            <w:hideMark/>
          </w:tcPr>
          <w:p w14:paraId="0AA9A752"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Slope of temperature on years</w:t>
            </w:r>
          </w:p>
        </w:tc>
        <w:tc>
          <w:tcPr>
            <w:tcW w:w="992" w:type="dxa"/>
            <w:tcBorders>
              <w:top w:val="single" w:sz="12" w:space="0" w:color="auto"/>
            </w:tcBorders>
            <w:shd w:val="clear" w:color="auto" w:fill="auto"/>
            <w:noWrap/>
            <w:hideMark/>
          </w:tcPr>
          <w:p w14:paraId="2984A498"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0.640</w:t>
            </w:r>
          </w:p>
        </w:tc>
        <w:tc>
          <w:tcPr>
            <w:tcW w:w="1041" w:type="dxa"/>
            <w:tcBorders>
              <w:top w:val="single" w:sz="12" w:space="0" w:color="auto"/>
            </w:tcBorders>
            <w:shd w:val="clear" w:color="auto" w:fill="auto"/>
            <w:noWrap/>
            <w:hideMark/>
          </w:tcPr>
          <w:p w14:paraId="60AB30B6"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2.8</w:t>
            </w:r>
          </w:p>
        </w:tc>
        <w:tc>
          <w:tcPr>
            <w:tcW w:w="1041" w:type="dxa"/>
            <w:tcBorders>
              <w:top w:val="single" w:sz="12" w:space="0" w:color="auto"/>
            </w:tcBorders>
            <w:shd w:val="clear" w:color="auto" w:fill="auto"/>
            <w:noWrap/>
            <w:hideMark/>
          </w:tcPr>
          <w:p w14:paraId="227899A0"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104.8</w:t>
            </w:r>
          </w:p>
        </w:tc>
        <w:tc>
          <w:tcPr>
            <w:tcW w:w="1088" w:type="dxa"/>
            <w:tcBorders>
              <w:top w:val="single" w:sz="12" w:space="0" w:color="auto"/>
            </w:tcBorders>
            <w:shd w:val="clear" w:color="auto" w:fill="auto"/>
            <w:noWrap/>
            <w:hideMark/>
          </w:tcPr>
          <w:p w14:paraId="07AA4AFF"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r w:rsidR="00F23DA5" w:rsidRPr="00E10E33" w14:paraId="5E7F20A2" w14:textId="77777777" w:rsidTr="00403ECC">
        <w:trPr>
          <w:trHeight w:val="75"/>
        </w:trPr>
        <w:tc>
          <w:tcPr>
            <w:cnfStyle w:val="001000000000" w:firstRow="0" w:lastRow="0" w:firstColumn="1" w:lastColumn="0" w:oddVBand="0" w:evenVBand="0" w:oddHBand="0" w:evenHBand="0" w:firstRowFirstColumn="0" w:firstRowLastColumn="0" w:lastRowFirstColumn="0" w:lastRowLastColumn="0"/>
            <w:tcW w:w="1384" w:type="dxa"/>
            <w:vMerge/>
            <w:shd w:val="clear" w:color="auto" w:fill="auto"/>
            <w:hideMark/>
          </w:tcPr>
          <w:p w14:paraId="7F62DD8A" w14:textId="77777777" w:rsidR="00F23DA5" w:rsidRPr="00E10E33" w:rsidRDefault="00F23DA5" w:rsidP="006C6178">
            <w:pPr>
              <w:contextualSpacing/>
              <w:rPr>
                <w:rFonts w:ascii="Times New Roman" w:hAnsi="Times New Roman" w:cs="Times New Roman"/>
                <w:b w:val="0"/>
                <w:sz w:val="22"/>
                <w:szCs w:val="22"/>
              </w:rPr>
            </w:pPr>
          </w:p>
        </w:tc>
        <w:tc>
          <w:tcPr>
            <w:tcW w:w="8788" w:type="dxa"/>
            <w:shd w:val="clear" w:color="auto" w:fill="auto"/>
            <w:hideMark/>
          </w:tcPr>
          <w:p w14:paraId="0ED9EF52"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Slope of phenological traits on temperature</w:t>
            </w:r>
          </w:p>
        </w:tc>
        <w:tc>
          <w:tcPr>
            <w:tcW w:w="992" w:type="dxa"/>
            <w:shd w:val="clear" w:color="auto" w:fill="auto"/>
            <w:noWrap/>
            <w:hideMark/>
          </w:tcPr>
          <w:p w14:paraId="59BEDDC0"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0.915</w:t>
            </w:r>
          </w:p>
        </w:tc>
        <w:tc>
          <w:tcPr>
            <w:tcW w:w="1041" w:type="dxa"/>
            <w:shd w:val="clear" w:color="auto" w:fill="auto"/>
            <w:noWrap/>
            <w:hideMark/>
          </w:tcPr>
          <w:p w14:paraId="0A4DFB1A"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11.8</w:t>
            </w:r>
          </w:p>
        </w:tc>
        <w:tc>
          <w:tcPr>
            <w:tcW w:w="1041" w:type="dxa"/>
            <w:shd w:val="clear" w:color="auto" w:fill="auto"/>
            <w:noWrap/>
            <w:hideMark/>
          </w:tcPr>
          <w:p w14:paraId="6CA6BA95"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365.2</w:t>
            </w:r>
          </w:p>
        </w:tc>
        <w:tc>
          <w:tcPr>
            <w:tcW w:w="1088" w:type="dxa"/>
            <w:shd w:val="clear" w:color="auto" w:fill="auto"/>
            <w:noWrap/>
            <w:hideMark/>
          </w:tcPr>
          <w:p w14:paraId="5350D16D"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r w:rsidR="00F23DA5" w:rsidRPr="00E10E33" w14:paraId="6791E649" w14:textId="77777777" w:rsidTr="00403ECC">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1384" w:type="dxa"/>
            <w:vMerge/>
            <w:shd w:val="clear" w:color="auto" w:fill="auto"/>
            <w:hideMark/>
          </w:tcPr>
          <w:p w14:paraId="4E13BF1E" w14:textId="77777777" w:rsidR="00F23DA5" w:rsidRPr="00E10E33" w:rsidRDefault="00F23DA5" w:rsidP="006C6178">
            <w:pPr>
              <w:contextualSpacing/>
              <w:rPr>
                <w:rFonts w:ascii="Times New Roman" w:hAnsi="Times New Roman" w:cs="Times New Roman"/>
                <w:b w:val="0"/>
                <w:sz w:val="22"/>
                <w:szCs w:val="22"/>
              </w:rPr>
            </w:pPr>
          </w:p>
        </w:tc>
        <w:tc>
          <w:tcPr>
            <w:tcW w:w="8788" w:type="dxa"/>
            <w:shd w:val="clear" w:color="auto" w:fill="auto"/>
            <w:hideMark/>
          </w:tcPr>
          <w:p w14:paraId="6697BAB0"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Slope of morphological traits on temperature</w:t>
            </w:r>
          </w:p>
        </w:tc>
        <w:tc>
          <w:tcPr>
            <w:tcW w:w="992" w:type="dxa"/>
            <w:shd w:val="clear" w:color="auto" w:fill="auto"/>
            <w:noWrap/>
            <w:hideMark/>
          </w:tcPr>
          <w:p w14:paraId="65E1D524"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0.000</w:t>
            </w:r>
          </w:p>
        </w:tc>
        <w:tc>
          <w:tcPr>
            <w:tcW w:w="1041" w:type="dxa"/>
            <w:shd w:val="clear" w:color="auto" w:fill="auto"/>
            <w:noWrap/>
            <w:hideMark/>
          </w:tcPr>
          <w:p w14:paraId="23BAB2CD"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1.0</w:t>
            </w:r>
          </w:p>
        </w:tc>
        <w:tc>
          <w:tcPr>
            <w:tcW w:w="1041" w:type="dxa"/>
            <w:shd w:val="clear" w:color="auto" w:fill="auto"/>
            <w:noWrap/>
            <w:hideMark/>
          </w:tcPr>
          <w:p w14:paraId="4C6A2B74"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6.4</w:t>
            </w:r>
          </w:p>
        </w:tc>
        <w:tc>
          <w:tcPr>
            <w:tcW w:w="1088" w:type="dxa"/>
            <w:shd w:val="clear" w:color="auto" w:fill="auto"/>
            <w:noWrap/>
            <w:hideMark/>
          </w:tcPr>
          <w:p w14:paraId="2011D7D6"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0.7024</w:t>
            </w:r>
          </w:p>
        </w:tc>
      </w:tr>
      <w:tr w:rsidR="00F23DA5" w:rsidRPr="00E10E33" w14:paraId="310E90C6" w14:textId="77777777" w:rsidTr="00403ECC">
        <w:trPr>
          <w:trHeight w:val="139"/>
        </w:trPr>
        <w:tc>
          <w:tcPr>
            <w:cnfStyle w:val="001000000000" w:firstRow="0" w:lastRow="0" w:firstColumn="1" w:lastColumn="0" w:oddVBand="0" w:evenVBand="0" w:oddHBand="0" w:evenHBand="0" w:firstRowFirstColumn="0" w:firstRowLastColumn="0" w:lastRowFirstColumn="0" w:lastRowLastColumn="0"/>
            <w:tcW w:w="1384" w:type="dxa"/>
            <w:vMerge/>
            <w:shd w:val="clear" w:color="auto" w:fill="auto"/>
            <w:hideMark/>
          </w:tcPr>
          <w:p w14:paraId="633C6B8A" w14:textId="77777777" w:rsidR="00F23DA5" w:rsidRPr="00E10E33" w:rsidRDefault="00F23DA5" w:rsidP="006C6178">
            <w:pPr>
              <w:contextualSpacing/>
              <w:rPr>
                <w:rFonts w:ascii="Times New Roman" w:hAnsi="Times New Roman" w:cs="Times New Roman"/>
                <w:b w:val="0"/>
                <w:sz w:val="22"/>
                <w:szCs w:val="22"/>
              </w:rPr>
            </w:pPr>
          </w:p>
        </w:tc>
        <w:tc>
          <w:tcPr>
            <w:tcW w:w="8788" w:type="dxa"/>
            <w:shd w:val="clear" w:color="auto" w:fill="auto"/>
            <w:hideMark/>
          </w:tcPr>
          <w:p w14:paraId="1FF671FD"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Mean selection across phenological traits (presumably induced by temperature)</w:t>
            </w:r>
          </w:p>
        </w:tc>
        <w:tc>
          <w:tcPr>
            <w:tcW w:w="992" w:type="dxa"/>
            <w:shd w:val="clear" w:color="auto" w:fill="auto"/>
            <w:noWrap/>
            <w:hideMark/>
          </w:tcPr>
          <w:p w14:paraId="4C7FBD1E"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1.000</w:t>
            </w:r>
          </w:p>
        </w:tc>
        <w:tc>
          <w:tcPr>
            <w:tcW w:w="1041" w:type="dxa"/>
            <w:shd w:val="clear" w:color="auto" w:fill="auto"/>
            <w:noWrap/>
            <w:hideMark/>
          </w:tcPr>
          <w:p w14:paraId="5B87094E"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120425.2</w:t>
            </w:r>
          </w:p>
        </w:tc>
        <w:tc>
          <w:tcPr>
            <w:tcW w:w="1041" w:type="dxa"/>
            <w:shd w:val="clear" w:color="auto" w:fill="auto"/>
            <w:noWrap/>
            <w:hideMark/>
          </w:tcPr>
          <w:p w14:paraId="667CD445"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413110.5</w:t>
            </w:r>
          </w:p>
        </w:tc>
        <w:tc>
          <w:tcPr>
            <w:tcW w:w="1088" w:type="dxa"/>
            <w:shd w:val="clear" w:color="auto" w:fill="auto"/>
            <w:noWrap/>
            <w:hideMark/>
          </w:tcPr>
          <w:p w14:paraId="5DE83A39"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r w:rsidR="00F23DA5" w:rsidRPr="00E10E33" w14:paraId="2EBC2663" w14:textId="77777777" w:rsidTr="00403ECC">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1384" w:type="dxa"/>
            <w:vMerge/>
            <w:shd w:val="clear" w:color="auto" w:fill="auto"/>
            <w:hideMark/>
          </w:tcPr>
          <w:p w14:paraId="16D4BD45" w14:textId="77777777" w:rsidR="00F23DA5" w:rsidRPr="00E10E33" w:rsidRDefault="00F23DA5" w:rsidP="006C6178">
            <w:pPr>
              <w:contextualSpacing/>
              <w:rPr>
                <w:rFonts w:ascii="Times New Roman" w:hAnsi="Times New Roman" w:cs="Times New Roman"/>
                <w:b w:val="0"/>
                <w:sz w:val="22"/>
                <w:szCs w:val="22"/>
              </w:rPr>
            </w:pPr>
          </w:p>
        </w:tc>
        <w:tc>
          <w:tcPr>
            <w:tcW w:w="8788" w:type="dxa"/>
            <w:shd w:val="clear" w:color="auto" w:fill="auto"/>
            <w:hideMark/>
          </w:tcPr>
          <w:p w14:paraId="7A6DC286"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Mean selection across morphological traits (presumably induced by temperature)</w:t>
            </w:r>
          </w:p>
        </w:tc>
        <w:tc>
          <w:tcPr>
            <w:tcW w:w="992" w:type="dxa"/>
            <w:shd w:val="clear" w:color="auto" w:fill="auto"/>
            <w:noWrap/>
            <w:hideMark/>
          </w:tcPr>
          <w:p w14:paraId="5FCC934D"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0.940</w:t>
            </w:r>
          </w:p>
        </w:tc>
        <w:tc>
          <w:tcPr>
            <w:tcW w:w="1041" w:type="dxa"/>
            <w:shd w:val="clear" w:color="auto" w:fill="auto"/>
            <w:noWrap/>
            <w:hideMark/>
          </w:tcPr>
          <w:p w14:paraId="463BDE4B"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16.8</w:t>
            </w:r>
          </w:p>
        </w:tc>
        <w:tc>
          <w:tcPr>
            <w:tcW w:w="1041" w:type="dxa"/>
            <w:shd w:val="clear" w:color="auto" w:fill="auto"/>
            <w:noWrap/>
            <w:hideMark/>
          </w:tcPr>
          <w:p w14:paraId="01CBBD9D"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178.1</w:t>
            </w:r>
          </w:p>
        </w:tc>
        <w:tc>
          <w:tcPr>
            <w:tcW w:w="1088" w:type="dxa"/>
            <w:shd w:val="clear" w:color="auto" w:fill="auto"/>
            <w:noWrap/>
            <w:hideMark/>
          </w:tcPr>
          <w:p w14:paraId="0035E5C3"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r w:rsidR="00F23DA5" w:rsidRPr="00E10E33" w14:paraId="11918FFB" w14:textId="77777777" w:rsidTr="00403ECC">
        <w:trPr>
          <w:trHeight w:val="61"/>
        </w:trPr>
        <w:tc>
          <w:tcPr>
            <w:cnfStyle w:val="001000000000" w:firstRow="0" w:lastRow="0" w:firstColumn="1" w:lastColumn="0" w:oddVBand="0" w:evenVBand="0" w:oddHBand="0" w:evenHBand="0" w:firstRowFirstColumn="0" w:firstRowLastColumn="0" w:lastRowFirstColumn="0" w:lastRowLastColumn="0"/>
            <w:tcW w:w="1384" w:type="dxa"/>
            <w:vMerge/>
            <w:shd w:val="clear" w:color="auto" w:fill="auto"/>
            <w:hideMark/>
          </w:tcPr>
          <w:p w14:paraId="03196573" w14:textId="77777777" w:rsidR="00F23DA5" w:rsidRPr="00E10E33" w:rsidRDefault="00F23DA5" w:rsidP="006C6178">
            <w:pPr>
              <w:contextualSpacing/>
              <w:rPr>
                <w:rFonts w:ascii="Times New Roman" w:hAnsi="Times New Roman" w:cs="Times New Roman"/>
                <w:b w:val="0"/>
                <w:sz w:val="22"/>
                <w:szCs w:val="22"/>
              </w:rPr>
            </w:pPr>
          </w:p>
        </w:tc>
        <w:tc>
          <w:tcPr>
            <w:tcW w:w="8788" w:type="dxa"/>
            <w:shd w:val="clear" w:color="auto" w:fill="auto"/>
            <w:hideMark/>
          </w:tcPr>
          <w:p w14:paraId="0055ACEC"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Slope of precipitation on years</w:t>
            </w:r>
          </w:p>
        </w:tc>
        <w:tc>
          <w:tcPr>
            <w:tcW w:w="992" w:type="dxa"/>
            <w:shd w:val="clear" w:color="auto" w:fill="auto"/>
            <w:noWrap/>
            <w:hideMark/>
          </w:tcPr>
          <w:p w14:paraId="71D7796E"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0.002</w:t>
            </w:r>
          </w:p>
        </w:tc>
        <w:tc>
          <w:tcPr>
            <w:tcW w:w="1041" w:type="dxa"/>
            <w:shd w:val="clear" w:color="auto" w:fill="auto"/>
            <w:noWrap/>
            <w:hideMark/>
          </w:tcPr>
          <w:p w14:paraId="725A5B6D"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1.0</w:t>
            </w:r>
          </w:p>
        </w:tc>
        <w:tc>
          <w:tcPr>
            <w:tcW w:w="1041" w:type="dxa"/>
            <w:shd w:val="clear" w:color="auto" w:fill="auto"/>
            <w:noWrap/>
            <w:hideMark/>
          </w:tcPr>
          <w:p w14:paraId="0F7258F7"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6.0</w:t>
            </w:r>
          </w:p>
        </w:tc>
        <w:tc>
          <w:tcPr>
            <w:tcW w:w="1088" w:type="dxa"/>
            <w:shd w:val="clear" w:color="auto" w:fill="auto"/>
            <w:noWrap/>
            <w:hideMark/>
          </w:tcPr>
          <w:p w14:paraId="30CBB2A7"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0.7377</w:t>
            </w:r>
          </w:p>
        </w:tc>
      </w:tr>
      <w:tr w:rsidR="00F23DA5" w:rsidRPr="00E10E33" w14:paraId="2F16F775" w14:textId="77777777" w:rsidTr="00403ECC">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1384" w:type="dxa"/>
            <w:vMerge/>
            <w:shd w:val="clear" w:color="auto" w:fill="auto"/>
            <w:hideMark/>
          </w:tcPr>
          <w:p w14:paraId="184D4576" w14:textId="77777777" w:rsidR="00F23DA5" w:rsidRPr="00E10E33" w:rsidRDefault="00F23DA5" w:rsidP="006C6178">
            <w:pPr>
              <w:contextualSpacing/>
              <w:rPr>
                <w:rFonts w:ascii="Times New Roman" w:hAnsi="Times New Roman" w:cs="Times New Roman"/>
                <w:b w:val="0"/>
                <w:sz w:val="22"/>
                <w:szCs w:val="22"/>
              </w:rPr>
            </w:pPr>
          </w:p>
        </w:tc>
        <w:tc>
          <w:tcPr>
            <w:tcW w:w="8788" w:type="dxa"/>
            <w:shd w:val="clear" w:color="auto" w:fill="auto"/>
            <w:hideMark/>
          </w:tcPr>
          <w:p w14:paraId="676E78F6"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Slope of phenological traits on precipitation</w:t>
            </w:r>
          </w:p>
        </w:tc>
        <w:tc>
          <w:tcPr>
            <w:tcW w:w="992" w:type="dxa"/>
            <w:shd w:val="clear" w:color="auto" w:fill="auto"/>
            <w:noWrap/>
            <w:hideMark/>
          </w:tcPr>
          <w:p w14:paraId="14235EF2"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0.750</w:t>
            </w:r>
          </w:p>
        </w:tc>
        <w:tc>
          <w:tcPr>
            <w:tcW w:w="1041" w:type="dxa"/>
            <w:shd w:val="clear" w:color="auto" w:fill="auto"/>
            <w:noWrap/>
            <w:hideMark/>
          </w:tcPr>
          <w:p w14:paraId="2BFE1AC5"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4.0</w:t>
            </w:r>
          </w:p>
        </w:tc>
        <w:tc>
          <w:tcPr>
            <w:tcW w:w="1041" w:type="dxa"/>
            <w:shd w:val="clear" w:color="auto" w:fill="auto"/>
            <w:noWrap/>
            <w:hideMark/>
          </w:tcPr>
          <w:p w14:paraId="4E55BB87"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20.5</w:t>
            </w:r>
          </w:p>
        </w:tc>
        <w:tc>
          <w:tcPr>
            <w:tcW w:w="1088" w:type="dxa"/>
            <w:shd w:val="clear" w:color="auto" w:fill="auto"/>
            <w:noWrap/>
            <w:hideMark/>
          </w:tcPr>
          <w:p w14:paraId="4A07FA37"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0.0085</w:t>
            </w:r>
          </w:p>
        </w:tc>
      </w:tr>
      <w:tr w:rsidR="00F23DA5" w:rsidRPr="00E10E33" w14:paraId="311E19A4" w14:textId="77777777" w:rsidTr="00403ECC">
        <w:trPr>
          <w:trHeight w:val="61"/>
        </w:trPr>
        <w:tc>
          <w:tcPr>
            <w:cnfStyle w:val="001000000000" w:firstRow="0" w:lastRow="0" w:firstColumn="1" w:lastColumn="0" w:oddVBand="0" w:evenVBand="0" w:oddHBand="0" w:evenHBand="0" w:firstRowFirstColumn="0" w:firstRowLastColumn="0" w:lastRowFirstColumn="0" w:lastRowLastColumn="0"/>
            <w:tcW w:w="1384" w:type="dxa"/>
            <w:vMerge/>
            <w:tcBorders>
              <w:bottom w:val="single" w:sz="6" w:space="0" w:color="auto"/>
            </w:tcBorders>
            <w:shd w:val="clear" w:color="auto" w:fill="auto"/>
            <w:hideMark/>
          </w:tcPr>
          <w:p w14:paraId="1F20176D" w14:textId="77777777" w:rsidR="00F23DA5" w:rsidRPr="00E10E33" w:rsidRDefault="00F23DA5" w:rsidP="006C6178">
            <w:pPr>
              <w:contextualSpacing/>
              <w:rPr>
                <w:rFonts w:ascii="Times New Roman" w:hAnsi="Times New Roman" w:cs="Times New Roman"/>
                <w:b w:val="0"/>
                <w:sz w:val="22"/>
                <w:szCs w:val="22"/>
              </w:rPr>
            </w:pPr>
          </w:p>
        </w:tc>
        <w:tc>
          <w:tcPr>
            <w:tcW w:w="8788" w:type="dxa"/>
            <w:tcBorders>
              <w:bottom w:val="single" w:sz="6" w:space="0" w:color="auto"/>
            </w:tcBorders>
            <w:shd w:val="clear" w:color="auto" w:fill="auto"/>
            <w:hideMark/>
          </w:tcPr>
          <w:p w14:paraId="2D2F74DC"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Mean selection across phenological traits (presumably induced by precipitation)</w:t>
            </w:r>
          </w:p>
        </w:tc>
        <w:tc>
          <w:tcPr>
            <w:tcW w:w="992" w:type="dxa"/>
            <w:tcBorders>
              <w:bottom w:val="single" w:sz="6" w:space="0" w:color="auto"/>
            </w:tcBorders>
            <w:shd w:val="clear" w:color="auto" w:fill="auto"/>
            <w:noWrap/>
            <w:hideMark/>
          </w:tcPr>
          <w:p w14:paraId="10A2E19C"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0.971</w:t>
            </w:r>
          </w:p>
        </w:tc>
        <w:tc>
          <w:tcPr>
            <w:tcW w:w="1041" w:type="dxa"/>
            <w:tcBorders>
              <w:bottom w:val="single" w:sz="6" w:space="0" w:color="auto"/>
            </w:tcBorders>
            <w:shd w:val="clear" w:color="auto" w:fill="auto"/>
            <w:noWrap/>
            <w:hideMark/>
          </w:tcPr>
          <w:p w14:paraId="53B5CE4D"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34.1</w:t>
            </w:r>
          </w:p>
        </w:tc>
        <w:tc>
          <w:tcPr>
            <w:tcW w:w="1041" w:type="dxa"/>
            <w:tcBorders>
              <w:bottom w:val="single" w:sz="6" w:space="0" w:color="auto"/>
            </w:tcBorders>
            <w:shd w:val="clear" w:color="auto" w:fill="auto"/>
            <w:noWrap/>
            <w:hideMark/>
          </w:tcPr>
          <w:p w14:paraId="00B83565"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348.9</w:t>
            </w:r>
          </w:p>
        </w:tc>
        <w:tc>
          <w:tcPr>
            <w:tcW w:w="1088" w:type="dxa"/>
            <w:tcBorders>
              <w:bottom w:val="single" w:sz="6" w:space="0" w:color="auto"/>
            </w:tcBorders>
            <w:shd w:val="clear" w:color="auto" w:fill="auto"/>
            <w:noWrap/>
            <w:hideMark/>
          </w:tcPr>
          <w:p w14:paraId="35E519DE"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r w:rsidR="00F23DA5" w:rsidRPr="00E10E33" w14:paraId="6801EE64" w14:textId="77777777" w:rsidTr="00403ECC">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1384" w:type="dxa"/>
            <w:vMerge w:val="restart"/>
            <w:tcBorders>
              <w:top w:val="single" w:sz="6" w:space="0" w:color="auto"/>
              <w:bottom w:val="nil"/>
            </w:tcBorders>
            <w:shd w:val="clear" w:color="auto" w:fill="auto"/>
            <w:hideMark/>
          </w:tcPr>
          <w:p w14:paraId="6ACA6C29" w14:textId="77777777" w:rsidR="00F23DA5" w:rsidRPr="00E10E33" w:rsidRDefault="00F23DA5" w:rsidP="006C6178">
            <w:pPr>
              <w:contextualSpacing/>
              <w:rPr>
                <w:rFonts w:ascii="Times New Roman" w:hAnsi="Times New Roman" w:cs="Times New Roman"/>
                <w:b w:val="0"/>
                <w:sz w:val="22"/>
                <w:szCs w:val="22"/>
              </w:rPr>
            </w:pPr>
            <w:r w:rsidRPr="00E10E33">
              <w:rPr>
                <w:rFonts w:ascii="Times New Roman" w:hAnsi="Times New Roman" w:cs="Times New Roman"/>
                <w:b w:val="0"/>
                <w:sz w:val="22"/>
                <w:szCs w:val="22"/>
              </w:rPr>
              <w:t>PRC</w:t>
            </w:r>
          </w:p>
        </w:tc>
        <w:tc>
          <w:tcPr>
            <w:tcW w:w="8788" w:type="dxa"/>
            <w:tcBorders>
              <w:top w:val="single" w:sz="6" w:space="0" w:color="auto"/>
              <w:bottom w:val="nil"/>
            </w:tcBorders>
            <w:shd w:val="clear" w:color="auto" w:fill="auto"/>
            <w:hideMark/>
          </w:tcPr>
          <w:p w14:paraId="72A45AF3"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Slope of temperature on years</w:t>
            </w:r>
          </w:p>
        </w:tc>
        <w:tc>
          <w:tcPr>
            <w:tcW w:w="992" w:type="dxa"/>
            <w:tcBorders>
              <w:top w:val="single" w:sz="6" w:space="0" w:color="auto"/>
              <w:bottom w:val="nil"/>
            </w:tcBorders>
            <w:shd w:val="clear" w:color="auto" w:fill="auto"/>
            <w:noWrap/>
            <w:hideMark/>
          </w:tcPr>
          <w:p w14:paraId="2642186F"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0.542</w:t>
            </w:r>
          </w:p>
        </w:tc>
        <w:tc>
          <w:tcPr>
            <w:tcW w:w="1041" w:type="dxa"/>
            <w:tcBorders>
              <w:top w:val="single" w:sz="6" w:space="0" w:color="auto"/>
              <w:bottom w:val="nil"/>
            </w:tcBorders>
            <w:shd w:val="clear" w:color="auto" w:fill="auto"/>
            <w:noWrap/>
            <w:hideMark/>
          </w:tcPr>
          <w:p w14:paraId="50B0336A"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2.2</w:t>
            </w:r>
          </w:p>
        </w:tc>
        <w:tc>
          <w:tcPr>
            <w:tcW w:w="1041" w:type="dxa"/>
            <w:tcBorders>
              <w:top w:val="single" w:sz="6" w:space="0" w:color="auto"/>
              <w:bottom w:val="nil"/>
            </w:tcBorders>
            <w:shd w:val="clear" w:color="auto" w:fill="auto"/>
            <w:noWrap/>
            <w:hideMark/>
          </w:tcPr>
          <w:p w14:paraId="12B1423A"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2038.6</w:t>
            </w:r>
          </w:p>
        </w:tc>
        <w:tc>
          <w:tcPr>
            <w:tcW w:w="1088" w:type="dxa"/>
            <w:tcBorders>
              <w:top w:val="single" w:sz="6" w:space="0" w:color="auto"/>
              <w:bottom w:val="nil"/>
            </w:tcBorders>
            <w:shd w:val="clear" w:color="auto" w:fill="auto"/>
            <w:noWrap/>
            <w:hideMark/>
          </w:tcPr>
          <w:p w14:paraId="354660F2"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r w:rsidR="00F23DA5" w:rsidRPr="00E10E33" w14:paraId="09E7E7C9" w14:textId="77777777" w:rsidTr="00403ECC">
        <w:trPr>
          <w:trHeight w:val="61"/>
        </w:trPr>
        <w:tc>
          <w:tcPr>
            <w:cnfStyle w:val="001000000000" w:firstRow="0" w:lastRow="0" w:firstColumn="1" w:lastColumn="0" w:oddVBand="0" w:evenVBand="0" w:oddHBand="0" w:evenHBand="0" w:firstRowFirstColumn="0" w:firstRowLastColumn="0" w:lastRowFirstColumn="0" w:lastRowLastColumn="0"/>
            <w:tcW w:w="1384" w:type="dxa"/>
            <w:vMerge/>
            <w:tcBorders>
              <w:top w:val="nil"/>
              <w:bottom w:val="nil"/>
            </w:tcBorders>
            <w:shd w:val="clear" w:color="auto" w:fill="auto"/>
            <w:hideMark/>
          </w:tcPr>
          <w:p w14:paraId="2D23614C" w14:textId="77777777" w:rsidR="00F23DA5" w:rsidRPr="00E10E33" w:rsidRDefault="00F23DA5" w:rsidP="006C6178">
            <w:pPr>
              <w:contextualSpacing/>
              <w:rPr>
                <w:rFonts w:ascii="Times New Roman" w:hAnsi="Times New Roman" w:cs="Times New Roman"/>
                <w:b w:val="0"/>
                <w:sz w:val="22"/>
                <w:szCs w:val="22"/>
              </w:rPr>
            </w:pPr>
          </w:p>
        </w:tc>
        <w:tc>
          <w:tcPr>
            <w:tcW w:w="8788" w:type="dxa"/>
            <w:tcBorders>
              <w:top w:val="nil"/>
              <w:bottom w:val="nil"/>
            </w:tcBorders>
            <w:shd w:val="clear" w:color="auto" w:fill="auto"/>
            <w:hideMark/>
          </w:tcPr>
          <w:p w14:paraId="41587AD3"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Slope of phenological traits on temperature</w:t>
            </w:r>
          </w:p>
        </w:tc>
        <w:tc>
          <w:tcPr>
            <w:tcW w:w="992" w:type="dxa"/>
            <w:tcBorders>
              <w:top w:val="nil"/>
              <w:bottom w:val="nil"/>
            </w:tcBorders>
            <w:shd w:val="clear" w:color="auto" w:fill="auto"/>
            <w:noWrap/>
            <w:hideMark/>
          </w:tcPr>
          <w:p w14:paraId="7A6CBECD"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0.716</w:t>
            </w:r>
          </w:p>
        </w:tc>
        <w:tc>
          <w:tcPr>
            <w:tcW w:w="1041" w:type="dxa"/>
            <w:tcBorders>
              <w:top w:val="nil"/>
              <w:bottom w:val="nil"/>
            </w:tcBorders>
            <w:shd w:val="clear" w:color="auto" w:fill="auto"/>
            <w:noWrap/>
            <w:hideMark/>
          </w:tcPr>
          <w:p w14:paraId="38E0A99F"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3.5</w:t>
            </w:r>
          </w:p>
        </w:tc>
        <w:tc>
          <w:tcPr>
            <w:tcW w:w="1041" w:type="dxa"/>
            <w:tcBorders>
              <w:top w:val="nil"/>
              <w:bottom w:val="nil"/>
            </w:tcBorders>
            <w:shd w:val="clear" w:color="auto" w:fill="auto"/>
            <w:noWrap/>
            <w:hideMark/>
          </w:tcPr>
          <w:p w14:paraId="1DD80903"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13818.1</w:t>
            </w:r>
          </w:p>
        </w:tc>
        <w:tc>
          <w:tcPr>
            <w:tcW w:w="1088" w:type="dxa"/>
            <w:tcBorders>
              <w:top w:val="nil"/>
              <w:bottom w:val="nil"/>
            </w:tcBorders>
            <w:shd w:val="clear" w:color="auto" w:fill="auto"/>
            <w:noWrap/>
            <w:hideMark/>
          </w:tcPr>
          <w:p w14:paraId="03DE802D"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r w:rsidR="00F23DA5" w:rsidRPr="00E10E33" w14:paraId="27E29D05" w14:textId="77777777" w:rsidTr="00403ECC">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1384" w:type="dxa"/>
            <w:vMerge/>
            <w:tcBorders>
              <w:top w:val="nil"/>
              <w:bottom w:val="nil"/>
            </w:tcBorders>
            <w:shd w:val="clear" w:color="auto" w:fill="auto"/>
            <w:hideMark/>
          </w:tcPr>
          <w:p w14:paraId="20B3CEA8" w14:textId="77777777" w:rsidR="00F23DA5" w:rsidRPr="00E10E33" w:rsidRDefault="00F23DA5" w:rsidP="006C6178">
            <w:pPr>
              <w:contextualSpacing/>
              <w:rPr>
                <w:rFonts w:ascii="Times New Roman" w:hAnsi="Times New Roman" w:cs="Times New Roman"/>
                <w:b w:val="0"/>
                <w:sz w:val="22"/>
                <w:szCs w:val="22"/>
              </w:rPr>
            </w:pPr>
          </w:p>
        </w:tc>
        <w:tc>
          <w:tcPr>
            <w:tcW w:w="8788" w:type="dxa"/>
            <w:tcBorders>
              <w:top w:val="nil"/>
              <w:bottom w:val="nil"/>
            </w:tcBorders>
            <w:shd w:val="clear" w:color="auto" w:fill="auto"/>
            <w:hideMark/>
          </w:tcPr>
          <w:p w14:paraId="2D0BC532"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Slope of morphological traits on temperature</w:t>
            </w:r>
          </w:p>
        </w:tc>
        <w:tc>
          <w:tcPr>
            <w:tcW w:w="992" w:type="dxa"/>
            <w:tcBorders>
              <w:top w:val="nil"/>
              <w:bottom w:val="nil"/>
            </w:tcBorders>
            <w:shd w:val="clear" w:color="auto" w:fill="auto"/>
            <w:noWrap/>
            <w:hideMark/>
          </w:tcPr>
          <w:p w14:paraId="3798D18D"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0.301</w:t>
            </w:r>
          </w:p>
        </w:tc>
        <w:tc>
          <w:tcPr>
            <w:tcW w:w="1041" w:type="dxa"/>
            <w:tcBorders>
              <w:top w:val="nil"/>
              <w:bottom w:val="nil"/>
            </w:tcBorders>
            <w:shd w:val="clear" w:color="auto" w:fill="auto"/>
            <w:noWrap/>
            <w:hideMark/>
          </w:tcPr>
          <w:p w14:paraId="7CABE583"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1.4</w:t>
            </w:r>
          </w:p>
        </w:tc>
        <w:tc>
          <w:tcPr>
            <w:tcW w:w="1041" w:type="dxa"/>
            <w:tcBorders>
              <w:top w:val="nil"/>
              <w:bottom w:val="nil"/>
            </w:tcBorders>
            <w:shd w:val="clear" w:color="auto" w:fill="auto"/>
            <w:noWrap/>
            <w:hideMark/>
          </w:tcPr>
          <w:p w14:paraId="6990C3E1"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193.2</w:t>
            </w:r>
          </w:p>
        </w:tc>
        <w:tc>
          <w:tcPr>
            <w:tcW w:w="1088" w:type="dxa"/>
            <w:tcBorders>
              <w:top w:val="nil"/>
              <w:bottom w:val="nil"/>
            </w:tcBorders>
            <w:shd w:val="clear" w:color="auto" w:fill="auto"/>
            <w:noWrap/>
            <w:hideMark/>
          </w:tcPr>
          <w:p w14:paraId="71B78127"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0.0001</w:t>
            </w:r>
          </w:p>
        </w:tc>
      </w:tr>
      <w:tr w:rsidR="00F23DA5" w:rsidRPr="00E10E33" w14:paraId="27445780" w14:textId="77777777" w:rsidTr="00403ECC">
        <w:trPr>
          <w:trHeight w:val="61"/>
        </w:trPr>
        <w:tc>
          <w:tcPr>
            <w:cnfStyle w:val="001000000000" w:firstRow="0" w:lastRow="0" w:firstColumn="1" w:lastColumn="0" w:oddVBand="0" w:evenVBand="0" w:oddHBand="0" w:evenHBand="0" w:firstRowFirstColumn="0" w:firstRowLastColumn="0" w:lastRowFirstColumn="0" w:lastRowLastColumn="0"/>
            <w:tcW w:w="1384" w:type="dxa"/>
            <w:vMerge/>
            <w:tcBorders>
              <w:top w:val="nil"/>
              <w:bottom w:val="nil"/>
            </w:tcBorders>
            <w:shd w:val="clear" w:color="auto" w:fill="auto"/>
            <w:hideMark/>
          </w:tcPr>
          <w:p w14:paraId="3BAE995D" w14:textId="77777777" w:rsidR="00F23DA5" w:rsidRPr="00E10E33" w:rsidRDefault="00F23DA5" w:rsidP="006C6178">
            <w:pPr>
              <w:contextualSpacing/>
              <w:rPr>
                <w:rFonts w:ascii="Times New Roman" w:hAnsi="Times New Roman" w:cs="Times New Roman"/>
                <w:b w:val="0"/>
                <w:sz w:val="22"/>
                <w:szCs w:val="22"/>
              </w:rPr>
            </w:pPr>
          </w:p>
        </w:tc>
        <w:tc>
          <w:tcPr>
            <w:tcW w:w="8788" w:type="dxa"/>
            <w:tcBorders>
              <w:top w:val="nil"/>
              <w:bottom w:val="nil"/>
            </w:tcBorders>
            <w:shd w:val="clear" w:color="auto" w:fill="auto"/>
            <w:hideMark/>
          </w:tcPr>
          <w:p w14:paraId="343E68BE"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Slope of precipitation on years</w:t>
            </w:r>
          </w:p>
        </w:tc>
        <w:tc>
          <w:tcPr>
            <w:tcW w:w="992" w:type="dxa"/>
            <w:tcBorders>
              <w:top w:val="nil"/>
              <w:bottom w:val="nil"/>
            </w:tcBorders>
            <w:shd w:val="clear" w:color="auto" w:fill="auto"/>
            <w:noWrap/>
            <w:hideMark/>
          </w:tcPr>
          <w:p w14:paraId="59450056"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0.211</w:t>
            </w:r>
          </w:p>
        </w:tc>
        <w:tc>
          <w:tcPr>
            <w:tcW w:w="1041" w:type="dxa"/>
            <w:tcBorders>
              <w:top w:val="nil"/>
              <w:bottom w:val="nil"/>
            </w:tcBorders>
            <w:shd w:val="clear" w:color="auto" w:fill="auto"/>
            <w:noWrap/>
            <w:hideMark/>
          </w:tcPr>
          <w:p w14:paraId="472ACFBD"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1.3</w:t>
            </w:r>
          </w:p>
        </w:tc>
        <w:tc>
          <w:tcPr>
            <w:tcW w:w="1041" w:type="dxa"/>
            <w:tcBorders>
              <w:top w:val="nil"/>
              <w:bottom w:val="nil"/>
            </w:tcBorders>
            <w:shd w:val="clear" w:color="auto" w:fill="auto"/>
            <w:noWrap/>
            <w:hideMark/>
          </w:tcPr>
          <w:p w14:paraId="50706019"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50.2</w:t>
            </w:r>
          </w:p>
        </w:tc>
        <w:tc>
          <w:tcPr>
            <w:tcW w:w="1088" w:type="dxa"/>
            <w:tcBorders>
              <w:top w:val="nil"/>
              <w:bottom w:val="nil"/>
            </w:tcBorders>
            <w:shd w:val="clear" w:color="auto" w:fill="auto"/>
            <w:noWrap/>
            <w:hideMark/>
          </w:tcPr>
          <w:p w14:paraId="02238224"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0.3857</w:t>
            </w:r>
          </w:p>
        </w:tc>
      </w:tr>
      <w:tr w:rsidR="00F23DA5" w:rsidRPr="00E10E33" w14:paraId="59B19641" w14:textId="77777777" w:rsidTr="00403ECC">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1384" w:type="dxa"/>
            <w:vMerge/>
            <w:tcBorders>
              <w:top w:val="nil"/>
              <w:bottom w:val="single" w:sz="6" w:space="0" w:color="auto"/>
            </w:tcBorders>
            <w:shd w:val="clear" w:color="auto" w:fill="auto"/>
            <w:hideMark/>
          </w:tcPr>
          <w:p w14:paraId="03DD9ABB" w14:textId="77777777" w:rsidR="00F23DA5" w:rsidRPr="00E10E33" w:rsidRDefault="00F23DA5" w:rsidP="006C6178">
            <w:pPr>
              <w:contextualSpacing/>
              <w:rPr>
                <w:rFonts w:ascii="Times New Roman" w:hAnsi="Times New Roman" w:cs="Times New Roman"/>
                <w:b w:val="0"/>
                <w:sz w:val="22"/>
                <w:szCs w:val="22"/>
              </w:rPr>
            </w:pPr>
          </w:p>
        </w:tc>
        <w:tc>
          <w:tcPr>
            <w:tcW w:w="8788" w:type="dxa"/>
            <w:tcBorders>
              <w:top w:val="nil"/>
              <w:bottom w:val="single" w:sz="6" w:space="0" w:color="auto"/>
            </w:tcBorders>
            <w:shd w:val="clear" w:color="auto" w:fill="auto"/>
            <w:hideMark/>
          </w:tcPr>
          <w:p w14:paraId="67859827"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Slope of phenological traits on precipitation</w:t>
            </w:r>
          </w:p>
        </w:tc>
        <w:tc>
          <w:tcPr>
            <w:tcW w:w="992" w:type="dxa"/>
            <w:tcBorders>
              <w:top w:val="nil"/>
              <w:bottom w:val="single" w:sz="6" w:space="0" w:color="auto"/>
            </w:tcBorders>
            <w:shd w:val="clear" w:color="auto" w:fill="auto"/>
            <w:noWrap/>
            <w:hideMark/>
          </w:tcPr>
          <w:p w14:paraId="0B2AEE0F"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0.634</w:t>
            </w:r>
          </w:p>
        </w:tc>
        <w:tc>
          <w:tcPr>
            <w:tcW w:w="1041" w:type="dxa"/>
            <w:tcBorders>
              <w:top w:val="nil"/>
              <w:bottom w:val="single" w:sz="6" w:space="0" w:color="auto"/>
            </w:tcBorders>
            <w:shd w:val="clear" w:color="auto" w:fill="auto"/>
            <w:noWrap/>
            <w:hideMark/>
          </w:tcPr>
          <w:p w14:paraId="08FB596B"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2.7</w:t>
            </w:r>
          </w:p>
        </w:tc>
        <w:tc>
          <w:tcPr>
            <w:tcW w:w="1041" w:type="dxa"/>
            <w:tcBorders>
              <w:top w:val="nil"/>
              <w:bottom w:val="single" w:sz="6" w:space="0" w:color="auto"/>
            </w:tcBorders>
            <w:shd w:val="clear" w:color="auto" w:fill="auto"/>
            <w:noWrap/>
            <w:hideMark/>
          </w:tcPr>
          <w:p w14:paraId="2DA2188B"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762.6</w:t>
            </w:r>
          </w:p>
        </w:tc>
        <w:tc>
          <w:tcPr>
            <w:tcW w:w="1088" w:type="dxa"/>
            <w:tcBorders>
              <w:top w:val="nil"/>
              <w:bottom w:val="single" w:sz="6" w:space="0" w:color="auto"/>
            </w:tcBorders>
            <w:shd w:val="clear" w:color="auto" w:fill="auto"/>
            <w:noWrap/>
            <w:hideMark/>
          </w:tcPr>
          <w:p w14:paraId="3E944897"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r w:rsidR="00F23DA5" w:rsidRPr="00E10E33" w14:paraId="358D52C6" w14:textId="77777777" w:rsidTr="00403ECC">
        <w:trPr>
          <w:trHeight w:val="61"/>
        </w:trPr>
        <w:tc>
          <w:tcPr>
            <w:cnfStyle w:val="001000000000" w:firstRow="0" w:lastRow="0" w:firstColumn="1" w:lastColumn="0" w:oddVBand="0" w:evenVBand="0" w:oddHBand="0" w:evenHBand="0" w:firstRowFirstColumn="0" w:firstRowLastColumn="0" w:lastRowFirstColumn="0" w:lastRowLastColumn="0"/>
            <w:tcW w:w="1384" w:type="dxa"/>
            <w:vMerge w:val="restart"/>
            <w:tcBorders>
              <w:top w:val="single" w:sz="6" w:space="0" w:color="auto"/>
              <w:bottom w:val="nil"/>
            </w:tcBorders>
            <w:shd w:val="clear" w:color="auto" w:fill="auto"/>
            <w:hideMark/>
          </w:tcPr>
          <w:p w14:paraId="0CDE2DCF" w14:textId="77777777" w:rsidR="00F23DA5" w:rsidRPr="00E10E33" w:rsidRDefault="00F23DA5" w:rsidP="006C6178">
            <w:pPr>
              <w:contextualSpacing/>
              <w:rPr>
                <w:rFonts w:ascii="Times New Roman" w:hAnsi="Times New Roman" w:cs="Times New Roman"/>
                <w:b w:val="0"/>
                <w:sz w:val="22"/>
                <w:szCs w:val="22"/>
              </w:rPr>
            </w:pPr>
            <w:r>
              <w:rPr>
                <w:rFonts w:ascii="Times New Roman" w:hAnsi="Times New Roman" w:cs="Times New Roman"/>
                <w:b w:val="0"/>
                <w:sz w:val="22"/>
                <w:szCs w:val="22"/>
              </w:rPr>
              <w:t xml:space="preserve">Sensitivity analysis, </w:t>
            </w:r>
            <w:r w:rsidRPr="00E10E33">
              <w:rPr>
                <w:rFonts w:ascii="Times New Roman" w:hAnsi="Times New Roman" w:cs="Times New Roman"/>
                <w:b w:val="0"/>
                <w:sz w:val="22"/>
                <w:szCs w:val="22"/>
              </w:rPr>
              <w:t>PRCS dataset</w:t>
            </w:r>
          </w:p>
        </w:tc>
        <w:tc>
          <w:tcPr>
            <w:tcW w:w="8788" w:type="dxa"/>
            <w:tcBorders>
              <w:top w:val="single" w:sz="6" w:space="0" w:color="auto"/>
              <w:bottom w:val="nil"/>
            </w:tcBorders>
            <w:shd w:val="clear" w:color="auto" w:fill="auto"/>
            <w:hideMark/>
          </w:tcPr>
          <w:p w14:paraId="42900AC8" w14:textId="0E78FFC2" w:rsidR="00F23DA5" w:rsidRPr="00E10E33" w:rsidRDefault="00F23DA5" w:rsidP="00E07C04">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Slope of phenological traits on temperature after removing an outlier (Goodenough et al. 2011)</w:t>
            </w:r>
            <w:r>
              <w:rPr>
                <w:rFonts w:ascii="Times New Roman" w:hAnsi="Times New Roman" w:cs="Times New Roman"/>
                <w:sz w:val="22"/>
                <w:szCs w:val="22"/>
              </w:rPr>
              <w:fldChar w:fldCharType="begin" w:fldLock="1"/>
            </w:r>
            <w:r w:rsidR="00E07C04">
              <w:rPr>
                <w:rFonts w:ascii="Times New Roman" w:hAnsi="Times New Roman" w:cs="Times New Roman"/>
                <w:sz w:val="22"/>
                <w:szCs w:val="22"/>
              </w:rPr>
              <w:instrText>ADDIN CSL_CITATION {"citationItems":[{"id":"ITEM-1","itemData":{"DOI":"10.1007/s00484-010-0312-6","ISBN":"0020-7128","ISSN":"00207128","PMID":"20405299","abstract":"Phenological studies have demonstrated changes in the timing of seasonal events across multiple taxonomic groups as the climate warms. Some northern European migrant bird populations, however, show little or no significant change in breeding phenology, resulting in synchrony with key food sources becoming mismatched. This phenological inertia has often been ascribed to migration constraints (i.e. arrival date at breeding grounds preventing earlier laying). This has been based primarily on research in The Netherlands and Germany where time between arrival and breeding is short (often as few as 9 days). Here, we test the arrival constraint hypothesis over a 15-year period for a U.K. pied flycatcher (Ficedula hypoleuca) population where laying date is not constrained by arrival as the period between arrival and breeding is substantial and consistent (average 27 ± 4.57 days SD). Despite increasing spring temperatures and quantifiably stronger selection for early laying on the basis of number of offspring to fledge, we found no significant change in breeding phenology, in contrast with co-occurring resident blue tits (Cyanistes caeruleus). We discuss possible non-migratory constraints on phenological adjustment, including limitations on plasticity, genetic constraints and competition, as well as the possibility of counter-selection pressures relating to adult survival, longevity or future reproductive success. We propose that such factors need to be considered in conjunction with the arrival constraint hypothesis.","author":[{"dropping-particle":"","family":"Goodenough","given":"Anne E.","non-dropping-particle":"","parse-names":false,"suffix":""},{"dropping-particle":"","family":"Hart","given":"Adam G.","non-dropping-particle":"","parse-names":false,"suffix":""},{"dropping-particle":"","family":"Elliot","given":"Simon L.","non-dropping-particle":"","parse-names":false,"suffix":""}],"container-title":"International Journal of Biometeorology","id":"ITEM-1","issue":"1","issued":{"date-parts":[["2011"]]},"page":"97-102","title":"What prevents phenological adjustment to climate change in migrant bird species? Evidence against the \"arrival constraint\" hypothesis","type":"article-journal","volume":"55"},"uris":["http://www.mendeley.com/documents/?uuid=1b128748-219e-446f-b26e-a5f91f03ebf6"]}],"mendeley":{"formattedCitation":"&lt;sup&gt;3&lt;/sup&gt;","plainTextFormattedCitation":"3","previouslyFormattedCitation":"&lt;sup&gt;3&lt;/sup&gt;"},"properties":{"noteIndex":0},"schema":"https://github.com/citation-style-language/schema/raw/master/csl-citation.json"}</w:instrText>
            </w:r>
            <w:r>
              <w:rPr>
                <w:rFonts w:ascii="Times New Roman" w:hAnsi="Times New Roman" w:cs="Times New Roman"/>
                <w:sz w:val="22"/>
                <w:szCs w:val="22"/>
              </w:rPr>
              <w:fldChar w:fldCharType="separate"/>
            </w:r>
            <w:r w:rsidR="00E07C04" w:rsidRPr="00E07C04">
              <w:rPr>
                <w:rFonts w:ascii="Times New Roman" w:hAnsi="Times New Roman" w:cs="Times New Roman"/>
                <w:noProof/>
                <w:sz w:val="22"/>
                <w:szCs w:val="22"/>
                <w:vertAlign w:val="superscript"/>
              </w:rPr>
              <w:t>3</w:t>
            </w:r>
            <w:r>
              <w:rPr>
                <w:rFonts w:ascii="Times New Roman" w:hAnsi="Times New Roman" w:cs="Times New Roman"/>
                <w:sz w:val="22"/>
                <w:szCs w:val="22"/>
              </w:rPr>
              <w:fldChar w:fldCharType="end"/>
            </w:r>
          </w:p>
        </w:tc>
        <w:tc>
          <w:tcPr>
            <w:tcW w:w="992" w:type="dxa"/>
            <w:tcBorders>
              <w:top w:val="single" w:sz="6" w:space="0" w:color="auto"/>
              <w:bottom w:val="nil"/>
            </w:tcBorders>
            <w:shd w:val="clear" w:color="auto" w:fill="auto"/>
            <w:noWrap/>
            <w:hideMark/>
          </w:tcPr>
          <w:p w14:paraId="2AFA776B"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0.914</w:t>
            </w:r>
          </w:p>
        </w:tc>
        <w:tc>
          <w:tcPr>
            <w:tcW w:w="1041" w:type="dxa"/>
            <w:tcBorders>
              <w:top w:val="single" w:sz="6" w:space="0" w:color="auto"/>
              <w:bottom w:val="nil"/>
            </w:tcBorders>
            <w:shd w:val="clear" w:color="auto" w:fill="auto"/>
            <w:noWrap/>
            <w:hideMark/>
          </w:tcPr>
          <w:p w14:paraId="65C418C3"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11.7</w:t>
            </w:r>
          </w:p>
        </w:tc>
        <w:tc>
          <w:tcPr>
            <w:tcW w:w="1041" w:type="dxa"/>
            <w:tcBorders>
              <w:top w:val="single" w:sz="6" w:space="0" w:color="auto"/>
              <w:bottom w:val="nil"/>
            </w:tcBorders>
            <w:shd w:val="clear" w:color="auto" w:fill="auto"/>
            <w:noWrap/>
            <w:hideMark/>
          </w:tcPr>
          <w:p w14:paraId="2EF6E953"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360.1</w:t>
            </w:r>
          </w:p>
        </w:tc>
        <w:tc>
          <w:tcPr>
            <w:tcW w:w="1088" w:type="dxa"/>
            <w:tcBorders>
              <w:top w:val="single" w:sz="6" w:space="0" w:color="auto"/>
              <w:bottom w:val="nil"/>
            </w:tcBorders>
            <w:shd w:val="clear" w:color="auto" w:fill="auto"/>
            <w:noWrap/>
            <w:hideMark/>
          </w:tcPr>
          <w:p w14:paraId="5161F1FD"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r w:rsidR="00F23DA5" w:rsidRPr="00E10E33" w14:paraId="651A4A14" w14:textId="77777777" w:rsidTr="00403ECC">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1384" w:type="dxa"/>
            <w:vMerge/>
            <w:tcBorders>
              <w:top w:val="nil"/>
              <w:bottom w:val="nil"/>
            </w:tcBorders>
            <w:shd w:val="clear" w:color="auto" w:fill="auto"/>
            <w:hideMark/>
          </w:tcPr>
          <w:p w14:paraId="09AD43EF" w14:textId="77777777" w:rsidR="00F23DA5" w:rsidRPr="00E10E33" w:rsidRDefault="00F23DA5" w:rsidP="006C6178">
            <w:pPr>
              <w:contextualSpacing/>
              <w:rPr>
                <w:rFonts w:ascii="Times New Roman" w:hAnsi="Times New Roman" w:cs="Times New Roman"/>
                <w:b w:val="0"/>
                <w:sz w:val="22"/>
                <w:szCs w:val="22"/>
              </w:rPr>
            </w:pPr>
          </w:p>
        </w:tc>
        <w:tc>
          <w:tcPr>
            <w:tcW w:w="8788" w:type="dxa"/>
            <w:tcBorders>
              <w:top w:val="nil"/>
              <w:bottom w:val="nil"/>
            </w:tcBorders>
            <w:shd w:val="clear" w:color="auto" w:fill="auto"/>
            <w:hideMark/>
          </w:tcPr>
          <w:p w14:paraId="5713DEAC" w14:textId="16D34008" w:rsidR="00F23DA5" w:rsidRPr="00E10E33" w:rsidRDefault="00F23DA5" w:rsidP="00E07C04">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Mean selection across phenological traits (presumably induced by temperature) after removing an outlier (Goodenough et al. 2011)</w:t>
            </w:r>
            <w:r>
              <w:rPr>
                <w:rFonts w:ascii="Times New Roman" w:hAnsi="Times New Roman" w:cs="Times New Roman"/>
                <w:sz w:val="22"/>
                <w:szCs w:val="22"/>
              </w:rPr>
              <w:fldChar w:fldCharType="begin" w:fldLock="1"/>
            </w:r>
            <w:r w:rsidR="00E07C04">
              <w:rPr>
                <w:rFonts w:ascii="Times New Roman" w:hAnsi="Times New Roman" w:cs="Times New Roman"/>
                <w:sz w:val="22"/>
                <w:szCs w:val="22"/>
              </w:rPr>
              <w:instrText>ADDIN CSL_CITATION {"citationItems":[{"id":"ITEM-1","itemData":{"DOI":"10.1007/s00484-010-0312-6","ISBN":"0020-7128","ISSN":"00207128","PMID":"20405299","abstract":"Phenological studies have demonstrated changes in the timing of seasonal events across multiple taxonomic groups as the climate warms. Some northern European migrant bird populations, however, show little or no significant change in breeding phenology, resulting in synchrony with key food sources becoming mismatched. This phenological inertia has often been ascribed to migration constraints (i.e. arrival date at breeding grounds preventing earlier laying). This has been based primarily on research in The Netherlands and Germany where time between arrival and breeding is short (often as few as 9 days). Here, we test the arrival constraint hypothesis over a 15-year period for a U.K. pied flycatcher (Ficedula hypoleuca) population where laying date is not constrained by arrival as the period between arrival and breeding is substantial and consistent (average 27 ± 4.57 days SD). Despite increasing spring temperatures and quantifiably stronger selection for early laying on the basis of number of offspring to fledge, we found no significant change in breeding phenology, in contrast with co-occurring resident blue tits (Cyanistes caeruleus). We discuss possible non-migratory constraints on phenological adjustment, including limitations on plasticity, genetic constraints and competition, as well as the possibility of counter-selection pressures relating to adult survival, longevity or future reproductive success. We propose that such factors need to be considered in conjunction with the arrival constraint hypothesis.","author":[{"dropping-particle":"","family":"Goodenough","given":"Anne E.","non-dropping-particle":"","parse-names":false,"suffix":""},{"dropping-particle":"","family":"Hart","given":"Adam G.","non-dropping-particle":"","parse-names":false,"suffix":""},{"dropping-particle":"","family":"Elliot","given":"Simon L.","non-dropping-particle":"","parse-names":false,"suffix":""}],"container-title":"International Journal of Biometeorology","id":"ITEM-1","issue":"1","issued":{"date-parts":[["2011"]]},"page":"97-102","title":"What prevents phenological adjustment to climate change in migrant bird species? Evidence against the \"arrival constraint\" hypothesis","type":"article-journal","volume":"55"},"uris":["http://www.mendeley.com/documents/?uuid=1b128748-219e-446f-b26e-a5f91f03ebf6"]}],"mendeley":{"formattedCitation":"&lt;sup&gt;3&lt;/sup&gt;","plainTextFormattedCitation":"3","previouslyFormattedCitation":"&lt;sup&gt;3&lt;/sup&gt;"},"properties":{"noteIndex":0},"schema":"https://github.com/citation-style-language/schema/raw/master/csl-citation.json"}</w:instrText>
            </w:r>
            <w:r>
              <w:rPr>
                <w:rFonts w:ascii="Times New Roman" w:hAnsi="Times New Roman" w:cs="Times New Roman"/>
                <w:sz w:val="22"/>
                <w:szCs w:val="22"/>
              </w:rPr>
              <w:fldChar w:fldCharType="separate"/>
            </w:r>
            <w:r w:rsidR="00E07C04" w:rsidRPr="00E07C04">
              <w:rPr>
                <w:rFonts w:ascii="Times New Roman" w:hAnsi="Times New Roman" w:cs="Times New Roman"/>
                <w:noProof/>
                <w:sz w:val="22"/>
                <w:szCs w:val="22"/>
                <w:vertAlign w:val="superscript"/>
              </w:rPr>
              <w:t>3</w:t>
            </w:r>
            <w:r>
              <w:rPr>
                <w:rFonts w:ascii="Times New Roman" w:hAnsi="Times New Roman" w:cs="Times New Roman"/>
                <w:sz w:val="22"/>
                <w:szCs w:val="22"/>
              </w:rPr>
              <w:fldChar w:fldCharType="end"/>
            </w:r>
          </w:p>
        </w:tc>
        <w:tc>
          <w:tcPr>
            <w:tcW w:w="992" w:type="dxa"/>
            <w:tcBorders>
              <w:top w:val="nil"/>
              <w:bottom w:val="nil"/>
            </w:tcBorders>
            <w:shd w:val="clear" w:color="auto" w:fill="auto"/>
            <w:noWrap/>
            <w:hideMark/>
          </w:tcPr>
          <w:p w14:paraId="305244D3"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1.000</w:t>
            </w:r>
          </w:p>
        </w:tc>
        <w:tc>
          <w:tcPr>
            <w:tcW w:w="1041" w:type="dxa"/>
            <w:tcBorders>
              <w:top w:val="nil"/>
              <w:bottom w:val="nil"/>
            </w:tcBorders>
            <w:shd w:val="clear" w:color="auto" w:fill="auto"/>
            <w:noWrap/>
            <w:hideMark/>
          </w:tcPr>
          <w:p w14:paraId="5F273269"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38169.4</w:t>
            </w:r>
          </w:p>
        </w:tc>
        <w:tc>
          <w:tcPr>
            <w:tcW w:w="1041" w:type="dxa"/>
            <w:tcBorders>
              <w:top w:val="nil"/>
              <w:bottom w:val="nil"/>
            </w:tcBorders>
            <w:shd w:val="clear" w:color="auto" w:fill="auto"/>
            <w:noWrap/>
            <w:hideMark/>
          </w:tcPr>
          <w:p w14:paraId="7DC5C53A"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412972.2</w:t>
            </w:r>
          </w:p>
        </w:tc>
        <w:tc>
          <w:tcPr>
            <w:tcW w:w="1088" w:type="dxa"/>
            <w:tcBorders>
              <w:top w:val="nil"/>
              <w:bottom w:val="nil"/>
            </w:tcBorders>
            <w:shd w:val="clear" w:color="auto" w:fill="auto"/>
            <w:noWrap/>
            <w:hideMark/>
          </w:tcPr>
          <w:p w14:paraId="272C2F2B"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r w:rsidR="00F23DA5" w:rsidRPr="00E10E33" w14:paraId="28989C01" w14:textId="77777777" w:rsidTr="00403ECC">
        <w:trPr>
          <w:trHeight w:val="61"/>
        </w:trPr>
        <w:tc>
          <w:tcPr>
            <w:cnfStyle w:val="001000000000" w:firstRow="0" w:lastRow="0" w:firstColumn="1" w:lastColumn="0" w:oddVBand="0" w:evenVBand="0" w:oddHBand="0" w:evenHBand="0" w:firstRowFirstColumn="0" w:firstRowLastColumn="0" w:lastRowFirstColumn="0" w:lastRowLastColumn="0"/>
            <w:tcW w:w="1384" w:type="dxa"/>
            <w:vMerge/>
            <w:tcBorders>
              <w:top w:val="nil"/>
              <w:bottom w:val="nil"/>
            </w:tcBorders>
            <w:shd w:val="clear" w:color="auto" w:fill="auto"/>
            <w:hideMark/>
          </w:tcPr>
          <w:p w14:paraId="3C98C9B7" w14:textId="77777777" w:rsidR="00F23DA5" w:rsidRPr="00E10E33" w:rsidRDefault="00F23DA5" w:rsidP="006C6178">
            <w:pPr>
              <w:contextualSpacing/>
              <w:rPr>
                <w:rFonts w:ascii="Times New Roman" w:hAnsi="Times New Roman" w:cs="Times New Roman"/>
                <w:b w:val="0"/>
                <w:sz w:val="22"/>
                <w:szCs w:val="22"/>
              </w:rPr>
            </w:pPr>
          </w:p>
        </w:tc>
        <w:tc>
          <w:tcPr>
            <w:tcW w:w="8788" w:type="dxa"/>
            <w:tcBorders>
              <w:top w:val="nil"/>
              <w:bottom w:val="nil"/>
            </w:tcBorders>
            <w:shd w:val="clear" w:color="auto" w:fill="auto"/>
            <w:hideMark/>
          </w:tcPr>
          <w:p w14:paraId="4C7F5343" w14:textId="235B69CF" w:rsidR="00F23DA5" w:rsidRPr="00E10E33" w:rsidRDefault="00F23DA5" w:rsidP="00E07C04">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Slope of phenological trait</w:t>
            </w:r>
            <w:r>
              <w:rPr>
                <w:rFonts w:ascii="Times New Roman" w:hAnsi="Times New Roman" w:cs="Times New Roman"/>
                <w:sz w:val="22"/>
                <w:szCs w:val="22"/>
              </w:rPr>
              <w:t>s on temperature after removing</w:t>
            </w:r>
            <w:r w:rsidRPr="00E10E33">
              <w:rPr>
                <w:rFonts w:ascii="Times New Roman" w:hAnsi="Times New Roman" w:cs="Times New Roman"/>
                <w:sz w:val="22"/>
                <w:szCs w:val="22"/>
              </w:rPr>
              <w:t xml:space="preserve"> the only study on mammal (Plard et al. 2014)</w:t>
            </w:r>
            <w:r>
              <w:rPr>
                <w:rFonts w:ascii="Times New Roman" w:hAnsi="Times New Roman" w:cs="Times New Roman"/>
                <w:sz w:val="22"/>
                <w:szCs w:val="22"/>
              </w:rPr>
              <w:fldChar w:fldCharType="begin" w:fldLock="1"/>
            </w:r>
            <w:r w:rsidR="00702BB9">
              <w:rPr>
                <w:rFonts w:ascii="Times New Roman" w:hAnsi="Times New Roman" w:cs="Times New Roman"/>
                <w:sz w:val="22"/>
                <w:szCs w:val="22"/>
              </w:rPr>
              <w:instrText>ADDIN CSL_CITATION {"citationItems":[{"id":"ITEM-1","itemData":{"DOI":"10.1371/journal.pbio.1001828","ISBN":"1545-7885 (Electronic)\\r1544-9173 (Linking)","ISSN":"15457885","PMID":"24690936","abstract":"Marked impacts of climate change on biodiversity have frequently been demonstrated, including temperature-related shifts in phenology and life-history traits. One potential major impact of climate change is the modification of synchronization between the phenology of different trophic levels. High phenotypic plasticity in laying date has allowed many bird species to track the increasingly early springs resulting from recent environmental change, but although changes in the timing of reproduction have been well studied in birds, these questions have only recently been addressed in mammals. To track peak resource availability, large herbivores like roe deer, with a widespread distribution across Europe, should also modify their life-history schedule in response to changes in vegetation phenology over time. In this study, we analysed the influence of climate change on the timing of roe deer births and the consequences for population demography and individual fitness. Our study provides a rare quantification of the demographic costs associated with the failure of a species to modify its phenology in response to a changing world. Given these fitness costs, the lack of response of roe deer birth dates to match the increasingly earlier onset of spring is in stark contrast with the marked phenotypic responses to climate change reported in many other mammals. We suggest that the lack of phenotypic plasticity in birth timing in roe deer is linked to its inability to track environmental cues of variation in resource availability for the timing of parturition.","author":[{"dropping-particle":"","family":"Plard","given":"Floriane","non-dropping-particle":"","parse-names":false,"suffix":""},{"dropping-particle":"","family":"Gaillard","given":"Jean Michel","non-dropping-particle":"","parse-names":false,"suffix":""},{"dropping-particle":"","family":"Coulson","given":"Tim","non-dropping-particle":"","parse-names":false,"suffix":""},{"dropping-particle":"","family":"Hewison","given":"A. J Mark","non-dropping-particle":"","parse-names":false,"suffix":""},{"dropping-particle":"","family":"Delorme","given":"Daniel","non-dropping-particle":"","parse-names":false,"suffix":""},{"dropping-particle":"","family":"Warnant","given":"Claude","non-dropping-particle":"","parse-names":false,"suffix":""},{"dropping-particle":"","family":"Bonenfant","given":"Christophe","non-dropping-particle":"","parse-names":false,"suffix":""}],"container-title":"PLoS Biology","id":"ITEM-1","issue":"4","issued":{"date-parts":[["2014"]]},"page":"e1001828","title":"Mismatch between birth date and vegetation phenology slows the demography of roe deer","type":"article-journal","volume":"12"},"uris":["http://www.mendeley.com/documents/?uuid=2d4be9f1-e9ff-4020-b8ea-3027768adb84"]}],"mendeley":{"formattedCitation":"&lt;sup&gt;4&lt;/sup&gt;","plainTextFormattedCitation":"4","previouslyFormattedCitation":"&lt;sup&gt;4&lt;/sup&gt;"},"properties":{"noteIndex":0},"schema":"https://github.com/citation-style-language/schema/raw/master/csl-citation.json"}</w:instrText>
            </w:r>
            <w:r>
              <w:rPr>
                <w:rFonts w:ascii="Times New Roman" w:hAnsi="Times New Roman" w:cs="Times New Roman"/>
                <w:sz w:val="22"/>
                <w:szCs w:val="22"/>
              </w:rPr>
              <w:fldChar w:fldCharType="separate"/>
            </w:r>
            <w:r w:rsidR="00E07C04" w:rsidRPr="00E07C04">
              <w:rPr>
                <w:rFonts w:ascii="Times New Roman" w:hAnsi="Times New Roman" w:cs="Times New Roman"/>
                <w:noProof/>
                <w:sz w:val="22"/>
                <w:szCs w:val="22"/>
                <w:vertAlign w:val="superscript"/>
              </w:rPr>
              <w:t>4</w:t>
            </w:r>
            <w:r>
              <w:rPr>
                <w:rFonts w:ascii="Times New Roman" w:hAnsi="Times New Roman" w:cs="Times New Roman"/>
                <w:sz w:val="22"/>
                <w:szCs w:val="22"/>
              </w:rPr>
              <w:fldChar w:fldCharType="end"/>
            </w:r>
          </w:p>
        </w:tc>
        <w:tc>
          <w:tcPr>
            <w:tcW w:w="992" w:type="dxa"/>
            <w:tcBorders>
              <w:top w:val="nil"/>
              <w:bottom w:val="nil"/>
            </w:tcBorders>
            <w:shd w:val="clear" w:color="auto" w:fill="auto"/>
            <w:noWrap/>
            <w:hideMark/>
          </w:tcPr>
          <w:p w14:paraId="4BAA0CC1"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0.916</w:t>
            </w:r>
          </w:p>
        </w:tc>
        <w:tc>
          <w:tcPr>
            <w:tcW w:w="1041" w:type="dxa"/>
            <w:tcBorders>
              <w:top w:val="nil"/>
              <w:bottom w:val="nil"/>
            </w:tcBorders>
            <w:shd w:val="clear" w:color="auto" w:fill="auto"/>
            <w:noWrap/>
            <w:hideMark/>
          </w:tcPr>
          <w:p w14:paraId="55B812AA"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11.9</w:t>
            </w:r>
          </w:p>
        </w:tc>
        <w:tc>
          <w:tcPr>
            <w:tcW w:w="1041" w:type="dxa"/>
            <w:tcBorders>
              <w:top w:val="nil"/>
              <w:bottom w:val="nil"/>
            </w:tcBorders>
            <w:shd w:val="clear" w:color="auto" w:fill="auto"/>
            <w:noWrap/>
            <w:hideMark/>
          </w:tcPr>
          <w:p w14:paraId="11B0F9B3"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356.3</w:t>
            </w:r>
          </w:p>
        </w:tc>
        <w:tc>
          <w:tcPr>
            <w:tcW w:w="1088" w:type="dxa"/>
            <w:tcBorders>
              <w:top w:val="nil"/>
              <w:bottom w:val="nil"/>
            </w:tcBorders>
            <w:shd w:val="clear" w:color="auto" w:fill="auto"/>
            <w:noWrap/>
            <w:hideMark/>
          </w:tcPr>
          <w:p w14:paraId="4D67F7C2"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r w:rsidR="00F23DA5" w:rsidRPr="00E10E33" w14:paraId="1DF4D5B0" w14:textId="77777777" w:rsidTr="00403ECC">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1384" w:type="dxa"/>
            <w:vMerge/>
            <w:tcBorders>
              <w:top w:val="nil"/>
              <w:bottom w:val="nil"/>
            </w:tcBorders>
            <w:shd w:val="clear" w:color="auto" w:fill="auto"/>
            <w:hideMark/>
          </w:tcPr>
          <w:p w14:paraId="01A593A1" w14:textId="77777777" w:rsidR="00F23DA5" w:rsidRPr="00E10E33" w:rsidRDefault="00F23DA5" w:rsidP="006C6178">
            <w:pPr>
              <w:contextualSpacing/>
              <w:rPr>
                <w:rFonts w:ascii="Times New Roman" w:hAnsi="Times New Roman" w:cs="Times New Roman"/>
                <w:b w:val="0"/>
                <w:sz w:val="22"/>
                <w:szCs w:val="22"/>
              </w:rPr>
            </w:pPr>
          </w:p>
        </w:tc>
        <w:tc>
          <w:tcPr>
            <w:tcW w:w="8788" w:type="dxa"/>
            <w:tcBorders>
              <w:top w:val="nil"/>
              <w:bottom w:val="nil"/>
            </w:tcBorders>
            <w:shd w:val="clear" w:color="auto" w:fill="auto"/>
            <w:hideMark/>
          </w:tcPr>
          <w:p w14:paraId="481D42FB" w14:textId="46932BE0" w:rsidR="00F23DA5" w:rsidRPr="00E10E33" w:rsidRDefault="00F23DA5" w:rsidP="00E07C04">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Mean selection across phenological traits (presumably induced by temperature) after removing the only study on mammal (Plard et al. 2014)</w:t>
            </w:r>
            <w:r>
              <w:rPr>
                <w:rFonts w:ascii="Times New Roman" w:hAnsi="Times New Roman" w:cs="Times New Roman"/>
                <w:sz w:val="22"/>
                <w:szCs w:val="22"/>
              </w:rPr>
              <w:fldChar w:fldCharType="begin" w:fldLock="1"/>
            </w:r>
            <w:r w:rsidR="00702BB9">
              <w:rPr>
                <w:rFonts w:ascii="Times New Roman" w:hAnsi="Times New Roman" w:cs="Times New Roman"/>
                <w:sz w:val="22"/>
                <w:szCs w:val="22"/>
              </w:rPr>
              <w:instrText>ADDIN CSL_CITATION {"citationItems":[{"id":"ITEM-1","itemData":{"DOI":"10.1371/journal.pbio.1001828","ISBN":"1545-7885 (Electronic)\\r1544-9173 (Linking)","ISSN":"15457885","PMID":"24690936","abstract":"Marked impacts of climate change on biodiversity have frequently been demonstrated, including temperature-related shifts in phenology and life-history traits. One potential major impact of climate change is the modification of synchronization between the phenology of different trophic levels. High phenotypic plasticity in laying date has allowed many bird species to track the increasingly early springs resulting from recent environmental change, but although changes in the timing of reproduction have been well studied in birds, these questions have only recently been addressed in mammals. To track peak resource availability, large herbivores like roe deer, with a widespread distribution across Europe, should also modify their life-history schedule in response to changes in vegetation phenology over time. In this study, we analysed the influence of climate change on the timing of roe deer births and the consequences for population demography and individual fitness. Our study provides a rare quantification of the demographic costs associated with the failure of a species to modify its phenology in response to a changing world. Given these fitness costs, the lack of response of roe deer birth dates to match the increasingly earlier onset of spring is in stark contrast with the marked phenotypic responses to climate change reported in many other mammals. We suggest that the lack of phenotypic plasticity in birth timing in roe deer is linked to its inability to track environmental cues of variation in resource availability for the timing of parturition.","author":[{"dropping-particle":"","family":"Plard","given":"Floriane","non-dropping-particle":"","parse-names":false,"suffix":""},{"dropping-particle":"","family":"Gaillard","given":"Jean Michel","non-dropping-particle":"","parse-names":false,"suffix":""},{"dropping-particle":"","family":"Coulson","given":"Tim","non-dropping-particle":"","parse-names":false,"suffix":""},{"dropping-particle":"","family":"Hewison","given":"A. J Mark","non-dropping-particle":"","parse-names":false,"suffix":""},{"dropping-particle":"","family":"Delorme","given":"Daniel","non-dropping-particle":"","parse-names":false,"suffix":""},{"dropping-particle":"","family":"Warnant","given":"Claude","non-dropping-particle":"","parse-names":false,"suffix":""},{"dropping-particle":"","family":"Bonenfant","given":"Christophe","non-dropping-particle":"","parse-names":false,"suffix":""}],"container-title":"PLoS Biology","id":"ITEM-1","issue":"4","issued":{"date-parts":[["2014"]]},"page":"e1001828","title":"Mismatch between birth date and vegetation phenology slows the demography of roe deer","type":"article-journal","volume":"12"},"uris":["http://www.mendeley.com/documents/?uuid=2d4be9f1-e9ff-4020-b8ea-3027768adb84"]}],"mendeley":{"formattedCitation":"&lt;sup&gt;4&lt;/sup&gt;","plainTextFormattedCitation":"4","previouslyFormattedCitation":"&lt;sup&gt;4&lt;/sup&gt;"},"properties":{"noteIndex":0},"schema":"https://github.com/citation-style-language/schema/raw/master/csl-citation.json"}</w:instrText>
            </w:r>
            <w:r>
              <w:rPr>
                <w:rFonts w:ascii="Times New Roman" w:hAnsi="Times New Roman" w:cs="Times New Roman"/>
                <w:sz w:val="22"/>
                <w:szCs w:val="22"/>
              </w:rPr>
              <w:fldChar w:fldCharType="separate"/>
            </w:r>
            <w:r w:rsidR="00E07C04" w:rsidRPr="00E07C04">
              <w:rPr>
                <w:rFonts w:ascii="Times New Roman" w:hAnsi="Times New Roman" w:cs="Times New Roman"/>
                <w:noProof/>
                <w:sz w:val="22"/>
                <w:szCs w:val="22"/>
                <w:vertAlign w:val="superscript"/>
              </w:rPr>
              <w:t>4</w:t>
            </w:r>
            <w:r>
              <w:rPr>
                <w:rFonts w:ascii="Times New Roman" w:hAnsi="Times New Roman" w:cs="Times New Roman"/>
                <w:sz w:val="22"/>
                <w:szCs w:val="22"/>
              </w:rPr>
              <w:fldChar w:fldCharType="end"/>
            </w:r>
          </w:p>
        </w:tc>
        <w:tc>
          <w:tcPr>
            <w:tcW w:w="992" w:type="dxa"/>
            <w:tcBorders>
              <w:top w:val="nil"/>
              <w:bottom w:val="nil"/>
            </w:tcBorders>
            <w:shd w:val="clear" w:color="auto" w:fill="auto"/>
            <w:noWrap/>
            <w:hideMark/>
          </w:tcPr>
          <w:p w14:paraId="259F7991"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1.000</w:t>
            </w:r>
          </w:p>
        </w:tc>
        <w:tc>
          <w:tcPr>
            <w:tcW w:w="1041" w:type="dxa"/>
            <w:tcBorders>
              <w:top w:val="nil"/>
              <w:bottom w:val="nil"/>
            </w:tcBorders>
            <w:shd w:val="clear" w:color="auto" w:fill="auto"/>
            <w:noWrap/>
            <w:hideMark/>
          </w:tcPr>
          <w:p w14:paraId="72078192"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48625.2</w:t>
            </w:r>
          </w:p>
        </w:tc>
        <w:tc>
          <w:tcPr>
            <w:tcW w:w="1041" w:type="dxa"/>
            <w:tcBorders>
              <w:top w:val="nil"/>
              <w:bottom w:val="nil"/>
            </w:tcBorders>
            <w:shd w:val="clear" w:color="auto" w:fill="auto"/>
            <w:noWrap/>
            <w:hideMark/>
          </w:tcPr>
          <w:p w14:paraId="2502AC56"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408249.8</w:t>
            </w:r>
          </w:p>
        </w:tc>
        <w:tc>
          <w:tcPr>
            <w:tcW w:w="1088" w:type="dxa"/>
            <w:tcBorders>
              <w:top w:val="nil"/>
              <w:bottom w:val="nil"/>
            </w:tcBorders>
            <w:shd w:val="clear" w:color="auto" w:fill="auto"/>
            <w:noWrap/>
            <w:hideMark/>
          </w:tcPr>
          <w:p w14:paraId="729A211A"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r w:rsidR="00F23DA5" w:rsidRPr="00E10E33" w14:paraId="781C5DBA" w14:textId="77777777" w:rsidTr="00403ECC">
        <w:trPr>
          <w:trHeight w:val="86"/>
        </w:trPr>
        <w:tc>
          <w:tcPr>
            <w:cnfStyle w:val="001000000000" w:firstRow="0" w:lastRow="0" w:firstColumn="1" w:lastColumn="0" w:oddVBand="0" w:evenVBand="0" w:oddHBand="0" w:evenHBand="0" w:firstRowFirstColumn="0" w:firstRowLastColumn="0" w:lastRowFirstColumn="0" w:lastRowLastColumn="0"/>
            <w:tcW w:w="1384" w:type="dxa"/>
            <w:vMerge/>
            <w:tcBorders>
              <w:top w:val="nil"/>
              <w:bottom w:val="nil"/>
            </w:tcBorders>
            <w:shd w:val="clear" w:color="auto" w:fill="auto"/>
            <w:hideMark/>
          </w:tcPr>
          <w:p w14:paraId="54B68280" w14:textId="77777777" w:rsidR="00F23DA5" w:rsidRPr="00E10E33" w:rsidRDefault="00F23DA5" w:rsidP="006C6178">
            <w:pPr>
              <w:contextualSpacing/>
              <w:rPr>
                <w:rFonts w:ascii="Times New Roman" w:hAnsi="Times New Roman" w:cs="Times New Roman"/>
                <w:b w:val="0"/>
                <w:sz w:val="22"/>
                <w:szCs w:val="22"/>
              </w:rPr>
            </w:pPr>
          </w:p>
        </w:tc>
        <w:tc>
          <w:tcPr>
            <w:tcW w:w="8788" w:type="dxa"/>
            <w:tcBorders>
              <w:top w:val="nil"/>
              <w:bottom w:val="nil"/>
            </w:tcBorders>
            <w:shd w:val="clear" w:color="auto" w:fill="auto"/>
            <w:hideMark/>
          </w:tcPr>
          <w:p w14:paraId="78B93FDD" w14:textId="729CE4D6" w:rsidR="00F23DA5" w:rsidRPr="00E10E33" w:rsidRDefault="00F23DA5" w:rsidP="00E07C04">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Slope of phenological traits on temperature after removing both the study on mammal (Plard et al. 2014)</w:t>
            </w:r>
            <w:r>
              <w:rPr>
                <w:rFonts w:ascii="Times New Roman" w:hAnsi="Times New Roman" w:cs="Times New Roman"/>
                <w:sz w:val="22"/>
                <w:szCs w:val="22"/>
              </w:rPr>
              <w:fldChar w:fldCharType="begin" w:fldLock="1"/>
            </w:r>
            <w:r w:rsidR="00702BB9">
              <w:rPr>
                <w:rFonts w:ascii="Times New Roman" w:hAnsi="Times New Roman" w:cs="Times New Roman"/>
                <w:sz w:val="22"/>
                <w:szCs w:val="22"/>
              </w:rPr>
              <w:instrText>ADDIN CSL_CITATION {"citationItems":[{"id":"ITEM-1","itemData":{"DOI":"10.1371/journal.pbio.1001828","ISBN":"1545-7885 (Electronic)\\r1544-9173 (Linking)","ISSN":"15457885","PMID":"24690936","abstract":"Marked impacts of climate change on biodiversity have frequently been demonstrated, including temperature-related shifts in phenology and life-history traits. One potential major impact of climate change is the modification of synchronization between the phenology of different trophic levels. High phenotypic plasticity in laying date has allowed many bird species to track the increasingly early springs resulting from recent environmental change, but although changes in the timing of reproduction have been well studied in birds, these questions have only recently been addressed in mammals. To track peak resource availability, large herbivores like roe deer, with a widespread distribution across Europe, should also modify their life-history schedule in response to changes in vegetation phenology over time. In this study, we analysed the influence of climate change on the timing of roe deer births and the consequences for population demography and individual fitness. Our study provides a rare quantification of the demographic costs associated with the failure of a species to modify its phenology in response to a changing world. Given these fitness costs, the lack of response of roe deer birth dates to match the increasingly earlier onset of spring is in stark contrast with the marked phenotypic responses to climate change reported in many other mammals. We suggest that the lack of phenotypic plasticity in birth timing in roe deer is linked to its inability to track environmental cues of variation in resource availability for the timing of parturition.","author":[{"dropping-particle":"","family":"Plard","given":"Floriane","non-dropping-particle":"","parse-names":false,"suffix":""},{"dropping-particle":"","family":"Gaillard","given":"Jean Michel","non-dropping-particle":"","parse-names":false,"suffix":""},{"dropping-particle":"","family":"Coulson","given":"Tim","non-dropping-particle":"","parse-names":false,"suffix":""},{"dropping-particle":"","family":"Hewison","given":"A. J Mark","non-dropping-particle":"","parse-names":false,"suffix":""},{"dropping-particle":"","family":"Delorme","given":"Daniel","non-dropping-particle":"","parse-names":false,"suffix":""},{"dropping-particle":"","family":"Warnant","given":"Claude","non-dropping-particle":"","parse-names":false,"suffix":""},{"dropping-particle":"","family":"Bonenfant","given":"Christophe","non-dropping-particle":"","parse-names":false,"suffix":""}],"container-title":"PLoS Biology","id":"ITEM-1","issue":"4","issued":{"date-parts":[["2014"]]},"page":"e1001828","title":"Mismatch between birth date and vegetation phenology slows the demography of roe deer","type":"article-journal","volume":"12"},"uris":["http://www.mendeley.com/documents/?uuid=2d4be9f1-e9ff-4020-b8ea-3027768adb84"]}],"mendeley":{"formattedCitation":"&lt;sup&gt;4&lt;/sup&gt;","plainTextFormattedCitation":"4","previouslyFormattedCitation":"&lt;sup&gt;4&lt;/sup&gt;"},"properties":{"noteIndex":0},"schema":"https://github.com/citation-style-language/schema/raw/master/csl-citation.json"}</w:instrText>
            </w:r>
            <w:r>
              <w:rPr>
                <w:rFonts w:ascii="Times New Roman" w:hAnsi="Times New Roman" w:cs="Times New Roman"/>
                <w:sz w:val="22"/>
                <w:szCs w:val="22"/>
              </w:rPr>
              <w:fldChar w:fldCharType="separate"/>
            </w:r>
            <w:r w:rsidR="00E07C04" w:rsidRPr="00E07C04">
              <w:rPr>
                <w:rFonts w:ascii="Times New Roman" w:hAnsi="Times New Roman" w:cs="Times New Roman"/>
                <w:noProof/>
                <w:sz w:val="22"/>
                <w:szCs w:val="22"/>
                <w:vertAlign w:val="superscript"/>
              </w:rPr>
              <w:t>4</w:t>
            </w:r>
            <w:r>
              <w:rPr>
                <w:rFonts w:ascii="Times New Roman" w:hAnsi="Times New Roman" w:cs="Times New Roman"/>
                <w:sz w:val="22"/>
                <w:szCs w:val="22"/>
              </w:rPr>
              <w:fldChar w:fldCharType="end"/>
            </w:r>
            <w:r w:rsidRPr="00E10E33">
              <w:rPr>
                <w:rFonts w:ascii="Times New Roman" w:hAnsi="Times New Roman" w:cs="Times New Roman"/>
                <w:sz w:val="22"/>
                <w:szCs w:val="22"/>
              </w:rPr>
              <w:t xml:space="preserve"> and an outlier (Goodenough et al. 2011)</w:t>
            </w:r>
            <w:r>
              <w:rPr>
                <w:rFonts w:ascii="Times New Roman" w:hAnsi="Times New Roman" w:cs="Times New Roman"/>
                <w:sz w:val="22"/>
                <w:szCs w:val="22"/>
              </w:rPr>
              <w:fldChar w:fldCharType="begin" w:fldLock="1"/>
            </w:r>
            <w:r w:rsidR="00E07C04">
              <w:rPr>
                <w:rFonts w:ascii="Times New Roman" w:hAnsi="Times New Roman" w:cs="Times New Roman"/>
                <w:sz w:val="22"/>
                <w:szCs w:val="22"/>
              </w:rPr>
              <w:instrText>ADDIN CSL_CITATION {"citationItems":[{"id":"ITEM-1","itemData":{"DOI":"10.1007/s00484-010-0312-6","ISBN":"0020-7128","ISSN":"00207128","PMID":"20405299","abstract":"Phenological studies have demonstrated changes in the timing of seasonal events across multiple taxonomic groups as the climate warms. Some northern European migrant bird populations, however, show little or no significant change in breeding phenology, resulting in synchrony with key food sources becoming mismatched. This phenological inertia has often been ascribed to migration constraints (i.e. arrival date at breeding grounds preventing earlier laying). This has been based primarily on research in The Netherlands and Germany where time between arrival and breeding is short (often as few as 9 days). Here, we test the arrival constraint hypothesis over a 15-year period for a U.K. pied flycatcher (Ficedula hypoleuca) population where laying date is not constrained by arrival as the period between arrival and breeding is substantial and consistent (average 27 ± 4.57 days SD). Despite increasing spring temperatures and quantifiably stronger selection for early laying on the basis of number of offspring to fledge, we found no significant change in breeding phenology, in contrast with co-occurring resident blue tits (Cyanistes caeruleus). We discuss possible non-migratory constraints on phenological adjustment, including limitations on plasticity, genetic constraints and competition, as well as the possibility of counter-selection pressures relating to adult survival, longevity or future reproductive success. We propose that such factors need to be considered in conjunction with the arrival constraint hypothesis.","author":[{"dropping-particle":"","family":"Goodenough","given":"Anne E.","non-dropping-particle":"","parse-names":false,"suffix":""},{"dropping-particle":"","family":"Hart","given":"Adam G.","non-dropping-particle":"","parse-names":false,"suffix":""},{"dropping-particle":"","family":"Elliot","given":"Simon L.","non-dropping-particle":"","parse-names":false,"suffix":""}],"container-title":"International Journal of Biometeorology","id":"ITEM-1","issue":"1","issued":{"date-parts":[["2011"]]},"page":"97-102","title":"What prevents phenological adjustment to climate change in migrant bird species? Evidence against the \"arrival constraint\" hypothesis","type":"article-journal","volume":"55"},"uris":["http://www.mendeley.com/documents/?uuid=1b128748-219e-446f-b26e-a5f91f03ebf6"]}],"mendeley":{"formattedCitation":"&lt;sup&gt;3&lt;/sup&gt;","plainTextFormattedCitation":"3","previouslyFormattedCitation":"&lt;sup&gt;3&lt;/sup&gt;"},"properties":{"noteIndex":0},"schema":"https://github.com/citation-style-language/schema/raw/master/csl-citation.json"}</w:instrText>
            </w:r>
            <w:r>
              <w:rPr>
                <w:rFonts w:ascii="Times New Roman" w:hAnsi="Times New Roman" w:cs="Times New Roman"/>
                <w:sz w:val="22"/>
                <w:szCs w:val="22"/>
              </w:rPr>
              <w:fldChar w:fldCharType="separate"/>
            </w:r>
            <w:r w:rsidR="00E07C04" w:rsidRPr="00E07C04">
              <w:rPr>
                <w:rFonts w:ascii="Times New Roman" w:hAnsi="Times New Roman" w:cs="Times New Roman"/>
                <w:noProof/>
                <w:sz w:val="22"/>
                <w:szCs w:val="22"/>
                <w:vertAlign w:val="superscript"/>
              </w:rPr>
              <w:t>3</w:t>
            </w:r>
            <w:r>
              <w:rPr>
                <w:rFonts w:ascii="Times New Roman" w:hAnsi="Times New Roman" w:cs="Times New Roman"/>
                <w:sz w:val="22"/>
                <w:szCs w:val="22"/>
              </w:rPr>
              <w:fldChar w:fldCharType="end"/>
            </w:r>
          </w:p>
        </w:tc>
        <w:tc>
          <w:tcPr>
            <w:tcW w:w="992" w:type="dxa"/>
            <w:tcBorders>
              <w:top w:val="nil"/>
              <w:bottom w:val="nil"/>
            </w:tcBorders>
            <w:shd w:val="clear" w:color="auto" w:fill="auto"/>
            <w:noWrap/>
            <w:hideMark/>
          </w:tcPr>
          <w:p w14:paraId="75D3F98B"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0.915</w:t>
            </w:r>
          </w:p>
        </w:tc>
        <w:tc>
          <w:tcPr>
            <w:tcW w:w="1041" w:type="dxa"/>
            <w:tcBorders>
              <w:top w:val="nil"/>
              <w:bottom w:val="nil"/>
            </w:tcBorders>
            <w:shd w:val="clear" w:color="auto" w:fill="auto"/>
            <w:noWrap/>
            <w:hideMark/>
          </w:tcPr>
          <w:p w14:paraId="601937DD"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11.7</w:t>
            </w:r>
          </w:p>
        </w:tc>
        <w:tc>
          <w:tcPr>
            <w:tcW w:w="1041" w:type="dxa"/>
            <w:tcBorders>
              <w:top w:val="nil"/>
              <w:bottom w:val="nil"/>
            </w:tcBorders>
            <w:shd w:val="clear" w:color="auto" w:fill="auto"/>
            <w:noWrap/>
            <w:hideMark/>
          </w:tcPr>
          <w:p w14:paraId="4281088E"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351.3</w:t>
            </w:r>
          </w:p>
        </w:tc>
        <w:tc>
          <w:tcPr>
            <w:tcW w:w="1088" w:type="dxa"/>
            <w:tcBorders>
              <w:top w:val="nil"/>
              <w:bottom w:val="nil"/>
            </w:tcBorders>
            <w:shd w:val="clear" w:color="auto" w:fill="auto"/>
            <w:noWrap/>
            <w:hideMark/>
          </w:tcPr>
          <w:p w14:paraId="6B31FF4F" w14:textId="77777777" w:rsidR="00F23DA5" w:rsidRPr="00E10E33" w:rsidRDefault="00F23DA5" w:rsidP="006C6178">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r w:rsidR="00F23DA5" w:rsidRPr="00E10E33" w14:paraId="7B7A55B2" w14:textId="77777777" w:rsidTr="00403ECC">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1384" w:type="dxa"/>
            <w:vMerge/>
            <w:tcBorders>
              <w:top w:val="nil"/>
              <w:bottom w:val="single" w:sz="12" w:space="0" w:color="auto"/>
            </w:tcBorders>
            <w:shd w:val="clear" w:color="auto" w:fill="auto"/>
            <w:hideMark/>
          </w:tcPr>
          <w:p w14:paraId="7344954A" w14:textId="77777777" w:rsidR="00F23DA5" w:rsidRPr="00E10E33" w:rsidRDefault="00F23DA5" w:rsidP="006C6178">
            <w:pPr>
              <w:contextualSpacing/>
              <w:rPr>
                <w:rFonts w:ascii="Times New Roman" w:hAnsi="Times New Roman" w:cs="Times New Roman"/>
                <w:b w:val="0"/>
                <w:sz w:val="22"/>
                <w:szCs w:val="22"/>
              </w:rPr>
            </w:pPr>
          </w:p>
        </w:tc>
        <w:tc>
          <w:tcPr>
            <w:tcW w:w="8788" w:type="dxa"/>
            <w:tcBorders>
              <w:top w:val="nil"/>
              <w:bottom w:val="single" w:sz="12" w:space="0" w:color="auto"/>
            </w:tcBorders>
            <w:shd w:val="clear" w:color="auto" w:fill="auto"/>
            <w:hideMark/>
          </w:tcPr>
          <w:p w14:paraId="2920274E" w14:textId="29631B21" w:rsidR="00F23DA5" w:rsidRPr="00E10E33" w:rsidRDefault="00F23DA5" w:rsidP="00E07C04">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Mean selection across phenological traits (presumably induced by temperature) after removing both the study on mammal (Plard et al. 2014)</w:t>
            </w:r>
            <w:r>
              <w:rPr>
                <w:rFonts w:ascii="Times New Roman" w:hAnsi="Times New Roman" w:cs="Times New Roman"/>
                <w:sz w:val="22"/>
                <w:szCs w:val="22"/>
              </w:rPr>
              <w:fldChar w:fldCharType="begin" w:fldLock="1"/>
            </w:r>
            <w:r w:rsidR="00702BB9">
              <w:rPr>
                <w:rFonts w:ascii="Times New Roman" w:hAnsi="Times New Roman" w:cs="Times New Roman"/>
                <w:sz w:val="22"/>
                <w:szCs w:val="22"/>
              </w:rPr>
              <w:instrText>ADDIN CSL_CITATION {"citationItems":[{"id":"ITEM-1","itemData":{"DOI":"10.1371/journal.pbio.1001828","ISBN":"1545-7885 (Electronic)\\r1544-9173 (Linking)","ISSN":"15457885","PMID":"24690936","abstract":"Marked impacts of climate change on biodiversity have frequently been demonstrated, including temperature-related shifts in phenology and life-history traits. One potential major impact of climate change is the modification of synchronization between the phenology of different trophic levels. High phenotypic plasticity in laying date has allowed many bird species to track the increasingly early springs resulting from recent environmental change, but although changes in the timing of reproduction have been well studied in birds, these questions have only recently been addressed in mammals. To track peak resource availability, large herbivores like roe deer, with a widespread distribution across Europe, should also modify their life-history schedule in response to changes in vegetation phenology over time. In this study, we analysed the influence of climate change on the timing of roe deer births and the consequences for population demography and individual fitness. Our study provides a rare quantification of the demographic costs associated with the failure of a species to modify its phenology in response to a changing world. Given these fitness costs, the lack of response of roe deer birth dates to match the increasingly earlier onset of spring is in stark contrast with the marked phenotypic responses to climate change reported in many other mammals. We suggest that the lack of phenotypic plasticity in birth timing in roe deer is linked to its inability to track environmental cues of variation in resource availability for the timing of parturition.","author":[{"dropping-particle":"","family":"Plard","given":"Floriane","non-dropping-particle":"","parse-names":false,"suffix":""},{"dropping-particle":"","family":"Gaillard","given":"Jean Michel","non-dropping-particle":"","parse-names":false,"suffix":""},{"dropping-particle":"","family":"Coulson","given":"Tim","non-dropping-particle":"","parse-names":false,"suffix":""},{"dropping-particle":"","family":"Hewison","given":"A. J Mark","non-dropping-particle":"","parse-names":false,"suffix":""},{"dropping-particle":"","family":"Delorme","given":"Daniel","non-dropping-particle":"","parse-names":false,"suffix":""},{"dropping-particle":"","family":"Warnant","given":"Claude","non-dropping-particle":"","parse-names":false,"suffix":""},{"dropping-particle":"","family":"Bonenfant","given":"Christophe","non-dropping-particle":"","parse-names":false,"suffix":""}],"container-title":"PLoS Biology","id":"ITEM-1","issue":"4","issued":{"date-parts":[["2014"]]},"page":"e1001828","title":"Mismatch between birth date and vegetation phenology slows the demography of roe deer","type":"article-journal","volume":"12"},"uris":["http://www.mendeley.com/documents/?uuid=2d4be9f1-e9ff-4020-b8ea-3027768adb84"]}],"mendeley":{"formattedCitation":"&lt;sup&gt;4&lt;/sup&gt;","plainTextFormattedCitation":"4","previouslyFormattedCitation":"&lt;sup&gt;4&lt;/sup&gt;"},"properties":{"noteIndex":0},"schema":"https://github.com/citation-style-language/schema/raw/master/csl-citation.json"}</w:instrText>
            </w:r>
            <w:r>
              <w:rPr>
                <w:rFonts w:ascii="Times New Roman" w:hAnsi="Times New Roman" w:cs="Times New Roman"/>
                <w:sz w:val="22"/>
                <w:szCs w:val="22"/>
              </w:rPr>
              <w:fldChar w:fldCharType="separate"/>
            </w:r>
            <w:r w:rsidR="00E07C04" w:rsidRPr="00E07C04">
              <w:rPr>
                <w:rFonts w:ascii="Times New Roman" w:hAnsi="Times New Roman" w:cs="Times New Roman"/>
                <w:noProof/>
                <w:sz w:val="22"/>
                <w:szCs w:val="22"/>
                <w:vertAlign w:val="superscript"/>
              </w:rPr>
              <w:t>4</w:t>
            </w:r>
            <w:r>
              <w:rPr>
                <w:rFonts w:ascii="Times New Roman" w:hAnsi="Times New Roman" w:cs="Times New Roman"/>
                <w:sz w:val="22"/>
                <w:szCs w:val="22"/>
              </w:rPr>
              <w:fldChar w:fldCharType="end"/>
            </w:r>
            <w:r w:rsidRPr="00E10E33">
              <w:rPr>
                <w:rFonts w:ascii="Times New Roman" w:hAnsi="Times New Roman" w:cs="Times New Roman"/>
                <w:sz w:val="22"/>
                <w:szCs w:val="22"/>
              </w:rPr>
              <w:t xml:space="preserve"> and an outlier (Goodenough et al. 2011)</w:t>
            </w:r>
            <w:r>
              <w:rPr>
                <w:rFonts w:ascii="Times New Roman" w:hAnsi="Times New Roman" w:cs="Times New Roman"/>
                <w:sz w:val="22"/>
                <w:szCs w:val="22"/>
              </w:rPr>
              <w:fldChar w:fldCharType="begin" w:fldLock="1"/>
            </w:r>
            <w:r w:rsidR="00E07C04">
              <w:rPr>
                <w:rFonts w:ascii="Times New Roman" w:hAnsi="Times New Roman" w:cs="Times New Roman"/>
                <w:sz w:val="22"/>
                <w:szCs w:val="22"/>
              </w:rPr>
              <w:instrText>ADDIN CSL_CITATION {"citationItems":[{"id":"ITEM-1","itemData":{"DOI":"10.1007/s00484-010-0312-6","ISBN":"0020-7128","ISSN":"00207128","PMID":"20405299","abstract":"Phenological studies have demonstrated changes in the timing of seasonal events across multiple taxonomic groups as the climate warms. Some northern European migrant bird populations, however, show little or no significant change in breeding phenology, resulting in synchrony with key food sources becoming mismatched. This phenological inertia has often been ascribed to migration constraints (i.e. arrival date at breeding grounds preventing earlier laying). This has been based primarily on research in The Netherlands and Germany where time between arrival and breeding is short (often as few as 9 days). Here, we test the arrival constraint hypothesis over a 15-year period for a U.K. pied flycatcher (Ficedula hypoleuca) population where laying date is not constrained by arrival as the period between arrival and breeding is substantial and consistent (average 27 ± 4.57 days SD). Despite increasing spring temperatures and quantifiably stronger selection for early laying on the basis of number of offspring to fledge, we found no significant change in breeding phenology, in contrast with co-occurring resident blue tits (Cyanistes caeruleus). We discuss possible non-migratory constraints on phenological adjustment, including limitations on plasticity, genetic constraints and competition, as well as the possibility of counter-selection pressures relating to adult survival, longevity or future reproductive success. We propose that such factors need to be considered in conjunction with the arrival constraint hypothesis.","author":[{"dropping-particle":"","family":"Goodenough","given":"Anne E.","non-dropping-particle":"","parse-names":false,"suffix":""},{"dropping-particle":"","family":"Hart","given":"Adam G.","non-dropping-particle":"","parse-names":false,"suffix":""},{"dropping-particle":"","family":"Elliot","given":"Simon L.","non-dropping-particle":"","parse-names":false,"suffix":""}],"container-title":"International Journal of Biometeorology","id":"ITEM-1","issue":"1","issued":{"date-parts":[["2011"]]},"page":"97-102","title":"What prevents phenological adjustment to climate change in migrant bird species? Evidence against the \"arrival constraint\" hypothesis","type":"article-journal","volume":"55"},"uris":["http://www.mendeley.com/documents/?uuid=1b128748-219e-446f-b26e-a5f91f03ebf6"]}],"mendeley":{"formattedCitation":"&lt;sup&gt;3&lt;/sup&gt;","plainTextFormattedCitation":"3","previouslyFormattedCitation":"&lt;sup&gt;3&lt;/sup&gt;"},"properties":{"noteIndex":0},"schema":"https://github.com/citation-style-language/schema/raw/master/csl-citation.json"}</w:instrText>
            </w:r>
            <w:r>
              <w:rPr>
                <w:rFonts w:ascii="Times New Roman" w:hAnsi="Times New Roman" w:cs="Times New Roman"/>
                <w:sz w:val="22"/>
                <w:szCs w:val="22"/>
              </w:rPr>
              <w:fldChar w:fldCharType="separate"/>
            </w:r>
            <w:r w:rsidR="00E07C04" w:rsidRPr="00E07C04">
              <w:rPr>
                <w:rFonts w:ascii="Times New Roman" w:hAnsi="Times New Roman" w:cs="Times New Roman"/>
                <w:noProof/>
                <w:sz w:val="22"/>
                <w:szCs w:val="22"/>
                <w:vertAlign w:val="superscript"/>
              </w:rPr>
              <w:t>3</w:t>
            </w:r>
            <w:r>
              <w:rPr>
                <w:rFonts w:ascii="Times New Roman" w:hAnsi="Times New Roman" w:cs="Times New Roman"/>
                <w:sz w:val="22"/>
                <w:szCs w:val="22"/>
              </w:rPr>
              <w:fldChar w:fldCharType="end"/>
            </w:r>
          </w:p>
        </w:tc>
        <w:tc>
          <w:tcPr>
            <w:tcW w:w="992" w:type="dxa"/>
            <w:tcBorders>
              <w:top w:val="nil"/>
              <w:bottom w:val="single" w:sz="12" w:space="0" w:color="auto"/>
            </w:tcBorders>
            <w:shd w:val="clear" w:color="auto" w:fill="auto"/>
            <w:noWrap/>
            <w:hideMark/>
          </w:tcPr>
          <w:p w14:paraId="519092B5"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1.000</w:t>
            </w:r>
          </w:p>
        </w:tc>
        <w:tc>
          <w:tcPr>
            <w:tcW w:w="1041" w:type="dxa"/>
            <w:tcBorders>
              <w:top w:val="nil"/>
              <w:bottom w:val="single" w:sz="12" w:space="0" w:color="auto"/>
            </w:tcBorders>
            <w:shd w:val="clear" w:color="auto" w:fill="auto"/>
            <w:noWrap/>
            <w:hideMark/>
          </w:tcPr>
          <w:p w14:paraId="32590C83"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15415.8</w:t>
            </w:r>
          </w:p>
        </w:tc>
        <w:tc>
          <w:tcPr>
            <w:tcW w:w="1041" w:type="dxa"/>
            <w:tcBorders>
              <w:top w:val="nil"/>
              <w:bottom w:val="single" w:sz="12" w:space="0" w:color="auto"/>
            </w:tcBorders>
            <w:shd w:val="clear" w:color="auto" w:fill="auto"/>
            <w:noWrap/>
            <w:hideMark/>
          </w:tcPr>
          <w:p w14:paraId="1D41C081"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408111.7</w:t>
            </w:r>
          </w:p>
        </w:tc>
        <w:tc>
          <w:tcPr>
            <w:tcW w:w="1088" w:type="dxa"/>
            <w:tcBorders>
              <w:top w:val="nil"/>
              <w:bottom w:val="single" w:sz="12" w:space="0" w:color="auto"/>
            </w:tcBorders>
            <w:shd w:val="clear" w:color="auto" w:fill="auto"/>
            <w:noWrap/>
            <w:hideMark/>
          </w:tcPr>
          <w:p w14:paraId="7E82D034" w14:textId="77777777" w:rsidR="00F23DA5" w:rsidRPr="00E10E33" w:rsidRDefault="00F23DA5" w:rsidP="006C6178">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E10E33">
              <w:rPr>
                <w:rFonts w:ascii="Times New Roman" w:hAnsi="Times New Roman" w:cs="Times New Roman"/>
                <w:sz w:val="22"/>
                <w:szCs w:val="22"/>
              </w:rPr>
              <w:t>&lt;0.0001</w:t>
            </w:r>
          </w:p>
        </w:tc>
      </w:tr>
    </w:tbl>
    <w:p w14:paraId="0943E28A" w14:textId="77777777" w:rsidR="00F23DA5" w:rsidRDefault="00F23DA5" w:rsidP="00F23DA5">
      <w:pPr>
        <w:spacing w:line="360" w:lineRule="auto"/>
        <w:rPr>
          <w:rFonts w:ascii="Times New Roman" w:hAnsi="Times New Roman" w:cs="Times New Roman"/>
        </w:rPr>
        <w:sectPr w:rsidR="00F23DA5" w:rsidSect="006F1713">
          <w:headerReference w:type="even" r:id="rId43"/>
          <w:headerReference w:type="default" r:id="rId44"/>
          <w:footerReference w:type="even" r:id="rId45"/>
          <w:footerReference w:type="default" r:id="rId46"/>
          <w:pgSz w:w="16838" w:h="11906" w:orient="landscape"/>
          <w:pgMar w:top="1417" w:right="1134" w:bottom="1417" w:left="1417" w:header="708" w:footer="708" w:gutter="0"/>
          <w:cols w:space="720"/>
          <w:formProt w:val="0"/>
          <w:docGrid w:linePitch="360" w:charSpace="-6145"/>
        </w:sectPr>
      </w:pPr>
    </w:p>
    <w:p w14:paraId="749A3201" w14:textId="0AA46096" w:rsidR="00175C4E" w:rsidRDefault="00652E6E">
      <w:pPr>
        <w:spacing w:line="360" w:lineRule="auto"/>
        <w:rPr>
          <w:rFonts w:ascii="Times New Roman" w:hAnsi="Times New Roman" w:cs="Times New Roman"/>
        </w:rPr>
      </w:pPr>
      <w:r>
        <w:rPr>
          <w:rFonts w:ascii="Times New Roman" w:hAnsi="Times New Roman" w:cs="Times New Roman"/>
        </w:rPr>
        <w:lastRenderedPageBreak/>
        <w:t>Supplementary T</w:t>
      </w:r>
      <w:r w:rsidR="00403ECC">
        <w:rPr>
          <w:rFonts w:ascii="Times New Roman" w:hAnsi="Times New Roman" w:cs="Times New Roman"/>
        </w:rPr>
        <w:t>able 2</w:t>
      </w:r>
      <w:r w:rsidR="00C44D4A">
        <w:rPr>
          <w:rFonts w:ascii="Times New Roman" w:hAnsi="Times New Roman" w:cs="Times New Roman"/>
        </w:rPr>
        <w:t xml:space="preserve">. </w:t>
      </w:r>
      <w:r w:rsidR="00D97AFB">
        <w:rPr>
          <w:rFonts w:ascii="Times New Roman" w:hAnsi="Times New Roman" w:cs="Times New Roman"/>
        </w:rPr>
        <w:t xml:space="preserve">Sensitivity analyses assessing how the estimates of mixed-effects meta-analytical models fitted to the PRCS </w:t>
      </w:r>
      <w:r w:rsidR="00D97AFB" w:rsidRPr="00C21061">
        <w:rPr>
          <w:rFonts w:ascii="Times New Roman" w:hAnsi="Times New Roman" w:cs="Times New Roman"/>
          <w:lang w:val="en-GB"/>
        </w:rPr>
        <w:t>(‘Phenotypic Responses to Climate with Selection data’)</w:t>
      </w:r>
      <w:r w:rsidR="00D97AFB">
        <w:rPr>
          <w:rFonts w:ascii="Times New Roman" w:hAnsi="Times New Roman" w:cs="Times New Roman"/>
        </w:rPr>
        <w:t xml:space="preserve"> dataset were affected when excluding 1) the outlier-like study </w:t>
      </w:r>
      <w:r w:rsidR="00E76F2C">
        <w:rPr>
          <w:rFonts w:ascii="Times New Roman" w:hAnsi="Times New Roman" w:cs="Times New Roman"/>
        </w:rPr>
        <w:fldChar w:fldCharType="begin" w:fldLock="1"/>
      </w:r>
      <w:r w:rsidR="00E07C04">
        <w:rPr>
          <w:rFonts w:ascii="Times New Roman" w:hAnsi="Times New Roman" w:cs="Times New Roman"/>
        </w:rPr>
        <w:instrText>ADDIN CSL_CITATION {"citationItems":[{"id":"ITEM-1","itemData":{"DOI":"10.1007/s00484-010-0312-6","ISBN":"0020-7128","ISSN":"00207128","PMID":"20405299","abstract":"Phenological studies have demonstrated changes in the timing of seasonal events across multiple taxonomic groups as the climate warms. Some northern European migrant bird populations, however, show little or no significant change in breeding phenology, resulting in synchrony with key food sources becoming mismatched. This phenological inertia has often been ascribed to migration constraints (i.e. arrival date at breeding grounds preventing earlier laying). This has been based primarily on research in The Netherlands and Germany where time between arrival and breeding is short (often as few as 9 days). Here, we test the arrival constraint hypothesis over a 15-year period for a U.K. pied flycatcher (Ficedula hypoleuca) population where laying date is not constrained by arrival as the period between arrival and breeding is substantial and consistent (average 27 ± 4.57 days SD). Despite increasing spring temperatures and quantifiably stronger selection for early laying on the basis of number of offspring to fledge, we found no significant change in breeding phenology, in contrast with co-occurring resident blue tits (Cyanistes caeruleus). We discuss possible non-migratory constraints on phenological adjustment, including limitations on plasticity, genetic constraints and competition, as well as the possibility of counter-selection pressures relating to adult survival, longevity or future reproductive success. We propose that such factors need to be considered in conjunction with the arrival constraint hypothesis.","author":[{"dropping-particle":"","family":"Goodenough","given":"Anne E.","non-dropping-particle":"","parse-names":false,"suffix":""},{"dropping-particle":"","family":"Hart","given":"Adam G.","non-dropping-particle":"","parse-names":false,"suffix":""},{"dropping-particle":"","family":"Elliot","given":"Simon L.","non-dropping-particle":"","parse-names":false,"suffix":""}],"container-title":"International Journal of Biometeorology","id":"ITEM-1","issue":"1","issued":{"date-parts":[["2011"]]},"page":"97-102","title":"What prevents phenological adjustment to climate change in migrant bird species? Evidence against the \"arrival constraint\" hypothesis","type":"article-journal","volume":"55"},"uris":["http://www.mendeley.com/documents/?uuid=1b128748-219e-446f-b26e-a5f91f03ebf6"]}],"mendeley":{"formattedCitation":"&lt;sup&gt;3&lt;/sup&gt;","plainTextFormattedCitation":"3","previouslyFormattedCitation":"&lt;sup&gt;3&lt;/sup&gt;"},"properties":{"noteIndex":0},"schema":"https://github.com/citation-style-language/schema/raw/master/csl-citation.json"}</w:instrText>
      </w:r>
      <w:r w:rsidR="00E76F2C">
        <w:rPr>
          <w:rFonts w:ascii="Times New Roman" w:hAnsi="Times New Roman" w:cs="Times New Roman"/>
        </w:rPr>
        <w:fldChar w:fldCharType="separate"/>
      </w:r>
      <w:r w:rsidR="00E07C04" w:rsidRPr="00E07C04">
        <w:rPr>
          <w:rFonts w:ascii="Times New Roman" w:hAnsi="Times New Roman" w:cs="Times New Roman"/>
          <w:noProof/>
          <w:vertAlign w:val="superscript"/>
        </w:rPr>
        <w:t>3</w:t>
      </w:r>
      <w:r w:rsidR="00E76F2C">
        <w:rPr>
          <w:rFonts w:ascii="Times New Roman" w:hAnsi="Times New Roman" w:cs="Times New Roman"/>
        </w:rPr>
        <w:fldChar w:fldCharType="end"/>
      </w:r>
      <w:r w:rsidR="00D97AFB">
        <w:rPr>
          <w:rFonts w:ascii="Times New Roman" w:hAnsi="Times New Roman" w:cs="Times New Roman"/>
        </w:rPr>
        <w:t xml:space="preserve">, 2) the only study on mammals </w:t>
      </w:r>
      <w:r w:rsidR="00E76F2C">
        <w:rPr>
          <w:rFonts w:ascii="Times New Roman" w:hAnsi="Times New Roman" w:cs="Times New Roman"/>
        </w:rPr>
        <w:fldChar w:fldCharType="begin" w:fldLock="1"/>
      </w:r>
      <w:r w:rsidR="00702BB9">
        <w:rPr>
          <w:rFonts w:ascii="Times New Roman" w:hAnsi="Times New Roman" w:cs="Times New Roman"/>
        </w:rPr>
        <w:instrText>ADDIN CSL_CITATION {"citationItems":[{"id":"ITEM-1","itemData":{"DOI":"10.1371/journal.pbio.1001828","ISBN":"1545-7885 (Electronic)\\r1544-9173 (Linking)","ISSN":"15457885","PMID":"24690936","abstract":"Marked impacts of climate change on biodiversity have frequently been demonstrated, including temperature-related shifts in phenology and life-history traits. One potential major impact of climate change is the modification of synchronization between the phenology of different trophic levels. High phenotypic plasticity in laying date has allowed many bird species to track the increasingly early springs resulting from recent environmental change, but although changes in the timing of reproduction have been well studied in birds, these questions have only recently been addressed in mammals. To track peak resource availability, large herbivores like roe deer, with a widespread distribution across Europe, should also modify their life-history schedule in response to changes in vegetation phenology over time. In this study, we analysed the influence of climate change on the timing of roe deer births and the consequences for population demography and individual fitness. Our study provides a rare quantification of the demographic costs associated with the failure of a species to modify its phenology in response to a changing world. Given these fitness costs, the lack of response of roe deer birth dates to match the increasingly earlier onset of spring is in stark contrast with the marked phenotypic responses to climate change reported in many other mammals. We suggest that the lack of phenotypic plasticity in birth timing in roe deer is linked to its inability to track environmental cues of variation in resource availability for the timing of parturition.","author":[{"dropping-particle":"","family":"Plard","given":"Floriane","non-dropping-particle":"","parse-names":false,"suffix":""},{"dropping-particle":"","family":"Gaillard","given":"Jean Michel","non-dropping-particle":"","parse-names":false,"suffix":""},{"dropping-particle":"","family":"Coulson","given":"Tim","non-dropping-particle":"","parse-names":false,"suffix":""},{"dropping-particle":"","family":"Hewison","given":"A. J Mark","non-dropping-particle":"","parse-names":false,"suffix":""},{"dropping-particle":"","family":"Delorme","given":"Daniel","non-dropping-particle":"","parse-names":false,"suffix":""},{"dropping-particle":"","family":"Warnant","given":"Claude","non-dropping-particle":"","parse-names":false,"suffix":""},{"dropping-particle":"","family":"Bonenfant","given":"Christophe","non-dropping-particle":"","parse-names":false,"suffix":""}],"container-title":"PLoS Biology","id":"ITEM-1","issue":"4","issued":{"date-parts":[["2014"]]},"page":"e1001828","title":"Mismatch between birth date and vegetation phenology slows the demography of roe deer","type":"article-journal","volume":"12"},"uris":["http://www.mendeley.com/documents/?uuid=2d4be9f1-e9ff-4020-b8ea-3027768adb84"]}],"mendeley":{"formattedCitation":"&lt;sup&gt;4&lt;/sup&gt;","plainTextFormattedCitation":"4","previouslyFormattedCitation":"&lt;sup&gt;4&lt;/sup&gt;"},"properties":{"noteIndex":0},"schema":"https://github.com/citation-style-language/schema/raw/master/csl-citation.json"}</w:instrText>
      </w:r>
      <w:r w:rsidR="00E76F2C">
        <w:rPr>
          <w:rFonts w:ascii="Times New Roman" w:hAnsi="Times New Roman" w:cs="Times New Roman"/>
        </w:rPr>
        <w:fldChar w:fldCharType="separate"/>
      </w:r>
      <w:r w:rsidR="00E07C04" w:rsidRPr="00E07C04">
        <w:rPr>
          <w:rFonts w:ascii="Times New Roman" w:hAnsi="Times New Roman" w:cs="Times New Roman"/>
          <w:noProof/>
          <w:vertAlign w:val="superscript"/>
        </w:rPr>
        <w:t>4</w:t>
      </w:r>
      <w:r w:rsidR="00E76F2C">
        <w:rPr>
          <w:rFonts w:ascii="Times New Roman" w:hAnsi="Times New Roman" w:cs="Times New Roman"/>
        </w:rPr>
        <w:fldChar w:fldCharType="end"/>
      </w:r>
      <w:r w:rsidR="00D97AFB">
        <w:rPr>
          <w:rFonts w:ascii="Times New Roman" w:hAnsi="Times New Roman" w:cs="Times New Roman"/>
        </w:rPr>
        <w:t>, and 3) both of</w:t>
      </w:r>
      <w:r w:rsidR="003F2EFC">
        <w:rPr>
          <w:rFonts w:ascii="Times New Roman" w:hAnsi="Times New Roman" w:cs="Times New Roman"/>
        </w:rPr>
        <w:t xml:space="preserve"> </w:t>
      </w:r>
      <w:r w:rsidR="00D97AFB">
        <w:rPr>
          <w:rFonts w:ascii="Times New Roman" w:hAnsi="Times New Roman" w:cs="Times New Roman"/>
        </w:rPr>
        <w:t xml:space="preserve">them. </w:t>
      </w:r>
      <w:r w:rsidR="000A77CB">
        <w:rPr>
          <w:rFonts w:ascii="Times New Roman" w:hAnsi="Times New Roman" w:cs="Times New Roman"/>
        </w:rPr>
        <w:t>G</w:t>
      </w:r>
      <w:r w:rsidR="00061B37">
        <w:rPr>
          <w:rFonts w:ascii="Times New Roman" w:hAnsi="Times New Roman" w:cs="Times New Roman"/>
        </w:rPr>
        <w:t>iven are the m</w:t>
      </w:r>
      <w:r w:rsidR="00061B37" w:rsidRPr="00C21061">
        <w:rPr>
          <w:rFonts w:ascii="Times New Roman" w:hAnsi="Times New Roman" w:cs="Times New Roman"/>
          <w:lang w:val="en-GB"/>
        </w:rPr>
        <w:t xml:space="preserve">odel estimates </w:t>
      </w:r>
      <w:r w:rsidR="000A77CB">
        <w:rPr>
          <w:rFonts w:ascii="Times New Roman" w:hAnsi="Times New Roman" w:cs="Times New Roman"/>
          <w:lang w:val="en-GB"/>
        </w:rPr>
        <w:t xml:space="preserve">for each model </w:t>
      </w:r>
      <w:r w:rsidR="00061B37" w:rsidRPr="00C21061">
        <w:rPr>
          <w:rFonts w:ascii="Times New Roman" w:hAnsi="Times New Roman" w:cs="Times New Roman"/>
          <w:lang w:val="en-GB"/>
        </w:rPr>
        <w:t>and their standard errors</w:t>
      </w:r>
      <w:r w:rsidR="00061B37">
        <w:rPr>
          <w:rFonts w:ascii="Times New Roman" w:hAnsi="Times New Roman" w:cs="Times New Roman"/>
        </w:rPr>
        <w:t xml:space="preserve"> (SE) with</w:t>
      </w:r>
      <w:r w:rsidR="000A77CB">
        <w:rPr>
          <w:rFonts w:ascii="Times New Roman" w:hAnsi="Times New Roman" w:cs="Times New Roman"/>
        </w:rPr>
        <w:t xml:space="preserve"> the</w:t>
      </w:r>
      <w:r w:rsidR="00061B37">
        <w:rPr>
          <w:rFonts w:ascii="Times New Roman" w:hAnsi="Times New Roman" w:cs="Times New Roman"/>
        </w:rPr>
        <w:t xml:space="preserve"> ‘Response’ column specifying the response variable and the ‘Effect’ column specifying the tested effect. </w:t>
      </w:r>
      <w:r w:rsidR="00061B37" w:rsidRPr="00C21061">
        <w:rPr>
          <w:rFonts w:ascii="Times New Roman" w:hAnsi="Times New Roman" w:cs="Times New Roman"/>
          <w:lang w:val="en-GB"/>
        </w:rPr>
        <w:t>For details on the levels of the fixed effects see Methods.</w:t>
      </w:r>
    </w:p>
    <w:tbl>
      <w:tblPr>
        <w:tblStyle w:val="LightShading"/>
        <w:tblW w:w="0" w:type="auto"/>
        <w:tblLook w:val="04A0" w:firstRow="1" w:lastRow="0" w:firstColumn="1" w:lastColumn="0" w:noHBand="0" w:noVBand="1"/>
      </w:tblPr>
      <w:tblGrid>
        <w:gridCol w:w="3168"/>
        <w:gridCol w:w="4737"/>
        <w:gridCol w:w="2126"/>
        <w:gridCol w:w="1905"/>
        <w:gridCol w:w="1221"/>
        <w:gridCol w:w="1110"/>
      </w:tblGrid>
      <w:tr w:rsidR="00F64CDD" w:rsidRPr="00B2713C" w14:paraId="5A64B1D0" w14:textId="77777777" w:rsidTr="00F64CDD">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168" w:type="dxa"/>
            <w:tcBorders>
              <w:top w:val="single" w:sz="12" w:space="0" w:color="auto"/>
              <w:bottom w:val="single" w:sz="12" w:space="0" w:color="auto"/>
            </w:tcBorders>
            <w:shd w:val="clear" w:color="auto" w:fill="auto"/>
            <w:noWrap/>
            <w:hideMark/>
          </w:tcPr>
          <w:p w14:paraId="386089B4" w14:textId="77777777" w:rsidR="00F64CDD" w:rsidRPr="00B2713C" w:rsidRDefault="00F64CDD" w:rsidP="00F64CDD">
            <w:pPr>
              <w:spacing w:line="360" w:lineRule="auto"/>
              <w:rPr>
                <w:rFonts w:ascii="Times New Roman" w:hAnsi="Times New Roman" w:cs="Times New Roman"/>
                <w:sz w:val="20"/>
                <w:szCs w:val="20"/>
              </w:rPr>
            </w:pPr>
            <w:r w:rsidRPr="00B2713C">
              <w:rPr>
                <w:rFonts w:ascii="Times New Roman" w:hAnsi="Times New Roman" w:cs="Times New Roman"/>
                <w:sz w:val="20"/>
                <w:szCs w:val="20"/>
              </w:rPr>
              <w:t>Excluding</w:t>
            </w:r>
          </w:p>
        </w:tc>
        <w:tc>
          <w:tcPr>
            <w:tcW w:w="4737" w:type="dxa"/>
            <w:tcBorders>
              <w:top w:val="single" w:sz="12" w:space="0" w:color="auto"/>
              <w:bottom w:val="single" w:sz="12" w:space="0" w:color="auto"/>
            </w:tcBorders>
            <w:shd w:val="clear" w:color="auto" w:fill="auto"/>
            <w:noWrap/>
            <w:hideMark/>
          </w:tcPr>
          <w:p w14:paraId="6A8F9814" w14:textId="77777777" w:rsidR="00F64CDD" w:rsidRPr="00B2713C" w:rsidRDefault="00F64CDD" w:rsidP="00F64CD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Response</w:t>
            </w:r>
          </w:p>
        </w:tc>
        <w:tc>
          <w:tcPr>
            <w:tcW w:w="2126" w:type="dxa"/>
            <w:tcBorders>
              <w:top w:val="single" w:sz="12" w:space="0" w:color="auto"/>
              <w:bottom w:val="single" w:sz="12" w:space="0" w:color="auto"/>
            </w:tcBorders>
            <w:shd w:val="clear" w:color="auto" w:fill="auto"/>
            <w:noWrap/>
            <w:hideMark/>
          </w:tcPr>
          <w:p w14:paraId="21CA215E" w14:textId="77777777" w:rsidR="00F64CDD" w:rsidRPr="00B2713C" w:rsidRDefault="00F64CDD" w:rsidP="00F64CD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Effect</w:t>
            </w:r>
          </w:p>
        </w:tc>
        <w:tc>
          <w:tcPr>
            <w:tcW w:w="1905" w:type="dxa"/>
            <w:tcBorders>
              <w:top w:val="single" w:sz="12" w:space="0" w:color="auto"/>
              <w:bottom w:val="single" w:sz="12" w:space="0" w:color="auto"/>
            </w:tcBorders>
            <w:shd w:val="clear" w:color="auto" w:fill="auto"/>
            <w:noWrap/>
            <w:hideMark/>
          </w:tcPr>
          <w:p w14:paraId="626ECE6A" w14:textId="77777777" w:rsidR="00F64CDD" w:rsidRPr="00B2713C" w:rsidRDefault="00F64CDD" w:rsidP="00F64CD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Modality</w:t>
            </w:r>
          </w:p>
        </w:tc>
        <w:tc>
          <w:tcPr>
            <w:tcW w:w="1221" w:type="dxa"/>
            <w:tcBorders>
              <w:top w:val="single" w:sz="12" w:space="0" w:color="auto"/>
              <w:bottom w:val="single" w:sz="12" w:space="0" w:color="auto"/>
            </w:tcBorders>
            <w:shd w:val="clear" w:color="auto" w:fill="auto"/>
            <w:noWrap/>
            <w:hideMark/>
          </w:tcPr>
          <w:p w14:paraId="4FF1AC59" w14:textId="77777777" w:rsidR="00F64CDD" w:rsidRPr="00B2713C" w:rsidRDefault="00F64CDD" w:rsidP="00F64CD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Estimate</w:t>
            </w:r>
          </w:p>
        </w:tc>
        <w:tc>
          <w:tcPr>
            <w:tcW w:w="1110" w:type="dxa"/>
            <w:tcBorders>
              <w:top w:val="single" w:sz="12" w:space="0" w:color="auto"/>
              <w:bottom w:val="single" w:sz="12" w:space="0" w:color="auto"/>
            </w:tcBorders>
            <w:shd w:val="clear" w:color="auto" w:fill="auto"/>
            <w:noWrap/>
            <w:hideMark/>
          </w:tcPr>
          <w:p w14:paraId="056DA522" w14:textId="77777777" w:rsidR="00F64CDD" w:rsidRPr="00B2713C" w:rsidRDefault="00F64CDD" w:rsidP="00F64CD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SE</w:t>
            </w:r>
          </w:p>
        </w:tc>
      </w:tr>
      <w:tr w:rsidR="00F64CDD" w:rsidRPr="00B2713C" w14:paraId="1E78CB1A" w14:textId="77777777" w:rsidTr="00F64CDD">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168" w:type="dxa"/>
            <w:vMerge w:val="restart"/>
            <w:tcBorders>
              <w:top w:val="single" w:sz="12" w:space="0" w:color="auto"/>
            </w:tcBorders>
            <w:shd w:val="clear" w:color="auto" w:fill="auto"/>
            <w:hideMark/>
          </w:tcPr>
          <w:p w14:paraId="640655B2" w14:textId="7CA29249" w:rsidR="00F64CDD" w:rsidRPr="00B2713C" w:rsidRDefault="00F64CDD" w:rsidP="00E07C04">
            <w:pPr>
              <w:spacing w:line="360" w:lineRule="auto"/>
              <w:rPr>
                <w:rFonts w:ascii="Times New Roman" w:hAnsi="Times New Roman" w:cs="Times New Roman"/>
                <w:b w:val="0"/>
                <w:sz w:val="20"/>
                <w:szCs w:val="20"/>
              </w:rPr>
            </w:pPr>
            <w:r w:rsidRPr="00B2713C">
              <w:rPr>
                <w:rFonts w:ascii="Times New Roman" w:hAnsi="Times New Roman" w:cs="Times New Roman"/>
                <w:b w:val="0"/>
                <w:sz w:val="20"/>
                <w:szCs w:val="20"/>
              </w:rPr>
              <w:t>The study by Goodenough et al. (2011)</w:t>
            </w:r>
            <w:r w:rsidR="00B2713C" w:rsidRPr="00B2713C">
              <w:rPr>
                <w:rFonts w:ascii="Times New Roman" w:hAnsi="Times New Roman" w:cs="Times New Roman"/>
                <w:b w:val="0"/>
                <w:sz w:val="20"/>
                <w:szCs w:val="20"/>
              </w:rPr>
              <w:t xml:space="preserve"> </w:t>
            </w:r>
            <w:r w:rsidR="00B2713C" w:rsidRPr="00B2713C">
              <w:rPr>
                <w:rFonts w:ascii="Times New Roman" w:hAnsi="Times New Roman" w:cs="Times New Roman"/>
                <w:sz w:val="20"/>
                <w:szCs w:val="20"/>
              </w:rPr>
              <w:fldChar w:fldCharType="begin" w:fldLock="1"/>
            </w:r>
            <w:r w:rsidR="00E07C04">
              <w:rPr>
                <w:rFonts w:ascii="Times New Roman" w:hAnsi="Times New Roman" w:cs="Times New Roman"/>
                <w:b w:val="0"/>
                <w:sz w:val="20"/>
                <w:szCs w:val="20"/>
              </w:rPr>
              <w:instrText>ADDIN CSL_CITATION {"citationItems":[{"id":"ITEM-1","itemData":{"DOI":"10.1007/s00484-010-0312-6","ISBN":"0020-7128","ISSN":"00207128","PMID":"20405299","abstract":"Phenological studies have demonstrated changes in the timing of seasonal events across multiple taxonomic groups as the climate warms. Some northern European migrant bird populations, however, show little or no significant change in breeding phenology, resulting in synchrony with key food sources becoming mismatched. This phenological inertia has often been ascribed to migration constraints (i.e. arrival date at breeding grounds preventing earlier laying). This has been based primarily on research in The Netherlands and Germany where time between arrival and breeding is short (often as few as 9 days). Here, we test the arrival constraint hypothesis over a 15-year period for a U.K. pied flycatcher (Ficedula hypoleuca) population where laying date is not constrained by arrival as the period between arrival and breeding is substantial and consistent (average 27 ± 4.57 days SD). Despite increasing spring temperatures and quantifiably stronger selection for early laying on the basis of number of offspring to fledge, we found no significant change in breeding phenology, in contrast with co-occurring resident blue tits (Cyanistes caeruleus). We discuss possible non-migratory constraints on phenological adjustment, including limitations on plasticity, genetic constraints and competition, as well as the possibility of counter-selection pressures relating to adult survival, longevity or future reproductive success. We propose that such factors need to be considered in conjunction with the arrival constraint hypothesis.","author":[{"dropping-particle":"","family":"Goodenough","given":"Anne E.","non-dropping-particle":"","parse-names":false,"suffix":""},{"dropping-particle":"","family":"Hart","given":"Adam G.","non-dropping-particle":"","parse-names":false,"suffix":""},{"dropping-particle":"","family":"Elliot","given":"Simon L.","non-dropping-particle":"","parse-names":false,"suffix":""}],"container-title":"International Journal of Biometeorology","id":"ITEM-1","issue":"1","issued":{"date-parts":[["2011"]]},"page":"97-102","title":"What prevents phenological adjustment to climate change in migrant bird species? Evidence against the \"arrival constraint\" hypothesis","type":"article-journal","volume":"55"},"uris":["http://www.mendeley.com/documents/?uuid=1b128748-219e-446f-b26e-a5f91f03ebf6"]}],"mendeley":{"formattedCitation":"&lt;sup&gt;3&lt;/sup&gt;","plainTextFormattedCitation":"3","previouslyFormattedCitation":"&lt;sup&gt;3&lt;/sup&gt;"},"properties":{"noteIndex":0},"schema":"https://github.com/citation-style-language/schema/raw/master/csl-citation.json"}</w:instrText>
            </w:r>
            <w:r w:rsidR="00B2713C" w:rsidRPr="00B2713C">
              <w:rPr>
                <w:rFonts w:ascii="Times New Roman" w:hAnsi="Times New Roman" w:cs="Times New Roman"/>
                <w:sz w:val="20"/>
                <w:szCs w:val="20"/>
              </w:rPr>
              <w:fldChar w:fldCharType="separate"/>
            </w:r>
            <w:r w:rsidR="00E07C04" w:rsidRPr="00E07C04">
              <w:rPr>
                <w:rFonts w:ascii="Times New Roman" w:hAnsi="Times New Roman" w:cs="Times New Roman"/>
                <w:b w:val="0"/>
                <w:noProof/>
                <w:sz w:val="20"/>
                <w:szCs w:val="20"/>
                <w:vertAlign w:val="superscript"/>
              </w:rPr>
              <w:t>3</w:t>
            </w:r>
            <w:r w:rsidR="00B2713C" w:rsidRPr="00B2713C">
              <w:rPr>
                <w:rFonts w:ascii="Times New Roman" w:hAnsi="Times New Roman" w:cs="Times New Roman"/>
                <w:sz w:val="20"/>
                <w:szCs w:val="20"/>
              </w:rPr>
              <w:fldChar w:fldCharType="end"/>
            </w:r>
            <w:r w:rsidRPr="00B2713C">
              <w:rPr>
                <w:rFonts w:ascii="Times New Roman" w:hAnsi="Times New Roman" w:cs="Times New Roman"/>
                <w:b w:val="0"/>
                <w:sz w:val="20"/>
                <w:szCs w:val="20"/>
              </w:rPr>
              <w:t>, outlier</w:t>
            </w:r>
          </w:p>
        </w:tc>
        <w:tc>
          <w:tcPr>
            <w:tcW w:w="4737" w:type="dxa"/>
            <w:tcBorders>
              <w:top w:val="single" w:sz="12" w:space="0" w:color="auto"/>
            </w:tcBorders>
            <w:shd w:val="clear" w:color="auto" w:fill="auto"/>
            <w:noWrap/>
            <w:hideMark/>
          </w:tcPr>
          <w:p w14:paraId="62128566"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Slope of phenological traits on temperature</w:t>
            </w:r>
          </w:p>
        </w:tc>
        <w:tc>
          <w:tcPr>
            <w:tcW w:w="2126" w:type="dxa"/>
            <w:tcBorders>
              <w:top w:val="single" w:sz="12" w:space="0" w:color="auto"/>
            </w:tcBorders>
            <w:shd w:val="clear" w:color="auto" w:fill="auto"/>
            <w:noWrap/>
            <w:hideMark/>
          </w:tcPr>
          <w:p w14:paraId="7B947DEE"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Intercept</w:t>
            </w:r>
          </w:p>
        </w:tc>
        <w:tc>
          <w:tcPr>
            <w:tcW w:w="1905" w:type="dxa"/>
            <w:tcBorders>
              <w:top w:val="single" w:sz="12" w:space="0" w:color="auto"/>
            </w:tcBorders>
            <w:shd w:val="clear" w:color="auto" w:fill="auto"/>
            <w:noWrap/>
            <w:hideMark/>
          </w:tcPr>
          <w:p w14:paraId="0AB0188A"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 xml:space="preserve"> </w:t>
            </w:r>
          </w:p>
        </w:tc>
        <w:tc>
          <w:tcPr>
            <w:tcW w:w="1221" w:type="dxa"/>
            <w:tcBorders>
              <w:top w:val="single" w:sz="12" w:space="0" w:color="auto"/>
            </w:tcBorders>
            <w:shd w:val="clear" w:color="auto" w:fill="auto"/>
            <w:noWrap/>
            <w:hideMark/>
          </w:tcPr>
          <w:p w14:paraId="20AA0A07"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-0.239</w:t>
            </w:r>
          </w:p>
        </w:tc>
        <w:tc>
          <w:tcPr>
            <w:tcW w:w="1110" w:type="dxa"/>
            <w:tcBorders>
              <w:top w:val="single" w:sz="12" w:space="0" w:color="auto"/>
            </w:tcBorders>
            <w:shd w:val="clear" w:color="auto" w:fill="auto"/>
            <w:noWrap/>
            <w:hideMark/>
          </w:tcPr>
          <w:p w14:paraId="364F623F"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0.067</w:t>
            </w:r>
          </w:p>
        </w:tc>
      </w:tr>
      <w:tr w:rsidR="00F64CDD" w:rsidRPr="00B2713C" w14:paraId="087F52F7" w14:textId="77777777" w:rsidTr="00F64CDD">
        <w:trPr>
          <w:trHeight w:val="297"/>
        </w:trPr>
        <w:tc>
          <w:tcPr>
            <w:cnfStyle w:val="001000000000" w:firstRow="0" w:lastRow="0" w:firstColumn="1" w:lastColumn="0" w:oddVBand="0" w:evenVBand="0" w:oddHBand="0" w:evenHBand="0" w:firstRowFirstColumn="0" w:firstRowLastColumn="0" w:lastRowFirstColumn="0" w:lastRowLastColumn="0"/>
            <w:tcW w:w="3168" w:type="dxa"/>
            <w:vMerge/>
            <w:shd w:val="clear" w:color="auto" w:fill="auto"/>
            <w:hideMark/>
          </w:tcPr>
          <w:p w14:paraId="1B147179"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val="restart"/>
            <w:shd w:val="clear" w:color="auto" w:fill="auto"/>
            <w:hideMark/>
          </w:tcPr>
          <w:p w14:paraId="7A51FE4E"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Mean selection across phenological traits separately (presumably induced by temperature)</w:t>
            </w:r>
          </w:p>
        </w:tc>
        <w:tc>
          <w:tcPr>
            <w:tcW w:w="2126" w:type="dxa"/>
            <w:shd w:val="clear" w:color="auto" w:fill="auto"/>
            <w:noWrap/>
            <w:hideMark/>
          </w:tcPr>
          <w:p w14:paraId="3695DDE3"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Intercept</w:t>
            </w:r>
          </w:p>
        </w:tc>
        <w:tc>
          <w:tcPr>
            <w:tcW w:w="1905" w:type="dxa"/>
            <w:shd w:val="clear" w:color="auto" w:fill="auto"/>
            <w:noWrap/>
            <w:hideMark/>
          </w:tcPr>
          <w:p w14:paraId="2E6E285B"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 xml:space="preserve"> </w:t>
            </w:r>
          </w:p>
        </w:tc>
        <w:tc>
          <w:tcPr>
            <w:tcW w:w="1221" w:type="dxa"/>
            <w:shd w:val="clear" w:color="auto" w:fill="auto"/>
            <w:noWrap/>
            <w:hideMark/>
          </w:tcPr>
          <w:p w14:paraId="530EEB32"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-0.114</w:t>
            </w:r>
          </w:p>
        </w:tc>
        <w:tc>
          <w:tcPr>
            <w:tcW w:w="1110" w:type="dxa"/>
            <w:shd w:val="clear" w:color="auto" w:fill="auto"/>
            <w:noWrap/>
            <w:hideMark/>
          </w:tcPr>
          <w:p w14:paraId="7E61C995"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0.022</w:t>
            </w:r>
          </w:p>
        </w:tc>
      </w:tr>
      <w:tr w:rsidR="00F64CDD" w:rsidRPr="00B2713C" w14:paraId="37B1CA36" w14:textId="77777777" w:rsidTr="00F64CDD">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168" w:type="dxa"/>
            <w:vMerge/>
            <w:shd w:val="clear" w:color="auto" w:fill="auto"/>
            <w:hideMark/>
          </w:tcPr>
          <w:p w14:paraId="179E8E8C"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shd w:val="clear" w:color="auto" w:fill="auto"/>
            <w:hideMark/>
          </w:tcPr>
          <w:p w14:paraId="38CF48E8"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126" w:type="dxa"/>
            <w:vMerge w:val="restart"/>
            <w:shd w:val="clear" w:color="auto" w:fill="auto"/>
            <w:hideMark/>
          </w:tcPr>
          <w:p w14:paraId="032CC107"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Fitness component</w:t>
            </w:r>
          </w:p>
        </w:tc>
        <w:tc>
          <w:tcPr>
            <w:tcW w:w="1905" w:type="dxa"/>
            <w:shd w:val="clear" w:color="auto" w:fill="auto"/>
            <w:noWrap/>
            <w:hideMark/>
          </w:tcPr>
          <w:p w14:paraId="66F5EDBA"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Recruitment</w:t>
            </w:r>
          </w:p>
        </w:tc>
        <w:tc>
          <w:tcPr>
            <w:tcW w:w="1221" w:type="dxa"/>
            <w:shd w:val="clear" w:color="auto" w:fill="auto"/>
            <w:noWrap/>
            <w:hideMark/>
          </w:tcPr>
          <w:p w14:paraId="03ADDDA8"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-0.185</w:t>
            </w:r>
          </w:p>
        </w:tc>
        <w:tc>
          <w:tcPr>
            <w:tcW w:w="1110" w:type="dxa"/>
            <w:shd w:val="clear" w:color="auto" w:fill="auto"/>
            <w:noWrap/>
            <w:hideMark/>
          </w:tcPr>
          <w:p w14:paraId="401D1B6C"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0.032</w:t>
            </w:r>
          </w:p>
        </w:tc>
      </w:tr>
      <w:tr w:rsidR="00F64CDD" w:rsidRPr="00B2713C" w14:paraId="2360CD31" w14:textId="77777777" w:rsidTr="00F64CDD">
        <w:trPr>
          <w:trHeight w:val="297"/>
        </w:trPr>
        <w:tc>
          <w:tcPr>
            <w:cnfStyle w:val="001000000000" w:firstRow="0" w:lastRow="0" w:firstColumn="1" w:lastColumn="0" w:oddVBand="0" w:evenVBand="0" w:oddHBand="0" w:evenHBand="0" w:firstRowFirstColumn="0" w:firstRowLastColumn="0" w:lastRowFirstColumn="0" w:lastRowLastColumn="0"/>
            <w:tcW w:w="3168" w:type="dxa"/>
            <w:vMerge/>
            <w:shd w:val="clear" w:color="auto" w:fill="auto"/>
            <w:hideMark/>
          </w:tcPr>
          <w:p w14:paraId="3AA75A80"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shd w:val="clear" w:color="auto" w:fill="auto"/>
            <w:hideMark/>
          </w:tcPr>
          <w:p w14:paraId="4147B505"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2126" w:type="dxa"/>
            <w:vMerge/>
            <w:shd w:val="clear" w:color="auto" w:fill="auto"/>
            <w:hideMark/>
          </w:tcPr>
          <w:p w14:paraId="76F85675"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905" w:type="dxa"/>
            <w:shd w:val="clear" w:color="auto" w:fill="auto"/>
            <w:noWrap/>
            <w:hideMark/>
          </w:tcPr>
          <w:p w14:paraId="3019B7F2"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Reproduction</w:t>
            </w:r>
          </w:p>
        </w:tc>
        <w:tc>
          <w:tcPr>
            <w:tcW w:w="1221" w:type="dxa"/>
            <w:shd w:val="clear" w:color="auto" w:fill="auto"/>
            <w:noWrap/>
            <w:hideMark/>
          </w:tcPr>
          <w:p w14:paraId="65B298E7"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-0.091</w:t>
            </w:r>
          </w:p>
        </w:tc>
        <w:tc>
          <w:tcPr>
            <w:tcW w:w="1110" w:type="dxa"/>
            <w:shd w:val="clear" w:color="auto" w:fill="auto"/>
            <w:noWrap/>
            <w:hideMark/>
          </w:tcPr>
          <w:p w14:paraId="0FA0B588"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0.028</w:t>
            </w:r>
          </w:p>
        </w:tc>
      </w:tr>
      <w:tr w:rsidR="00F64CDD" w:rsidRPr="00B2713C" w14:paraId="42C81BDD" w14:textId="77777777" w:rsidTr="00F64CDD">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168" w:type="dxa"/>
            <w:vMerge/>
            <w:shd w:val="clear" w:color="auto" w:fill="auto"/>
            <w:hideMark/>
          </w:tcPr>
          <w:p w14:paraId="53AC9FC6"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shd w:val="clear" w:color="auto" w:fill="auto"/>
            <w:hideMark/>
          </w:tcPr>
          <w:p w14:paraId="207A5A01"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126" w:type="dxa"/>
            <w:vMerge/>
            <w:shd w:val="clear" w:color="auto" w:fill="auto"/>
            <w:hideMark/>
          </w:tcPr>
          <w:p w14:paraId="10DBA17F"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905" w:type="dxa"/>
            <w:shd w:val="clear" w:color="auto" w:fill="auto"/>
            <w:noWrap/>
            <w:hideMark/>
          </w:tcPr>
          <w:p w14:paraId="54CF4367"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Survival</w:t>
            </w:r>
          </w:p>
        </w:tc>
        <w:tc>
          <w:tcPr>
            <w:tcW w:w="1221" w:type="dxa"/>
            <w:shd w:val="clear" w:color="auto" w:fill="auto"/>
            <w:noWrap/>
            <w:hideMark/>
          </w:tcPr>
          <w:p w14:paraId="2E599E16"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-0.020</w:t>
            </w:r>
          </w:p>
        </w:tc>
        <w:tc>
          <w:tcPr>
            <w:tcW w:w="1110" w:type="dxa"/>
            <w:shd w:val="clear" w:color="auto" w:fill="auto"/>
            <w:noWrap/>
            <w:hideMark/>
          </w:tcPr>
          <w:p w14:paraId="3F127966"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0.042</w:t>
            </w:r>
          </w:p>
        </w:tc>
      </w:tr>
      <w:tr w:rsidR="00F64CDD" w:rsidRPr="00B2713C" w14:paraId="3D7B7AFD" w14:textId="77777777" w:rsidTr="00F64CDD">
        <w:trPr>
          <w:trHeight w:val="297"/>
        </w:trPr>
        <w:tc>
          <w:tcPr>
            <w:cnfStyle w:val="001000000000" w:firstRow="0" w:lastRow="0" w:firstColumn="1" w:lastColumn="0" w:oddVBand="0" w:evenVBand="0" w:oddHBand="0" w:evenHBand="0" w:firstRowFirstColumn="0" w:firstRowLastColumn="0" w:lastRowFirstColumn="0" w:lastRowLastColumn="0"/>
            <w:tcW w:w="3168" w:type="dxa"/>
            <w:vMerge/>
            <w:tcBorders>
              <w:bottom w:val="single" w:sz="6" w:space="0" w:color="auto"/>
            </w:tcBorders>
            <w:shd w:val="clear" w:color="auto" w:fill="auto"/>
            <w:hideMark/>
          </w:tcPr>
          <w:p w14:paraId="11E1D703"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tcBorders>
              <w:bottom w:val="single" w:sz="6" w:space="0" w:color="auto"/>
            </w:tcBorders>
            <w:shd w:val="clear" w:color="auto" w:fill="auto"/>
            <w:hideMark/>
          </w:tcPr>
          <w:p w14:paraId="20024CE2"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2126" w:type="dxa"/>
            <w:tcBorders>
              <w:bottom w:val="single" w:sz="6" w:space="0" w:color="auto"/>
            </w:tcBorders>
            <w:shd w:val="clear" w:color="auto" w:fill="auto"/>
            <w:noWrap/>
            <w:hideMark/>
          </w:tcPr>
          <w:p w14:paraId="134C35D3"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Generation length</w:t>
            </w:r>
          </w:p>
        </w:tc>
        <w:tc>
          <w:tcPr>
            <w:tcW w:w="1905" w:type="dxa"/>
            <w:tcBorders>
              <w:bottom w:val="single" w:sz="6" w:space="0" w:color="auto"/>
            </w:tcBorders>
            <w:shd w:val="clear" w:color="auto" w:fill="auto"/>
            <w:noWrap/>
            <w:hideMark/>
          </w:tcPr>
          <w:p w14:paraId="6DB98A36"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 xml:space="preserve"> </w:t>
            </w:r>
          </w:p>
        </w:tc>
        <w:tc>
          <w:tcPr>
            <w:tcW w:w="1221" w:type="dxa"/>
            <w:tcBorders>
              <w:bottom w:val="single" w:sz="6" w:space="0" w:color="auto"/>
            </w:tcBorders>
            <w:shd w:val="clear" w:color="auto" w:fill="auto"/>
            <w:noWrap/>
            <w:hideMark/>
          </w:tcPr>
          <w:p w14:paraId="01F81A0E"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-0.014</w:t>
            </w:r>
          </w:p>
        </w:tc>
        <w:tc>
          <w:tcPr>
            <w:tcW w:w="1110" w:type="dxa"/>
            <w:tcBorders>
              <w:bottom w:val="single" w:sz="6" w:space="0" w:color="auto"/>
            </w:tcBorders>
            <w:shd w:val="clear" w:color="auto" w:fill="auto"/>
            <w:noWrap/>
            <w:hideMark/>
          </w:tcPr>
          <w:p w14:paraId="260C35DF"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0.005</w:t>
            </w:r>
          </w:p>
        </w:tc>
      </w:tr>
      <w:tr w:rsidR="00F64CDD" w:rsidRPr="00B2713C" w14:paraId="5EA855BF" w14:textId="77777777" w:rsidTr="00F64CDD">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168" w:type="dxa"/>
            <w:vMerge w:val="restart"/>
            <w:tcBorders>
              <w:top w:val="single" w:sz="6" w:space="0" w:color="auto"/>
              <w:bottom w:val="nil"/>
            </w:tcBorders>
            <w:shd w:val="clear" w:color="auto" w:fill="auto"/>
            <w:hideMark/>
          </w:tcPr>
          <w:p w14:paraId="452A179F" w14:textId="0153BC16" w:rsidR="00F64CDD" w:rsidRPr="00B2713C" w:rsidRDefault="00F64CDD" w:rsidP="00E07C04">
            <w:pPr>
              <w:spacing w:line="360" w:lineRule="auto"/>
              <w:rPr>
                <w:rFonts w:ascii="Times New Roman" w:hAnsi="Times New Roman" w:cs="Times New Roman"/>
                <w:b w:val="0"/>
                <w:sz w:val="20"/>
                <w:szCs w:val="20"/>
              </w:rPr>
            </w:pPr>
            <w:r w:rsidRPr="00B2713C">
              <w:rPr>
                <w:rFonts w:ascii="Times New Roman" w:hAnsi="Times New Roman" w:cs="Times New Roman"/>
                <w:b w:val="0"/>
                <w:sz w:val="20"/>
                <w:szCs w:val="20"/>
              </w:rPr>
              <w:t>The only study on mammal (Plard et al. 2014)</w:t>
            </w:r>
            <w:r w:rsidR="00B2713C" w:rsidRPr="00B2713C">
              <w:rPr>
                <w:rFonts w:ascii="Times New Roman" w:hAnsi="Times New Roman" w:cs="Times New Roman"/>
                <w:b w:val="0"/>
                <w:sz w:val="20"/>
                <w:szCs w:val="20"/>
              </w:rPr>
              <w:t xml:space="preserve"> </w:t>
            </w:r>
            <w:r w:rsidR="00B2713C" w:rsidRPr="00B2713C">
              <w:rPr>
                <w:rFonts w:ascii="Times New Roman" w:hAnsi="Times New Roman" w:cs="Times New Roman"/>
                <w:sz w:val="20"/>
                <w:szCs w:val="20"/>
              </w:rPr>
              <w:fldChar w:fldCharType="begin" w:fldLock="1"/>
            </w:r>
            <w:r w:rsidR="00702BB9">
              <w:rPr>
                <w:rFonts w:ascii="Times New Roman" w:hAnsi="Times New Roman" w:cs="Times New Roman"/>
                <w:b w:val="0"/>
                <w:sz w:val="20"/>
                <w:szCs w:val="20"/>
              </w:rPr>
              <w:instrText>ADDIN CSL_CITATION {"citationItems":[{"id":"ITEM-1","itemData":{"DOI":"10.1371/journal.pbio.1001828","ISBN":"1545-7885 (Electronic)\\r1544-9173 (Linking)","ISSN":"15457885","PMID":"24690936","abstract":"Marked impacts of climate change on biodiversity have frequently been demonstrated, including temperature-related shifts in phenology and life-history traits. One potential major impact of climate change is the modification of synchronization between the phenology of different trophic levels. High phenotypic plasticity in laying date has allowed many bird species to track the increasingly early springs resulting from recent environmental change, but although changes in the timing of reproduction have been well studied in birds, these questions have only recently been addressed in mammals. To track peak resource availability, large herbivores like roe deer, with a widespread distribution across Europe, should also modify their life-history schedule in response to changes in vegetation phenology over time. In this study, we analysed the influence of climate change on the timing of roe deer births and the consequences for population demography and individual fitness. Our study provides a rare quantification of the demographic costs associated with the failure of a species to modify its phenology in response to a changing world. Given these fitness costs, the lack of response of roe deer birth dates to match the increasingly earlier onset of spring is in stark contrast with the marked phenotypic responses to climate change reported in many other mammals. We suggest that the lack of phenotypic plasticity in birth timing in roe deer is linked to its inability to track environmental cues of variation in resource availability for the timing of parturition.","author":[{"dropping-particle":"","family":"Plard","given":"Floriane","non-dropping-particle":"","parse-names":false,"suffix":""},{"dropping-particle":"","family":"Gaillard","given":"Jean Michel","non-dropping-particle":"","parse-names":false,"suffix":""},{"dropping-particle":"","family":"Coulson","given":"Tim","non-dropping-particle":"","parse-names":false,"suffix":""},{"dropping-particle":"","family":"Hewison","given":"A. J Mark","non-dropping-particle":"","parse-names":false,"suffix":""},{"dropping-particle":"","family":"Delorme","given":"Daniel","non-dropping-particle":"","parse-names":false,"suffix":""},{"dropping-particle":"","family":"Warnant","given":"Claude","non-dropping-particle":"","parse-names":false,"suffix":""},{"dropping-particle":"","family":"Bonenfant","given":"Christophe","non-dropping-particle":"","parse-names":false,"suffix":""}],"container-title":"PLoS Biology","id":"ITEM-1","issue":"4","issued":{"date-parts":[["2014"]]},"page":"e1001828","title":"Mismatch between birth date and vegetation phenology slows the demography of roe deer","type":"article-journal","volume":"12"},"uris":["http://www.mendeley.com/documents/?uuid=2d4be9f1-e9ff-4020-b8ea-3027768adb84"]}],"mendeley":{"formattedCitation":"&lt;sup&gt;4&lt;/sup&gt;","plainTextFormattedCitation":"4","previouslyFormattedCitation":"&lt;sup&gt;4&lt;/sup&gt;"},"properties":{"noteIndex":0},"schema":"https://github.com/citation-style-language/schema/raw/master/csl-citation.json"}</w:instrText>
            </w:r>
            <w:r w:rsidR="00B2713C" w:rsidRPr="00B2713C">
              <w:rPr>
                <w:rFonts w:ascii="Times New Roman" w:hAnsi="Times New Roman" w:cs="Times New Roman"/>
                <w:sz w:val="20"/>
                <w:szCs w:val="20"/>
              </w:rPr>
              <w:fldChar w:fldCharType="separate"/>
            </w:r>
            <w:r w:rsidR="00E07C04" w:rsidRPr="00E07C04">
              <w:rPr>
                <w:rFonts w:ascii="Times New Roman" w:hAnsi="Times New Roman" w:cs="Times New Roman"/>
                <w:b w:val="0"/>
                <w:noProof/>
                <w:sz w:val="20"/>
                <w:szCs w:val="20"/>
                <w:vertAlign w:val="superscript"/>
              </w:rPr>
              <w:t>4</w:t>
            </w:r>
            <w:r w:rsidR="00B2713C" w:rsidRPr="00B2713C">
              <w:rPr>
                <w:rFonts w:ascii="Times New Roman" w:hAnsi="Times New Roman" w:cs="Times New Roman"/>
                <w:sz w:val="20"/>
                <w:szCs w:val="20"/>
              </w:rPr>
              <w:fldChar w:fldCharType="end"/>
            </w:r>
          </w:p>
        </w:tc>
        <w:tc>
          <w:tcPr>
            <w:tcW w:w="4737" w:type="dxa"/>
            <w:tcBorders>
              <w:top w:val="single" w:sz="6" w:space="0" w:color="auto"/>
              <w:bottom w:val="nil"/>
            </w:tcBorders>
            <w:shd w:val="clear" w:color="auto" w:fill="auto"/>
            <w:noWrap/>
            <w:hideMark/>
          </w:tcPr>
          <w:p w14:paraId="7AD9152F"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Slope of phenological traits on temperature</w:t>
            </w:r>
          </w:p>
        </w:tc>
        <w:tc>
          <w:tcPr>
            <w:tcW w:w="2126" w:type="dxa"/>
            <w:tcBorders>
              <w:top w:val="single" w:sz="6" w:space="0" w:color="auto"/>
              <w:bottom w:val="nil"/>
            </w:tcBorders>
            <w:shd w:val="clear" w:color="auto" w:fill="auto"/>
            <w:noWrap/>
            <w:hideMark/>
          </w:tcPr>
          <w:p w14:paraId="750EB7E3"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Intercept</w:t>
            </w:r>
          </w:p>
        </w:tc>
        <w:tc>
          <w:tcPr>
            <w:tcW w:w="1905" w:type="dxa"/>
            <w:tcBorders>
              <w:top w:val="single" w:sz="6" w:space="0" w:color="auto"/>
              <w:bottom w:val="nil"/>
            </w:tcBorders>
            <w:shd w:val="clear" w:color="auto" w:fill="auto"/>
            <w:noWrap/>
            <w:hideMark/>
          </w:tcPr>
          <w:p w14:paraId="50B17D6B"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 xml:space="preserve"> </w:t>
            </w:r>
          </w:p>
        </w:tc>
        <w:tc>
          <w:tcPr>
            <w:tcW w:w="1221" w:type="dxa"/>
            <w:tcBorders>
              <w:top w:val="single" w:sz="6" w:space="0" w:color="auto"/>
              <w:bottom w:val="nil"/>
            </w:tcBorders>
            <w:shd w:val="clear" w:color="auto" w:fill="auto"/>
            <w:noWrap/>
            <w:hideMark/>
          </w:tcPr>
          <w:p w14:paraId="442558BF"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-0.276</w:t>
            </w:r>
          </w:p>
        </w:tc>
        <w:tc>
          <w:tcPr>
            <w:tcW w:w="1110" w:type="dxa"/>
            <w:tcBorders>
              <w:top w:val="single" w:sz="6" w:space="0" w:color="auto"/>
              <w:bottom w:val="nil"/>
            </w:tcBorders>
            <w:shd w:val="clear" w:color="auto" w:fill="auto"/>
            <w:noWrap/>
            <w:hideMark/>
          </w:tcPr>
          <w:p w14:paraId="67CA8049"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0.070</w:t>
            </w:r>
          </w:p>
        </w:tc>
      </w:tr>
      <w:tr w:rsidR="00F64CDD" w:rsidRPr="00B2713C" w14:paraId="0EA02EA3" w14:textId="77777777" w:rsidTr="00F64CDD">
        <w:trPr>
          <w:trHeight w:val="297"/>
        </w:trPr>
        <w:tc>
          <w:tcPr>
            <w:cnfStyle w:val="001000000000" w:firstRow="0" w:lastRow="0" w:firstColumn="1" w:lastColumn="0" w:oddVBand="0" w:evenVBand="0" w:oddHBand="0" w:evenHBand="0" w:firstRowFirstColumn="0" w:firstRowLastColumn="0" w:lastRowFirstColumn="0" w:lastRowLastColumn="0"/>
            <w:tcW w:w="3168" w:type="dxa"/>
            <w:vMerge/>
            <w:tcBorders>
              <w:top w:val="nil"/>
              <w:bottom w:val="nil"/>
            </w:tcBorders>
            <w:shd w:val="clear" w:color="auto" w:fill="auto"/>
            <w:hideMark/>
          </w:tcPr>
          <w:p w14:paraId="7AEE696F"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val="restart"/>
            <w:tcBorders>
              <w:top w:val="nil"/>
              <w:bottom w:val="nil"/>
            </w:tcBorders>
            <w:shd w:val="clear" w:color="auto" w:fill="auto"/>
            <w:hideMark/>
          </w:tcPr>
          <w:p w14:paraId="274FBA7E"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Mean selection across phenological traits separately (presumably induced by temperature)</w:t>
            </w:r>
          </w:p>
        </w:tc>
        <w:tc>
          <w:tcPr>
            <w:tcW w:w="2126" w:type="dxa"/>
            <w:tcBorders>
              <w:top w:val="nil"/>
              <w:bottom w:val="nil"/>
            </w:tcBorders>
            <w:shd w:val="clear" w:color="auto" w:fill="auto"/>
            <w:noWrap/>
            <w:hideMark/>
          </w:tcPr>
          <w:p w14:paraId="38B22E4B"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Intercept</w:t>
            </w:r>
          </w:p>
        </w:tc>
        <w:tc>
          <w:tcPr>
            <w:tcW w:w="1905" w:type="dxa"/>
            <w:tcBorders>
              <w:top w:val="nil"/>
              <w:bottom w:val="nil"/>
            </w:tcBorders>
            <w:shd w:val="clear" w:color="auto" w:fill="auto"/>
            <w:noWrap/>
            <w:hideMark/>
          </w:tcPr>
          <w:p w14:paraId="26A6C7C4"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 xml:space="preserve"> </w:t>
            </w:r>
          </w:p>
        </w:tc>
        <w:tc>
          <w:tcPr>
            <w:tcW w:w="1221" w:type="dxa"/>
            <w:tcBorders>
              <w:top w:val="nil"/>
              <w:bottom w:val="nil"/>
            </w:tcBorders>
            <w:shd w:val="clear" w:color="auto" w:fill="auto"/>
            <w:noWrap/>
            <w:hideMark/>
          </w:tcPr>
          <w:p w14:paraId="674A7FD8"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-0.162</w:t>
            </w:r>
          </w:p>
        </w:tc>
        <w:tc>
          <w:tcPr>
            <w:tcW w:w="1110" w:type="dxa"/>
            <w:tcBorders>
              <w:top w:val="nil"/>
              <w:bottom w:val="nil"/>
            </w:tcBorders>
            <w:shd w:val="clear" w:color="auto" w:fill="auto"/>
            <w:noWrap/>
            <w:hideMark/>
          </w:tcPr>
          <w:p w14:paraId="301772E9"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0.065</w:t>
            </w:r>
          </w:p>
        </w:tc>
      </w:tr>
      <w:tr w:rsidR="00F64CDD" w:rsidRPr="00B2713C" w14:paraId="2B8B9B6D" w14:textId="77777777" w:rsidTr="00F64CDD">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168" w:type="dxa"/>
            <w:vMerge/>
            <w:tcBorders>
              <w:top w:val="nil"/>
              <w:bottom w:val="nil"/>
            </w:tcBorders>
            <w:shd w:val="clear" w:color="auto" w:fill="auto"/>
            <w:hideMark/>
          </w:tcPr>
          <w:p w14:paraId="3229DC76"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tcBorders>
              <w:top w:val="nil"/>
              <w:bottom w:val="nil"/>
            </w:tcBorders>
            <w:shd w:val="clear" w:color="auto" w:fill="auto"/>
            <w:hideMark/>
          </w:tcPr>
          <w:p w14:paraId="0AFB6C05"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126" w:type="dxa"/>
            <w:vMerge w:val="restart"/>
            <w:tcBorders>
              <w:top w:val="nil"/>
              <w:bottom w:val="nil"/>
            </w:tcBorders>
            <w:shd w:val="clear" w:color="auto" w:fill="auto"/>
            <w:hideMark/>
          </w:tcPr>
          <w:p w14:paraId="6A6BA46D"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Fitness component</w:t>
            </w:r>
          </w:p>
        </w:tc>
        <w:tc>
          <w:tcPr>
            <w:tcW w:w="1905" w:type="dxa"/>
            <w:tcBorders>
              <w:top w:val="nil"/>
              <w:bottom w:val="nil"/>
            </w:tcBorders>
            <w:shd w:val="clear" w:color="auto" w:fill="auto"/>
            <w:noWrap/>
            <w:hideMark/>
          </w:tcPr>
          <w:p w14:paraId="3E8FD4AC"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Recruitment</w:t>
            </w:r>
          </w:p>
        </w:tc>
        <w:tc>
          <w:tcPr>
            <w:tcW w:w="1221" w:type="dxa"/>
            <w:tcBorders>
              <w:top w:val="nil"/>
              <w:bottom w:val="nil"/>
            </w:tcBorders>
            <w:shd w:val="clear" w:color="auto" w:fill="auto"/>
            <w:noWrap/>
            <w:hideMark/>
          </w:tcPr>
          <w:p w14:paraId="2EDE939E"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-0.235</w:t>
            </w:r>
          </w:p>
        </w:tc>
        <w:tc>
          <w:tcPr>
            <w:tcW w:w="1110" w:type="dxa"/>
            <w:tcBorders>
              <w:top w:val="nil"/>
              <w:bottom w:val="nil"/>
            </w:tcBorders>
            <w:shd w:val="clear" w:color="auto" w:fill="auto"/>
            <w:noWrap/>
            <w:hideMark/>
          </w:tcPr>
          <w:p w14:paraId="2BD1D2AA"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0.076</w:t>
            </w:r>
          </w:p>
        </w:tc>
      </w:tr>
      <w:tr w:rsidR="00F64CDD" w:rsidRPr="00B2713C" w14:paraId="4EC29B22" w14:textId="77777777" w:rsidTr="00F64CDD">
        <w:trPr>
          <w:trHeight w:val="297"/>
        </w:trPr>
        <w:tc>
          <w:tcPr>
            <w:cnfStyle w:val="001000000000" w:firstRow="0" w:lastRow="0" w:firstColumn="1" w:lastColumn="0" w:oddVBand="0" w:evenVBand="0" w:oddHBand="0" w:evenHBand="0" w:firstRowFirstColumn="0" w:firstRowLastColumn="0" w:lastRowFirstColumn="0" w:lastRowLastColumn="0"/>
            <w:tcW w:w="3168" w:type="dxa"/>
            <w:vMerge/>
            <w:tcBorders>
              <w:top w:val="nil"/>
              <w:bottom w:val="nil"/>
            </w:tcBorders>
            <w:shd w:val="clear" w:color="auto" w:fill="auto"/>
            <w:hideMark/>
          </w:tcPr>
          <w:p w14:paraId="25D66C02"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tcBorders>
              <w:top w:val="nil"/>
              <w:bottom w:val="nil"/>
            </w:tcBorders>
            <w:shd w:val="clear" w:color="auto" w:fill="auto"/>
            <w:hideMark/>
          </w:tcPr>
          <w:p w14:paraId="2DFA402D"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2126" w:type="dxa"/>
            <w:vMerge/>
            <w:tcBorders>
              <w:top w:val="nil"/>
              <w:bottom w:val="nil"/>
            </w:tcBorders>
            <w:shd w:val="clear" w:color="auto" w:fill="auto"/>
            <w:hideMark/>
          </w:tcPr>
          <w:p w14:paraId="747CC1B5"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905" w:type="dxa"/>
            <w:tcBorders>
              <w:top w:val="nil"/>
              <w:bottom w:val="nil"/>
            </w:tcBorders>
            <w:shd w:val="clear" w:color="auto" w:fill="auto"/>
            <w:noWrap/>
            <w:hideMark/>
          </w:tcPr>
          <w:p w14:paraId="712021E8"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Reproduction</w:t>
            </w:r>
          </w:p>
        </w:tc>
        <w:tc>
          <w:tcPr>
            <w:tcW w:w="1221" w:type="dxa"/>
            <w:tcBorders>
              <w:top w:val="nil"/>
              <w:bottom w:val="nil"/>
            </w:tcBorders>
            <w:shd w:val="clear" w:color="auto" w:fill="auto"/>
            <w:noWrap/>
            <w:hideMark/>
          </w:tcPr>
          <w:p w14:paraId="78C1A35C"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-0.149</w:t>
            </w:r>
          </w:p>
        </w:tc>
        <w:tc>
          <w:tcPr>
            <w:tcW w:w="1110" w:type="dxa"/>
            <w:tcBorders>
              <w:top w:val="nil"/>
              <w:bottom w:val="nil"/>
            </w:tcBorders>
            <w:shd w:val="clear" w:color="auto" w:fill="auto"/>
            <w:noWrap/>
            <w:hideMark/>
          </w:tcPr>
          <w:p w14:paraId="37A4F7C9"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0.069</w:t>
            </w:r>
          </w:p>
        </w:tc>
      </w:tr>
      <w:tr w:rsidR="00F64CDD" w:rsidRPr="00B2713C" w14:paraId="4D34E9D4" w14:textId="77777777" w:rsidTr="00F64CDD">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168" w:type="dxa"/>
            <w:vMerge/>
            <w:tcBorders>
              <w:top w:val="nil"/>
              <w:bottom w:val="nil"/>
            </w:tcBorders>
            <w:shd w:val="clear" w:color="auto" w:fill="auto"/>
            <w:hideMark/>
          </w:tcPr>
          <w:p w14:paraId="1AC63B46"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tcBorders>
              <w:top w:val="nil"/>
              <w:bottom w:val="nil"/>
            </w:tcBorders>
            <w:shd w:val="clear" w:color="auto" w:fill="auto"/>
            <w:hideMark/>
          </w:tcPr>
          <w:p w14:paraId="41DCB0B1"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126" w:type="dxa"/>
            <w:vMerge/>
            <w:tcBorders>
              <w:top w:val="nil"/>
              <w:bottom w:val="nil"/>
            </w:tcBorders>
            <w:shd w:val="clear" w:color="auto" w:fill="auto"/>
            <w:hideMark/>
          </w:tcPr>
          <w:p w14:paraId="4A733BFC"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905" w:type="dxa"/>
            <w:tcBorders>
              <w:top w:val="nil"/>
              <w:bottom w:val="nil"/>
            </w:tcBorders>
            <w:shd w:val="clear" w:color="auto" w:fill="auto"/>
            <w:noWrap/>
            <w:hideMark/>
          </w:tcPr>
          <w:p w14:paraId="41D1098A"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Survival</w:t>
            </w:r>
          </w:p>
        </w:tc>
        <w:tc>
          <w:tcPr>
            <w:tcW w:w="1221" w:type="dxa"/>
            <w:tcBorders>
              <w:top w:val="nil"/>
              <w:bottom w:val="nil"/>
            </w:tcBorders>
            <w:shd w:val="clear" w:color="auto" w:fill="auto"/>
            <w:noWrap/>
            <w:hideMark/>
          </w:tcPr>
          <w:p w14:paraId="0B67C88E"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-0.064</w:t>
            </w:r>
          </w:p>
        </w:tc>
        <w:tc>
          <w:tcPr>
            <w:tcW w:w="1110" w:type="dxa"/>
            <w:tcBorders>
              <w:top w:val="nil"/>
              <w:bottom w:val="nil"/>
            </w:tcBorders>
            <w:shd w:val="clear" w:color="auto" w:fill="auto"/>
            <w:noWrap/>
            <w:hideMark/>
          </w:tcPr>
          <w:p w14:paraId="2785A5C3"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0.084</w:t>
            </w:r>
          </w:p>
        </w:tc>
      </w:tr>
      <w:tr w:rsidR="00F64CDD" w:rsidRPr="00B2713C" w14:paraId="0E898CA6" w14:textId="77777777" w:rsidTr="00F64CDD">
        <w:trPr>
          <w:trHeight w:val="297"/>
        </w:trPr>
        <w:tc>
          <w:tcPr>
            <w:cnfStyle w:val="001000000000" w:firstRow="0" w:lastRow="0" w:firstColumn="1" w:lastColumn="0" w:oddVBand="0" w:evenVBand="0" w:oddHBand="0" w:evenHBand="0" w:firstRowFirstColumn="0" w:firstRowLastColumn="0" w:lastRowFirstColumn="0" w:lastRowLastColumn="0"/>
            <w:tcW w:w="3168" w:type="dxa"/>
            <w:vMerge/>
            <w:tcBorders>
              <w:top w:val="nil"/>
              <w:bottom w:val="single" w:sz="6" w:space="0" w:color="auto"/>
            </w:tcBorders>
            <w:shd w:val="clear" w:color="auto" w:fill="auto"/>
            <w:hideMark/>
          </w:tcPr>
          <w:p w14:paraId="01FB4881"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tcBorders>
              <w:top w:val="nil"/>
              <w:bottom w:val="single" w:sz="6" w:space="0" w:color="auto"/>
            </w:tcBorders>
            <w:shd w:val="clear" w:color="auto" w:fill="auto"/>
            <w:hideMark/>
          </w:tcPr>
          <w:p w14:paraId="20193237"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2126" w:type="dxa"/>
            <w:tcBorders>
              <w:top w:val="nil"/>
              <w:bottom w:val="single" w:sz="6" w:space="0" w:color="auto"/>
            </w:tcBorders>
            <w:shd w:val="clear" w:color="auto" w:fill="auto"/>
            <w:noWrap/>
            <w:hideMark/>
          </w:tcPr>
          <w:p w14:paraId="01A8280D"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Generation length</w:t>
            </w:r>
          </w:p>
        </w:tc>
        <w:tc>
          <w:tcPr>
            <w:tcW w:w="1905" w:type="dxa"/>
            <w:tcBorders>
              <w:top w:val="nil"/>
              <w:bottom w:val="single" w:sz="6" w:space="0" w:color="auto"/>
            </w:tcBorders>
            <w:shd w:val="clear" w:color="auto" w:fill="auto"/>
            <w:noWrap/>
            <w:hideMark/>
          </w:tcPr>
          <w:p w14:paraId="2B152A74"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 xml:space="preserve"> </w:t>
            </w:r>
          </w:p>
        </w:tc>
        <w:tc>
          <w:tcPr>
            <w:tcW w:w="1221" w:type="dxa"/>
            <w:tcBorders>
              <w:top w:val="nil"/>
              <w:bottom w:val="single" w:sz="6" w:space="0" w:color="auto"/>
            </w:tcBorders>
            <w:shd w:val="clear" w:color="auto" w:fill="auto"/>
            <w:noWrap/>
            <w:hideMark/>
          </w:tcPr>
          <w:p w14:paraId="660A72AA"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-0.019</w:t>
            </w:r>
          </w:p>
        </w:tc>
        <w:tc>
          <w:tcPr>
            <w:tcW w:w="1110" w:type="dxa"/>
            <w:tcBorders>
              <w:top w:val="nil"/>
              <w:bottom w:val="single" w:sz="6" w:space="0" w:color="auto"/>
            </w:tcBorders>
            <w:shd w:val="clear" w:color="auto" w:fill="auto"/>
            <w:noWrap/>
            <w:hideMark/>
          </w:tcPr>
          <w:p w14:paraId="39DDD6E3"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0.011</w:t>
            </w:r>
          </w:p>
        </w:tc>
      </w:tr>
      <w:tr w:rsidR="00F64CDD" w:rsidRPr="00B2713C" w14:paraId="513F7ED7" w14:textId="77777777" w:rsidTr="00F64CDD">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168" w:type="dxa"/>
            <w:vMerge w:val="restart"/>
            <w:tcBorders>
              <w:top w:val="single" w:sz="6" w:space="0" w:color="auto"/>
              <w:bottom w:val="nil"/>
            </w:tcBorders>
            <w:shd w:val="clear" w:color="auto" w:fill="auto"/>
            <w:hideMark/>
          </w:tcPr>
          <w:p w14:paraId="4DE56909" w14:textId="1BE8B3C1" w:rsidR="00F64CDD" w:rsidRPr="00B2713C" w:rsidRDefault="00F64CDD" w:rsidP="00E07C04">
            <w:pPr>
              <w:spacing w:line="360" w:lineRule="auto"/>
              <w:rPr>
                <w:rFonts w:ascii="Times New Roman" w:hAnsi="Times New Roman" w:cs="Times New Roman"/>
                <w:b w:val="0"/>
                <w:sz w:val="20"/>
                <w:szCs w:val="20"/>
              </w:rPr>
            </w:pPr>
            <w:r w:rsidRPr="00B2713C">
              <w:rPr>
                <w:rFonts w:ascii="Times New Roman" w:hAnsi="Times New Roman" w:cs="Times New Roman"/>
                <w:b w:val="0"/>
                <w:sz w:val="20"/>
                <w:szCs w:val="20"/>
              </w:rPr>
              <w:t>Both the only study on mammal (Plard et al. 2014)</w:t>
            </w:r>
            <w:r w:rsidR="00B2713C" w:rsidRPr="00B2713C">
              <w:rPr>
                <w:rFonts w:ascii="Times New Roman" w:hAnsi="Times New Roman" w:cs="Times New Roman"/>
                <w:b w:val="0"/>
                <w:sz w:val="20"/>
                <w:szCs w:val="20"/>
              </w:rPr>
              <w:t xml:space="preserve"> </w:t>
            </w:r>
            <w:r w:rsidR="00B2713C" w:rsidRPr="00B2713C">
              <w:rPr>
                <w:rFonts w:ascii="Times New Roman" w:hAnsi="Times New Roman" w:cs="Times New Roman"/>
                <w:sz w:val="20"/>
                <w:szCs w:val="20"/>
              </w:rPr>
              <w:fldChar w:fldCharType="begin" w:fldLock="1"/>
            </w:r>
            <w:r w:rsidR="00702BB9">
              <w:rPr>
                <w:rFonts w:ascii="Times New Roman" w:hAnsi="Times New Roman" w:cs="Times New Roman"/>
                <w:b w:val="0"/>
                <w:sz w:val="20"/>
                <w:szCs w:val="20"/>
              </w:rPr>
              <w:instrText>ADDIN CSL_CITATION {"citationItems":[{"id":"ITEM-1","itemData":{"DOI":"10.1371/journal.pbio.1001828","ISBN":"1545-7885 (Electronic)\\r1544-9173 (Linking)","ISSN":"15457885","PMID":"24690936","abstract":"Marked impacts of climate change on biodiversity have frequently been demonstrated, including temperature-related shifts in phenology and life-history traits. One potential major impact of climate change is the modification of synchronization between the phenology of different trophic levels. High phenotypic plasticity in laying date has allowed many bird species to track the increasingly early springs resulting from recent environmental change, but although changes in the timing of reproduction have been well studied in birds, these questions have only recently been addressed in mammals. To track peak resource availability, large herbivores like roe deer, with a widespread distribution across Europe, should also modify their life-history schedule in response to changes in vegetation phenology over time. In this study, we analysed the influence of climate change on the timing of roe deer births and the consequences for population demography and individual fitness. Our study provides a rare quantification of the demographic costs associated with the failure of a species to modify its phenology in response to a changing world. Given these fitness costs, the lack of response of roe deer birth dates to match the increasingly earlier onset of spring is in stark contrast with the marked phenotypic responses to climate change reported in many other mammals. We suggest that the lack of phenotypic plasticity in birth timing in roe deer is linked to its inability to track environmental cues of variation in resource availability for the timing of parturition.","author":[{"dropping-particle":"","family":"Plard","given":"Floriane","non-dropping-particle":"","parse-names":false,"suffix":""},{"dropping-particle":"","family":"Gaillard","given":"Jean Michel","non-dropping-particle":"","parse-names":false,"suffix":""},{"dropping-particle":"","family":"Coulson","given":"Tim","non-dropping-particle":"","parse-names":false,"suffix":""},{"dropping-particle":"","family":"Hewison","given":"A. J Mark","non-dropping-particle":"","parse-names":false,"suffix":""},{"dropping-particle":"","family":"Delorme","given":"Daniel","non-dropping-particle":"","parse-names":false,"suffix":""},{"dropping-particle":"","family":"Warnant","given":"Claude","non-dropping-particle":"","parse-names":false,"suffix":""},{"dropping-particle":"","family":"Bonenfant","given":"Christophe","non-dropping-particle":"","parse-names":false,"suffix":""}],"container-title":"PLoS Biology","id":"ITEM-1","issue":"4","issued":{"date-parts":[["2014"]]},"page":"e1001828","title":"Mismatch between birth date and vegetation phenology slows the demography of roe deer","type":"article-journal","volume":"12"},"uris":["http://www.mendeley.com/documents/?uuid=2d4be9f1-e9ff-4020-b8ea-3027768adb84"]}],"mendeley":{"formattedCitation":"&lt;sup&gt;4&lt;/sup&gt;","plainTextFormattedCitation":"4","previouslyFormattedCitation":"&lt;sup&gt;4&lt;/sup&gt;"},"properties":{"noteIndex":0},"schema":"https://github.com/citation-style-language/schema/raw/master/csl-citation.json"}</w:instrText>
            </w:r>
            <w:r w:rsidR="00B2713C" w:rsidRPr="00B2713C">
              <w:rPr>
                <w:rFonts w:ascii="Times New Roman" w:hAnsi="Times New Roman" w:cs="Times New Roman"/>
                <w:sz w:val="20"/>
                <w:szCs w:val="20"/>
              </w:rPr>
              <w:fldChar w:fldCharType="separate"/>
            </w:r>
            <w:r w:rsidR="00E07C04" w:rsidRPr="00E07C04">
              <w:rPr>
                <w:rFonts w:ascii="Times New Roman" w:hAnsi="Times New Roman" w:cs="Times New Roman"/>
                <w:b w:val="0"/>
                <w:noProof/>
                <w:sz w:val="20"/>
                <w:szCs w:val="20"/>
                <w:vertAlign w:val="superscript"/>
              </w:rPr>
              <w:t>4</w:t>
            </w:r>
            <w:r w:rsidR="00B2713C" w:rsidRPr="00B2713C">
              <w:rPr>
                <w:rFonts w:ascii="Times New Roman" w:hAnsi="Times New Roman" w:cs="Times New Roman"/>
                <w:sz w:val="20"/>
                <w:szCs w:val="20"/>
              </w:rPr>
              <w:fldChar w:fldCharType="end"/>
            </w:r>
            <w:r w:rsidRPr="00B2713C">
              <w:rPr>
                <w:rFonts w:ascii="Times New Roman" w:hAnsi="Times New Roman" w:cs="Times New Roman"/>
                <w:b w:val="0"/>
                <w:sz w:val="20"/>
                <w:szCs w:val="20"/>
              </w:rPr>
              <w:t xml:space="preserve"> and the outlier study (Goodenough et al. 2011)</w:t>
            </w:r>
            <w:r w:rsidR="00B2713C" w:rsidRPr="00B2713C">
              <w:rPr>
                <w:rFonts w:ascii="Times New Roman" w:hAnsi="Times New Roman" w:cs="Times New Roman"/>
                <w:sz w:val="20"/>
                <w:szCs w:val="20"/>
              </w:rPr>
              <w:fldChar w:fldCharType="begin" w:fldLock="1"/>
            </w:r>
            <w:r w:rsidR="00E07C04">
              <w:rPr>
                <w:rFonts w:ascii="Times New Roman" w:hAnsi="Times New Roman" w:cs="Times New Roman"/>
                <w:b w:val="0"/>
                <w:sz w:val="20"/>
                <w:szCs w:val="20"/>
              </w:rPr>
              <w:instrText>ADDIN CSL_CITATION {"citationItems":[{"id":"ITEM-1","itemData":{"DOI":"10.1007/s00484-010-0312-6","ISBN":"0020-7128","ISSN":"00207128","PMID":"20405299","abstract":"Phenological studies have demonstrated changes in the timing of seasonal events across multiple taxonomic groups as the climate warms. Some northern European migrant bird populations, however, show little or no significant change in breeding phenology, resulting in synchrony with key food sources becoming mismatched. This phenological inertia has often been ascribed to migration constraints (i.e. arrival date at breeding grounds preventing earlier laying). This has been based primarily on research in The Netherlands and Germany where time between arrival and breeding is short (often as few as 9 days). Here, we test the arrival constraint hypothesis over a 15-year period for a U.K. pied flycatcher (Ficedula hypoleuca) population where laying date is not constrained by arrival as the period between arrival and breeding is substantial and consistent (average 27 ± 4.57 days SD). Despite increasing spring temperatures and quantifiably stronger selection for early laying on the basis of number of offspring to fledge, we found no significant change in breeding phenology, in contrast with co-occurring resident blue tits (Cyanistes caeruleus). We discuss possible non-migratory constraints on phenological adjustment, including limitations on plasticity, genetic constraints and competition, as well as the possibility of counter-selection pressures relating to adult survival, longevity or future reproductive success. We propose that such factors need to be considered in conjunction with the arrival constraint hypothesis.","author":[{"dropping-particle":"","family":"Goodenough","given":"Anne E.","non-dropping-particle":"","parse-names":false,"suffix":""},{"dropping-particle":"","family":"Hart","given":"Adam G.","non-dropping-particle":"","parse-names":false,"suffix":""},{"dropping-particle":"","family":"Elliot","given":"Simon L.","non-dropping-particle":"","parse-names":false,"suffix":""}],"container-title":"International Journal of Biometeorology","id":"ITEM-1","issue":"1","issued":{"date-parts":[["2011"]]},"page":"97-102","title":"What prevents phenological adjustment to climate change in migrant bird species? Evidence against the \"arrival constraint\" hypothesis","type":"article-journal","volume":"55"},"uris":["http://www.mendeley.com/documents/?uuid=1b128748-219e-446f-b26e-a5f91f03ebf6"]}],"mendeley":{"formattedCitation":"&lt;sup&gt;3&lt;/sup&gt;","plainTextFormattedCitation":"3","previouslyFormattedCitation":"&lt;sup&gt;3&lt;/sup&gt;"},"properties":{"noteIndex":0},"schema":"https://github.com/citation-style-language/schema/raw/master/csl-citation.json"}</w:instrText>
            </w:r>
            <w:r w:rsidR="00B2713C" w:rsidRPr="00B2713C">
              <w:rPr>
                <w:rFonts w:ascii="Times New Roman" w:hAnsi="Times New Roman" w:cs="Times New Roman"/>
                <w:sz w:val="20"/>
                <w:szCs w:val="20"/>
              </w:rPr>
              <w:fldChar w:fldCharType="separate"/>
            </w:r>
            <w:r w:rsidR="00E07C04" w:rsidRPr="00E07C04">
              <w:rPr>
                <w:rFonts w:ascii="Times New Roman" w:hAnsi="Times New Roman" w:cs="Times New Roman"/>
                <w:b w:val="0"/>
                <w:noProof/>
                <w:sz w:val="20"/>
                <w:szCs w:val="20"/>
                <w:vertAlign w:val="superscript"/>
              </w:rPr>
              <w:t>3</w:t>
            </w:r>
            <w:r w:rsidR="00B2713C" w:rsidRPr="00B2713C">
              <w:rPr>
                <w:rFonts w:ascii="Times New Roman" w:hAnsi="Times New Roman" w:cs="Times New Roman"/>
                <w:sz w:val="20"/>
                <w:szCs w:val="20"/>
              </w:rPr>
              <w:fldChar w:fldCharType="end"/>
            </w:r>
          </w:p>
        </w:tc>
        <w:tc>
          <w:tcPr>
            <w:tcW w:w="4737" w:type="dxa"/>
            <w:tcBorders>
              <w:top w:val="single" w:sz="6" w:space="0" w:color="auto"/>
              <w:bottom w:val="nil"/>
            </w:tcBorders>
            <w:shd w:val="clear" w:color="auto" w:fill="auto"/>
            <w:noWrap/>
            <w:hideMark/>
          </w:tcPr>
          <w:p w14:paraId="74FB68F7"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Slope of phenological traits on temperature</w:t>
            </w:r>
          </w:p>
        </w:tc>
        <w:tc>
          <w:tcPr>
            <w:tcW w:w="2126" w:type="dxa"/>
            <w:tcBorders>
              <w:top w:val="single" w:sz="6" w:space="0" w:color="auto"/>
              <w:bottom w:val="nil"/>
            </w:tcBorders>
            <w:shd w:val="clear" w:color="auto" w:fill="auto"/>
            <w:noWrap/>
            <w:hideMark/>
          </w:tcPr>
          <w:p w14:paraId="6BF6BEBE"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Intercept</w:t>
            </w:r>
          </w:p>
        </w:tc>
        <w:tc>
          <w:tcPr>
            <w:tcW w:w="1905" w:type="dxa"/>
            <w:tcBorders>
              <w:top w:val="single" w:sz="6" w:space="0" w:color="auto"/>
              <w:bottom w:val="nil"/>
            </w:tcBorders>
            <w:shd w:val="clear" w:color="auto" w:fill="auto"/>
            <w:noWrap/>
            <w:hideMark/>
          </w:tcPr>
          <w:p w14:paraId="74007854"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 xml:space="preserve"> </w:t>
            </w:r>
          </w:p>
        </w:tc>
        <w:tc>
          <w:tcPr>
            <w:tcW w:w="1221" w:type="dxa"/>
            <w:tcBorders>
              <w:top w:val="single" w:sz="6" w:space="0" w:color="auto"/>
              <w:bottom w:val="nil"/>
            </w:tcBorders>
            <w:shd w:val="clear" w:color="auto" w:fill="auto"/>
            <w:noWrap/>
            <w:hideMark/>
          </w:tcPr>
          <w:p w14:paraId="511531B7"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-0.256</w:t>
            </w:r>
          </w:p>
        </w:tc>
        <w:tc>
          <w:tcPr>
            <w:tcW w:w="1110" w:type="dxa"/>
            <w:tcBorders>
              <w:top w:val="single" w:sz="6" w:space="0" w:color="auto"/>
              <w:bottom w:val="nil"/>
            </w:tcBorders>
            <w:shd w:val="clear" w:color="auto" w:fill="auto"/>
            <w:noWrap/>
            <w:hideMark/>
          </w:tcPr>
          <w:p w14:paraId="3521156B"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0.068</w:t>
            </w:r>
          </w:p>
        </w:tc>
      </w:tr>
      <w:tr w:rsidR="00F64CDD" w:rsidRPr="00B2713C" w14:paraId="0FD03D56" w14:textId="77777777" w:rsidTr="00F64CDD">
        <w:trPr>
          <w:trHeight w:val="297"/>
        </w:trPr>
        <w:tc>
          <w:tcPr>
            <w:cnfStyle w:val="001000000000" w:firstRow="0" w:lastRow="0" w:firstColumn="1" w:lastColumn="0" w:oddVBand="0" w:evenVBand="0" w:oddHBand="0" w:evenHBand="0" w:firstRowFirstColumn="0" w:firstRowLastColumn="0" w:lastRowFirstColumn="0" w:lastRowLastColumn="0"/>
            <w:tcW w:w="3168" w:type="dxa"/>
            <w:vMerge/>
            <w:tcBorders>
              <w:top w:val="nil"/>
              <w:bottom w:val="nil"/>
            </w:tcBorders>
            <w:shd w:val="clear" w:color="auto" w:fill="auto"/>
            <w:hideMark/>
          </w:tcPr>
          <w:p w14:paraId="0BF1D733"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val="restart"/>
            <w:tcBorders>
              <w:top w:val="nil"/>
              <w:bottom w:val="nil"/>
            </w:tcBorders>
            <w:shd w:val="clear" w:color="auto" w:fill="auto"/>
            <w:hideMark/>
          </w:tcPr>
          <w:p w14:paraId="57D971E1"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Mean selection across phenological traits separately (presumably induced by temperature)</w:t>
            </w:r>
          </w:p>
        </w:tc>
        <w:tc>
          <w:tcPr>
            <w:tcW w:w="2126" w:type="dxa"/>
            <w:tcBorders>
              <w:top w:val="nil"/>
              <w:bottom w:val="nil"/>
            </w:tcBorders>
            <w:shd w:val="clear" w:color="auto" w:fill="auto"/>
            <w:noWrap/>
            <w:hideMark/>
          </w:tcPr>
          <w:p w14:paraId="4BF2A0F9"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Intercept</w:t>
            </w:r>
          </w:p>
        </w:tc>
        <w:tc>
          <w:tcPr>
            <w:tcW w:w="1905" w:type="dxa"/>
            <w:tcBorders>
              <w:top w:val="nil"/>
              <w:bottom w:val="nil"/>
            </w:tcBorders>
            <w:shd w:val="clear" w:color="auto" w:fill="auto"/>
            <w:noWrap/>
            <w:hideMark/>
          </w:tcPr>
          <w:p w14:paraId="3616614D"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 xml:space="preserve"> </w:t>
            </w:r>
          </w:p>
        </w:tc>
        <w:tc>
          <w:tcPr>
            <w:tcW w:w="1221" w:type="dxa"/>
            <w:tcBorders>
              <w:top w:val="nil"/>
              <w:bottom w:val="nil"/>
            </w:tcBorders>
            <w:shd w:val="clear" w:color="auto" w:fill="auto"/>
            <w:noWrap/>
            <w:hideMark/>
          </w:tcPr>
          <w:p w14:paraId="139F8F95"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-0.113</w:t>
            </w:r>
          </w:p>
        </w:tc>
        <w:tc>
          <w:tcPr>
            <w:tcW w:w="1110" w:type="dxa"/>
            <w:tcBorders>
              <w:top w:val="nil"/>
              <w:bottom w:val="nil"/>
            </w:tcBorders>
            <w:shd w:val="clear" w:color="auto" w:fill="auto"/>
            <w:noWrap/>
            <w:hideMark/>
          </w:tcPr>
          <w:p w14:paraId="6B53FAFA"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0.023</w:t>
            </w:r>
          </w:p>
        </w:tc>
      </w:tr>
      <w:tr w:rsidR="00F64CDD" w:rsidRPr="00B2713C" w14:paraId="2662B541" w14:textId="77777777" w:rsidTr="00F64CDD">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168" w:type="dxa"/>
            <w:vMerge/>
            <w:tcBorders>
              <w:top w:val="nil"/>
              <w:bottom w:val="nil"/>
            </w:tcBorders>
            <w:shd w:val="clear" w:color="auto" w:fill="auto"/>
            <w:hideMark/>
          </w:tcPr>
          <w:p w14:paraId="42CDD11A"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tcBorders>
              <w:top w:val="nil"/>
              <w:bottom w:val="nil"/>
            </w:tcBorders>
            <w:shd w:val="clear" w:color="auto" w:fill="auto"/>
            <w:hideMark/>
          </w:tcPr>
          <w:p w14:paraId="6CDBA982"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126" w:type="dxa"/>
            <w:vMerge w:val="restart"/>
            <w:tcBorders>
              <w:top w:val="nil"/>
              <w:bottom w:val="nil"/>
            </w:tcBorders>
            <w:shd w:val="clear" w:color="auto" w:fill="auto"/>
            <w:hideMark/>
          </w:tcPr>
          <w:p w14:paraId="4202E2FA"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Fitness component</w:t>
            </w:r>
          </w:p>
        </w:tc>
        <w:tc>
          <w:tcPr>
            <w:tcW w:w="1905" w:type="dxa"/>
            <w:tcBorders>
              <w:top w:val="nil"/>
              <w:bottom w:val="nil"/>
            </w:tcBorders>
            <w:shd w:val="clear" w:color="auto" w:fill="auto"/>
            <w:noWrap/>
            <w:hideMark/>
          </w:tcPr>
          <w:p w14:paraId="03CA6951"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Recruitment</w:t>
            </w:r>
          </w:p>
        </w:tc>
        <w:tc>
          <w:tcPr>
            <w:tcW w:w="1221" w:type="dxa"/>
            <w:tcBorders>
              <w:top w:val="nil"/>
              <w:bottom w:val="nil"/>
            </w:tcBorders>
            <w:shd w:val="clear" w:color="auto" w:fill="auto"/>
            <w:noWrap/>
            <w:hideMark/>
          </w:tcPr>
          <w:p w14:paraId="0736E966"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-0.181</w:t>
            </w:r>
          </w:p>
        </w:tc>
        <w:tc>
          <w:tcPr>
            <w:tcW w:w="1110" w:type="dxa"/>
            <w:tcBorders>
              <w:top w:val="nil"/>
              <w:bottom w:val="nil"/>
            </w:tcBorders>
            <w:shd w:val="clear" w:color="auto" w:fill="auto"/>
            <w:noWrap/>
            <w:hideMark/>
          </w:tcPr>
          <w:p w14:paraId="60A49E88"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0.031</w:t>
            </w:r>
          </w:p>
        </w:tc>
      </w:tr>
      <w:tr w:rsidR="00F64CDD" w:rsidRPr="00B2713C" w14:paraId="6FA3330A" w14:textId="77777777" w:rsidTr="00F64CDD">
        <w:trPr>
          <w:trHeight w:val="297"/>
        </w:trPr>
        <w:tc>
          <w:tcPr>
            <w:cnfStyle w:val="001000000000" w:firstRow="0" w:lastRow="0" w:firstColumn="1" w:lastColumn="0" w:oddVBand="0" w:evenVBand="0" w:oddHBand="0" w:evenHBand="0" w:firstRowFirstColumn="0" w:firstRowLastColumn="0" w:lastRowFirstColumn="0" w:lastRowLastColumn="0"/>
            <w:tcW w:w="3168" w:type="dxa"/>
            <w:vMerge/>
            <w:tcBorders>
              <w:top w:val="nil"/>
              <w:bottom w:val="nil"/>
            </w:tcBorders>
            <w:shd w:val="clear" w:color="auto" w:fill="auto"/>
            <w:hideMark/>
          </w:tcPr>
          <w:p w14:paraId="33D03D08"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tcBorders>
              <w:top w:val="nil"/>
              <w:bottom w:val="nil"/>
            </w:tcBorders>
            <w:shd w:val="clear" w:color="auto" w:fill="auto"/>
            <w:hideMark/>
          </w:tcPr>
          <w:p w14:paraId="56C21B25"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2126" w:type="dxa"/>
            <w:vMerge/>
            <w:tcBorders>
              <w:top w:val="nil"/>
              <w:bottom w:val="nil"/>
            </w:tcBorders>
            <w:shd w:val="clear" w:color="auto" w:fill="auto"/>
            <w:hideMark/>
          </w:tcPr>
          <w:p w14:paraId="6F983FF7"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905" w:type="dxa"/>
            <w:tcBorders>
              <w:top w:val="nil"/>
              <w:bottom w:val="nil"/>
            </w:tcBorders>
            <w:shd w:val="clear" w:color="auto" w:fill="auto"/>
            <w:noWrap/>
            <w:hideMark/>
          </w:tcPr>
          <w:p w14:paraId="3EDAEBA7"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Reproduction</w:t>
            </w:r>
          </w:p>
        </w:tc>
        <w:tc>
          <w:tcPr>
            <w:tcW w:w="1221" w:type="dxa"/>
            <w:tcBorders>
              <w:top w:val="nil"/>
              <w:bottom w:val="nil"/>
            </w:tcBorders>
            <w:shd w:val="clear" w:color="auto" w:fill="auto"/>
            <w:noWrap/>
            <w:hideMark/>
          </w:tcPr>
          <w:p w14:paraId="6F8F4859"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-0.090</w:t>
            </w:r>
          </w:p>
        </w:tc>
        <w:tc>
          <w:tcPr>
            <w:tcW w:w="1110" w:type="dxa"/>
            <w:tcBorders>
              <w:top w:val="nil"/>
              <w:bottom w:val="nil"/>
            </w:tcBorders>
            <w:shd w:val="clear" w:color="auto" w:fill="auto"/>
            <w:noWrap/>
            <w:hideMark/>
          </w:tcPr>
          <w:p w14:paraId="66D760A3"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0.027</w:t>
            </w:r>
          </w:p>
        </w:tc>
      </w:tr>
      <w:tr w:rsidR="00F64CDD" w:rsidRPr="00B2713C" w14:paraId="0A2BC741" w14:textId="77777777" w:rsidTr="00F64CDD">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168" w:type="dxa"/>
            <w:vMerge/>
            <w:tcBorders>
              <w:top w:val="nil"/>
              <w:bottom w:val="nil"/>
            </w:tcBorders>
            <w:shd w:val="clear" w:color="auto" w:fill="auto"/>
            <w:hideMark/>
          </w:tcPr>
          <w:p w14:paraId="62EA0110"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tcBorders>
              <w:top w:val="nil"/>
              <w:bottom w:val="nil"/>
            </w:tcBorders>
            <w:shd w:val="clear" w:color="auto" w:fill="auto"/>
            <w:hideMark/>
          </w:tcPr>
          <w:p w14:paraId="4637BB5F"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126" w:type="dxa"/>
            <w:vMerge/>
            <w:tcBorders>
              <w:top w:val="nil"/>
              <w:bottom w:val="nil"/>
            </w:tcBorders>
            <w:shd w:val="clear" w:color="auto" w:fill="auto"/>
            <w:hideMark/>
          </w:tcPr>
          <w:p w14:paraId="631C0F50"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905" w:type="dxa"/>
            <w:tcBorders>
              <w:top w:val="nil"/>
              <w:bottom w:val="nil"/>
            </w:tcBorders>
            <w:shd w:val="clear" w:color="auto" w:fill="auto"/>
            <w:noWrap/>
            <w:hideMark/>
          </w:tcPr>
          <w:p w14:paraId="46846E2B"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Survival</w:t>
            </w:r>
          </w:p>
        </w:tc>
        <w:tc>
          <w:tcPr>
            <w:tcW w:w="1221" w:type="dxa"/>
            <w:tcBorders>
              <w:top w:val="nil"/>
              <w:bottom w:val="nil"/>
            </w:tcBorders>
            <w:shd w:val="clear" w:color="auto" w:fill="auto"/>
            <w:noWrap/>
            <w:hideMark/>
          </w:tcPr>
          <w:p w14:paraId="618335FF"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0.008</w:t>
            </w:r>
          </w:p>
        </w:tc>
        <w:tc>
          <w:tcPr>
            <w:tcW w:w="1110" w:type="dxa"/>
            <w:tcBorders>
              <w:top w:val="nil"/>
              <w:bottom w:val="nil"/>
            </w:tcBorders>
            <w:shd w:val="clear" w:color="auto" w:fill="auto"/>
            <w:noWrap/>
            <w:hideMark/>
          </w:tcPr>
          <w:p w14:paraId="01BB5154" w14:textId="77777777" w:rsidR="00F64CDD" w:rsidRPr="00B2713C" w:rsidRDefault="00F64CDD" w:rsidP="00F64C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0.046</w:t>
            </w:r>
          </w:p>
        </w:tc>
      </w:tr>
      <w:tr w:rsidR="00F64CDD" w:rsidRPr="00B2713C" w14:paraId="016160B7" w14:textId="77777777" w:rsidTr="00F64CDD">
        <w:trPr>
          <w:trHeight w:val="312"/>
        </w:trPr>
        <w:tc>
          <w:tcPr>
            <w:cnfStyle w:val="001000000000" w:firstRow="0" w:lastRow="0" w:firstColumn="1" w:lastColumn="0" w:oddVBand="0" w:evenVBand="0" w:oddHBand="0" w:evenHBand="0" w:firstRowFirstColumn="0" w:firstRowLastColumn="0" w:lastRowFirstColumn="0" w:lastRowLastColumn="0"/>
            <w:tcW w:w="3168" w:type="dxa"/>
            <w:vMerge/>
            <w:tcBorders>
              <w:top w:val="nil"/>
              <w:bottom w:val="single" w:sz="12" w:space="0" w:color="auto"/>
            </w:tcBorders>
            <w:shd w:val="clear" w:color="auto" w:fill="auto"/>
            <w:hideMark/>
          </w:tcPr>
          <w:p w14:paraId="4C87C3E2" w14:textId="77777777" w:rsidR="00F64CDD" w:rsidRPr="00B2713C" w:rsidRDefault="00F64CDD" w:rsidP="00F64CDD">
            <w:pPr>
              <w:spacing w:line="360" w:lineRule="auto"/>
              <w:rPr>
                <w:rFonts w:ascii="Times New Roman" w:hAnsi="Times New Roman" w:cs="Times New Roman"/>
                <w:b w:val="0"/>
                <w:sz w:val="20"/>
                <w:szCs w:val="20"/>
              </w:rPr>
            </w:pPr>
          </w:p>
        </w:tc>
        <w:tc>
          <w:tcPr>
            <w:tcW w:w="4737" w:type="dxa"/>
            <w:vMerge/>
            <w:tcBorders>
              <w:top w:val="nil"/>
              <w:bottom w:val="single" w:sz="12" w:space="0" w:color="auto"/>
            </w:tcBorders>
            <w:shd w:val="clear" w:color="auto" w:fill="auto"/>
            <w:hideMark/>
          </w:tcPr>
          <w:p w14:paraId="0F729993"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2126" w:type="dxa"/>
            <w:tcBorders>
              <w:top w:val="nil"/>
              <w:bottom w:val="single" w:sz="12" w:space="0" w:color="auto"/>
            </w:tcBorders>
            <w:shd w:val="clear" w:color="auto" w:fill="auto"/>
            <w:noWrap/>
            <w:hideMark/>
          </w:tcPr>
          <w:p w14:paraId="3A7A56D9"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Generation length</w:t>
            </w:r>
          </w:p>
        </w:tc>
        <w:tc>
          <w:tcPr>
            <w:tcW w:w="1905" w:type="dxa"/>
            <w:tcBorders>
              <w:top w:val="nil"/>
              <w:bottom w:val="single" w:sz="12" w:space="0" w:color="auto"/>
            </w:tcBorders>
            <w:shd w:val="clear" w:color="auto" w:fill="auto"/>
            <w:noWrap/>
            <w:hideMark/>
          </w:tcPr>
          <w:p w14:paraId="02629063"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 xml:space="preserve"> </w:t>
            </w:r>
          </w:p>
        </w:tc>
        <w:tc>
          <w:tcPr>
            <w:tcW w:w="1221" w:type="dxa"/>
            <w:tcBorders>
              <w:top w:val="nil"/>
              <w:bottom w:val="single" w:sz="12" w:space="0" w:color="auto"/>
            </w:tcBorders>
            <w:shd w:val="clear" w:color="auto" w:fill="auto"/>
            <w:noWrap/>
            <w:hideMark/>
          </w:tcPr>
          <w:p w14:paraId="1A49D95E"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-0.014</w:t>
            </w:r>
          </w:p>
        </w:tc>
        <w:tc>
          <w:tcPr>
            <w:tcW w:w="1110" w:type="dxa"/>
            <w:tcBorders>
              <w:top w:val="nil"/>
              <w:bottom w:val="single" w:sz="12" w:space="0" w:color="auto"/>
            </w:tcBorders>
            <w:shd w:val="clear" w:color="auto" w:fill="auto"/>
            <w:noWrap/>
            <w:hideMark/>
          </w:tcPr>
          <w:p w14:paraId="1E24B5DB" w14:textId="77777777" w:rsidR="00F64CDD" w:rsidRPr="00B2713C" w:rsidRDefault="00F64CDD" w:rsidP="00F64CD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2713C">
              <w:rPr>
                <w:rFonts w:ascii="Times New Roman" w:hAnsi="Times New Roman" w:cs="Times New Roman"/>
                <w:sz w:val="20"/>
                <w:szCs w:val="20"/>
              </w:rPr>
              <w:t>0.005</w:t>
            </w:r>
          </w:p>
        </w:tc>
      </w:tr>
    </w:tbl>
    <w:p w14:paraId="3C409F88" w14:textId="7BEAB5A0" w:rsidR="00175C4E" w:rsidRDefault="00175C4E" w:rsidP="00E31C65">
      <w:pPr>
        <w:rPr>
          <w:rFonts w:ascii="Times New Roman" w:hAnsi="Times New Roman" w:cs="Times New Roman"/>
        </w:rPr>
        <w:sectPr w:rsidR="00175C4E" w:rsidSect="006F1713">
          <w:headerReference w:type="even" r:id="rId47"/>
          <w:headerReference w:type="default" r:id="rId48"/>
          <w:footerReference w:type="even" r:id="rId49"/>
          <w:footerReference w:type="default" r:id="rId50"/>
          <w:pgSz w:w="16838" w:h="11906" w:orient="landscape"/>
          <w:pgMar w:top="1417" w:right="1417" w:bottom="1417" w:left="1134" w:header="708" w:footer="708" w:gutter="0"/>
          <w:cols w:space="720"/>
          <w:formProt w:val="0"/>
          <w:docGrid w:linePitch="360" w:charSpace="-6145"/>
        </w:sectPr>
      </w:pPr>
    </w:p>
    <w:p w14:paraId="081B39C8" w14:textId="7FC9A00F" w:rsidR="00D97AFB" w:rsidRDefault="002374E0" w:rsidP="00E31C65">
      <w:pPr>
        <w:spacing w:line="360" w:lineRule="auto"/>
        <w:rPr>
          <w:rFonts w:ascii="Times New Roman" w:hAnsi="Times New Roman" w:cs="Times New Roman"/>
        </w:rPr>
      </w:pPr>
      <w:r>
        <w:rPr>
          <w:rFonts w:ascii="Times New Roman" w:hAnsi="Times New Roman" w:cs="Times New Roman"/>
        </w:rPr>
        <w:lastRenderedPageBreak/>
        <w:t xml:space="preserve">Supplementary </w:t>
      </w:r>
      <w:r w:rsidR="0087247A">
        <w:rPr>
          <w:rFonts w:ascii="Times New Roman" w:hAnsi="Times New Roman" w:cs="Times New Roman"/>
        </w:rPr>
        <w:t>Table 3</w:t>
      </w:r>
      <w:r w:rsidR="00D97AFB">
        <w:rPr>
          <w:rFonts w:ascii="Times New Roman" w:hAnsi="Times New Roman" w:cs="Times New Roman"/>
        </w:rPr>
        <w:t xml:space="preserve">. Sensitivity analyses assessing how the significance of the effects </w:t>
      </w:r>
      <w:r w:rsidR="00276080">
        <w:rPr>
          <w:rFonts w:ascii="Times New Roman" w:hAnsi="Times New Roman" w:cs="Times New Roman"/>
        </w:rPr>
        <w:t>obtained</w:t>
      </w:r>
      <w:r w:rsidR="00D97AFB">
        <w:rPr>
          <w:rFonts w:ascii="Times New Roman" w:hAnsi="Times New Roman" w:cs="Times New Roman"/>
        </w:rPr>
        <w:t xml:space="preserve"> with the mixed-effects meta-analytical models fitted to the PRCS </w:t>
      </w:r>
      <w:r w:rsidR="00D97AFB" w:rsidRPr="00CB2EFA">
        <w:rPr>
          <w:rFonts w:ascii="Times New Roman" w:hAnsi="Times New Roman" w:cs="Times New Roman"/>
          <w:lang w:val="en-GB"/>
        </w:rPr>
        <w:t>(‘Phenotypic Responses to Climate with Selection data’)</w:t>
      </w:r>
      <w:r w:rsidR="00276080">
        <w:rPr>
          <w:rFonts w:ascii="Times New Roman" w:hAnsi="Times New Roman" w:cs="Times New Roman"/>
        </w:rPr>
        <w:t xml:space="preserve"> dataset was</w:t>
      </w:r>
      <w:r w:rsidR="00D97AFB">
        <w:rPr>
          <w:rFonts w:ascii="Times New Roman" w:hAnsi="Times New Roman" w:cs="Times New Roman"/>
        </w:rPr>
        <w:t xml:space="preserve"> affected when exclu</w:t>
      </w:r>
      <w:r w:rsidR="00B2713C">
        <w:rPr>
          <w:rFonts w:ascii="Times New Roman" w:hAnsi="Times New Roman" w:cs="Times New Roman"/>
        </w:rPr>
        <w:t xml:space="preserve">ding 1) the outlier-like study </w:t>
      </w:r>
      <w:r w:rsidR="00B2713C">
        <w:rPr>
          <w:rFonts w:ascii="Times New Roman" w:hAnsi="Times New Roman" w:cs="Times New Roman"/>
        </w:rPr>
        <w:fldChar w:fldCharType="begin" w:fldLock="1"/>
      </w:r>
      <w:r w:rsidR="00E07C04">
        <w:rPr>
          <w:rFonts w:ascii="Times New Roman" w:hAnsi="Times New Roman" w:cs="Times New Roman"/>
        </w:rPr>
        <w:instrText>ADDIN CSL_CITATION {"citationItems":[{"id":"ITEM-1","itemData":{"DOI":"10.1007/s00484-010-0312-6","ISBN":"0020-7128","ISSN":"00207128","PMID":"20405299","abstract":"Phenological studies have demonstrated changes in the timing of seasonal events across multiple taxonomic groups as the climate warms. Some northern European migrant bird populations, however, show little or no significant change in breeding phenology, resulting in synchrony with key food sources becoming mismatched. This phenological inertia has often been ascribed to migration constraints (i.e. arrival date at breeding grounds preventing earlier laying). This has been based primarily on research in The Netherlands and Germany where time between arrival and breeding is short (often as few as 9 days). Here, we test the arrival constraint hypothesis over a 15-year period for a U.K. pied flycatcher (Ficedula hypoleuca) population where laying date is not constrained by arrival as the period between arrival and breeding is substantial and consistent (average 27 ± 4.57 days SD). Despite increasing spring temperatures and quantifiably stronger selection for early laying on the basis of number of offspring to fledge, we found no significant change in breeding phenology, in contrast with co-occurring resident blue tits (Cyanistes caeruleus). We discuss possible non-migratory constraints on phenological adjustment, including limitations on plasticity, genetic constraints and competition, as well as the possibility of counter-selection pressures relating to adult survival, longevity or future reproductive success. We propose that such factors need to be considered in conjunction with the arrival constraint hypothesis.","author":[{"dropping-particle":"","family":"Goodenough","given":"Anne E.","non-dropping-particle":"","parse-names":false,"suffix":""},{"dropping-particle":"","family":"Hart","given":"Adam G.","non-dropping-particle":"","parse-names":false,"suffix":""},{"dropping-particle":"","family":"Elliot","given":"Simon L.","non-dropping-particle":"","parse-names":false,"suffix":""}],"container-title":"International Journal of Biometeorology","id":"ITEM-1","issue":"1","issued":{"date-parts":[["2011"]]},"page":"97-102","title":"What prevents phenological adjustment to climate change in migrant bird species? Evidence against the \"arrival constraint\" hypothesis","type":"article-journal","volume":"55"},"uris":["http://www.mendeley.com/documents/?uuid=1b128748-219e-446f-b26e-a5f91f03ebf6"]}],"mendeley":{"formattedCitation":"&lt;sup&gt;3&lt;/sup&gt;","plainTextFormattedCitation":"3","previouslyFormattedCitation":"&lt;sup&gt;3&lt;/sup&gt;"},"properties":{"noteIndex":0},"schema":"https://github.com/citation-style-language/schema/raw/master/csl-citation.json"}</w:instrText>
      </w:r>
      <w:r w:rsidR="00B2713C">
        <w:rPr>
          <w:rFonts w:ascii="Times New Roman" w:hAnsi="Times New Roman" w:cs="Times New Roman"/>
        </w:rPr>
        <w:fldChar w:fldCharType="separate"/>
      </w:r>
      <w:r w:rsidR="00E07C04" w:rsidRPr="00E07C04">
        <w:rPr>
          <w:rFonts w:ascii="Times New Roman" w:hAnsi="Times New Roman" w:cs="Times New Roman"/>
          <w:noProof/>
          <w:vertAlign w:val="superscript"/>
        </w:rPr>
        <w:t>3</w:t>
      </w:r>
      <w:r w:rsidR="00B2713C">
        <w:rPr>
          <w:rFonts w:ascii="Times New Roman" w:hAnsi="Times New Roman" w:cs="Times New Roman"/>
        </w:rPr>
        <w:fldChar w:fldCharType="end"/>
      </w:r>
      <w:r w:rsidR="00D97AFB">
        <w:rPr>
          <w:rFonts w:ascii="Times New Roman" w:hAnsi="Times New Roman" w:cs="Times New Roman"/>
        </w:rPr>
        <w:t xml:space="preserve">, 2) the only study on mammals </w:t>
      </w:r>
      <w:r w:rsidR="00B2713C">
        <w:rPr>
          <w:rFonts w:ascii="Times New Roman" w:hAnsi="Times New Roman" w:cs="Times New Roman"/>
        </w:rPr>
        <w:fldChar w:fldCharType="begin" w:fldLock="1"/>
      </w:r>
      <w:r w:rsidR="00702BB9">
        <w:rPr>
          <w:rFonts w:ascii="Times New Roman" w:hAnsi="Times New Roman" w:cs="Times New Roman"/>
        </w:rPr>
        <w:instrText>ADDIN CSL_CITATION {"citationItems":[{"id":"ITEM-1","itemData":{"DOI":"10.1371/journal.pbio.1001828","ISBN":"1545-7885 (Electronic)\\r1544-9173 (Linking)","ISSN":"15457885","PMID":"24690936","abstract":"Marked impacts of climate change on biodiversity have frequently been demonstrated, including temperature-related shifts in phenology and life-history traits. One potential major impact of climate change is the modification of synchronization between the phenology of different trophic levels. High phenotypic plasticity in laying date has allowed many bird species to track the increasingly early springs resulting from recent environmental change, but although changes in the timing of reproduction have been well studied in birds, these questions have only recently been addressed in mammals. To track peak resource availability, large herbivores like roe deer, with a widespread distribution across Europe, should also modify their life-history schedule in response to changes in vegetation phenology over time. In this study, we analysed the influence of climate change on the timing of roe deer births and the consequences for population demography and individual fitness. Our study provides a rare quantification of the demographic costs associated with the failure of a species to modify its phenology in response to a changing world. Given these fitness costs, the lack of response of roe deer birth dates to match the increasingly earlier onset of spring is in stark contrast with the marked phenotypic responses to climate change reported in many other mammals. We suggest that the lack of phenotypic plasticity in birth timing in roe deer is linked to its inability to track environmental cues of variation in resource availability for the timing of parturition.","author":[{"dropping-particle":"","family":"Plard","given":"Floriane","non-dropping-particle":"","parse-names":false,"suffix":""},{"dropping-particle":"","family":"Gaillard","given":"Jean Michel","non-dropping-particle":"","parse-names":false,"suffix":""},{"dropping-particle":"","family":"Coulson","given":"Tim","non-dropping-particle":"","parse-names":false,"suffix":""},{"dropping-particle":"","family":"Hewison","given":"A. J Mark","non-dropping-particle":"","parse-names":false,"suffix":""},{"dropping-particle":"","family":"Delorme","given":"Daniel","non-dropping-particle":"","parse-names":false,"suffix":""},{"dropping-particle":"","family":"Warnant","given":"Claude","non-dropping-particle":"","parse-names":false,"suffix":""},{"dropping-particle":"","family":"Bonenfant","given":"Christophe","non-dropping-particle":"","parse-names":false,"suffix":""}],"container-title":"PLoS Biology","id":"ITEM-1","issue":"4","issued":{"date-parts":[["2014"]]},"page":"e1001828","title":"Mismatch between birth date and vegetation phenology slows the demography of roe deer","type":"article-journal","volume":"12"},"uris":["http://www.mendeley.com/documents/?uuid=2d4be9f1-e9ff-4020-b8ea-3027768adb84"]}],"mendeley":{"formattedCitation":"&lt;sup&gt;4&lt;/sup&gt;","plainTextFormattedCitation":"4","previouslyFormattedCitation":"&lt;sup&gt;4&lt;/sup&gt;"},"properties":{"noteIndex":0},"schema":"https://github.com/citation-style-language/schema/raw/master/csl-citation.json"}</w:instrText>
      </w:r>
      <w:r w:rsidR="00B2713C">
        <w:rPr>
          <w:rFonts w:ascii="Times New Roman" w:hAnsi="Times New Roman" w:cs="Times New Roman"/>
        </w:rPr>
        <w:fldChar w:fldCharType="separate"/>
      </w:r>
      <w:r w:rsidR="00E07C04" w:rsidRPr="00E07C04">
        <w:rPr>
          <w:rFonts w:ascii="Times New Roman" w:hAnsi="Times New Roman" w:cs="Times New Roman"/>
          <w:noProof/>
          <w:vertAlign w:val="superscript"/>
        </w:rPr>
        <w:t>4</w:t>
      </w:r>
      <w:r w:rsidR="00B2713C">
        <w:rPr>
          <w:rFonts w:ascii="Times New Roman" w:hAnsi="Times New Roman" w:cs="Times New Roman"/>
        </w:rPr>
        <w:fldChar w:fldCharType="end"/>
      </w:r>
      <w:r w:rsidR="00B2713C">
        <w:rPr>
          <w:rFonts w:ascii="Times New Roman" w:hAnsi="Times New Roman" w:cs="Times New Roman"/>
        </w:rPr>
        <w:t>,</w:t>
      </w:r>
      <w:r w:rsidR="00D97AFB">
        <w:rPr>
          <w:rFonts w:ascii="Times New Roman" w:hAnsi="Times New Roman" w:cs="Times New Roman"/>
        </w:rPr>
        <w:t xml:space="preserve"> and 3) both of them. </w:t>
      </w:r>
      <w:r w:rsidR="003B08FD" w:rsidRPr="00CB2EFA">
        <w:rPr>
          <w:rFonts w:ascii="Times New Roman" w:hAnsi="Times New Roman" w:cs="Times New Roman"/>
          <w:lang w:val="en-GB"/>
        </w:rPr>
        <w:t xml:space="preserve">The significance was estimated with asymptotic likelihood ratio chi-square test (LRT) comparing the model </w:t>
      </w:r>
      <w:r w:rsidR="003B08FD">
        <w:rPr>
          <w:rFonts w:ascii="Times New Roman" w:hAnsi="Times New Roman" w:cs="Times New Roman"/>
        </w:rPr>
        <w:t>that includes the effect specified in the column ‘Effect’ to the model without this effect</w:t>
      </w:r>
      <w:r w:rsidR="003B08FD" w:rsidRPr="00CB2EFA">
        <w:rPr>
          <w:rFonts w:ascii="Times New Roman" w:hAnsi="Times New Roman" w:cs="Times New Roman"/>
          <w:lang w:val="en-GB"/>
        </w:rPr>
        <w:t>. Significant effects (</w:t>
      </w:r>
      <w:r w:rsidR="003B08FD" w:rsidRPr="00CB2EFA">
        <w:rPr>
          <w:rFonts w:ascii="Times New Roman" w:hAnsi="Times New Roman" w:cs="Times New Roman"/>
          <w:iCs/>
          <w:lang w:val="en-GB"/>
        </w:rPr>
        <w:t>p</w:t>
      </w:r>
      <w:r w:rsidR="003B08FD" w:rsidRPr="00CB2EFA">
        <w:rPr>
          <w:rFonts w:ascii="Times New Roman" w:hAnsi="Times New Roman" w:cs="Times New Roman"/>
          <w:lang w:val="en-GB"/>
        </w:rPr>
        <w:t xml:space="preserve"> &lt; 0.05) are highlighted in bold and marginally significant (</w:t>
      </w:r>
      <w:r w:rsidR="003B08FD" w:rsidRPr="00CB2EFA">
        <w:rPr>
          <w:rFonts w:ascii="Times New Roman" w:hAnsi="Times New Roman" w:cs="Times New Roman"/>
          <w:iCs/>
          <w:lang w:val="en-GB"/>
        </w:rPr>
        <w:t>p</w:t>
      </w:r>
      <w:r w:rsidR="003B08FD" w:rsidRPr="00CB2EFA">
        <w:rPr>
          <w:rFonts w:ascii="Times New Roman" w:hAnsi="Times New Roman" w:cs="Times New Roman"/>
          <w:i/>
          <w:iCs/>
          <w:lang w:val="en-GB"/>
        </w:rPr>
        <w:t xml:space="preserve"> </w:t>
      </w:r>
      <w:r w:rsidR="003B08FD" w:rsidRPr="00CB2EFA">
        <w:rPr>
          <w:rFonts w:ascii="Times New Roman" w:hAnsi="Times New Roman" w:cs="Times New Roman"/>
          <w:lang w:val="en-GB"/>
        </w:rPr>
        <w:t>&lt; 0.10) in italic. For each model we also show the variance of the random effects: study and publication identity.</w:t>
      </w:r>
    </w:p>
    <w:tbl>
      <w:tblPr>
        <w:tblStyle w:val="LightShading"/>
        <w:tblW w:w="0" w:type="auto"/>
        <w:tblLook w:val="04A0" w:firstRow="1" w:lastRow="0" w:firstColumn="1" w:lastColumn="0" w:noHBand="0" w:noVBand="1"/>
      </w:tblPr>
      <w:tblGrid>
        <w:gridCol w:w="2660"/>
        <w:gridCol w:w="3483"/>
        <w:gridCol w:w="1900"/>
        <w:gridCol w:w="960"/>
        <w:gridCol w:w="960"/>
        <w:gridCol w:w="1202"/>
        <w:gridCol w:w="1560"/>
        <w:gridCol w:w="1778"/>
      </w:tblGrid>
      <w:tr w:rsidR="00D97AFB" w:rsidRPr="00E0316F" w14:paraId="7A047AE8" w14:textId="77777777" w:rsidTr="00420FC3">
        <w:trPr>
          <w:cnfStyle w:val="100000000000" w:firstRow="1" w:lastRow="0" w:firstColumn="0" w:lastColumn="0" w:oddVBand="0" w:evenVBand="0" w:oddHBand="0"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2660" w:type="dxa"/>
            <w:tcBorders>
              <w:top w:val="single" w:sz="12" w:space="0" w:color="auto"/>
              <w:bottom w:val="single" w:sz="12" w:space="0" w:color="auto"/>
            </w:tcBorders>
            <w:shd w:val="clear" w:color="auto" w:fill="auto"/>
            <w:hideMark/>
          </w:tcPr>
          <w:p w14:paraId="373AB073" w14:textId="77777777" w:rsidR="00D97AFB" w:rsidRPr="00E0316F" w:rsidRDefault="00D97AFB" w:rsidP="00D97AFB">
            <w:pPr>
              <w:spacing w:line="360" w:lineRule="auto"/>
              <w:rPr>
                <w:rFonts w:ascii="Times New Roman" w:hAnsi="Times New Roman" w:cs="Times New Roman"/>
                <w:sz w:val="20"/>
                <w:szCs w:val="20"/>
              </w:rPr>
            </w:pPr>
            <w:r w:rsidRPr="00E0316F">
              <w:rPr>
                <w:rFonts w:ascii="Times New Roman" w:hAnsi="Times New Roman" w:cs="Times New Roman"/>
                <w:sz w:val="20"/>
                <w:szCs w:val="20"/>
              </w:rPr>
              <w:t>Excluding</w:t>
            </w:r>
          </w:p>
        </w:tc>
        <w:tc>
          <w:tcPr>
            <w:tcW w:w="3483" w:type="dxa"/>
            <w:tcBorders>
              <w:top w:val="single" w:sz="12" w:space="0" w:color="auto"/>
              <w:bottom w:val="single" w:sz="12" w:space="0" w:color="auto"/>
            </w:tcBorders>
            <w:shd w:val="clear" w:color="auto" w:fill="auto"/>
            <w:hideMark/>
          </w:tcPr>
          <w:p w14:paraId="61900ED5" w14:textId="77777777" w:rsidR="00D97AFB" w:rsidRPr="00E0316F" w:rsidRDefault="00D97AFB" w:rsidP="00D97AFB">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Response</w:t>
            </w:r>
          </w:p>
        </w:tc>
        <w:tc>
          <w:tcPr>
            <w:tcW w:w="1900" w:type="dxa"/>
            <w:tcBorders>
              <w:top w:val="single" w:sz="12" w:space="0" w:color="auto"/>
              <w:bottom w:val="single" w:sz="12" w:space="0" w:color="auto"/>
            </w:tcBorders>
            <w:shd w:val="clear" w:color="auto" w:fill="auto"/>
            <w:hideMark/>
          </w:tcPr>
          <w:p w14:paraId="6E95E029" w14:textId="77777777" w:rsidR="00D97AFB" w:rsidRPr="00E0316F" w:rsidRDefault="00D97AFB" w:rsidP="00D97AFB">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Effect</w:t>
            </w:r>
          </w:p>
        </w:tc>
        <w:tc>
          <w:tcPr>
            <w:tcW w:w="960" w:type="dxa"/>
            <w:tcBorders>
              <w:top w:val="single" w:sz="12" w:space="0" w:color="auto"/>
              <w:bottom w:val="single" w:sz="12" w:space="0" w:color="auto"/>
            </w:tcBorders>
            <w:shd w:val="clear" w:color="auto" w:fill="auto"/>
            <w:hideMark/>
          </w:tcPr>
          <w:p w14:paraId="06C57C7C" w14:textId="77777777" w:rsidR="00D97AFB" w:rsidRPr="00E0316F" w:rsidRDefault="00D97AFB" w:rsidP="00D97AFB">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LRT</w:t>
            </w:r>
          </w:p>
        </w:tc>
        <w:tc>
          <w:tcPr>
            <w:tcW w:w="960" w:type="dxa"/>
            <w:tcBorders>
              <w:top w:val="single" w:sz="12" w:space="0" w:color="auto"/>
              <w:bottom w:val="single" w:sz="12" w:space="0" w:color="auto"/>
            </w:tcBorders>
            <w:shd w:val="clear" w:color="auto" w:fill="auto"/>
            <w:hideMark/>
          </w:tcPr>
          <w:p w14:paraId="614550A0" w14:textId="77777777" w:rsidR="00D97AFB" w:rsidRPr="00E0316F" w:rsidRDefault="00D97AFB" w:rsidP="00D97AFB">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df</w:t>
            </w:r>
          </w:p>
        </w:tc>
        <w:tc>
          <w:tcPr>
            <w:tcW w:w="1202" w:type="dxa"/>
            <w:tcBorders>
              <w:top w:val="single" w:sz="12" w:space="0" w:color="auto"/>
              <w:bottom w:val="single" w:sz="12" w:space="0" w:color="auto"/>
            </w:tcBorders>
            <w:shd w:val="clear" w:color="auto" w:fill="auto"/>
            <w:hideMark/>
          </w:tcPr>
          <w:p w14:paraId="3B32F114" w14:textId="77777777" w:rsidR="00D97AFB" w:rsidRPr="00E0316F" w:rsidRDefault="00D97AFB" w:rsidP="00D97AFB">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p value</w:t>
            </w:r>
          </w:p>
        </w:tc>
        <w:tc>
          <w:tcPr>
            <w:tcW w:w="1560" w:type="dxa"/>
            <w:tcBorders>
              <w:top w:val="single" w:sz="12" w:space="0" w:color="auto"/>
              <w:bottom w:val="single" w:sz="12" w:space="0" w:color="auto"/>
            </w:tcBorders>
            <w:shd w:val="clear" w:color="auto" w:fill="auto"/>
            <w:hideMark/>
          </w:tcPr>
          <w:p w14:paraId="2C5755C6" w14:textId="77777777" w:rsidR="00D97AFB" w:rsidRPr="00E0316F" w:rsidRDefault="00D97AFB" w:rsidP="00D97AFB">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Random variance due to study ID</w:t>
            </w:r>
          </w:p>
        </w:tc>
        <w:tc>
          <w:tcPr>
            <w:tcW w:w="1778" w:type="dxa"/>
            <w:tcBorders>
              <w:top w:val="single" w:sz="12" w:space="0" w:color="auto"/>
              <w:bottom w:val="single" w:sz="12" w:space="0" w:color="auto"/>
            </w:tcBorders>
            <w:shd w:val="clear" w:color="auto" w:fill="auto"/>
            <w:hideMark/>
          </w:tcPr>
          <w:p w14:paraId="2D8247AD" w14:textId="77777777" w:rsidR="00D97AFB" w:rsidRPr="00E0316F" w:rsidRDefault="00D97AFB" w:rsidP="00D97AFB">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Random variance due to publication ID</w:t>
            </w:r>
          </w:p>
        </w:tc>
      </w:tr>
      <w:tr w:rsidR="00D97AFB" w:rsidRPr="00E0316F" w14:paraId="08AD90FC" w14:textId="77777777" w:rsidTr="00420FC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60" w:type="dxa"/>
            <w:vMerge w:val="restart"/>
            <w:tcBorders>
              <w:top w:val="single" w:sz="12" w:space="0" w:color="auto"/>
            </w:tcBorders>
            <w:shd w:val="clear" w:color="auto" w:fill="auto"/>
            <w:hideMark/>
          </w:tcPr>
          <w:p w14:paraId="18EC05ED" w14:textId="39106764" w:rsidR="00D97AFB" w:rsidRPr="00E0316F" w:rsidRDefault="00D97AFB" w:rsidP="00E07C04">
            <w:pPr>
              <w:spacing w:line="360" w:lineRule="auto"/>
              <w:rPr>
                <w:rFonts w:ascii="Times New Roman" w:hAnsi="Times New Roman" w:cs="Times New Roman"/>
                <w:b w:val="0"/>
                <w:sz w:val="20"/>
                <w:szCs w:val="20"/>
              </w:rPr>
            </w:pPr>
            <w:r w:rsidRPr="00E0316F">
              <w:rPr>
                <w:rFonts w:ascii="Times New Roman" w:hAnsi="Times New Roman" w:cs="Times New Roman"/>
                <w:b w:val="0"/>
                <w:sz w:val="20"/>
                <w:szCs w:val="20"/>
              </w:rPr>
              <w:t>The study by Goodenough et al. (2011)</w:t>
            </w:r>
            <w:r w:rsidR="003B08FD" w:rsidRPr="00E0316F">
              <w:rPr>
                <w:rFonts w:ascii="Times New Roman" w:hAnsi="Times New Roman" w:cs="Times New Roman"/>
                <w:sz w:val="20"/>
                <w:szCs w:val="20"/>
              </w:rPr>
              <w:fldChar w:fldCharType="begin" w:fldLock="1"/>
            </w:r>
            <w:r w:rsidR="00E07C04">
              <w:rPr>
                <w:rFonts w:ascii="Times New Roman" w:hAnsi="Times New Roman" w:cs="Times New Roman"/>
                <w:b w:val="0"/>
                <w:sz w:val="20"/>
                <w:szCs w:val="20"/>
              </w:rPr>
              <w:instrText>ADDIN CSL_CITATION {"citationItems":[{"id":"ITEM-1","itemData":{"DOI":"10.1007/s00484-010-0312-6","ISBN":"0020-7128","ISSN":"00207128","PMID":"20405299","abstract":"Phenological studies have demonstrated changes in the timing of seasonal events across multiple taxonomic groups as the climate warms. Some northern European migrant bird populations, however, show little or no significant change in breeding phenology, resulting in synchrony with key food sources becoming mismatched. This phenological inertia has often been ascribed to migration constraints (i.e. arrival date at breeding grounds preventing earlier laying). This has been based primarily on research in The Netherlands and Germany where time between arrival and breeding is short (often as few as 9 days). Here, we test the arrival constraint hypothesis over a 15-year period for a U.K. pied flycatcher (Ficedula hypoleuca) population where laying date is not constrained by arrival as the period between arrival and breeding is substantial and consistent (average 27 ± 4.57 days SD). Despite increasing spring temperatures and quantifiably stronger selection for early laying on the basis of number of offspring to fledge, we found no significant change in breeding phenology, in contrast with co-occurring resident blue tits (Cyanistes caeruleus). We discuss possible non-migratory constraints on phenological adjustment, including limitations on plasticity, genetic constraints and competition, as well as the possibility of counter-selection pressures relating to adult survival, longevity or future reproductive success. We propose that such factors need to be considered in conjunction with the arrival constraint hypothesis.","author":[{"dropping-particle":"","family":"Goodenough","given":"Anne E.","non-dropping-particle":"","parse-names":false,"suffix":""},{"dropping-particle":"","family":"Hart","given":"Adam G.","non-dropping-particle":"","parse-names":false,"suffix":""},{"dropping-particle":"","family":"Elliot","given":"Simon L.","non-dropping-particle":"","parse-names":false,"suffix":""}],"container-title":"International Journal of Biometeorology","id":"ITEM-1","issue":"1","issued":{"date-parts":[["2011"]]},"page":"97-102","title":"What prevents phenological adjustment to climate change in migrant bird species? Evidence against the \"arrival constraint\" hypothesis","type":"article-journal","volume":"55"},"uris":["http://www.mendeley.com/documents/?uuid=1b128748-219e-446f-b26e-a5f91f03ebf6"]}],"mendeley":{"formattedCitation":"&lt;sup&gt;3&lt;/sup&gt;","plainTextFormattedCitation":"3","previouslyFormattedCitation":"&lt;sup&gt;3&lt;/sup&gt;"},"properties":{"noteIndex":0},"schema":"https://github.com/citation-style-language/schema/raw/master/csl-citation.json"}</w:instrText>
            </w:r>
            <w:r w:rsidR="003B08FD" w:rsidRPr="00E0316F">
              <w:rPr>
                <w:rFonts w:ascii="Times New Roman" w:hAnsi="Times New Roman" w:cs="Times New Roman"/>
                <w:sz w:val="20"/>
                <w:szCs w:val="20"/>
              </w:rPr>
              <w:fldChar w:fldCharType="separate"/>
            </w:r>
            <w:r w:rsidR="00E07C04" w:rsidRPr="00E07C04">
              <w:rPr>
                <w:rFonts w:ascii="Times New Roman" w:hAnsi="Times New Roman" w:cs="Times New Roman"/>
                <w:b w:val="0"/>
                <w:noProof/>
                <w:sz w:val="20"/>
                <w:szCs w:val="20"/>
                <w:vertAlign w:val="superscript"/>
              </w:rPr>
              <w:t>3</w:t>
            </w:r>
            <w:r w:rsidR="003B08FD" w:rsidRPr="00E0316F">
              <w:rPr>
                <w:rFonts w:ascii="Times New Roman" w:hAnsi="Times New Roman" w:cs="Times New Roman"/>
                <w:sz w:val="20"/>
                <w:szCs w:val="20"/>
              </w:rPr>
              <w:fldChar w:fldCharType="end"/>
            </w:r>
            <w:r w:rsidRPr="00E0316F">
              <w:rPr>
                <w:rFonts w:ascii="Times New Roman" w:hAnsi="Times New Roman" w:cs="Times New Roman"/>
                <w:b w:val="0"/>
                <w:sz w:val="20"/>
                <w:szCs w:val="20"/>
              </w:rPr>
              <w:t>, outlier</w:t>
            </w:r>
          </w:p>
        </w:tc>
        <w:tc>
          <w:tcPr>
            <w:tcW w:w="3483" w:type="dxa"/>
            <w:tcBorders>
              <w:top w:val="single" w:sz="12" w:space="0" w:color="auto"/>
            </w:tcBorders>
            <w:shd w:val="clear" w:color="auto" w:fill="auto"/>
            <w:noWrap/>
            <w:hideMark/>
          </w:tcPr>
          <w:p w14:paraId="31AC214D"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Slope of phenological traits on temperature</w:t>
            </w:r>
          </w:p>
        </w:tc>
        <w:tc>
          <w:tcPr>
            <w:tcW w:w="1900" w:type="dxa"/>
            <w:tcBorders>
              <w:top w:val="single" w:sz="12" w:space="0" w:color="auto"/>
            </w:tcBorders>
            <w:shd w:val="clear" w:color="auto" w:fill="auto"/>
            <w:noWrap/>
            <w:hideMark/>
          </w:tcPr>
          <w:p w14:paraId="33865666"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Intercept</w:t>
            </w:r>
          </w:p>
        </w:tc>
        <w:tc>
          <w:tcPr>
            <w:tcW w:w="960" w:type="dxa"/>
            <w:tcBorders>
              <w:top w:val="single" w:sz="12" w:space="0" w:color="auto"/>
            </w:tcBorders>
            <w:shd w:val="clear" w:color="auto" w:fill="auto"/>
            <w:noWrap/>
            <w:hideMark/>
          </w:tcPr>
          <w:p w14:paraId="43AD4F36"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10.10</w:t>
            </w:r>
          </w:p>
        </w:tc>
        <w:tc>
          <w:tcPr>
            <w:tcW w:w="960" w:type="dxa"/>
            <w:tcBorders>
              <w:top w:val="single" w:sz="12" w:space="0" w:color="auto"/>
            </w:tcBorders>
            <w:shd w:val="clear" w:color="auto" w:fill="auto"/>
            <w:noWrap/>
            <w:hideMark/>
          </w:tcPr>
          <w:p w14:paraId="6AC4A162"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1</w:t>
            </w:r>
          </w:p>
        </w:tc>
        <w:tc>
          <w:tcPr>
            <w:tcW w:w="1202" w:type="dxa"/>
            <w:tcBorders>
              <w:top w:val="single" w:sz="12" w:space="0" w:color="auto"/>
            </w:tcBorders>
            <w:shd w:val="clear" w:color="auto" w:fill="auto"/>
            <w:noWrap/>
            <w:hideMark/>
          </w:tcPr>
          <w:p w14:paraId="1470137B"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0.0015</w:t>
            </w:r>
          </w:p>
        </w:tc>
        <w:tc>
          <w:tcPr>
            <w:tcW w:w="1560" w:type="dxa"/>
            <w:tcBorders>
              <w:top w:val="single" w:sz="12" w:space="0" w:color="auto"/>
            </w:tcBorders>
            <w:shd w:val="clear" w:color="auto" w:fill="auto"/>
            <w:noWrap/>
            <w:hideMark/>
          </w:tcPr>
          <w:p w14:paraId="2AA8184C"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4.46E-02</w:t>
            </w:r>
          </w:p>
        </w:tc>
        <w:tc>
          <w:tcPr>
            <w:tcW w:w="1778" w:type="dxa"/>
            <w:tcBorders>
              <w:top w:val="single" w:sz="12" w:space="0" w:color="auto"/>
            </w:tcBorders>
            <w:shd w:val="clear" w:color="auto" w:fill="auto"/>
            <w:noWrap/>
            <w:hideMark/>
          </w:tcPr>
          <w:p w14:paraId="0DB8E172"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3.94E-02</w:t>
            </w:r>
          </w:p>
        </w:tc>
      </w:tr>
      <w:tr w:rsidR="00D97AFB" w:rsidRPr="00E0316F" w14:paraId="1D364B71" w14:textId="77777777" w:rsidTr="00D97AFB">
        <w:trPr>
          <w:trHeight w:val="300"/>
        </w:trPr>
        <w:tc>
          <w:tcPr>
            <w:cnfStyle w:val="001000000000" w:firstRow="0" w:lastRow="0" w:firstColumn="1" w:lastColumn="0" w:oddVBand="0" w:evenVBand="0" w:oddHBand="0" w:evenHBand="0" w:firstRowFirstColumn="0" w:firstRowLastColumn="0" w:lastRowFirstColumn="0" w:lastRowLastColumn="0"/>
            <w:tcW w:w="2660" w:type="dxa"/>
            <w:vMerge/>
            <w:shd w:val="clear" w:color="auto" w:fill="auto"/>
            <w:hideMark/>
          </w:tcPr>
          <w:p w14:paraId="059FBA5D" w14:textId="77777777" w:rsidR="00D97AFB" w:rsidRPr="00E0316F" w:rsidRDefault="00D97AFB" w:rsidP="00D97AFB">
            <w:pPr>
              <w:spacing w:line="360" w:lineRule="auto"/>
              <w:rPr>
                <w:rFonts w:ascii="Times New Roman" w:hAnsi="Times New Roman" w:cs="Times New Roman"/>
                <w:b w:val="0"/>
                <w:sz w:val="20"/>
                <w:szCs w:val="20"/>
              </w:rPr>
            </w:pPr>
          </w:p>
        </w:tc>
        <w:tc>
          <w:tcPr>
            <w:tcW w:w="3483" w:type="dxa"/>
            <w:vMerge w:val="restart"/>
            <w:shd w:val="clear" w:color="auto" w:fill="auto"/>
            <w:hideMark/>
          </w:tcPr>
          <w:p w14:paraId="5BBD38B5"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Mean selection across phenological traits separately (presumably induced by temperature)</w:t>
            </w:r>
          </w:p>
        </w:tc>
        <w:tc>
          <w:tcPr>
            <w:tcW w:w="1900" w:type="dxa"/>
            <w:shd w:val="clear" w:color="auto" w:fill="auto"/>
            <w:noWrap/>
            <w:hideMark/>
          </w:tcPr>
          <w:p w14:paraId="05355711"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Intercept</w:t>
            </w:r>
          </w:p>
        </w:tc>
        <w:tc>
          <w:tcPr>
            <w:tcW w:w="960" w:type="dxa"/>
            <w:shd w:val="clear" w:color="auto" w:fill="auto"/>
            <w:noWrap/>
            <w:hideMark/>
          </w:tcPr>
          <w:p w14:paraId="6A59DC73"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14.47</w:t>
            </w:r>
          </w:p>
        </w:tc>
        <w:tc>
          <w:tcPr>
            <w:tcW w:w="960" w:type="dxa"/>
            <w:shd w:val="clear" w:color="auto" w:fill="auto"/>
            <w:noWrap/>
            <w:hideMark/>
          </w:tcPr>
          <w:p w14:paraId="146B073D"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1</w:t>
            </w:r>
          </w:p>
        </w:tc>
        <w:tc>
          <w:tcPr>
            <w:tcW w:w="1202" w:type="dxa"/>
            <w:shd w:val="clear" w:color="auto" w:fill="auto"/>
            <w:noWrap/>
            <w:hideMark/>
          </w:tcPr>
          <w:p w14:paraId="6901725E"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0.0001</w:t>
            </w:r>
          </w:p>
        </w:tc>
        <w:tc>
          <w:tcPr>
            <w:tcW w:w="1560" w:type="dxa"/>
            <w:shd w:val="clear" w:color="auto" w:fill="auto"/>
            <w:noWrap/>
            <w:hideMark/>
          </w:tcPr>
          <w:p w14:paraId="778D7DBA"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9.68E-03</w:t>
            </w:r>
          </w:p>
        </w:tc>
        <w:tc>
          <w:tcPr>
            <w:tcW w:w="1778" w:type="dxa"/>
            <w:shd w:val="clear" w:color="auto" w:fill="auto"/>
            <w:noWrap/>
            <w:hideMark/>
          </w:tcPr>
          <w:p w14:paraId="0A1D32E6"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2.08E-03</w:t>
            </w:r>
          </w:p>
        </w:tc>
      </w:tr>
      <w:tr w:rsidR="00D97AFB" w:rsidRPr="00E0316F" w14:paraId="69DAC69E" w14:textId="77777777" w:rsidTr="00D97AF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60" w:type="dxa"/>
            <w:vMerge/>
            <w:shd w:val="clear" w:color="auto" w:fill="auto"/>
            <w:hideMark/>
          </w:tcPr>
          <w:p w14:paraId="46F8F622" w14:textId="77777777" w:rsidR="00D97AFB" w:rsidRPr="00E0316F" w:rsidRDefault="00D97AFB" w:rsidP="00D97AFB">
            <w:pPr>
              <w:spacing w:line="360" w:lineRule="auto"/>
              <w:rPr>
                <w:rFonts w:ascii="Times New Roman" w:hAnsi="Times New Roman" w:cs="Times New Roman"/>
                <w:b w:val="0"/>
                <w:sz w:val="20"/>
                <w:szCs w:val="20"/>
              </w:rPr>
            </w:pPr>
          </w:p>
        </w:tc>
        <w:tc>
          <w:tcPr>
            <w:tcW w:w="3483" w:type="dxa"/>
            <w:vMerge/>
            <w:shd w:val="clear" w:color="auto" w:fill="auto"/>
            <w:hideMark/>
          </w:tcPr>
          <w:p w14:paraId="58074626"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900" w:type="dxa"/>
            <w:shd w:val="clear" w:color="auto" w:fill="auto"/>
            <w:noWrap/>
            <w:hideMark/>
          </w:tcPr>
          <w:p w14:paraId="2A1B0ACE"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Fitness component</w:t>
            </w:r>
          </w:p>
        </w:tc>
        <w:tc>
          <w:tcPr>
            <w:tcW w:w="960" w:type="dxa"/>
            <w:shd w:val="clear" w:color="auto" w:fill="auto"/>
            <w:noWrap/>
            <w:hideMark/>
          </w:tcPr>
          <w:p w14:paraId="6A7A42FF"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10.65</w:t>
            </w:r>
          </w:p>
        </w:tc>
        <w:tc>
          <w:tcPr>
            <w:tcW w:w="960" w:type="dxa"/>
            <w:shd w:val="clear" w:color="auto" w:fill="auto"/>
            <w:noWrap/>
            <w:hideMark/>
          </w:tcPr>
          <w:p w14:paraId="6F691962"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2</w:t>
            </w:r>
          </w:p>
        </w:tc>
        <w:tc>
          <w:tcPr>
            <w:tcW w:w="1202" w:type="dxa"/>
            <w:shd w:val="clear" w:color="auto" w:fill="auto"/>
            <w:noWrap/>
            <w:hideMark/>
          </w:tcPr>
          <w:p w14:paraId="2DFFC242"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0.0049</w:t>
            </w:r>
          </w:p>
        </w:tc>
        <w:tc>
          <w:tcPr>
            <w:tcW w:w="1560" w:type="dxa"/>
            <w:shd w:val="clear" w:color="auto" w:fill="auto"/>
            <w:noWrap/>
            <w:hideMark/>
          </w:tcPr>
          <w:p w14:paraId="47CC28FB"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5.49E-03</w:t>
            </w:r>
          </w:p>
        </w:tc>
        <w:tc>
          <w:tcPr>
            <w:tcW w:w="1778" w:type="dxa"/>
            <w:shd w:val="clear" w:color="auto" w:fill="auto"/>
            <w:noWrap/>
            <w:hideMark/>
          </w:tcPr>
          <w:p w14:paraId="7E4CF833"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3.39E-03</w:t>
            </w:r>
          </w:p>
        </w:tc>
      </w:tr>
      <w:tr w:rsidR="00D97AFB" w:rsidRPr="00E0316F" w14:paraId="224328BE" w14:textId="77777777" w:rsidTr="00420FC3">
        <w:trPr>
          <w:trHeight w:val="300"/>
        </w:trPr>
        <w:tc>
          <w:tcPr>
            <w:cnfStyle w:val="001000000000" w:firstRow="0" w:lastRow="0" w:firstColumn="1" w:lastColumn="0" w:oddVBand="0" w:evenVBand="0" w:oddHBand="0" w:evenHBand="0" w:firstRowFirstColumn="0" w:firstRowLastColumn="0" w:lastRowFirstColumn="0" w:lastRowLastColumn="0"/>
            <w:tcW w:w="2660" w:type="dxa"/>
            <w:vMerge/>
            <w:tcBorders>
              <w:bottom w:val="single" w:sz="6" w:space="0" w:color="auto"/>
            </w:tcBorders>
            <w:shd w:val="clear" w:color="auto" w:fill="auto"/>
            <w:hideMark/>
          </w:tcPr>
          <w:p w14:paraId="0902929D" w14:textId="77777777" w:rsidR="00D97AFB" w:rsidRPr="00E0316F" w:rsidRDefault="00D97AFB" w:rsidP="00D97AFB">
            <w:pPr>
              <w:spacing w:line="360" w:lineRule="auto"/>
              <w:rPr>
                <w:rFonts w:ascii="Times New Roman" w:hAnsi="Times New Roman" w:cs="Times New Roman"/>
                <w:b w:val="0"/>
                <w:sz w:val="20"/>
                <w:szCs w:val="20"/>
              </w:rPr>
            </w:pPr>
          </w:p>
        </w:tc>
        <w:tc>
          <w:tcPr>
            <w:tcW w:w="3483" w:type="dxa"/>
            <w:vMerge/>
            <w:tcBorders>
              <w:bottom w:val="single" w:sz="6" w:space="0" w:color="auto"/>
            </w:tcBorders>
            <w:shd w:val="clear" w:color="auto" w:fill="auto"/>
            <w:hideMark/>
          </w:tcPr>
          <w:p w14:paraId="42BF4423"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900" w:type="dxa"/>
            <w:tcBorders>
              <w:bottom w:val="single" w:sz="6" w:space="0" w:color="auto"/>
            </w:tcBorders>
            <w:shd w:val="clear" w:color="auto" w:fill="auto"/>
            <w:noWrap/>
            <w:hideMark/>
          </w:tcPr>
          <w:p w14:paraId="3EA5C7E9"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Generation length</w:t>
            </w:r>
          </w:p>
        </w:tc>
        <w:tc>
          <w:tcPr>
            <w:tcW w:w="960" w:type="dxa"/>
            <w:tcBorders>
              <w:bottom w:val="single" w:sz="6" w:space="0" w:color="auto"/>
            </w:tcBorders>
            <w:shd w:val="clear" w:color="auto" w:fill="auto"/>
            <w:noWrap/>
            <w:hideMark/>
          </w:tcPr>
          <w:p w14:paraId="78F2FD46"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0.39</w:t>
            </w:r>
          </w:p>
        </w:tc>
        <w:tc>
          <w:tcPr>
            <w:tcW w:w="960" w:type="dxa"/>
            <w:tcBorders>
              <w:bottom w:val="single" w:sz="6" w:space="0" w:color="auto"/>
            </w:tcBorders>
            <w:shd w:val="clear" w:color="auto" w:fill="auto"/>
            <w:noWrap/>
            <w:hideMark/>
          </w:tcPr>
          <w:p w14:paraId="1CEB5926"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1</w:t>
            </w:r>
          </w:p>
        </w:tc>
        <w:tc>
          <w:tcPr>
            <w:tcW w:w="1202" w:type="dxa"/>
            <w:tcBorders>
              <w:bottom w:val="single" w:sz="6" w:space="0" w:color="auto"/>
            </w:tcBorders>
            <w:shd w:val="clear" w:color="auto" w:fill="auto"/>
            <w:noWrap/>
            <w:hideMark/>
          </w:tcPr>
          <w:p w14:paraId="0BC7BDE1"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0.5331</w:t>
            </w:r>
          </w:p>
        </w:tc>
        <w:tc>
          <w:tcPr>
            <w:tcW w:w="1560" w:type="dxa"/>
            <w:tcBorders>
              <w:bottom w:val="single" w:sz="6" w:space="0" w:color="auto"/>
            </w:tcBorders>
            <w:shd w:val="clear" w:color="auto" w:fill="auto"/>
            <w:noWrap/>
            <w:hideMark/>
          </w:tcPr>
          <w:p w14:paraId="08CC27A0"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9.15E-03</w:t>
            </w:r>
          </w:p>
        </w:tc>
        <w:tc>
          <w:tcPr>
            <w:tcW w:w="1778" w:type="dxa"/>
            <w:tcBorders>
              <w:bottom w:val="single" w:sz="6" w:space="0" w:color="auto"/>
            </w:tcBorders>
            <w:shd w:val="clear" w:color="auto" w:fill="auto"/>
            <w:noWrap/>
            <w:hideMark/>
          </w:tcPr>
          <w:p w14:paraId="1B18D229"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7.15E-03</w:t>
            </w:r>
          </w:p>
        </w:tc>
      </w:tr>
      <w:tr w:rsidR="00D97AFB" w:rsidRPr="00E0316F" w14:paraId="15A14959" w14:textId="77777777" w:rsidTr="00420FC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60" w:type="dxa"/>
            <w:vMerge w:val="restart"/>
            <w:tcBorders>
              <w:top w:val="single" w:sz="6" w:space="0" w:color="auto"/>
              <w:bottom w:val="nil"/>
            </w:tcBorders>
            <w:shd w:val="clear" w:color="auto" w:fill="auto"/>
            <w:hideMark/>
          </w:tcPr>
          <w:p w14:paraId="057EBD32" w14:textId="21638623" w:rsidR="00D97AFB" w:rsidRPr="00E0316F" w:rsidRDefault="00D97AFB" w:rsidP="00E07C04">
            <w:pPr>
              <w:spacing w:line="360" w:lineRule="auto"/>
              <w:rPr>
                <w:rFonts w:ascii="Times New Roman" w:hAnsi="Times New Roman" w:cs="Times New Roman"/>
                <w:b w:val="0"/>
                <w:sz w:val="20"/>
                <w:szCs w:val="20"/>
              </w:rPr>
            </w:pPr>
            <w:r w:rsidRPr="00E0316F">
              <w:rPr>
                <w:rFonts w:ascii="Times New Roman" w:hAnsi="Times New Roman" w:cs="Times New Roman"/>
                <w:b w:val="0"/>
                <w:sz w:val="20"/>
                <w:szCs w:val="20"/>
              </w:rPr>
              <w:t>The only study on mammal (Plard et al. 2014)</w:t>
            </w:r>
            <w:r w:rsidR="003B08FD" w:rsidRPr="00E0316F">
              <w:rPr>
                <w:rFonts w:ascii="Times New Roman" w:hAnsi="Times New Roman" w:cs="Times New Roman"/>
                <w:sz w:val="20"/>
                <w:szCs w:val="20"/>
              </w:rPr>
              <w:fldChar w:fldCharType="begin" w:fldLock="1"/>
            </w:r>
            <w:r w:rsidR="00702BB9">
              <w:rPr>
                <w:rFonts w:ascii="Times New Roman" w:hAnsi="Times New Roman" w:cs="Times New Roman"/>
                <w:b w:val="0"/>
                <w:sz w:val="20"/>
                <w:szCs w:val="20"/>
              </w:rPr>
              <w:instrText>ADDIN CSL_CITATION {"citationItems":[{"id":"ITEM-1","itemData":{"DOI":"10.1371/journal.pbio.1001828","ISBN":"1545-7885 (Electronic)\\r1544-9173 (Linking)","ISSN":"15457885","PMID":"24690936","abstract":"Marked impacts of climate change on biodiversity have frequently been demonstrated, including temperature-related shifts in phenology and life-history traits. One potential major impact of climate change is the modification of synchronization between the phenology of different trophic levels. High phenotypic plasticity in laying date has allowed many bird species to track the increasingly early springs resulting from recent environmental change, but although changes in the timing of reproduction have been well studied in birds, these questions have only recently been addressed in mammals. To track peak resource availability, large herbivores like roe deer, with a widespread distribution across Europe, should also modify their life-history schedule in response to changes in vegetation phenology over time. In this study, we analysed the influence of climate change on the timing of roe deer births and the consequences for population demography and individual fitness. Our study provides a rare quantification of the demographic costs associated with the failure of a species to modify its phenology in response to a changing world. Given these fitness costs, the lack of response of roe deer birth dates to match the increasingly earlier onset of spring is in stark contrast with the marked phenotypic responses to climate change reported in many other mammals. We suggest that the lack of phenotypic plasticity in birth timing in roe deer is linked to its inability to track environmental cues of variation in resource availability for the timing of parturition.","author":[{"dropping-particle":"","family":"Plard","given":"Floriane","non-dropping-particle":"","parse-names":false,"suffix":""},{"dropping-particle":"","family":"Gaillard","given":"Jean Michel","non-dropping-particle":"","parse-names":false,"suffix":""},{"dropping-particle":"","family":"Coulson","given":"Tim","non-dropping-particle":"","parse-names":false,"suffix":""},{"dropping-particle":"","family":"Hewison","given":"A. J Mark","non-dropping-particle":"","parse-names":false,"suffix":""},{"dropping-particle":"","family":"Delorme","given":"Daniel","non-dropping-particle":"","parse-names":false,"suffix":""},{"dropping-particle":"","family":"Warnant","given":"Claude","non-dropping-particle":"","parse-names":false,"suffix":""},{"dropping-particle":"","family":"Bonenfant","given":"Christophe","non-dropping-particle":"","parse-names":false,"suffix":""}],"container-title":"PLoS Biology","id":"ITEM-1","issue":"4","issued":{"date-parts":[["2014"]]},"page":"e1001828","title":"Mismatch between birth date and vegetation phenology slows the demography of roe deer","type":"article-journal","volume":"12"},"uris":["http://www.mendeley.com/documents/?uuid=2d4be9f1-e9ff-4020-b8ea-3027768adb84"]}],"mendeley":{"formattedCitation":"&lt;sup&gt;4&lt;/sup&gt;","plainTextFormattedCitation":"4","previouslyFormattedCitation":"&lt;sup&gt;4&lt;/sup&gt;"},"properties":{"noteIndex":0},"schema":"https://github.com/citation-style-language/schema/raw/master/csl-citation.json"}</w:instrText>
            </w:r>
            <w:r w:rsidR="003B08FD" w:rsidRPr="00E0316F">
              <w:rPr>
                <w:rFonts w:ascii="Times New Roman" w:hAnsi="Times New Roman" w:cs="Times New Roman"/>
                <w:sz w:val="20"/>
                <w:szCs w:val="20"/>
              </w:rPr>
              <w:fldChar w:fldCharType="separate"/>
            </w:r>
            <w:r w:rsidR="00E07C04" w:rsidRPr="00E07C04">
              <w:rPr>
                <w:rFonts w:ascii="Times New Roman" w:hAnsi="Times New Roman" w:cs="Times New Roman"/>
                <w:b w:val="0"/>
                <w:noProof/>
                <w:sz w:val="20"/>
                <w:szCs w:val="20"/>
                <w:vertAlign w:val="superscript"/>
              </w:rPr>
              <w:t>4</w:t>
            </w:r>
            <w:r w:rsidR="003B08FD" w:rsidRPr="00E0316F">
              <w:rPr>
                <w:rFonts w:ascii="Times New Roman" w:hAnsi="Times New Roman" w:cs="Times New Roman"/>
                <w:sz w:val="20"/>
                <w:szCs w:val="20"/>
              </w:rPr>
              <w:fldChar w:fldCharType="end"/>
            </w:r>
          </w:p>
        </w:tc>
        <w:tc>
          <w:tcPr>
            <w:tcW w:w="3483" w:type="dxa"/>
            <w:tcBorders>
              <w:top w:val="single" w:sz="6" w:space="0" w:color="auto"/>
              <w:bottom w:val="nil"/>
            </w:tcBorders>
            <w:shd w:val="clear" w:color="auto" w:fill="auto"/>
            <w:noWrap/>
            <w:hideMark/>
          </w:tcPr>
          <w:p w14:paraId="6A2CD52B"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Slope of phenological traits on temperature</w:t>
            </w:r>
          </w:p>
        </w:tc>
        <w:tc>
          <w:tcPr>
            <w:tcW w:w="1900" w:type="dxa"/>
            <w:tcBorders>
              <w:top w:val="single" w:sz="6" w:space="0" w:color="auto"/>
              <w:bottom w:val="nil"/>
            </w:tcBorders>
            <w:shd w:val="clear" w:color="auto" w:fill="auto"/>
            <w:noWrap/>
            <w:hideMark/>
          </w:tcPr>
          <w:p w14:paraId="54FAC0B1"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Intercept</w:t>
            </w:r>
          </w:p>
        </w:tc>
        <w:tc>
          <w:tcPr>
            <w:tcW w:w="960" w:type="dxa"/>
            <w:tcBorders>
              <w:top w:val="single" w:sz="6" w:space="0" w:color="auto"/>
              <w:bottom w:val="nil"/>
            </w:tcBorders>
            <w:shd w:val="clear" w:color="auto" w:fill="auto"/>
            <w:noWrap/>
            <w:hideMark/>
          </w:tcPr>
          <w:p w14:paraId="32BF199F"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11.93</w:t>
            </w:r>
          </w:p>
        </w:tc>
        <w:tc>
          <w:tcPr>
            <w:tcW w:w="960" w:type="dxa"/>
            <w:tcBorders>
              <w:top w:val="single" w:sz="6" w:space="0" w:color="auto"/>
              <w:bottom w:val="nil"/>
            </w:tcBorders>
            <w:shd w:val="clear" w:color="auto" w:fill="auto"/>
            <w:noWrap/>
            <w:hideMark/>
          </w:tcPr>
          <w:p w14:paraId="6846C200"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1</w:t>
            </w:r>
          </w:p>
        </w:tc>
        <w:tc>
          <w:tcPr>
            <w:tcW w:w="1202" w:type="dxa"/>
            <w:tcBorders>
              <w:top w:val="single" w:sz="6" w:space="0" w:color="auto"/>
              <w:bottom w:val="nil"/>
            </w:tcBorders>
            <w:shd w:val="clear" w:color="auto" w:fill="auto"/>
            <w:noWrap/>
            <w:hideMark/>
          </w:tcPr>
          <w:p w14:paraId="7D8D60A6"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0.0006</w:t>
            </w:r>
          </w:p>
        </w:tc>
        <w:tc>
          <w:tcPr>
            <w:tcW w:w="1560" w:type="dxa"/>
            <w:tcBorders>
              <w:top w:val="single" w:sz="6" w:space="0" w:color="auto"/>
              <w:bottom w:val="nil"/>
            </w:tcBorders>
            <w:shd w:val="clear" w:color="auto" w:fill="auto"/>
            <w:noWrap/>
            <w:hideMark/>
          </w:tcPr>
          <w:p w14:paraId="33C1BAAA"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4.33E-02</w:t>
            </w:r>
          </w:p>
        </w:tc>
        <w:tc>
          <w:tcPr>
            <w:tcW w:w="1778" w:type="dxa"/>
            <w:tcBorders>
              <w:top w:val="single" w:sz="6" w:space="0" w:color="auto"/>
              <w:bottom w:val="nil"/>
            </w:tcBorders>
            <w:shd w:val="clear" w:color="auto" w:fill="auto"/>
            <w:noWrap/>
            <w:hideMark/>
          </w:tcPr>
          <w:p w14:paraId="2A22D710"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4.66E-02</w:t>
            </w:r>
          </w:p>
        </w:tc>
      </w:tr>
      <w:tr w:rsidR="00D97AFB" w:rsidRPr="00E0316F" w14:paraId="41D51E45" w14:textId="77777777" w:rsidTr="00420FC3">
        <w:trPr>
          <w:trHeight w:val="300"/>
        </w:trPr>
        <w:tc>
          <w:tcPr>
            <w:cnfStyle w:val="001000000000" w:firstRow="0" w:lastRow="0" w:firstColumn="1" w:lastColumn="0" w:oddVBand="0" w:evenVBand="0" w:oddHBand="0" w:evenHBand="0" w:firstRowFirstColumn="0" w:firstRowLastColumn="0" w:lastRowFirstColumn="0" w:lastRowLastColumn="0"/>
            <w:tcW w:w="2660" w:type="dxa"/>
            <w:vMerge/>
            <w:tcBorders>
              <w:top w:val="nil"/>
              <w:bottom w:val="nil"/>
            </w:tcBorders>
            <w:shd w:val="clear" w:color="auto" w:fill="auto"/>
            <w:hideMark/>
          </w:tcPr>
          <w:p w14:paraId="67878836" w14:textId="77777777" w:rsidR="00D97AFB" w:rsidRPr="00E0316F" w:rsidRDefault="00D97AFB" w:rsidP="00D97AFB">
            <w:pPr>
              <w:spacing w:line="360" w:lineRule="auto"/>
              <w:rPr>
                <w:rFonts w:ascii="Times New Roman" w:hAnsi="Times New Roman" w:cs="Times New Roman"/>
                <w:b w:val="0"/>
                <w:sz w:val="20"/>
                <w:szCs w:val="20"/>
              </w:rPr>
            </w:pPr>
          </w:p>
        </w:tc>
        <w:tc>
          <w:tcPr>
            <w:tcW w:w="3483" w:type="dxa"/>
            <w:vMerge w:val="restart"/>
            <w:tcBorders>
              <w:top w:val="nil"/>
              <w:bottom w:val="nil"/>
            </w:tcBorders>
            <w:shd w:val="clear" w:color="auto" w:fill="auto"/>
            <w:hideMark/>
          </w:tcPr>
          <w:p w14:paraId="55817840"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Mean selection across phenological traits separately (presumably induced by temperature)</w:t>
            </w:r>
          </w:p>
        </w:tc>
        <w:tc>
          <w:tcPr>
            <w:tcW w:w="1900" w:type="dxa"/>
            <w:tcBorders>
              <w:top w:val="nil"/>
              <w:bottom w:val="nil"/>
            </w:tcBorders>
            <w:shd w:val="clear" w:color="auto" w:fill="auto"/>
            <w:noWrap/>
            <w:hideMark/>
          </w:tcPr>
          <w:p w14:paraId="62EF1A05"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Intercept</w:t>
            </w:r>
          </w:p>
        </w:tc>
        <w:tc>
          <w:tcPr>
            <w:tcW w:w="960" w:type="dxa"/>
            <w:tcBorders>
              <w:top w:val="nil"/>
              <w:bottom w:val="nil"/>
            </w:tcBorders>
            <w:shd w:val="clear" w:color="auto" w:fill="auto"/>
            <w:noWrap/>
            <w:hideMark/>
          </w:tcPr>
          <w:p w14:paraId="09C62BCE"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5.58</w:t>
            </w:r>
          </w:p>
        </w:tc>
        <w:tc>
          <w:tcPr>
            <w:tcW w:w="960" w:type="dxa"/>
            <w:tcBorders>
              <w:top w:val="nil"/>
              <w:bottom w:val="nil"/>
            </w:tcBorders>
            <w:shd w:val="clear" w:color="auto" w:fill="auto"/>
            <w:noWrap/>
            <w:hideMark/>
          </w:tcPr>
          <w:p w14:paraId="128B263A"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1</w:t>
            </w:r>
          </w:p>
        </w:tc>
        <w:tc>
          <w:tcPr>
            <w:tcW w:w="1202" w:type="dxa"/>
            <w:tcBorders>
              <w:top w:val="nil"/>
              <w:bottom w:val="nil"/>
            </w:tcBorders>
            <w:shd w:val="clear" w:color="auto" w:fill="auto"/>
            <w:noWrap/>
            <w:hideMark/>
          </w:tcPr>
          <w:p w14:paraId="7F462EDF"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0.0182</w:t>
            </w:r>
          </w:p>
        </w:tc>
        <w:tc>
          <w:tcPr>
            <w:tcW w:w="1560" w:type="dxa"/>
            <w:tcBorders>
              <w:top w:val="nil"/>
              <w:bottom w:val="nil"/>
            </w:tcBorders>
            <w:shd w:val="clear" w:color="auto" w:fill="auto"/>
            <w:noWrap/>
            <w:hideMark/>
          </w:tcPr>
          <w:p w14:paraId="42811CDE"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9.78E-03</w:t>
            </w:r>
          </w:p>
        </w:tc>
        <w:tc>
          <w:tcPr>
            <w:tcW w:w="1778" w:type="dxa"/>
            <w:tcBorders>
              <w:top w:val="nil"/>
              <w:bottom w:val="nil"/>
            </w:tcBorders>
            <w:shd w:val="clear" w:color="auto" w:fill="auto"/>
            <w:noWrap/>
            <w:hideMark/>
          </w:tcPr>
          <w:p w14:paraId="6E3D543A"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6.31E-02</w:t>
            </w:r>
          </w:p>
        </w:tc>
      </w:tr>
      <w:tr w:rsidR="00D97AFB" w:rsidRPr="00E0316F" w14:paraId="3EC6B1E8" w14:textId="77777777" w:rsidTr="00420FC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60" w:type="dxa"/>
            <w:vMerge/>
            <w:tcBorders>
              <w:top w:val="nil"/>
              <w:bottom w:val="nil"/>
            </w:tcBorders>
            <w:shd w:val="clear" w:color="auto" w:fill="auto"/>
            <w:hideMark/>
          </w:tcPr>
          <w:p w14:paraId="27F717CE" w14:textId="77777777" w:rsidR="00D97AFB" w:rsidRPr="00E0316F" w:rsidRDefault="00D97AFB" w:rsidP="00D97AFB">
            <w:pPr>
              <w:spacing w:line="360" w:lineRule="auto"/>
              <w:rPr>
                <w:rFonts w:ascii="Times New Roman" w:hAnsi="Times New Roman" w:cs="Times New Roman"/>
                <w:b w:val="0"/>
                <w:sz w:val="20"/>
                <w:szCs w:val="20"/>
              </w:rPr>
            </w:pPr>
          </w:p>
        </w:tc>
        <w:tc>
          <w:tcPr>
            <w:tcW w:w="3483" w:type="dxa"/>
            <w:vMerge/>
            <w:tcBorders>
              <w:top w:val="nil"/>
              <w:bottom w:val="nil"/>
            </w:tcBorders>
            <w:shd w:val="clear" w:color="auto" w:fill="auto"/>
            <w:hideMark/>
          </w:tcPr>
          <w:p w14:paraId="4D591267"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900" w:type="dxa"/>
            <w:tcBorders>
              <w:top w:val="nil"/>
              <w:bottom w:val="nil"/>
            </w:tcBorders>
            <w:shd w:val="clear" w:color="auto" w:fill="auto"/>
            <w:noWrap/>
            <w:hideMark/>
          </w:tcPr>
          <w:p w14:paraId="6D23C7B7"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Fitness component</w:t>
            </w:r>
          </w:p>
        </w:tc>
        <w:tc>
          <w:tcPr>
            <w:tcW w:w="960" w:type="dxa"/>
            <w:tcBorders>
              <w:top w:val="nil"/>
              <w:bottom w:val="nil"/>
            </w:tcBorders>
            <w:shd w:val="clear" w:color="auto" w:fill="auto"/>
            <w:noWrap/>
            <w:hideMark/>
          </w:tcPr>
          <w:p w14:paraId="10B1B091"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6.42</w:t>
            </w:r>
          </w:p>
        </w:tc>
        <w:tc>
          <w:tcPr>
            <w:tcW w:w="960" w:type="dxa"/>
            <w:tcBorders>
              <w:top w:val="nil"/>
              <w:bottom w:val="nil"/>
            </w:tcBorders>
            <w:shd w:val="clear" w:color="auto" w:fill="auto"/>
            <w:noWrap/>
            <w:hideMark/>
          </w:tcPr>
          <w:p w14:paraId="0BCF7289"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2</w:t>
            </w:r>
          </w:p>
        </w:tc>
        <w:tc>
          <w:tcPr>
            <w:tcW w:w="1202" w:type="dxa"/>
            <w:tcBorders>
              <w:top w:val="nil"/>
              <w:bottom w:val="nil"/>
            </w:tcBorders>
            <w:shd w:val="clear" w:color="auto" w:fill="auto"/>
            <w:noWrap/>
            <w:hideMark/>
          </w:tcPr>
          <w:p w14:paraId="3069ACAA"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0.0404</w:t>
            </w:r>
          </w:p>
        </w:tc>
        <w:tc>
          <w:tcPr>
            <w:tcW w:w="1560" w:type="dxa"/>
            <w:tcBorders>
              <w:top w:val="nil"/>
              <w:bottom w:val="nil"/>
            </w:tcBorders>
            <w:shd w:val="clear" w:color="auto" w:fill="auto"/>
            <w:noWrap/>
            <w:hideMark/>
          </w:tcPr>
          <w:p w14:paraId="6111C6C1"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6.74E-03</w:t>
            </w:r>
          </w:p>
        </w:tc>
        <w:tc>
          <w:tcPr>
            <w:tcW w:w="1778" w:type="dxa"/>
            <w:tcBorders>
              <w:top w:val="nil"/>
              <w:bottom w:val="nil"/>
            </w:tcBorders>
            <w:shd w:val="clear" w:color="auto" w:fill="auto"/>
            <w:noWrap/>
            <w:hideMark/>
          </w:tcPr>
          <w:p w14:paraId="0202C185"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6.57E-02</w:t>
            </w:r>
          </w:p>
        </w:tc>
      </w:tr>
      <w:tr w:rsidR="00D97AFB" w:rsidRPr="00E0316F" w14:paraId="408CE34A" w14:textId="77777777" w:rsidTr="00420FC3">
        <w:trPr>
          <w:trHeight w:val="300"/>
        </w:trPr>
        <w:tc>
          <w:tcPr>
            <w:cnfStyle w:val="001000000000" w:firstRow="0" w:lastRow="0" w:firstColumn="1" w:lastColumn="0" w:oddVBand="0" w:evenVBand="0" w:oddHBand="0" w:evenHBand="0" w:firstRowFirstColumn="0" w:firstRowLastColumn="0" w:lastRowFirstColumn="0" w:lastRowLastColumn="0"/>
            <w:tcW w:w="2660" w:type="dxa"/>
            <w:vMerge/>
            <w:tcBorders>
              <w:top w:val="nil"/>
              <w:bottom w:val="single" w:sz="6" w:space="0" w:color="auto"/>
            </w:tcBorders>
            <w:shd w:val="clear" w:color="auto" w:fill="auto"/>
            <w:hideMark/>
          </w:tcPr>
          <w:p w14:paraId="67A3D9AA" w14:textId="77777777" w:rsidR="00D97AFB" w:rsidRPr="00E0316F" w:rsidRDefault="00D97AFB" w:rsidP="00D97AFB">
            <w:pPr>
              <w:spacing w:line="360" w:lineRule="auto"/>
              <w:rPr>
                <w:rFonts w:ascii="Times New Roman" w:hAnsi="Times New Roman" w:cs="Times New Roman"/>
                <w:b w:val="0"/>
                <w:sz w:val="20"/>
                <w:szCs w:val="20"/>
              </w:rPr>
            </w:pPr>
          </w:p>
        </w:tc>
        <w:tc>
          <w:tcPr>
            <w:tcW w:w="3483" w:type="dxa"/>
            <w:vMerge/>
            <w:tcBorders>
              <w:top w:val="nil"/>
              <w:bottom w:val="single" w:sz="6" w:space="0" w:color="auto"/>
            </w:tcBorders>
            <w:shd w:val="clear" w:color="auto" w:fill="auto"/>
            <w:hideMark/>
          </w:tcPr>
          <w:p w14:paraId="13E22B13"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900" w:type="dxa"/>
            <w:tcBorders>
              <w:top w:val="nil"/>
              <w:bottom w:val="single" w:sz="6" w:space="0" w:color="auto"/>
            </w:tcBorders>
            <w:shd w:val="clear" w:color="auto" w:fill="auto"/>
            <w:noWrap/>
            <w:hideMark/>
          </w:tcPr>
          <w:p w14:paraId="669B22FC"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Generation length</w:t>
            </w:r>
          </w:p>
        </w:tc>
        <w:tc>
          <w:tcPr>
            <w:tcW w:w="960" w:type="dxa"/>
            <w:tcBorders>
              <w:top w:val="nil"/>
              <w:bottom w:val="single" w:sz="6" w:space="0" w:color="auto"/>
            </w:tcBorders>
            <w:shd w:val="clear" w:color="auto" w:fill="auto"/>
            <w:noWrap/>
            <w:hideMark/>
          </w:tcPr>
          <w:p w14:paraId="689A0864"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0.38</w:t>
            </w:r>
          </w:p>
        </w:tc>
        <w:tc>
          <w:tcPr>
            <w:tcW w:w="960" w:type="dxa"/>
            <w:tcBorders>
              <w:top w:val="nil"/>
              <w:bottom w:val="single" w:sz="6" w:space="0" w:color="auto"/>
            </w:tcBorders>
            <w:shd w:val="clear" w:color="auto" w:fill="auto"/>
            <w:noWrap/>
            <w:hideMark/>
          </w:tcPr>
          <w:p w14:paraId="7840E547"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1</w:t>
            </w:r>
          </w:p>
        </w:tc>
        <w:tc>
          <w:tcPr>
            <w:tcW w:w="1202" w:type="dxa"/>
            <w:tcBorders>
              <w:top w:val="nil"/>
              <w:bottom w:val="single" w:sz="6" w:space="0" w:color="auto"/>
            </w:tcBorders>
            <w:shd w:val="clear" w:color="auto" w:fill="auto"/>
            <w:noWrap/>
            <w:hideMark/>
          </w:tcPr>
          <w:p w14:paraId="6CA8C5C8"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0.5384</w:t>
            </w:r>
          </w:p>
        </w:tc>
        <w:tc>
          <w:tcPr>
            <w:tcW w:w="1560" w:type="dxa"/>
            <w:tcBorders>
              <w:top w:val="nil"/>
              <w:bottom w:val="single" w:sz="6" w:space="0" w:color="auto"/>
            </w:tcBorders>
            <w:shd w:val="clear" w:color="auto" w:fill="auto"/>
            <w:noWrap/>
            <w:hideMark/>
          </w:tcPr>
          <w:p w14:paraId="21B88690"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9.69E-03</w:t>
            </w:r>
          </w:p>
        </w:tc>
        <w:tc>
          <w:tcPr>
            <w:tcW w:w="1778" w:type="dxa"/>
            <w:tcBorders>
              <w:top w:val="nil"/>
              <w:bottom w:val="single" w:sz="6" w:space="0" w:color="auto"/>
            </w:tcBorders>
            <w:shd w:val="clear" w:color="auto" w:fill="auto"/>
            <w:noWrap/>
            <w:hideMark/>
          </w:tcPr>
          <w:p w14:paraId="3F0F145C"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7.69E-02</w:t>
            </w:r>
          </w:p>
        </w:tc>
      </w:tr>
      <w:tr w:rsidR="00D97AFB" w:rsidRPr="00E0316F" w14:paraId="40270379" w14:textId="77777777" w:rsidTr="00420FC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60" w:type="dxa"/>
            <w:vMerge w:val="restart"/>
            <w:tcBorders>
              <w:top w:val="single" w:sz="6" w:space="0" w:color="auto"/>
              <w:bottom w:val="nil"/>
            </w:tcBorders>
            <w:shd w:val="clear" w:color="auto" w:fill="auto"/>
            <w:hideMark/>
          </w:tcPr>
          <w:p w14:paraId="77F86DDD" w14:textId="7A2F14FE" w:rsidR="00D97AFB" w:rsidRPr="00E0316F" w:rsidRDefault="00D97AFB" w:rsidP="00E07C04">
            <w:pPr>
              <w:spacing w:line="360" w:lineRule="auto"/>
              <w:rPr>
                <w:rFonts w:ascii="Times New Roman" w:hAnsi="Times New Roman" w:cs="Times New Roman"/>
                <w:b w:val="0"/>
                <w:sz w:val="20"/>
                <w:szCs w:val="20"/>
              </w:rPr>
            </w:pPr>
            <w:r w:rsidRPr="00E0316F">
              <w:rPr>
                <w:rFonts w:ascii="Times New Roman" w:hAnsi="Times New Roman" w:cs="Times New Roman"/>
                <w:b w:val="0"/>
                <w:sz w:val="20"/>
                <w:szCs w:val="20"/>
              </w:rPr>
              <w:t>Both the only study on mammal (Plard et al. 2014)</w:t>
            </w:r>
            <w:r w:rsidR="003B08FD" w:rsidRPr="00E0316F">
              <w:rPr>
                <w:rFonts w:ascii="Times New Roman" w:hAnsi="Times New Roman" w:cs="Times New Roman"/>
                <w:sz w:val="20"/>
                <w:szCs w:val="20"/>
              </w:rPr>
              <w:fldChar w:fldCharType="begin" w:fldLock="1"/>
            </w:r>
            <w:r w:rsidR="00702BB9">
              <w:rPr>
                <w:rFonts w:ascii="Times New Roman" w:hAnsi="Times New Roman" w:cs="Times New Roman"/>
                <w:b w:val="0"/>
                <w:sz w:val="20"/>
                <w:szCs w:val="20"/>
              </w:rPr>
              <w:instrText>ADDIN CSL_CITATION {"citationItems":[{"id":"ITEM-1","itemData":{"DOI":"10.1371/journal.pbio.1001828","ISBN":"1545-7885 (Electronic)\\r1544-9173 (Linking)","ISSN":"15457885","PMID":"24690936","abstract":"Marked impacts of climate change on biodiversity have frequently been demonstrated, including temperature-related shifts in phenology and life-history traits. One potential major impact of climate change is the modification of synchronization between the phenology of different trophic levels. High phenotypic plasticity in laying date has allowed many bird species to track the increasingly early springs resulting from recent environmental change, but although changes in the timing of reproduction have been well studied in birds, these questions have only recently been addressed in mammals. To track peak resource availability, large herbivores like roe deer, with a widespread distribution across Europe, should also modify their life-history schedule in response to changes in vegetation phenology over time. In this study, we analysed the influence of climate change on the timing of roe deer births and the consequences for population demography and individual fitness. Our study provides a rare quantification of the demographic costs associated with the failure of a species to modify its phenology in response to a changing world. Given these fitness costs, the lack of response of roe deer birth dates to match the increasingly earlier onset of spring is in stark contrast with the marked phenotypic responses to climate change reported in many other mammals. We suggest that the lack of phenotypic plasticity in birth timing in roe deer is linked to its inability to track environmental cues of variation in resource availability for the timing of parturition.","author":[{"dropping-particle":"","family":"Plard","given":"Floriane","non-dropping-particle":"","parse-names":false,"suffix":""},{"dropping-particle":"","family":"Gaillard","given":"Jean Michel","non-dropping-particle":"","parse-names":false,"suffix":""},{"dropping-particle":"","family":"Coulson","given":"Tim","non-dropping-particle":"","parse-names":false,"suffix":""},{"dropping-particle":"","family":"Hewison","given":"A. J Mark","non-dropping-particle":"","parse-names":false,"suffix":""},{"dropping-particle":"","family":"Delorme","given":"Daniel","non-dropping-particle":"","parse-names":false,"suffix":""},{"dropping-particle":"","family":"Warnant","given":"Claude","non-dropping-particle":"","parse-names":false,"suffix":""},{"dropping-particle":"","family":"Bonenfant","given":"Christophe","non-dropping-particle":"","parse-names":false,"suffix":""}],"container-title":"PLoS Biology","id":"ITEM-1","issue":"4","issued":{"date-parts":[["2014"]]},"page":"e1001828","title":"Mismatch between birth date and vegetation phenology slows the demography of roe deer","type":"article-journal","volume":"12"},"uris":["http://www.mendeley.com/documents/?uuid=2d4be9f1-e9ff-4020-b8ea-3027768adb84"]}],"mendeley":{"formattedCitation":"&lt;sup&gt;4&lt;/sup&gt;","plainTextFormattedCitation":"4","previouslyFormattedCitation":"&lt;sup&gt;4&lt;/sup&gt;"},"properties":{"noteIndex":0},"schema":"https://github.com/citation-style-language/schema/raw/master/csl-citation.json"}</w:instrText>
            </w:r>
            <w:r w:rsidR="003B08FD" w:rsidRPr="00E0316F">
              <w:rPr>
                <w:rFonts w:ascii="Times New Roman" w:hAnsi="Times New Roman" w:cs="Times New Roman"/>
                <w:sz w:val="20"/>
                <w:szCs w:val="20"/>
              </w:rPr>
              <w:fldChar w:fldCharType="separate"/>
            </w:r>
            <w:r w:rsidR="00E07C04" w:rsidRPr="00E07C04">
              <w:rPr>
                <w:rFonts w:ascii="Times New Roman" w:hAnsi="Times New Roman" w:cs="Times New Roman"/>
                <w:b w:val="0"/>
                <w:noProof/>
                <w:sz w:val="20"/>
                <w:szCs w:val="20"/>
                <w:vertAlign w:val="superscript"/>
              </w:rPr>
              <w:t>4</w:t>
            </w:r>
            <w:r w:rsidR="003B08FD" w:rsidRPr="00E0316F">
              <w:rPr>
                <w:rFonts w:ascii="Times New Roman" w:hAnsi="Times New Roman" w:cs="Times New Roman"/>
                <w:sz w:val="20"/>
                <w:szCs w:val="20"/>
              </w:rPr>
              <w:fldChar w:fldCharType="end"/>
            </w:r>
            <w:r w:rsidR="003B08FD" w:rsidRPr="00E0316F">
              <w:rPr>
                <w:rFonts w:ascii="Times New Roman" w:hAnsi="Times New Roman" w:cs="Times New Roman"/>
                <w:b w:val="0"/>
                <w:sz w:val="20"/>
                <w:szCs w:val="20"/>
              </w:rPr>
              <w:t xml:space="preserve"> </w:t>
            </w:r>
            <w:r w:rsidRPr="00E0316F">
              <w:rPr>
                <w:rFonts w:ascii="Times New Roman" w:hAnsi="Times New Roman" w:cs="Times New Roman"/>
                <w:b w:val="0"/>
                <w:sz w:val="20"/>
                <w:szCs w:val="20"/>
              </w:rPr>
              <w:t>and the outlier study (Goodenough et al. 2011)</w:t>
            </w:r>
            <w:r w:rsidR="003B08FD" w:rsidRPr="00E0316F">
              <w:rPr>
                <w:rFonts w:ascii="Times New Roman" w:hAnsi="Times New Roman" w:cs="Times New Roman"/>
                <w:sz w:val="20"/>
                <w:szCs w:val="20"/>
              </w:rPr>
              <w:fldChar w:fldCharType="begin" w:fldLock="1"/>
            </w:r>
            <w:r w:rsidR="00E07C04">
              <w:rPr>
                <w:rFonts w:ascii="Times New Roman" w:hAnsi="Times New Roman" w:cs="Times New Roman"/>
                <w:b w:val="0"/>
                <w:sz w:val="20"/>
                <w:szCs w:val="20"/>
              </w:rPr>
              <w:instrText>ADDIN CSL_CITATION {"citationItems":[{"id":"ITEM-1","itemData":{"DOI":"10.1007/s00484-010-0312-6","ISBN":"0020-7128","ISSN":"00207128","PMID":"20405299","abstract":"Phenological studies have demonstrated changes in the timing of seasonal events across multiple taxonomic groups as the climate warms. Some northern European migrant bird populations, however, show little or no significant change in breeding phenology, resulting in synchrony with key food sources becoming mismatched. This phenological inertia has often been ascribed to migration constraints (i.e. arrival date at breeding grounds preventing earlier laying). This has been based primarily on research in The Netherlands and Germany where time between arrival and breeding is short (often as few as 9 days). Here, we test the arrival constraint hypothesis over a 15-year period for a U.K. pied flycatcher (Ficedula hypoleuca) population where laying date is not constrained by arrival as the period between arrival and breeding is substantial and consistent (average 27 ± 4.57 days SD). Despite increasing spring temperatures and quantifiably stronger selection for early laying on the basis of number of offspring to fledge, we found no significant change in breeding phenology, in contrast with co-occurring resident blue tits (Cyanistes caeruleus). We discuss possible non-migratory constraints on phenological adjustment, including limitations on plasticity, genetic constraints and competition, as well as the possibility of counter-selection pressures relating to adult survival, longevity or future reproductive success. We propose that such factors need to be considered in conjunction with the arrival constraint hypothesis.","author":[{"dropping-particle":"","family":"Goodenough","given":"Anne E.","non-dropping-particle":"","parse-names":false,"suffix":""},{"dropping-particle":"","family":"Hart","given":"Adam G.","non-dropping-particle":"","parse-names":false,"suffix":""},{"dropping-particle":"","family":"Elliot","given":"Simon L.","non-dropping-particle":"","parse-names":false,"suffix":""}],"container-title":"International Journal of Biometeorology","id":"ITEM-1","issue":"1","issued":{"date-parts":[["2011"]]},"page":"97-102","title":"What prevents phenological adjustment to climate change in migrant bird species? Evidence against the \"arrival constraint\" hypothesis","type":"article-journal","volume":"55"},"uris":["http://www.mendeley.com/documents/?uuid=1b128748-219e-446f-b26e-a5f91f03ebf6"]}],"mendeley":{"formattedCitation":"&lt;sup&gt;3&lt;/sup&gt;","plainTextFormattedCitation":"3","previouslyFormattedCitation":"&lt;sup&gt;3&lt;/sup&gt;"},"properties":{"noteIndex":0},"schema":"https://github.com/citation-style-language/schema/raw/master/csl-citation.json"}</w:instrText>
            </w:r>
            <w:r w:rsidR="003B08FD" w:rsidRPr="00E0316F">
              <w:rPr>
                <w:rFonts w:ascii="Times New Roman" w:hAnsi="Times New Roman" w:cs="Times New Roman"/>
                <w:sz w:val="20"/>
                <w:szCs w:val="20"/>
              </w:rPr>
              <w:fldChar w:fldCharType="separate"/>
            </w:r>
            <w:r w:rsidR="00E07C04" w:rsidRPr="00E07C04">
              <w:rPr>
                <w:rFonts w:ascii="Times New Roman" w:hAnsi="Times New Roman" w:cs="Times New Roman"/>
                <w:b w:val="0"/>
                <w:noProof/>
                <w:sz w:val="20"/>
                <w:szCs w:val="20"/>
                <w:vertAlign w:val="superscript"/>
              </w:rPr>
              <w:t>3</w:t>
            </w:r>
            <w:r w:rsidR="003B08FD" w:rsidRPr="00E0316F">
              <w:rPr>
                <w:rFonts w:ascii="Times New Roman" w:hAnsi="Times New Roman" w:cs="Times New Roman"/>
                <w:sz w:val="20"/>
                <w:szCs w:val="20"/>
              </w:rPr>
              <w:fldChar w:fldCharType="end"/>
            </w:r>
          </w:p>
        </w:tc>
        <w:tc>
          <w:tcPr>
            <w:tcW w:w="3483" w:type="dxa"/>
            <w:tcBorders>
              <w:top w:val="single" w:sz="6" w:space="0" w:color="auto"/>
              <w:bottom w:val="nil"/>
            </w:tcBorders>
            <w:shd w:val="clear" w:color="auto" w:fill="auto"/>
            <w:noWrap/>
            <w:hideMark/>
          </w:tcPr>
          <w:p w14:paraId="109BAB47"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Slope of phenological traits on temperature</w:t>
            </w:r>
          </w:p>
        </w:tc>
        <w:tc>
          <w:tcPr>
            <w:tcW w:w="1900" w:type="dxa"/>
            <w:tcBorders>
              <w:top w:val="single" w:sz="6" w:space="0" w:color="auto"/>
              <w:bottom w:val="nil"/>
            </w:tcBorders>
            <w:shd w:val="clear" w:color="auto" w:fill="auto"/>
            <w:noWrap/>
            <w:hideMark/>
          </w:tcPr>
          <w:p w14:paraId="3F067D2A"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Intercept</w:t>
            </w:r>
          </w:p>
        </w:tc>
        <w:tc>
          <w:tcPr>
            <w:tcW w:w="960" w:type="dxa"/>
            <w:tcBorders>
              <w:top w:val="single" w:sz="6" w:space="0" w:color="auto"/>
              <w:bottom w:val="nil"/>
            </w:tcBorders>
            <w:shd w:val="clear" w:color="auto" w:fill="auto"/>
            <w:noWrap/>
            <w:hideMark/>
          </w:tcPr>
          <w:p w14:paraId="76FC7AD6"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10.79</w:t>
            </w:r>
          </w:p>
        </w:tc>
        <w:tc>
          <w:tcPr>
            <w:tcW w:w="960" w:type="dxa"/>
            <w:tcBorders>
              <w:top w:val="single" w:sz="6" w:space="0" w:color="auto"/>
              <w:bottom w:val="nil"/>
            </w:tcBorders>
            <w:shd w:val="clear" w:color="auto" w:fill="auto"/>
            <w:noWrap/>
            <w:hideMark/>
          </w:tcPr>
          <w:p w14:paraId="4F0167FD"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1</w:t>
            </w:r>
          </w:p>
        </w:tc>
        <w:tc>
          <w:tcPr>
            <w:tcW w:w="1202" w:type="dxa"/>
            <w:tcBorders>
              <w:top w:val="single" w:sz="6" w:space="0" w:color="auto"/>
              <w:bottom w:val="nil"/>
            </w:tcBorders>
            <w:shd w:val="clear" w:color="auto" w:fill="auto"/>
            <w:noWrap/>
            <w:hideMark/>
          </w:tcPr>
          <w:p w14:paraId="03FF45AE"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0.0010</w:t>
            </w:r>
          </w:p>
        </w:tc>
        <w:tc>
          <w:tcPr>
            <w:tcW w:w="1560" w:type="dxa"/>
            <w:tcBorders>
              <w:top w:val="single" w:sz="6" w:space="0" w:color="auto"/>
              <w:bottom w:val="nil"/>
            </w:tcBorders>
            <w:shd w:val="clear" w:color="auto" w:fill="auto"/>
            <w:noWrap/>
            <w:hideMark/>
          </w:tcPr>
          <w:p w14:paraId="7320E5D8"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4.38E-02</w:t>
            </w:r>
          </w:p>
        </w:tc>
        <w:tc>
          <w:tcPr>
            <w:tcW w:w="1778" w:type="dxa"/>
            <w:tcBorders>
              <w:top w:val="single" w:sz="6" w:space="0" w:color="auto"/>
              <w:bottom w:val="nil"/>
            </w:tcBorders>
            <w:shd w:val="clear" w:color="auto" w:fill="auto"/>
            <w:noWrap/>
            <w:hideMark/>
          </w:tcPr>
          <w:p w14:paraId="501E942B"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3.97E-02</w:t>
            </w:r>
          </w:p>
        </w:tc>
      </w:tr>
      <w:tr w:rsidR="00D97AFB" w:rsidRPr="00E0316F" w14:paraId="5191253A" w14:textId="77777777" w:rsidTr="00420FC3">
        <w:trPr>
          <w:trHeight w:val="300"/>
        </w:trPr>
        <w:tc>
          <w:tcPr>
            <w:cnfStyle w:val="001000000000" w:firstRow="0" w:lastRow="0" w:firstColumn="1" w:lastColumn="0" w:oddVBand="0" w:evenVBand="0" w:oddHBand="0" w:evenHBand="0" w:firstRowFirstColumn="0" w:firstRowLastColumn="0" w:lastRowFirstColumn="0" w:lastRowLastColumn="0"/>
            <w:tcW w:w="2660" w:type="dxa"/>
            <w:vMerge/>
            <w:tcBorders>
              <w:top w:val="nil"/>
              <w:bottom w:val="nil"/>
            </w:tcBorders>
            <w:shd w:val="clear" w:color="auto" w:fill="auto"/>
            <w:hideMark/>
          </w:tcPr>
          <w:p w14:paraId="33BD083B" w14:textId="77777777" w:rsidR="00D97AFB" w:rsidRPr="00E0316F" w:rsidRDefault="00D97AFB" w:rsidP="00D97AFB">
            <w:pPr>
              <w:spacing w:line="360" w:lineRule="auto"/>
              <w:rPr>
                <w:rFonts w:ascii="Times New Roman" w:hAnsi="Times New Roman" w:cs="Times New Roman"/>
                <w:b w:val="0"/>
                <w:sz w:val="20"/>
                <w:szCs w:val="20"/>
              </w:rPr>
            </w:pPr>
          </w:p>
        </w:tc>
        <w:tc>
          <w:tcPr>
            <w:tcW w:w="3483" w:type="dxa"/>
            <w:vMerge w:val="restart"/>
            <w:tcBorders>
              <w:top w:val="nil"/>
              <w:bottom w:val="nil"/>
            </w:tcBorders>
            <w:shd w:val="clear" w:color="auto" w:fill="auto"/>
            <w:hideMark/>
          </w:tcPr>
          <w:p w14:paraId="75F1A003"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Mean selection across phenological traits separately (presumably induced by temperature)</w:t>
            </w:r>
          </w:p>
        </w:tc>
        <w:tc>
          <w:tcPr>
            <w:tcW w:w="1900" w:type="dxa"/>
            <w:tcBorders>
              <w:top w:val="nil"/>
              <w:bottom w:val="nil"/>
            </w:tcBorders>
            <w:shd w:val="clear" w:color="auto" w:fill="auto"/>
            <w:noWrap/>
            <w:hideMark/>
          </w:tcPr>
          <w:p w14:paraId="51949876"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Intercept</w:t>
            </w:r>
          </w:p>
        </w:tc>
        <w:tc>
          <w:tcPr>
            <w:tcW w:w="960" w:type="dxa"/>
            <w:tcBorders>
              <w:top w:val="nil"/>
              <w:bottom w:val="nil"/>
            </w:tcBorders>
            <w:shd w:val="clear" w:color="auto" w:fill="auto"/>
            <w:noWrap/>
            <w:hideMark/>
          </w:tcPr>
          <w:p w14:paraId="4CA9CCFE"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13.00</w:t>
            </w:r>
          </w:p>
        </w:tc>
        <w:tc>
          <w:tcPr>
            <w:tcW w:w="960" w:type="dxa"/>
            <w:tcBorders>
              <w:top w:val="nil"/>
              <w:bottom w:val="nil"/>
            </w:tcBorders>
            <w:shd w:val="clear" w:color="auto" w:fill="auto"/>
            <w:noWrap/>
            <w:hideMark/>
          </w:tcPr>
          <w:p w14:paraId="292A1C38"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1</w:t>
            </w:r>
          </w:p>
        </w:tc>
        <w:tc>
          <w:tcPr>
            <w:tcW w:w="1202" w:type="dxa"/>
            <w:tcBorders>
              <w:top w:val="nil"/>
              <w:bottom w:val="nil"/>
            </w:tcBorders>
            <w:shd w:val="clear" w:color="auto" w:fill="auto"/>
            <w:noWrap/>
            <w:hideMark/>
          </w:tcPr>
          <w:p w14:paraId="4F89520E"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0.0003</w:t>
            </w:r>
          </w:p>
        </w:tc>
        <w:tc>
          <w:tcPr>
            <w:tcW w:w="1560" w:type="dxa"/>
            <w:tcBorders>
              <w:top w:val="nil"/>
              <w:bottom w:val="nil"/>
            </w:tcBorders>
            <w:shd w:val="clear" w:color="auto" w:fill="auto"/>
            <w:noWrap/>
            <w:hideMark/>
          </w:tcPr>
          <w:p w14:paraId="621DC863"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9.92E-03</w:t>
            </w:r>
          </w:p>
        </w:tc>
        <w:tc>
          <w:tcPr>
            <w:tcW w:w="1778" w:type="dxa"/>
            <w:tcBorders>
              <w:top w:val="nil"/>
              <w:bottom w:val="nil"/>
            </w:tcBorders>
            <w:shd w:val="clear" w:color="auto" w:fill="auto"/>
            <w:noWrap/>
            <w:hideMark/>
          </w:tcPr>
          <w:p w14:paraId="2B9D6DFC"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2.34E-03</w:t>
            </w:r>
          </w:p>
        </w:tc>
      </w:tr>
      <w:tr w:rsidR="00D97AFB" w:rsidRPr="00E0316F" w14:paraId="1A9A050E" w14:textId="77777777" w:rsidTr="00420FC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60" w:type="dxa"/>
            <w:vMerge/>
            <w:tcBorders>
              <w:top w:val="nil"/>
              <w:bottom w:val="nil"/>
            </w:tcBorders>
            <w:shd w:val="clear" w:color="auto" w:fill="auto"/>
            <w:hideMark/>
          </w:tcPr>
          <w:p w14:paraId="484E0341" w14:textId="77777777" w:rsidR="00D97AFB" w:rsidRPr="00E0316F" w:rsidRDefault="00D97AFB" w:rsidP="00D97AFB">
            <w:pPr>
              <w:spacing w:line="360" w:lineRule="auto"/>
              <w:rPr>
                <w:rFonts w:ascii="Times New Roman" w:hAnsi="Times New Roman" w:cs="Times New Roman"/>
                <w:b w:val="0"/>
                <w:sz w:val="20"/>
                <w:szCs w:val="20"/>
              </w:rPr>
            </w:pPr>
          </w:p>
        </w:tc>
        <w:tc>
          <w:tcPr>
            <w:tcW w:w="3483" w:type="dxa"/>
            <w:vMerge/>
            <w:tcBorders>
              <w:top w:val="nil"/>
              <w:bottom w:val="nil"/>
            </w:tcBorders>
            <w:shd w:val="clear" w:color="auto" w:fill="auto"/>
            <w:hideMark/>
          </w:tcPr>
          <w:p w14:paraId="73DF9EA4"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900" w:type="dxa"/>
            <w:tcBorders>
              <w:top w:val="nil"/>
              <w:bottom w:val="nil"/>
            </w:tcBorders>
            <w:shd w:val="clear" w:color="auto" w:fill="auto"/>
            <w:noWrap/>
            <w:hideMark/>
          </w:tcPr>
          <w:p w14:paraId="64D5E519"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Fitness component</w:t>
            </w:r>
          </w:p>
        </w:tc>
        <w:tc>
          <w:tcPr>
            <w:tcW w:w="960" w:type="dxa"/>
            <w:tcBorders>
              <w:top w:val="nil"/>
              <w:bottom w:val="nil"/>
            </w:tcBorders>
            <w:shd w:val="clear" w:color="auto" w:fill="auto"/>
            <w:noWrap/>
            <w:hideMark/>
          </w:tcPr>
          <w:p w14:paraId="7CC2E318"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12.41</w:t>
            </w:r>
          </w:p>
        </w:tc>
        <w:tc>
          <w:tcPr>
            <w:tcW w:w="960" w:type="dxa"/>
            <w:tcBorders>
              <w:top w:val="nil"/>
              <w:bottom w:val="nil"/>
            </w:tcBorders>
            <w:shd w:val="clear" w:color="auto" w:fill="auto"/>
            <w:noWrap/>
            <w:hideMark/>
          </w:tcPr>
          <w:p w14:paraId="5B8F08F4"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2</w:t>
            </w:r>
          </w:p>
        </w:tc>
        <w:tc>
          <w:tcPr>
            <w:tcW w:w="1202" w:type="dxa"/>
            <w:tcBorders>
              <w:top w:val="nil"/>
              <w:bottom w:val="nil"/>
            </w:tcBorders>
            <w:shd w:val="clear" w:color="auto" w:fill="auto"/>
            <w:noWrap/>
            <w:hideMark/>
          </w:tcPr>
          <w:p w14:paraId="19574E70"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316F">
              <w:rPr>
                <w:rFonts w:ascii="Times New Roman" w:hAnsi="Times New Roman" w:cs="Times New Roman"/>
                <w:b/>
                <w:sz w:val="20"/>
                <w:szCs w:val="20"/>
              </w:rPr>
              <w:t>0.0020</w:t>
            </w:r>
          </w:p>
        </w:tc>
        <w:tc>
          <w:tcPr>
            <w:tcW w:w="1560" w:type="dxa"/>
            <w:tcBorders>
              <w:top w:val="nil"/>
              <w:bottom w:val="nil"/>
            </w:tcBorders>
            <w:shd w:val="clear" w:color="auto" w:fill="auto"/>
            <w:noWrap/>
            <w:hideMark/>
          </w:tcPr>
          <w:p w14:paraId="4568D157"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5.48E-03</w:t>
            </w:r>
          </w:p>
        </w:tc>
        <w:tc>
          <w:tcPr>
            <w:tcW w:w="1778" w:type="dxa"/>
            <w:tcBorders>
              <w:top w:val="nil"/>
              <w:bottom w:val="nil"/>
            </w:tcBorders>
            <w:shd w:val="clear" w:color="auto" w:fill="auto"/>
            <w:noWrap/>
            <w:hideMark/>
          </w:tcPr>
          <w:p w14:paraId="6133C85A" w14:textId="77777777" w:rsidR="00D97AFB" w:rsidRPr="00E0316F" w:rsidRDefault="00D97AFB" w:rsidP="00D97AF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2.95E-03</w:t>
            </w:r>
          </w:p>
        </w:tc>
      </w:tr>
      <w:tr w:rsidR="00D97AFB" w:rsidRPr="00E0316F" w14:paraId="6260474C" w14:textId="77777777" w:rsidTr="00420FC3">
        <w:trPr>
          <w:trHeight w:val="315"/>
        </w:trPr>
        <w:tc>
          <w:tcPr>
            <w:cnfStyle w:val="001000000000" w:firstRow="0" w:lastRow="0" w:firstColumn="1" w:lastColumn="0" w:oddVBand="0" w:evenVBand="0" w:oddHBand="0" w:evenHBand="0" w:firstRowFirstColumn="0" w:firstRowLastColumn="0" w:lastRowFirstColumn="0" w:lastRowLastColumn="0"/>
            <w:tcW w:w="2660" w:type="dxa"/>
            <w:vMerge/>
            <w:tcBorders>
              <w:top w:val="nil"/>
              <w:bottom w:val="single" w:sz="12" w:space="0" w:color="auto"/>
            </w:tcBorders>
            <w:shd w:val="clear" w:color="auto" w:fill="auto"/>
            <w:hideMark/>
          </w:tcPr>
          <w:p w14:paraId="21C0B431" w14:textId="77777777" w:rsidR="00D97AFB" w:rsidRPr="00E0316F" w:rsidRDefault="00D97AFB" w:rsidP="00D97AFB">
            <w:pPr>
              <w:spacing w:line="360" w:lineRule="auto"/>
              <w:rPr>
                <w:rFonts w:ascii="Times New Roman" w:hAnsi="Times New Roman" w:cs="Times New Roman"/>
                <w:b w:val="0"/>
                <w:sz w:val="20"/>
                <w:szCs w:val="20"/>
              </w:rPr>
            </w:pPr>
          </w:p>
        </w:tc>
        <w:tc>
          <w:tcPr>
            <w:tcW w:w="3483" w:type="dxa"/>
            <w:vMerge/>
            <w:tcBorders>
              <w:top w:val="nil"/>
              <w:bottom w:val="single" w:sz="12" w:space="0" w:color="auto"/>
            </w:tcBorders>
            <w:shd w:val="clear" w:color="auto" w:fill="auto"/>
            <w:hideMark/>
          </w:tcPr>
          <w:p w14:paraId="78CD87ED"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900" w:type="dxa"/>
            <w:tcBorders>
              <w:top w:val="nil"/>
              <w:bottom w:val="single" w:sz="12" w:space="0" w:color="auto"/>
            </w:tcBorders>
            <w:shd w:val="clear" w:color="auto" w:fill="auto"/>
            <w:noWrap/>
            <w:hideMark/>
          </w:tcPr>
          <w:p w14:paraId="7FE47DEA"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Generation length</w:t>
            </w:r>
          </w:p>
        </w:tc>
        <w:tc>
          <w:tcPr>
            <w:tcW w:w="960" w:type="dxa"/>
            <w:tcBorders>
              <w:top w:val="nil"/>
              <w:bottom w:val="single" w:sz="12" w:space="0" w:color="auto"/>
            </w:tcBorders>
            <w:shd w:val="clear" w:color="auto" w:fill="auto"/>
            <w:noWrap/>
            <w:hideMark/>
          </w:tcPr>
          <w:p w14:paraId="7BBF6CB8"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0.34</w:t>
            </w:r>
          </w:p>
        </w:tc>
        <w:tc>
          <w:tcPr>
            <w:tcW w:w="960" w:type="dxa"/>
            <w:tcBorders>
              <w:top w:val="nil"/>
              <w:bottom w:val="single" w:sz="12" w:space="0" w:color="auto"/>
            </w:tcBorders>
            <w:shd w:val="clear" w:color="auto" w:fill="auto"/>
            <w:noWrap/>
            <w:hideMark/>
          </w:tcPr>
          <w:p w14:paraId="79BAD2A4"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1</w:t>
            </w:r>
          </w:p>
        </w:tc>
        <w:tc>
          <w:tcPr>
            <w:tcW w:w="1202" w:type="dxa"/>
            <w:tcBorders>
              <w:top w:val="nil"/>
              <w:bottom w:val="single" w:sz="12" w:space="0" w:color="auto"/>
            </w:tcBorders>
            <w:shd w:val="clear" w:color="auto" w:fill="auto"/>
            <w:noWrap/>
            <w:hideMark/>
          </w:tcPr>
          <w:p w14:paraId="0F2FCAE7"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0.5602</w:t>
            </w:r>
          </w:p>
        </w:tc>
        <w:tc>
          <w:tcPr>
            <w:tcW w:w="1560" w:type="dxa"/>
            <w:tcBorders>
              <w:top w:val="nil"/>
              <w:bottom w:val="single" w:sz="12" w:space="0" w:color="auto"/>
            </w:tcBorders>
            <w:shd w:val="clear" w:color="auto" w:fill="auto"/>
            <w:noWrap/>
            <w:hideMark/>
          </w:tcPr>
          <w:p w14:paraId="3787B3FE"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9.16E-03</w:t>
            </w:r>
          </w:p>
        </w:tc>
        <w:tc>
          <w:tcPr>
            <w:tcW w:w="1778" w:type="dxa"/>
            <w:tcBorders>
              <w:top w:val="nil"/>
              <w:bottom w:val="single" w:sz="12" w:space="0" w:color="auto"/>
            </w:tcBorders>
            <w:shd w:val="clear" w:color="auto" w:fill="auto"/>
            <w:noWrap/>
            <w:hideMark/>
          </w:tcPr>
          <w:p w14:paraId="6C10FA54" w14:textId="77777777" w:rsidR="00D97AFB" w:rsidRPr="00E0316F" w:rsidRDefault="00D97AFB" w:rsidP="00D97AF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316F">
              <w:rPr>
                <w:rFonts w:ascii="Times New Roman" w:hAnsi="Times New Roman" w:cs="Times New Roman"/>
                <w:sz w:val="20"/>
                <w:szCs w:val="20"/>
              </w:rPr>
              <w:t>7.40E-03</w:t>
            </w:r>
          </w:p>
        </w:tc>
      </w:tr>
    </w:tbl>
    <w:p w14:paraId="34643D63" w14:textId="57D84827" w:rsidR="00E31C65" w:rsidRDefault="00E0316F" w:rsidP="00E31C65">
      <w:pPr>
        <w:spacing w:line="360" w:lineRule="auto"/>
        <w:rPr>
          <w:rFonts w:ascii="Times New Roman" w:hAnsi="Times New Roman" w:cs="Times New Roman"/>
        </w:rPr>
      </w:pPr>
      <w:r>
        <w:rPr>
          <w:rFonts w:ascii="Times New Roman" w:hAnsi="Times New Roman" w:cs="Times New Roman"/>
        </w:rPr>
        <w:lastRenderedPageBreak/>
        <w:t>Supplem</w:t>
      </w:r>
      <w:r w:rsidR="00CF3DF0">
        <w:rPr>
          <w:rFonts w:ascii="Times New Roman" w:hAnsi="Times New Roman" w:cs="Times New Roman"/>
        </w:rPr>
        <w:t xml:space="preserve">entary Table </w:t>
      </w:r>
      <w:r w:rsidR="0087247A">
        <w:rPr>
          <w:rFonts w:ascii="Times New Roman" w:hAnsi="Times New Roman" w:cs="Times New Roman"/>
        </w:rPr>
        <w:t>4</w:t>
      </w:r>
      <w:r w:rsidR="00CF3DF0">
        <w:rPr>
          <w:rFonts w:ascii="Times New Roman" w:hAnsi="Times New Roman" w:cs="Times New Roman"/>
        </w:rPr>
        <w:t>.</w:t>
      </w:r>
      <w:r w:rsidR="00E31C65">
        <w:rPr>
          <w:rFonts w:ascii="Times New Roman" w:hAnsi="Times New Roman" w:cs="Times New Roman"/>
        </w:rPr>
        <w:t xml:space="preserve"> </w:t>
      </w:r>
      <w:r w:rsidR="009C7000">
        <w:rPr>
          <w:rFonts w:ascii="Times New Roman" w:hAnsi="Times New Roman" w:cs="Times New Roman"/>
        </w:rPr>
        <w:t>Baseline</w:t>
      </w:r>
      <w:r w:rsidR="00E31C65">
        <w:rPr>
          <w:rFonts w:ascii="Times New Roman" w:hAnsi="Times New Roman" w:cs="Times New Roman"/>
        </w:rPr>
        <w:t xml:space="preserve"> parameter values (used if not specified</w:t>
      </w:r>
      <w:r w:rsidR="00E31C65" w:rsidRPr="00BB347C">
        <w:rPr>
          <w:rFonts w:ascii="Times New Roman" w:hAnsi="Times New Roman" w:cs="Times New Roman"/>
        </w:rPr>
        <w:t xml:space="preserve"> </w:t>
      </w:r>
      <w:r w:rsidR="00E31C65">
        <w:rPr>
          <w:rFonts w:ascii="Times New Roman" w:hAnsi="Times New Roman" w:cs="Times New Roman"/>
        </w:rPr>
        <w:t>otherwise) and parameter ranges used to assess the sensitivity of the difference between actual and critical lags. The sources for the parameter values are also given.</w:t>
      </w:r>
    </w:p>
    <w:tbl>
      <w:tblPr>
        <w:tblStyle w:val="LightShading"/>
        <w:tblW w:w="0" w:type="auto"/>
        <w:tblLook w:val="04A0" w:firstRow="1" w:lastRow="0" w:firstColumn="1" w:lastColumn="0" w:noHBand="0" w:noVBand="1"/>
      </w:tblPr>
      <w:tblGrid>
        <w:gridCol w:w="3606"/>
        <w:gridCol w:w="2739"/>
        <w:gridCol w:w="2977"/>
        <w:gridCol w:w="5105"/>
      </w:tblGrid>
      <w:tr w:rsidR="00E31C65" w:rsidRPr="00DD63CB" w14:paraId="6EA874F0" w14:textId="77777777" w:rsidTr="00420F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6" w:type="dxa"/>
            <w:tcBorders>
              <w:top w:val="single" w:sz="12" w:space="0" w:color="auto"/>
              <w:bottom w:val="single" w:sz="12" w:space="0" w:color="auto"/>
            </w:tcBorders>
            <w:shd w:val="clear" w:color="auto" w:fill="auto"/>
          </w:tcPr>
          <w:p w14:paraId="0493C554" w14:textId="77777777" w:rsidR="00E31C65" w:rsidRPr="00DD63CB" w:rsidRDefault="00E31C65" w:rsidP="00911B0A">
            <w:pPr>
              <w:spacing w:line="276" w:lineRule="auto"/>
              <w:rPr>
                <w:rFonts w:ascii="Times New Roman" w:hAnsi="Times New Roman" w:cs="Times New Roman"/>
              </w:rPr>
            </w:pPr>
            <w:r w:rsidRPr="00DD63CB">
              <w:rPr>
                <w:rFonts w:ascii="Times New Roman" w:hAnsi="Times New Roman" w:cs="Times New Roman"/>
              </w:rPr>
              <w:t>Parameter</w:t>
            </w:r>
          </w:p>
        </w:tc>
        <w:tc>
          <w:tcPr>
            <w:tcW w:w="2739" w:type="dxa"/>
            <w:tcBorders>
              <w:top w:val="single" w:sz="12" w:space="0" w:color="auto"/>
              <w:bottom w:val="single" w:sz="12" w:space="0" w:color="auto"/>
            </w:tcBorders>
            <w:shd w:val="clear" w:color="auto" w:fill="auto"/>
          </w:tcPr>
          <w:p w14:paraId="3405CA22" w14:textId="540A8F25" w:rsidR="00E31C65" w:rsidRPr="00DD63CB" w:rsidRDefault="009C7000" w:rsidP="00911B0A">
            <w:pPr>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Baseline</w:t>
            </w:r>
            <w:r w:rsidR="00E31C65" w:rsidRPr="00DD63CB">
              <w:rPr>
                <w:rFonts w:ascii="Times New Roman" w:hAnsi="Times New Roman" w:cs="Times New Roman"/>
              </w:rPr>
              <w:t xml:space="preserve"> value</w:t>
            </w:r>
          </w:p>
        </w:tc>
        <w:tc>
          <w:tcPr>
            <w:tcW w:w="2977" w:type="dxa"/>
            <w:tcBorders>
              <w:top w:val="single" w:sz="12" w:space="0" w:color="auto"/>
              <w:bottom w:val="single" w:sz="12" w:space="0" w:color="auto"/>
            </w:tcBorders>
            <w:shd w:val="clear" w:color="auto" w:fill="auto"/>
          </w:tcPr>
          <w:p w14:paraId="5D28510B" w14:textId="77777777" w:rsidR="00E31C65" w:rsidRPr="00DD63CB" w:rsidRDefault="00E31C65" w:rsidP="00911B0A">
            <w:pPr>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Range</w:t>
            </w:r>
          </w:p>
        </w:tc>
        <w:tc>
          <w:tcPr>
            <w:tcW w:w="5105" w:type="dxa"/>
            <w:tcBorders>
              <w:top w:val="single" w:sz="12" w:space="0" w:color="auto"/>
              <w:bottom w:val="single" w:sz="12" w:space="0" w:color="auto"/>
            </w:tcBorders>
            <w:shd w:val="clear" w:color="auto" w:fill="auto"/>
          </w:tcPr>
          <w:p w14:paraId="6EB9F2E7" w14:textId="77777777" w:rsidR="00E31C65" w:rsidRPr="00DD63CB" w:rsidRDefault="00E31C65" w:rsidP="00911B0A">
            <w:pPr>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Data source</w:t>
            </w:r>
          </w:p>
        </w:tc>
      </w:tr>
      <w:tr w:rsidR="00E31C65" w:rsidRPr="00DD63CB" w14:paraId="1B14FD4E" w14:textId="77777777" w:rsidTr="00420F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6" w:type="dxa"/>
            <w:tcBorders>
              <w:top w:val="single" w:sz="12" w:space="0" w:color="auto"/>
            </w:tcBorders>
            <w:shd w:val="clear" w:color="auto" w:fill="auto"/>
          </w:tcPr>
          <w:p w14:paraId="4F9B001E" w14:textId="77777777" w:rsidR="00E31C65" w:rsidRPr="00DD63CB" w:rsidRDefault="00E31C65" w:rsidP="00911B0A">
            <w:pPr>
              <w:spacing w:line="276" w:lineRule="auto"/>
              <w:rPr>
                <w:rFonts w:ascii="Times New Roman" w:hAnsi="Times New Roman" w:cs="Times New Roman"/>
                <w:b w:val="0"/>
              </w:rPr>
            </w:pPr>
            <w:r w:rsidRPr="00DD63CB">
              <w:rPr>
                <w:rFonts w:ascii="Times New Roman" w:hAnsi="Times New Roman" w:cs="Times New Roman"/>
                <w:b w:val="0"/>
              </w:rPr>
              <w:t xml:space="preserve">Heritability, </w:t>
            </w:r>
            <w:r w:rsidRPr="00DD63CB">
              <w:rPr>
                <w:rFonts w:ascii="Times New Roman" w:hAnsi="Times New Roman" w:cs="Times New Roman"/>
                <w:b w:val="0"/>
                <w:i/>
              </w:rPr>
              <w:t>h</w:t>
            </w:r>
            <w:r w:rsidRPr="000B5DB3">
              <w:rPr>
                <w:rFonts w:ascii="Times New Roman" w:hAnsi="Times New Roman" w:cs="Times New Roman"/>
                <w:b w:val="0"/>
                <w:vertAlign w:val="superscript"/>
              </w:rPr>
              <w:t>2</w:t>
            </w:r>
          </w:p>
        </w:tc>
        <w:tc>
          <w:tcPr>
            <w:tcW w:w="2739" w:type="dxa"/>
            <w:tcBorders>
              <w:top w:val="single" w:sz="12" w:space="0" w:color="auto"/>
            </w:tcBorders>
            <w:shd w:val="clear" w:color="auto" w:fill="auto"/>
          </w:tcPr>
          <w:p w14:paraId="08604C27" w14:textId="77777777" w:rsidR="00E31C65" w:rsidRPr="00DD63CB" w:rsidRDefault="00E31C65" w:rsidP="00911B0A">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0.15</w:t>
            </w:r>
          </w:p>
        </w:tc>
        <w:tc>
          <w:tcPr>
            <w:tcW w:w="2977" w:type="dxa"/>
            <w:tcBorders>
              <w:top w:val="single" w:sz="12" w:space="0" w:color="auto"/>
            </w:tcBorders>
            <w:shd w:val="clear" w:color="auto" w:fill="auto"/>
          </w:tcPr>
          <w:p w14:paraId="7156320E" w14:textId="77777777" w:rsidR="00E31C65" w:rsidRPr="00DD63CB" w:rsidRDefault="00E31C65" w:rsidP="00911B0A">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0.04 – 0.33</w:t>
            </w:r>
          </w:p>
        </w:tc>
        <w:tc>
          <w:tcPr>
            <w:tcW w:w="5105" w:type="dxa"/>
            <w:tcBorders>
              <w:top w:val="single" w:sz="12" w:space="0" w:color="auto"/>
            </w:tcBorders>
            <w:shd w:val="clear" w:color="auto" w:fill="auto"/>
          </w:tcPr>
          <w:p w14:paraId="12CB44A4" w14:textId="77777777" w:rsidR="00E31C65" w:rsidRPr="00DD63CB" w:rsidRDefault="00E31C65" w:rsidP="00911B0A">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PRCS dataset</w:t>
            </w:r>
          </w:p>
        </w:tc>
      </w:tr>
      <w:tr w:rsidR="00E31C65" w:rsidRPr="00DD63CB" w14:paraId="05A6802A" w14:textId="77777777" w:rsidTr="00911B0A">
        <w:tc>
          <w:tcPr>
            <w:cnfStyle w:val="001000000000" w:firstRow="0" w:lastRow="0" w:firstColumn="1" w:lastColumn="0" w:oddVBand="0" w:evenVBand="0" w:oddHBand="0" w:evenHBand="0" w:firstRowFirstColumn="0" w:firstRowLastColumn="0" w:lastRowFirstColumn="0" w:lastRowLastColumn="0"/>
            <w:tcW w:w="3606" w:type="dxa"/>
            <w:shd w:val="clear" w:color="auto" w:fill="auto"/>
          </w:tcPr>
          <w:p w14:paraId="0F4655E2" w14:textId="5E4CC41E" w:rsidR="00E31C65" w:rsidRPr="00B536FA" w:rsidRDefault="00E31C65" w:rsidP="00911B0A">
            <w:pPr>
              <w:spacing w:line="276" w:lineRule="auto"/>
              <w:rPr>
                <w:rFonts w:ascii="Times New Roman" w:hAnsi="Times New Roman" w:cs="Times New Roman"/>
                <w:b w:val="0"/>
              </w:rPr>
            </w:pPr>
            <w:r w:rsidRPr="00B536FA">
              <w:rPr>
                <w:rFonts w:ascii="Times New Roman" w:hAnsi="Times New Roman" w:cs="Times New Roman"/>
                <w:b w:val="0"/>
              </w:rPr>
              <w:t xml:space="preserve">The width of the fitness function, </w:t>
            </w:r>
            <m:oMath>
              <m:sSup>
                <m:sSupPr>
                  <m:ctrlPr>
                    <w:rPr>
                      <w:rFonts w:ascii="Cambria Math" w:hAnsi="Cambria Math" w:cs="Times New Roman"/>
                      <w:b w:val="0"/>
                      <w:i/>
                    </w:rPr>
                  </m:ctrlPr>
                </m:sSupPr>
                <m:e>
                  <m:r>
                    <m:rPr>
                      <m:sty m:val="bi"/>
                    </m:rPr>
                    <w:rPr>
                      <w:rFonts w:ascii="Cambria Math" w:hAnsi="Cambria Math" w:cs="Times New Roman"/>
                    </w:rPr>
                    <m:t>ω</m:t>
                  </m:r>
                </m:e>
                <m:sup>
                  <m:r>
                    <m:rPr>
                      <m:sty m:val="b"/>
                    </m:rPr>
                    <w:rPr>
                      <w:rFonts w:ascii="Cambria Math" w:hAnsi="Cambria Math" w:cs="Times New Roman"/>
                    </w:rPr>
                    <m:t>2</m:t>
                  </m:r>
                </m:sup>
              </m:sSup>
            </m:oMath>
          </w:p>
        </w:tc>
        <w:tc>
          <w:tcPr>
            <w:tcW w:w="2739" w:type="dxa"/>
            <w:shd w:val="clear" w:color="auto" w:fill="auto"/>
          </w:tcPr>
          <w:p w14:paraId="18596997" w14:textId="77777777" w:rsidR="00E31C65" w:rsidRPr="00DD63CB" w:rsidRDefault="00E31C65" w:rsidP="00911B0A">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10</w:t>
            </w:r>
          </w:p>
        </w:tc>
        <w:tc>
          <w:tcPr>
            <w:tcW w:w="2977" w:type="dxa"/>
            <w:shd w:val="clear" w:color="auto" w:fill="auto"/>
          </w:tcPr>
          <w:p w14:paraId="393478F5" w14:textId="77777777" w:rsidR="00E31C65" w:rsidRPr="00DD63CB" w:rsidRDefault="00E31C65" w:rsidP="00911B0A">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3 – 50</w:t>
            </w:r>
          </w:p>
        </w:tc>
        <w:tc>
          <w:tcPr>
            <w:tcW w:w="5105" w:type="dxa"/>
            <w:shd w:val="clear" w:color="auto" w:fill="auto"/>
          </w:tcPr>
          <w:p w14:paraId="2D112433" w14:textId="6E110500" w:rsidR="00E31C65" w:rsidRPr="00DD63CB" w:rsidRDefault="00E31C65" w:rsidP="00E07C0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 xml:space="preserve">Estes and </w:t>
            </w:r>
            <w:r w:rsidR="00041FDF">
              <w:rPr>
                <w:rFonts w:ascii="Times New Roman" w:hAnsi="Times New Roman" w:cs="Times New Roman"/>
              </w:rPr>
              <w:t>Arnold</w:t>
            </w:r>
            <w:r w:rsidRPr="00DD63CB">
              <w:rPr>
                <w:rFonts w:ascii="Times New Roman" w:hAnsi="Times New Roman" w:cs="Times New Roman"/>
              </w:rPr>
              <w:t xml:space="preserve"> (2007)</w:t>
            </w:r>
            <w:r w:rsidRPr="00DD63CB">
              <w:rPr>
                <w:rFonts w:ascii="Times New Roman" w:hAnsi="Times New Roman" w:cs="Times New Roman"/>
              </w:rPr>
              <w:fldChar w:fldCharType="begin" w:fldLock="1"/>
            </w:r>
            <w:r w:rsidR="00E07C04">
              <w:rPr>
                <w:rFonts w:ascii="Times New Roman" w:hAnsi="Times New Roman" w:cs="Times New Roman"/>
              </w:rPr>
              <w:instrText>ADDIN CSL_CITATION {"citationItems":[{"id":"ITEM-1","itemData":{"DOI":"10.1086/510633","ISBN":"0003-0147","ISSN":"0003-0147","PMID":"17211806","abstract":"JSTOR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abstract: We tested the ability of six quantitative genetic models to explain the evolution of phenotypic means using an extensive database compiled by Gingerich. Our approach differs from past efforts in that we use explicit models of evolutionary process, with parameters estimated from contemporary populations, to analyze a large sample of divergence data on many different timescales. We show that one quantitative genetic model yields a good fit to data on phenotypic divergence across timescales ranging from a few gen-erations to 10 million generations. The key feature of this model is a fitness optimum that moves within fixed limits. Conversely, a model of neutral evolution, models with a stationary optimum that un-dergoes Brownian or white noise motion, a model with a moving optimum, and a peak shift model all fail to account for the data on most or all timescales. We discuss our results within the framework of Simpson's concept of adaptive landscapes and zones. Our analysis suggests that the underlying process causing phenotypic stasis is ad-aptation to an optimum that moves within an adaptive zone with stable boundaries. We discuss the implication of our results for com-parative studies and phylogeny inference based on phenotypic characters.","author":[{"dropping-particle":"","family":"Estes","given":"Suzanne","non-dropping-particle":"","parse-names":false,"suffix":""},{"dropping-particle":"","family":"Arnold","given":"Stevan J.","non-dropping-particle":"","parse-names":false,"suffix":""}],"container-title":"The American Naturalist","id":"ITEM-1","issue":"2","issued":{"date-parts":[["2007"]]},"page":"227-244","title":"Resolving the paradox of stasis: Models with stabilizing selection explain evolutionary divergence on all timescales","type":"article-journal","volume":"169"},"uris":["http://www.mendeley.com/documents/?uuid=0a379836-2700-4e9e-b84a-17f97528da9d"]}],"mendeley":{"formattedCitation":"&lt;sup&gt;2&lt;/sup&gt;","plainTextFormattedCitation":"2","previouslyFormattedCitation":"&lt;sup&gt;2&lt;/sup&gt;"},"properties":{"noteIndex":0},"schema":"https://github.com/citation-style-language/schema/raw/master/csl-citation.json"}</w:instrText>
            </w:r>
            <w:r w:rsidRPr="00DD63CB">
              <w:rPr>
                <w:rFonts w:ascii="Times New Roman" w:hAnsi="Times New Roman" w:cs="Times New Roman"/>
              </w:rPr>
              <w:fldChar w:fldCharType="separate"/>
            </w:r>
            <w:r w:rsidR="00E07C04" w:rsidRPr="00E07C04">
              <w:rPr>
                <w:rFonts w:ascii="Times New Roman" w:hAnsi="Times New Roman" w:cs="Times New Roman"/>
                <w:noProof/>
                <w:vertAlign w:val="superscript"/>
              </w:rPr>
              <w:t>2</w:t>
            </w:r>
            <w:r w:rsidRPr="00DD63CB">
              <w:rPr>
                <w:rFonts w:ascii="Times New Roman" w:hAnsi="Times New Roman" w:cs="Times New Roman"/>
              </w:rPr>
              <w:fldChar w:fldCharType="end"/>
            </w:r>
            <w:r w:rsidRPr="00DD63CB">
              <w:rPr>
                <w:rFonts w:ascii="Times New Roman" w:hAnsi="Times New Roman" w:cs="Times New Roman"/>
              </w:rPr>
              <w:t>, based on the dataset from Kingsolver et al. (2001)</w:t>
            </w:r>
            <w:r w:rsidRPr="00DD63CB">
              <w:rPr>
                <w:rFonts w:ascii="Times New Roman" w:hAnsi="Times New Roman" w:cs="Times New Roman"/>
              </w:rPr>
              <w:fldChar w:fldCharType="begin" w:fldLock="1"/>
            </w:r>
            <w:r w:rsidR="00E07C04">
              <w:rPr>
                <w:rFonts w:ascii="Times New Roman" w:hAnsi="Times New Roman" w:cs="Times New Roman"/>
              </w:rPr>
              <w:instrText>ADDIN CSL_CITATION {"citationItems":[{"id":"ITEM-1","itemData":{"DOI":"10.1086/319193","ISBN":"0003-0147","ISSN":"0003-0147","PMID":"18707288","abstract":"How strong is phenotypic selection on quantitative traits in the wild? We reviewed the literature from 1984 through 1997 for studies that estimated the strength of linear and quadratic selection in terms of standardized selection gradients or differentials on natural variation in quantitative traits for field populations. We tabulated 63 published studies of 62 species that reported over 2,500 estimates of linear or quadratic selection. More than 80% of the estimates were for morphological traits; there is very little data for behavioral or physiological traits. Most published selection studies were unreplicated and had sample sizes below 135 individuals, resulting in low statistical power to detect selection of the magnitude typically reported for natural populations. The absolute values of linear selection gradients \\beta\\ were exponentially distributed with an overall median of 0.16, suggesting that strong directional selection was uncommon. The values of \\beta\\ for selection on morphological and on life- history/ phenological traits were significantly different: on average, selection on morphology was stronger than selection on phenology/ life history. Similarly, the values of \\beta\\ for selection via aspects of survival, fecundity, and mating success were significantly different: on average, selection on mating success was stronger than on survival. Comparisons of estimated linear selection gradients and differentials suggest that indirect components of phenotypic selection were usually modest relative to direct components. The absolute values of quadratic selection gradients \\gamma\\ were exponentially distributed with an overall median of only 0.10, suggesting that quadratic selection is typically quite weak. The distribution of gamma values was symmetric about 0, providing no evidence that stabilizing selection is stronger or more common than disruptive selection in nature.","author":[{"dropping-particle":"","family":"Kingsolver","given":"J G","non-dropping-particle":"","parse-names":false,"suffix":""},{"dropping-particle":"","family":"Hoekstra","given":"H E","non-dropping-particle":"","parse-names":false,"suffix":""},{"dropping-particle":"","family":"Hoekstra","given":"J M","non-dropping-particle":"","parse-names":false,"suffix":""},{"dropping-particle":"","family":"Berrigan","given":"D","non-dropping-particle":"","parse-names":false,"suffix":""},{"dropping-particle":"","family":"Vignieri","given":"S N","non-dropping-particle":"","parse-names":false,"suffix":""},{"dropping-particle":"","family":"Hill","given":"C E","non-dropping-particle":"","parse-names":false,"suffix":""},{"dropping-particle":"","family":"Hoang","given":"A","non-dropping-particle":"","parse-names":false,"suffix":""},{"dropping-particle":"","family":"Gibert","given":"P","non-dropping-particle":"","parse-names":false,"suffix":""},{"dropping-particle":"","family":"Beerli","given":"P","non-dropping-particle":"","parse-names":false,"suffix":""}],"container-title":"American Naturalist","id":"ITEM-1","issue":"3","issued":{"date-parts":[["2001"]]},"page":"245-261","title":"The strength of phenotypic selection in natural populations","type":"article-journal","volume":"157"},"uris":["http://www.mendeley.com/documents/?uuid=9efaf59a-a4c6-476f-a89c-ae114d8e8ec3"]}],"mendeley":{"formattedCitation":"&lt;sup&gt;5&lt;/sup&gt;","plainTextFormattedCitation":"5","previouslyFormattedCitation":"&lt;sup&gt;5&lt;/sup&gt;"},"properties":{"noteIndex":0},"schema":"https://github.com/citation-style-language/schema/raw/master/csl-citation.json"}</w:instrText>
            </w:r>
            <w:r w:rsidRPr="00DD63CB">
              <w:rPr>
                <w:rFonts w:ascii="Times New Roman" w:hAnsi="Times New Roman" w:cs="Times New Roman"/>
              </w:rPr>
              <w:fldChar w:fldCharType="separate"/>
            </w:r>
            <w:r w:rsidR="00E07C04" w:rsidRPr="00E07C04">
              <w:rPr>
                <w:rFonts w:ascii="Times New Roman" w:hAnsi="Times New Roman" w:cs="Times New Roman"/>
                <w:noProof/>
                <w:vertAlign w:val="superscript"/>
              </w:rPr>
              <w:t>5</w:t>
            </w:r>
            <w:r w:rsidRPr="00DD63CB">
              <w:rPr>
                <w:rFonts w:ascii="Times New Roman" w:hAnsi="Times New Roman" w:cs="Times New Roman"/>
              </w:rPr>
              <w:fldChar w:fldCharType="end"/>
            </w:r>
          </w:p>
        </w:tc>
      </w:tr>
      <w:tr w:rsidR="00E31C65" w:rsidRPr="00DD63CB" w14:paraId="0CE0FBC4" w14:textId="77777777" w:rsidTr="00911B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6" w:type="dxa"/>
            <w:shd w:val="clear" w:color="auto" w:fill="auto"/>
          </w:tcPr>
          <w:p w14:paraId="5F8F713F" w14:textId="4C5A1253" w:rsidR="00E31C65" w:rsidRPr="00B536FA" w:rsidRDefault="00E31C65" w:rsidP="00911B0A">
            <w:pPr>
              <w:spacing w:line="276" w:lineRule="auto"/>
              <w:rPr>
                <w:rFonts w:ascii="Times New Roman" w:hAnsi="Times New Roman" w:cs="Times New Roman"/>
                <w:b w:val="0"/>
              </w:rPr>
            </w:pPr>
            <w:r w:rsidRPr="00B536FA">
              <w:rPr>
                <w:rFonts w:ascii="Times New Roman" w:hAnsi="Times New Roman" w:cs="Times New Roman"/>
                <w:b w:val="0"/>
              </w:rPr>
              <w:t xml:space="preserve">Effective population size, </w:t>
            </w:r>
            <m:oMath>
              <m:sSub>
                <m:sSubPr>
                  <m:ctrlPr>
                    <w:rPr>
                      <w:rFonts w:ascii="Cambria Math" w:hAnsi="Cambria Math" w:cs="Times New Roman"/>
                      <w:b w:val="0"/>
                      <w:i/>
                    </w:rPr>
                  </m:ctrlPr>
                </m:sSubPr>
                <m:e>
                  <m:r>
                    <m:rPr>
                      <m:sty m:val="bi"/>
                    </m:rPr>
                    <w:rPr>
                      <w:rFonts w:ascii="Cambria Math" w:hAnsi="Cambria Math" w:cs="Times New Roman"/>
                    </w:rPr>
                    <m:t>N</m:t>
                  </m:r>
                </m:e>
                <m:sub>
                  <m:r>
                    <m:rPr>
                      <m:sty m:val="b"/>
                    </m:rPr>
                    <w:rPr>
                      <w:rFonts w:ascii="Cambria Math" w:hAnsi="Cambria Math" w:cs="Times New Roman"/>
                    </w:rPr>
                    <m:t>e</m:t>
                  </m:r>
                </m:sub>
              </m:sSub>
            </m:oMath>
          </w:p>
        </w:tc>
        <w:tc>
          <w:tcPr>
            <w:tcW w:w="2739" w:type="dxa"/>
            <w:shd w:val="clear" w:color="auto" w:fill="auto"/>
          </w:tcPr>
          <w:p w14:paraId="1CF85B40" w14:textId="77777777" w:rsidR="00E31C65" w:rsidRPr="00DD63CB" w:rsidRDefault="00E31C65" w:rsidP="00911B0A">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100</w:t>
            </w:r>
          </w:p>
        </w:tc>
        <w:tc>
          <w:tcPr>
            <w:tcW w:w="2977" w:type="dxa"/>
            <w:shd w:val="clear" w:color="auto" w:fill="auto"/>
          </w:tcPr>
          <w:p w14:paraId="7ED16629" w14:textId="77777777" w:rsidR="00E31C65" w:rsidRPr="00DD63CB" w:rsidRDefault="00E31C65" w:rsidP="00911B0A">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1 – 10000</w:t>
            </w:r>
          </w:p>
        </w:tc>
        <w:tc>
          <w:tcPr>
            <w:tcW w:w="5105" w:type="dxa"/>
            <w:shd w:val="clear" w:color="auto" w:fill="auto"/>
          </w:tcPr>
          <w:p w14:paraId="424930C6" w14:textId="7F169784" w:rsidR="00E31C65" w:rsidRPr="00DD63CB" w:rsidRDefault="00E31C65" w:rsidP="00E07C0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Frankham (1995)</w:t>
            </w:r>
            <w:r w:rsidRPr="00DD63CB">
              <w:rPr>
                <w:rFonts w:ascii="Times New Roman" w:hAnsi="Times New Roman" w:cs="Times New Roman"/>
              </w:rPr>
              <w:fldChar w:fldCharType="begin" w:fldLock="1"/>
            </w:r>
            <w:r w:rsidR="00E07C04">
              <w:rPr>
                <w:rFonts w:ascii="Times New Roman" w:hAnsi="Times New Roman" w:cs="Times New Roman"/>
              </w:rPr>
              <w:instrText>ADDIN CSL_CITATION {"citationItems":[{"id":"ITEM-1","itemData":{"DOI":"10.1017/S0016672308009695","ISBN":"0016-6723","ISSN":"00166723","PMID":"18976539","abstract":"The effective population size is required to predict the rate of inbreeding and loss of genetic variation in wildlife. Since only census population size is normally available, it is critical to know the ratio of effective to actual population size (N-e/N). Published estimates of N-e/N (192 from 102 species) were analysed to identify major variables affecting the ratio, and to obtain a comprehensive estimate of the ratio with all relevant variables included. The five most important variables explaining variation among estimates, in order of importance, were fluctuation in population size, variance in family size, form of N used (adults v. breeders v. total size), taxonomic group and unequal sex-ratio. There were no significant effects on the ratio of high v. low fecundity, demographic v. genetic methods of estimation, or of overlapping v. non-overlapping generations when the same variables were included in estimates. Comprehensive estimates of N-e/N (that included the effects of fluctuation in population size, variance in family size and unequal sex-ratio) averaged only 0.10-0.11. Wildlife populations have much smaller effective population sizes than previously recognized.","author":[{"dropping-particle":"","family":"Frankham","given":"Richard","non-dropping-particle":"","parse-names":false,"suffix":""}],"container-title":"Genetics Research","id":"ITEM-1","issue":"5-6","issued":{"date-parts":[["2008"]]},"page":"491-503","title":"Effective population size/adult population size ratios in wildlife: A review","type":"article","volume":"89"},"uris":["http://www.mendeley.com/documents/?uuid=43a0142f-9206-49af-bbd1-25394440a5db"]}],"mendeley":{"formattedCitation":"&lt;sup&gt;6&lt;/sup&gt;","plainTextFormattedCitation":"6","previouslyFormattedCitation":"&lt;sup&gt;6&lt;/sup&gt;"},"properties":{"noteIndex":0},"schema":"https://github.com/citation-style-language/schema/raw/master/csl-citation.json"}</w:instrText>
            </w:r>
            <w:r w:rsidRPr="00DD63CB">
              <w:rPr>
                <w:rFonts w:ascii="Times New Roman" w:hAnsi="Times New Roman" w:cs="Times New Roman"/>
              </w:rPr>
              <w:fldChar w:fldCharType="separate"/>
            </w:r>
            <w:r w:rsidR="00E07C04" w:rsidRPr="00E07C04">
              <w:rPr>
                <w:rFonts w:ascii="Times New Roman" w:hAnsi="Times New Roman" w:cs="Times New Roman"/>
                <w:noProof/>
                <w:vertAlign w:val="superscript"/>
              </w:rPr>
              <w:t>6</w:t>
            </w:r>
            <w:r w:rsidRPr="00DD63CB">
              <w:rPr>
                <w:rFonts w:ascii="Times New Roman" w:hAnsi="Times New Roman" w:cs="Times New Roman"/>
              </w:rPr>
              <w:fldChar w:fldCharType="end"/>
            </w:r>
            <w:r w:rsidRPr="00DD63CB">
              <w:rPr>
                <w:rFonts w:ascii="Times New Roman" w:hAnsi="Times New Roman" w:cs="Times New Roman"/>
              </w:rPr>
              <w:t xml:space="preserve"> </w:t>
            </w:r>
          </w:p>
        </w:tc>
      </w:tr>
      <w:tr w:rsidR="00E31C65" w:rsidRPr="00DD63CB" w14:paraId="2EF710E6" w14:textId="77777777" w:rsidTr="00911B0A">
        <w:tc>
          <w:tcPr>
            <w:cnfStyle w:val="001000000000" w:firstRow="0" w:lastRow="0" w:firstColumn="1" w:lastColumn="0" w:oddVBand="0" w:evenVBand="0" w:oddHBand="0" w:evenHBand="0" w:firstRowFirstColumn="0" w:firstRowLastColumn="0" w:lastRowFirstColumn="0" w:lastRowLastColumn="0"/>
            <w:tcW w:w="3606" w:type="dxa"/>
            <w:shd w:val="clear" w:color="auto" w:fill="auto"/>
          </w:tcPr>
          <w:p w14:paraId="2E274DE5" w14:textId="77777777" w:rsidR="00E31C65" w:rsidRPr="00DD63CB" w:rsidRDefault="00E31C65" w:rsidP="00911B0A">
            <w:pPr>
              <w:spacing w:line="276" w:lineRule="auto"/>
              <w:rPr>
                <w:rFonts w:ascii="Times New Roman" w:hAnsi="Times New Roman" w:cs="Times New Roman"/>
                <w:b w:val="0"/>
              </w:rPr>
            </w:pPr>
            <w:r w:rsidRPr="00DD63CB">
              <w:rPr>
                <w:rFonts w:ascii="Times New Roman" w:hAnsi="Times New Roman" w:cs="Times New Roman"/>
                <w:b w:val="0"/>
              </w:rPr>
              <w:t xml:space="preserve">Maximum number of offspring produced per individual, </w:t>
            </w:r>
            <w:r w:rsidRPr="00DD63CB">
              <w:rPr>
                <w:rFonts w:ascii="Times New Roman" w:hAnsi="Times New Roman" w:cs="Times New Roman"/>
                <w:b w:val="0"/>
                <w:i/>
              </w:rPr>
              <w:t>B</w:t>
            </w:r>
          </w:p>
        </w:tc>
        <w:tc>
          <w:tcPr>
            <w:tcW w:w="2739" w:type="dxa"/>
            <w:shd w:val="clear" w:color="auto" w:fill="auto"/>
          </w:tcPr>
          <w:p w14:paraId="34E40CCE" w14:textId="77777777" w:rsidR="00E31C65" w:rsidRPr="00DD63CB" w:rsidRDefault="00E31C65" w:rsidP="00911B0A">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1.6</w:t>
            </w:r>
          </w:p>
        </w:tc>
        <w:tc>
          <w:tcPr>
            <w:tcW w:w="2977" w:type="dxa"/>
            <w:shd w:val="clear" w:color="auto" w:fill="auto"/>
          </w:tcPr>
          <w:p w14:paraId="2BCC00AC" w14:textId="77777777" w:rsidR="00E31C65" w:rsidRPr="00DD63CB" w:rsidRDefault="00E31C65" w:rsidP="00911B0A">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1.2 – 2</w:t>
            </w:r>
          </w:p>
        </w:tc>
        <w:tc>
          <w:tcPr>
            <w:tcW w:w="5105" w:type="dxa"/>
            <w:shd w:val="clear" w:color="auto" w:fill="auto"/>
          </w:tcPr>
          <w:p w14:paraId="4C42850D" w14:textId="76DEEE67" w:rsidR="00E31C65" w:rsidRPr="00DD63CB" w:rsidRDefault="00E31C65" w:rsidP="00E07C0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Gienapp et al. (2012)</w:t>
            </w:r>
            <w:r w:rsidRPr="00DD63CB">
              <w:rPr>
                <w:rFonts w:ascii="Times New Roman" w:hAnsi="Times New Roman" w:cs="Times New Roman"/>
              </w:rPr>
              <w:fldChar w:fldCharType="begin" w:fldLock="1"/>
            </w:r>
            <w:r w:rsidR="00702BB9">
              <w:rPr>
                <w:rFonts w:ascii="Times New Roman" w:hAnsi="Times New Roman" w:cs="Times New Roman"/>
              </w:rPr>
              <w:instrText>ADDIN CSL_CITATION {"citationItems":[{"id":"ITEM-1","itemData":{"DOI":"10.1098/rstb.2012.0289","ISBN":"1471-2970","ISSN":"0962-8436","PMID":"23209174","abstract":"Populations need to adapt to sustained climate change, which requires micro-evolutionary change in the long term. A key question is how the rate of this micro-evolutionary change compares with the rate of environmental change, given that theoretically there is a 'critical rate of environmental change' beyond which increased maladaptation leads to population extinction. Here, we parametrize two closely related models to predict this critical rate using data from a long-term study of great tits (Parus major). We used stochastic dynamic programming to predict changes in optimal breeding time under three different climate scenarios. Using these results we parametrized two theoretical models to predict critical rates. Results from both models agreed qualitatively in that even 'mild' rates of climate change would be close to these critical rates with respect to great tit breeding time, while for scenarios close to the upper limit of IPCC climate projections the calculated critical rates would be clearly exceeded with possible consequences for population persistence. We therefore tentatively conclude that micro-evolution, together with plasticity, would rescue only the population from mild rates of climate change, although the models make many simplifying assumptions that remain to be tested.","author":[{"dropping-particle":"","family":"Gienapp","given":"P.","non-dropping-particle":"","parse-names":false,"suffix":""},{"dropping-particle":"","family":"Lof","given":"M.","non-dropping-particle":"","parse-names":false,"suffix":""},{"dropping-particle":"","family":"Reed","given":"T. E.","non-dropping-particle":"","parse-names":false,"suffix":""},{"dropping-particle":"","family":"McNamara","given":"J.","non-dropping-particle":"","parse-names":false,"suffix":""},{"dropping-particle":"","family":"Verhulst","given":"S.","non-dropping-particle":"","parse-names":false,"suffix":""},{"dropping-particle":"","family":"Visser","given":"M. E.","non-dropping-particle":"","parse-names":false,"suffix":""}],"container-title":"Philosophical Transactions of the Royal Society B: Biological Sciences","id":"ITEM-1","issue":"1610","issued":{"date-parts":[["2012"]]},"page":"20120289","title":"Predicting demographically sustainable rates of adaptation: can great tit breeding time keep pace with climate change?","type":"article-journal","volume":"368"},"uris":["http://www.mendeley.com/documents/?uuid=290642bc-9754-467b-b2d3-8160dc5138bf"]}],"mendeley":{"formattedCitation":"&lt;sup&gt;7&lt;/sup&gt;","plainTextFormattedCitation":"7","previouslyFormattedCitation":"&lt;sup&gt;7&lt;/sup&gt;"},"properties":{"noteIndex":0},"schema":"https://github.com/citation-style-language/schema/raw/master/csl-citation.json"}</w:instrText>
            </w:r>
            <w:r w:rsidRPr="00DD63CB">
              <w:rPr>
                <w:rFonts w:ascii="Times New Roman" w:hAnsi="Times New Roman" w:cs="Times New Roman"/>
              </w:rPr>
              <w:fldChar w:fldCharType="separate"/>
            </w:r>
            <w:r w:rsidR="00E07C04" w:rsidRPr="00E07C04">
              <w:rPr>
                <w:rFonts w:ascii="Times New Roman" w:hAnsi="Times New Roman" w:cs="Times New Roman"/>
                <w:noProof/>
                <w:vertAlign w:val="superscript"/>
              </w:rPr>
              <w:t>7</w:t>
            </w:r>
            <w:r w:rsidRPr="00DD63CB">
              <w:rPr>
                <w:rFonts w:ascii="Times New Roman" w:hAnsi="Times New Roman" w:cs="Times New Roman"/>
              </w:rPr>
              <w:fldChar w:fldCharType="end"/>
            </w:r>
            <w:r w:rsidRPr="00DD63CB">
              <w:rPr>
                <w:rFonts w:ascii="Times New Roman" w:hAnsi="Times New Roman" w:cs="Times New Roman"/>
              </w:rPr>
              <w:t xml:space="preserve"> </w:t>
            </w:r>
          </w:p>
        </w:tc>
      </w:tr>
      <w:tr w:rsidR="00E31C65" w:rsidRPr="00DD63CB" w14:paraId="2E35E821" w14:textId="77777777" w:rsidTr="00420F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6" w:type="dxa"/>
            <w:tcBorders>
              <w:bottom w:val="nil"/>
            </w:tcBorders>
            <w:shd w:val="clear" w:color="auto" w:fill="auto"/>
          </w:tcPr>
          <w:p w14:paraId="575024D7" w14:textId="3721A4F9" w:rsidR="00E31C65" w:rsidRPr="00C329DD" w:rsidRDefault="00E31C65" w:rsidP="00911B0A">
            <w:pPr>
              <w:spacing w:line="276" w:lineRule="auto"/>
              <w:rPr>
                <w:rFonts w:ascii="Times New Roman" w:hAnsi="Times New Roman" w:cs="Times New Roman"/>
                <w:b w:val="0"/>
              </w:rPr>
            </w:pPr>
            <w:r w:rsidRPr="00C329DD">
              <w:rPr>
                <w:rFonts w:ascii="Times New Roman" w:hAnsi="Times New Roman" w:cs="Times New Roman"/>
                <w:b w:val="0"/>
              </w:rPr>
              <w:t xml:space="preserve">Stochastic variation of the phenotypic optimum around the (linear) trend, </w:t>
            </w:r>
            <m:oMath>
              <m:sSubSup>
                <m:sSubSupPr>
                  <m:ctrlPr>
                    <w:rPr>
                      <w:rFonts w:ascii="Cambria Math" w:hAnsi="Cambria Math" w:cs="Times New Roman"/>
                      <w:b w:val="0"/>
                      <w:i/>
                    </w:rPr>
                  </m:ctrlPr>
                </m:sSubSupPr>
                <m:e>
                  <m:r>
                    <m:rPr>
                      <m:sty m:val="bi"/>
                    </m:rPr>
                    <w:rPr>
                      <w:rFonts w:ascii="Cambria Math" w:hAnsi="Cambria Math" w:cs="Times New Roman"/>
                    </w:rPr>
                    <m:t>σ</m:t>
                  </m:r>
                </m:e>
                <m:sub>
                  <m:r>
                    <m:rPr>
                      <m:sty m:val="b"/>
                    </m:rPr>
                    <w:rPr>
                      <w:rFonts w:ascii="Cambria Math" w:hAnsi="Cambria Math" w:cs="Times New Roman"/>
                    </w:rPr>
                    <m:t>θ</m:t>
                  </m:r>
                </m:sub>
                <m:sup>
                  <m:r>
                    <m:rPr>
                      <m:sty m:val="b"/>
                    </m:rPr>
                    <w:rPr>
                      <w:rFonts w:ascii="Cambria Math" w:hAnsi="Cambria Math" w:cs="Times New Roman"/>
                    </w:rPr>
                    <m:t>2</m:t>
                  </m:r>
                </m:sup>
              </m:sSubSup>
            </m:oMath>
          </w:p>
        </w:tc>
        <w:tc>
          <w:tcPr>
            <w:tcW w:w="2739" w:type="dxa"/>
            <w:tcBorders>
              <w:bottom w:val="nil"/>
            </w:tcBorders>
            <w:shd w:val="clear" w:color="auto" w:fill="auto"/>
          </w:tcPr>
          <w:p w14:paraId="38A22B6A" w14:textId="77777777" w:rsidR="00E31C65" w:rsidRPr="00DD63CB" w:rsidRDefault="00E31C65" w:rsidP="00911B0A">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de-DE"/>
              </w:rPr>
            </w:pPr>
            <w:r w:rsidRPr="00DD63CB">
              <w:rPr>
                <w:rFonts w:ascii="Times New Roman" w:hAnsi="Times New Roman" w:cs="Times New Roman"/>
                <w:lang w:val="de-DE"/>
              </w:rPr>
              <w:t>0</w:t>
            </w:r>
          </w:p>
        </w:tc>
        <w:tc>
          <w:tcPr>
            <w:tcW w:w="2977" w:type="dxa"/>
            <w:tcBorders>
              <w:bottom w:val="nil"/>
            </w:tcBorders>
            <w:shd w:val="clear" w:color="auto" w:fill="auto"/>
          </w:tcPr>
          <w:p w14:paraId="40685D25" w14:textId="77777777" w:rsidR="00E31C65" w:rsidRPr="00DD63CB" w:rsidRDefault="00E31C65" w:rsidP="00911B0A">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0</w:t>
            </w:r>
          </w:p>
        </w:tc>
        <w:tc>
          <w:tcPr>
            <w:tcW w:w="5105" w:type="dxa"/>
            <w:tcBorders>
              <w:bottom w:val="nil"/>
            </w:tcBorders>
            <w:shd w:val="clear" w:color="auto" w:fill="auto"/>
          </w:tcPr>
          <w:p w14:paraId="7ECA33E6" w14:textId="7C63C7BF" w:rsidR="00E31C65" w:rsidRPr="00DD63CB" w:rsidRDefault="00E31C65" w:rsidP="00E07C0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Because of the lack of data for assessing this parameter</w:t>
            </w:r>
            <w:r w:rsidRPr="00DD63CB">
              <w:rPr>
                <w:rFonts w:ascii="Times New Roman" w:hAnsi="Times New Roman" w:cs="Times New Roman"/>
              </w:rPr>
              <w:fldChar w:fldCharType="begin" w:fldLock="1"/>
            </w:r>
            <w:r w:rsidR="00702BB9">
              <w:rPr>
                <w:rFonts w:ascii="Times New Roman" w:hAnsi="Times New Roman" w:cs="Times New Roman"/>
              </w:rPr>
              <w:instrText>ADDIN CSL_CITATION {"citationItems":[{"id":"ITEM-1","itemData":{"DOI":"10.1098/rstb.2012.0289","ISBN":"1471-2970","ISSN":"0962-8436","PMID":"23209174","abstract":"Populations need to adapt to sustained climate change, which requires micro-evolutionary change in the long term. A key question is how the rate of this micro-evolutionary change compares with the rate of environmental change, given that theoretically there is a 'critical rate of environmental change' beyond which increased maladaptation leads to population extinction. Here, we parametrize two closely related models to predict this critical rate using data from a long-term study of great tits (Parus major). We used stochastic dynamic programming to predict changes in optimal breeding time under three different climate scenarios. Using these results we parametrized two theoretical models to predict critical rates. Results from both models agreed qualitatively in that even 'mild' rates of climate change would be close to these critical rates with respect to great tit breeding time, while for scenarios close to the upper limit of IPCC climate projections the calculated critical rates would be clearly exceeded with possible consequences for population persistence. We therefore tentatively conclude that micro-evolution, together with plasticity, would rescue only the population from mild rates of climate change, although the models make many simplifying assumptions that remain to be tested.","author":[{"dropping-particle":"","family":"Gienapp","given":"P.","non-dropping-particle":"","parse-names":false,"suffix":""},{"dropping-particle":"","family":"Lof","given":"M.","non-dropping-particle":"","parse-names":false,"suffix":""},{"dropping-particle":"","family":"Reed","given":"T. E.","non-dropping-particle":"","parse-names":false,"suffix":""},{"dropping-particle":"","family":"McNamara","given":"J.","non-dropping-particle":"","parse-names":false,"suffix":""},{"dropping-particle":"","family":"Verhulst","given":"S.","non-dropping-particle":"","parse-names":false,"suffix":""},{"dropping-particle":"","family":"Visser","given":"M. E.","non-dropping-particle":"","parse-names":false,"suffix":""}],"container-title":"Philosophical Transactions of the Royal Society B: Biological Sciences","id":"ITEM-1","issue":"1610","issued":{"date-parts":[["2012"]]},"page":"20120289","title":"Predicting demographically sustainable rates of adaptation: can great tit breeding time keep pace with climate change?","type":"article-journal","volume":"368"},"uris":["http://www.mendeley.com/documents/?uuid=290642bc-9754-467b-b2d3-8160dc5138bf"]}],"mendeley":{"formattedCitation":"&lt;sup&gt;7&lt;/sup&gt;","plainTextFormattedCitation":"7","previouslyFormattedCitation":"&lt;sup&gt;7&lt;/sup&gt;"},"properties":{"noteIndex":0},"schema":"https://github.com/citation-style-language/schema/raw/master/csl-citation.json"}</w:instrText>
            </w:r>
            <w:r w:rsidRPr="00DD63CB">
              <w:rPr>
                <w:rFonts w:ascii="Times New Roman" w:hAnsi="Times New Roman" w:cs="Times New Roman"/>
              </w:rPr>
              <w:fldChar w:fldCharType="separate"/>
            </w:r>
            <w:r w:rsidR="00E07C04" w:rsidRPr="00E07C04">
              <w:rPr>
                <w:rFonts w:ascii="Times New Roman" w:hAnsi="Times New Roman" w:cs="Times New Roman"/>
                <w:noProof/>
                <w:vertAlign w:val="superscript"/>
              </w:rPr>
              <w:t>7</w:t>
            </w:r>
            <w:r w:rsidRPr="00DD63CB">
              <w:rPr>
                <w:rFonts w:ascii="Times New Roman" w:hAnsi="Times New Roman" w:cs="Times New Roman"/>
              </w:rPr>
              <w:fldChar w:fldCharType="end"/>
            </w:r>
            <w:r w:rsidRPr="00DD63CB">
              <w:rPr>
                <w:rFonts w:ascii="Times New Roman" w:hAnsi="Times New Roman" w:cs="Times New Roman"/>
              </w:rPr>
              <w:t xml:space="preserve"> we assumed no </w:t>
            </w:r>
            <w:r>
              <w:rPr>
                <w:rFonts w:ascii="Times New Roman" w:hAnsi="Times New Roman" w:cs="Times New Roman"/>
              </w:rPr>
              <w:t>environmental variability</w:t>
            </w:r>
            <w:r w:rsidRPr="00DD63CB">
              <w:rPr>
                <w:rFonts w:ascii="Times New Roman" w:hAnsi="Times New Roman" w:cs="Times New Roman"/>
              </w:rPr>
              <w:t>, with the caveat that our analyses are over-optimistic</w:t>
            </w:r>
            <w:r>
              <w:rPr>
                <w:rFonts w:ascii="Times New Roman" w:hAnsi="Times New Roman" w:cs="Times New Roman"/>
              </w:rPr>
              <w:t xml:space="preserve"> about the fate of populations</w:t>
            </w:r>
          </w:p>
        </w:tc>
      </w:tr>
      <w:tr w:rsidR="00E31C65" w:rsidRPr="00DD63CB" w14:paraId="5449303B" w14:textId="77777777" w:rsidTr="00420FC3">
        <w:tc>
          <w:tcPr>
            <w:cnfStyle w:val="001000000000" w:firstRow="0" w:lastRow="0" w:firstColumn="1" w:lastColumn="0" w:oddVBand="0" w:evenVBand="0" w:oddHBand="0" w:evenHBand="0" w:firstRowFirstColumn="0" w:firstRowLastColumn="0" w:lastRowFirstColumn="0" w:lastRowLastColumn="0"/>
            <w:tcW w:w="3606" w:type="dxa"/>
            <w:tcBorders>
              <w:top w:val="nil"/>
              <w:bottom w:val="single" w:sz="12" w:space="0" w:color="auto"/>
            </w:tcBorders>
            <w:shd w:val="clear" w:color="auto" w:fill="auto"/>
          </w:tcPr>
          <w:p w14:paraId="65171147" w14:textId="6ADFF1B5" w:rsidR="00E31C65" w:rsidRPr="00C329DD" w:rsidRDefault="00E31C65" w:rsidP="00911B0A">
            <w:pPr>
              <w:spacing w:line="276" w:lineRule="auto"/>
              <w:rPr>
                <w:rFonts w:ascii="Times New Roman" w:hAnsi="Times New Roman" w:cs="Times New Roman"/>
                <w:b w:val="0"/>
              </w:rPr>
            </w:pPr>
            <w:r w:rsidRPr="00C329DD">
              <w:rPr>
                <w:rFonts w:ascii="Times New Roman" w:hAnsi="Times New Roman" w:cs="Times New Roman"/>
                <w:b w:val="0"/>
              </w:rPr>
              <w:t xml:space="preserve">Linear selection differential, </w:t>
            </w:r>
            <m:oMath>
              <m:r>
                <m:rPr>
                  <m:sty m:val="bi"/>
                </m:rPr>
                <w:rPr>
                  <w:rFonts w:ascii="Cambria Math" w:hAnsi="Cambria Math" w:cs="Times New Roman"/>
                </w:rPr>
                <m:t>β</m:t>
              </m:r>
            </m:oMath>
          </w:p>
        </w:tc>
        <w:tc>
          <w:tcPr>
            <w:tcW w:w="2739" w:type="dxa"/>
            <w:tcBorders>
              <w:top w:val="nil"/>
              <w:bottom w:val="single" w:sz="12" w:space="0" w:color="auto"/>
            </w:tcBorders>
            <w:shd w:val="clear" w:color="auto" w:fill="auto"/>
          </w:tcPr>
          <w:p w14:paraId="40FEC216" w14:textId="77777777" w:rsidR="00E31C65" w:rsidRPr="00DD63CB" w:rsidRDefault="00E31C65" w:rsidP="00911B0A">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lang w:val="de-DE"/>
              </w:rPr>
              <w:t>0.171</w:t>
            </w:r>
          </w:p>
        </w:tc>
        <w:tc>
          <w:tcPr>
            <w:tcW w:w="2977" w:type="dxa"/>
            <w:tcBorders>
              <w:top w:val="nil"/>
              <w:bottom w:val="single" w:sz="12" w:space="0" w:color="auto"/>
            </w:tcBorders>
            <w:shd w:val="clear" w:color="auto" w:fill="auto"/>
          </w:tcPr>
          <w:p w14:paraId="0868920C" w14:textId="77777777" w:rsidR="00E31C65" w:rsidRPr="00DD63CB" w:rsidRDefault="00E31C65" w:rsidP="00911B0A">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0.01 – 0.0351</w:t>
            </w:r>
          </w:p>
        </w:tc>
        <w:tc>
          <w:tcPr>
            <w:tcW w:w="5105" w:type="dxa"/>
            <w:tcBorders>
              <w:top w:val="nil"/>
              <w:bottom w:val="single" w:sz="12" w:space="0" w:color="auto"/>
            </w:tcBorders>
            <w:shd w:val="clear" w:color="auto" w:fill="auto"/>
          </w:tcPr>
          <w:p w14:paraId="2EB797D9" w14:textId="77777777" w:rsidR="00E31C65" w:rsidRPr="00DD63CB" w:rsidRDefault="00E31C65" w:rsidP="00911B0A">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D63CB">
              <w:rPr>
                <w:rFonts w:ascii="Times New Roman" w:hAnsi="Times New Roman" w:cs="Times New Roman"/>
              </w:rPr>
              <w:t>Mean±2SE obtained for WMS in this study</w:t>
            </w:r>
          </w:p>
        </w:tc>
      </w:tr>
    </w:tbl>
    <w:p w14:paraId="29DE426A" w14:textId="77777777" w:rsidR="00E31C65" w:rsidRDefault="00E31C65" w:rsidP="00E31C65">
      <w:pPr>
        <w:spacing w:line="360" w:lineRule="auto"/>
        <w:rPr>
          <w:rFonts w:ascii="Times New Roman" w:hAnsi="Times New Roman" w:cs="Times New Roman"/>
        </w:rPr>
        <w:sectPr w:rsidR="00E31C65" w:rsidSect="006F1713">
          <w:headerReference w:type="even" r:id="rId51"/>
          <w:headerReference w:type="default" r:id="rId52"/>
          <w:footerReference w:type="even" r:id="rId53"/>
          <w:footerReference w:type="default" r:id="rId54"/>
          <w:pgSz w:w="16838" w:h="11906" w:orient="landscape"/>
          <w:pgMar w:top="1417" w:right="1417" w:bottom="1417" w:left="1134" w:header="708" w:footer="708" w:gutter="0"/>
          <w:cols w:space="720"/>
          <w:formProt w:val="0"/>
          <w:docGrid w:linePitch="360" w:charSpace="-6145"/>
        </w:sectPr>
      </w:pPr>
    </w:p>
    <w:p w14:paraId="7204DB5E" w14:textId="6092437C" w:rsidR="002912F4" w:rsidRDefault="00C44D4A">
      <w:pPr>
        <w:spacing w:line="360" w:lineRule="auto"/>
        <w:rPr>
          <w:rFonts w:ascii="Times New Roman" w:hAnsi="Times New Roman" w:cs="Times New Roman"/>
          <w:b/>
          <w:bCs/>
          <w:caps/>
        </w:rPr>
      </w:pPr>
      <w:r w:rsidRPr="00B64B91">
        <w:rPr>
          <w:rFonts w:ascii="Times New Roman" w:hAnsi="Times New Roman" w:cs="Times New Roman"/>
          <w:b/>
          <w:bCs/>
          <w:caps/>
        </w:rPr>
        <w:lastRenderedPageBreak/>
        <w:t xml:space="preserve">Supplementary </w:t>
      </w:r>
      <w:r w:rsidR="005470AF">
        <w:rPr>
          <w:rFonts w:ascii="Times New Roman" w:hAnsi="Times New Roman" w:cs="Times New Roman"/>
          <w:b/>
          <w:bCs/>
          <w:caps/>
        </w:rPr>
        <w:t>Note 1</w:t>
      </w:r>
    </w:p>
    <w:p w14:paraId="6102F98D" w14:textId="77777777" w:rsidR="00FA1BA8" w:rsidRPr="005F3C5B" w:rsidRDefault="00FA1BA8" w:rsidP="00223AFC">
      <w:pPr>
        <w:pStyle w:val="Normal1"/>
        <w:spacing w:before="120" w:line="480" w:lineRule="auto"/>
        <w:rPr>
          <w:rFonts w:ascii="Cambria" w:eastAsia="Cambria" w:hAnsi="Cambria" w:cs="Cambria"/>
          <w:b/>
          <w:sz w:val="26"/>
          <w:szCs w:val="26"/>
        </w:rPr>
      </w:pPr>
      <w:r w:rsidRPr="005F3C5B">
        <w:rPr>
          <w:rFonts w:ascii="Cambria" w:eastAsia="Cambria" w:hAnsi="Cambria" w:cs="Cambria"/>
          <w:b/>
          <w:sz w:val="26"/>
          <w:szCs w:val="26"/>
        </w:rPr>
        <w:t xml:space="preserve">Effects of precipitation </w:t>
      </w:r>
    </w:p>
    <w:p w14:paraId="666237C9" w14:textId="27E23E51" w:rsidR="00FA1BA8" w:rsidRPr="00223AFC" w:rsidRDefault="00FA1BA8">
      <w:pPr>
        <w:spacing w:line="360" w:lineRule="auto"/>
        <w:rPr>
          <w:rFonts w:ascii="Times New Roman" w:hAnsi="Times New Roman" w:cs="Times New Roman"/>
          <w:lang w:val="en-GB"/>
        </w:rPr>
      </w:pPr>
      <w:r>
        <w:rPr>
          <w:rFonts w:ascii="Times New Roman" w:hAnsi="Times New Roman" w:cs="Times New Roman"/>
        </w:rPr>
        <w:t>No systematic change across years and studies was observed for precipitation in eith</w:t>
      </w:r>
      <w:r w:rsidR="00EC0D9F">
        <w:rPr>
          <w:rFonts w:ascii="Times New Roman" w:hAnsi="Times New Roman" w:cs="Times New Roman"/>
        </w:rPr>
        <w:t xml:space="preserve">er dataset (Supplementary Fig. </w:t>
      </w:r>
      <w:r>
        <w:rPr>
          <w:rFonts w:ascii="Times New Roman" w:hAnsi="Times New Roman" w:cs="Times New Roman"/>
        </w:rPr>
        <w:t>3a). This finding is contrary to the increase in precipitation recorded over the last decades in the Northern Hemisphere</w:t>
      </w:r>
      <w:r>
        <w:fldChar w:fldCharType="begin" w:fldLock="1"/>
      </w:r>
      <w:r w:rsidR="00E07C04">
        <w:instrText>ADDIN CSL_CITATION {"citationItems":[{"id":"ITEM-1","itemData":{"DOI":"10.1256/004316502320517353","ISBN":"1477-8696","ISSN":"1477-8696","abstract":"An overview is presented of the more promi- nent conclusions of the ``Observed climate variability and change’’ chapter (Chapter 2) of the Science Report of the Third Assessment Report of the Intergovernmental Panel on Climate Change (IPCC) (IPCC 2001). Readers requiring more detail can also access Chapter 2 on the IPCC website at: http://www.ipcc.ch/pub/tar/ wg1/index.htm.","author":[{"dropping-particle":"","family":"Folland","given":"Chris K","non-dropping-particle":"","parse-names":false,"suffix":""},{"dropping-particle":"","family":"Karl","given":"Thomas R","non-dropping-particle":"","parse-names":false,"suffix":""},{"dropping-particle":"","family":"Salinger","given":"M Jim","non-dropping-particle":"","parse-names":false,"suffix":""}],"container-title":"Weather","id":"ITEM-1","issue":"August","issued":{"date-parts":[["2002"]]},"page":"269-278","title":"Observed climate variability and change","type":"article-journal","volume":"57"},"uris":["http://www.mendeley.com/documents/?uuid=869d93aa-bddd-4246-adfa-d77ab1e6e450","http://www.mendeley.com/documents/?uuid=7170e571-d396-47f0-8b22-7d0576d7e8df"]},{"id":"ITEM-2","itemData":{"DOI":"10.1017/CBO9781107415324","ISBN":"9789291691432","ISSN":"1476-4687","PMID":"17429376","abstract":"Pachauri, Rajendra K Meyer, Leo Van Ypersele, Jean-Pascal Brinkman, Sander Van Kesteren, Line Leprince-Ringuet, Noëmie Van Boxmeer, Fijke","author":[{"dropping-particle":"","family":"IPCC","given":"","non-dropping-particle":"","parse-names":false,"suffix":""}],"container-title":"Contribution of Working Groups I, II and III to the Fifth Assessment Report of the Intergovernmental Panel on Climate Change. In: Core Writing Team, Pachauri RK, Meyer LA (eds) IPCC, Geneva, Switzerland, 151 p.","id":"ITEM-2","issued":{"date-parts":[["2014"]]},"number-of-pages":"1-112","title":"Climate Change 2014: Synthesis Report","type":"report"},"uris":["http://www.mendeley.com/documents/?uuid=fe6cb671-1cbd-47ad-9f4e-8aa12ce30642","http://www.mendeley.com/documents/?uuid=b910c1cb-7f32-41ba-82b7-a7396952a89d","http://www.mendeley.com/documents/?uuid=a441d55f-9659-4621-a564-8a03127bdac8"]}],"mendeley":{"formattedCitation":"&lt;sup&gt;8,9&lt;/sup&gt;","plainTextFormattedCitation":"8,9","previouslyFormattedCitation":"&lt;sup&gt;8,9&lt;/sup&gt;"},"properties":{"noteIndex":0},"schema":"https://github.com/citation-style-language/schema/raw/master/csl-citation.json"}</w:instrText>
      </w:r>
      <w:r>
        <w:fldChar w:fldCharType="separate"/>
      </w:r>
      <w:bookmarkStart w:id="51" w:name="__Fieldmark__11559_773578752"/>
      <w:bookmarkStart w:id="52" w:name="__Fieldmark__1031_1709958988"/>
      <w:bookmarkStart w:id="53" w:name="__Fieldmark__5512_1709958988"/>
      <w:bookmarkStart w:id="54" w:name="__Fieldmark__544_630641658"/>
      <w:r w:rsidR="00E07C04" w:rsidRPr="00E07C04">
        <w:rPr>
          <w:rFonts w:ascii="Times New Roman" w:hAnsi="Times New Roman" w:cs="Times New Roman"/>
          <w:noProof/>
          <w:vertAlign w:val="superscript"/>
        </w:rPr>
        <w:t>8,9</w:t>
      </w:r>
      <w:r>
        <w:fldChar w:fldCharType="end"/>
      </w:r>
      <w:bookmarkEnd w:id="51"/>
      <w:bookmarkEnd w:id="52"/>
      <w:bookmarkEnd w:id="53"/>
      <w:bookmarkEnd w:id="54"/>
      <w:r>
        <w:rPr>
          <w:rFonts w:ascii="Times New Roman" w:hAnsi="Times New Roman" w:cs="Times New Roman"/>
        </w:rPr>
        <w:t>. Such a discrepancy may be related to high local variation in precipitation</w:t>
      </w:r>
      <w:r>
        <w:fldChar w:fldCharType="begin" w:fldLock="1"/>
      </w:r>
      <w:r w:rsidR="00E07C04">
        <w:instrText>ADDIN CSL_CITATION {"citationItems":[{"id":"ITEM-1","itemData":{"DOI":"10.1256/004316502320517353","ISBN":"1477-8696","ISSN":"1477-8696","abstract":"An overview is presented of the more promi- nent conclusions of the ``Observed climate variability and change’’ chapter (Chapter 2) of the Science Report of the Third Assessment Report of the Intergovernmental Panel on Climate Change (IPCC) (IPCC 2001). Readers requiring more detail can also access Chapter 2 on the IPCC website at: http://www.ipcc.ch/pub/tar/ wg1/index.htm.","author":[{"dropping-particle":"","family":"Folland","given":"Chris K","non-dropping-particle":"","parse-names":false,"suffix":""},{"dropping-particle":"","family":"Karl","given":"Thomas R","non-dropping-particle":"","parse-names":false,"suffix":""},{"dropping-particle":"","family":"Salinger","given":"M Jim","non-dropping-particle":"","parse-names":false,"suffix":""}],"container-title":"Weather","id":"ITEM-1","issue":"August","issued":{"date-parts":[["2002"]]},"page":"269-278","title":"Observed climate variability and change","type":"article-journal","volume":"57"},"uris":["http://www.mendeley.com/documents/?uuid=869d93aa-bddd-4246-adfa-d77ab1e6e450","http://www.mendeley.com/documents/?uuid=7170e571-d396-47f0-8b22-7d0576d7e8df"]}],"mendeley":{"formattedCitation":"&lt;sup&gt;8&lt;/sup&gt;","plainTextFormattedCitation":"8","previouslyFormattedCitation":"&lt;sup&gt;8&lt;/sup&gt;"},"properties":{"noteIndex":0},"schema":"https://github.com/citation-style-language/schema/raw/master/csl-citation.json"}</w:instrText>
      </w:r>
      <w:r>
        <w:fldChar w:fldCharType="separate"/>
      </w:r>
      <w:bookmarkStart w:id="55" w:name="__Fieldmark__11572_773578752"/>
      <w:bookmarkStart w:id="56" w:name="__Fieldmark__1038_1709958988"/>
      <w:bookmarkStart w:id="57" w:name="__Fieldmark__5519_1709958988"/>
      <w:bookmarkStart w:id="58" w:name="__Fieldmark__555_630641658"/>
      <w:r w:rsidR="00E07C04" w:rsidRPr="00E07C04">
        <w:rPr>
          <w:rFonts w:ascii="Times New Roman" w:hAnsi="Times New Roman" w:cs="Times New Roman"/>
          <w:noProof/>
          <w:vertAlign w:val="superscript"/>
        </w:rPr>
        <w:t>8</w:t>
      </w:r>
      <w:r>
        <w:fldChar w:fldCharType="end"/>
      </w:r>
      <w:bookmarkEnd w:id="55"/>
      <w:bookmarkEnd w:id="56"/>
      <w:bookmarkEnd w:id="57"/>
      <w:bookmarkEnd w:id="58"/>
      <w:r>
        <w:rPr>
          <w:rFonts w:ascii="Times New Roman" w:hAnsi="Times New Roman" w:cs="Times New Roman"/>
          <w:vertAlign w:val="superscript"/>
        </w:rPr>
        <w:t xml:space="preserve"> </w:t>
      </w:r>
      <w:r>
        <w:rPr>
          <w:rFonts w:ascii="Times New Roman" w:hAnsi="Times New Roman" w:cs="Times New Roman"/>
        </w:rPr>
        <w:t xml:space="preserve">combined with the small number of studies focusing on this climatic variable in our dataset. The dataset focusing on the effects of precipitation consisted of phenological traits only. We </w:t>
      </w:r>
      <w:r w:rsidR="0084307F">
        <w:rPr>
          <w:rFonts w:ascii="Times New Roman" w:hAnsi="Times New Roman" w:cs="Times New Roman"/>
        </w:rPr>
        <w:t xml:space="preserve">did not find a </w:t>
      </w:r>
      <w:r>
        <w:rPr>
          <w:rFonts w:ascii="Times New Roman" w:hAnsi="Times New Roman" w:cs="Times New Roman"/>
        </w:rPr>
        <w:t>significant association between precipitation and phenological traits in bot</w:t>
      </w:r>
      <w:r w:rsidR="00EC0D9F">
        <w:rPr>
          <w:rFonts w:ascii="Times New Roman" w:hAnsi="Times New Roman" w:cs="Times New Roman"/>
        </w:rPr>
        <w:t xml:space="preserve">h datasets (Supplementary Fig. </w:t>
      </w:r>
      <w:r>
        <w:rPr>
          <w:rFonts w:ascii="Times New Roman" w:hAnsi="Times New Roman" w:cs="Times New Roman"/>
        </w:rPr>
        <w:t xml:space="preserve">3b, Supplementary </w:t>
      </w:r>
      <w:r w:rsidR="00EC0D9F">
        <w:rPr>
          <w:rFonts w:ascii="Times New Roman" w:hAnsi="Times New Roman" w:cs="Times New Roman"/>
        </w:rPr>
        <w:t xml:space="preserve">Data </w:t>
      </w:r>
      <w:r>
        <w:rPr>
          <w:rFonts w:ascii="Times New Roman" w:hAnsi="Times New Roman" w:cs="Times New Roman"/>
        </w:rPr>
        <w:t>2). In the dataset investigating effects of precipitation on traits, we found marginally significant negative weighted mean</w:t>
      </w:r>
      <w:r w:rsidR="00EC0D9F">
        <w:rPr>
          <w:rFonts w:ascii="Times New Roman" w:hAnsi="Times New Roman" w:cs="Times New Roman"/>
        </w:rPr>
        <w:t xml:space="preserve"> annual</w:t>
      </w:r>
      <w:r>
        <w:rPr>
          <w:rFonts w:ascii="Times New Roman" w:hAnsi="Times New Roman" w:cs="Times New Roman"/>
        </w:rPr>
        <w:t xml:space="preserve"> selection </w:t>
      </w:r>
      <w:r w:rsidR="00EC0D9F">
        <w:rPr>
          <w:rFonts w:ascii="Times New Roman" w:hAnsi="Times New Roman" w:cs="Times New Roman"/>
        </w:rPr>
        <w:t xml:space="preserve">differential </w:t>
      </w:r>
      <w:r>
        <w:rPr>
          <w:rFonts w:ascii="Times New Roman" w:hAnsi="Times New Roman" w:cs="Times New Roman"/>
        </w:rPr>
        <w:t xml:space="preserve">over time (WMSD = </w:t>
      </w:r>
      <w:r>
        <w:rPr>
          <w:rFonts w:ascii="Times New Roman" w:hAnsi="Times New Roman" w:cs="Times New Roman"/>
          <w:iCs/>
          <w:lang w:val="en-GB"/>
        </w:rPr>
        <w:t>-0.10</w:t>
      </w:r>
      <w:r w:rsidR="00EA491A">
        <w:rPr>
          <w:rFonts w:ascii="Times New Roman" w:hAnsi="Times New Roman" w:cs="Times New Roman"/>
          <w:iCs/>
          <w:lang w:val="en-GB"/>
        </w:rPr>
        <w:t>1</w:t>
      </w:r>
      <w:r>
        <w:rPr>
          <w:rFonts w:ascii="Times New Roman" w:hAnsi="Times New Roman" w:cs="Times New Roman"/>
          <w:iCs/>
          <w:lang w:val="en-GB"/>
        </w:rPr>
        <w:t>±</w:t>
      </w:r>
      <w:r>
        <w:rPr>
          <w:rFonts w:ascii="Times New Roman" w:hAnsi="Times New Roman" w:cs="Times New Roman"/>
        </w:rPr>
        <w:t xml:space="preserve"> 0.048</w:t>
      </w:r>
      <w:r>
        <w:rPr>
          <w:rFonts w:ascii="Times New Roman" w:eastAsia="Calibri" w:hAnsi="Times New Roman" w:cs="Times New Roman"/>
          <w:color w:val="00000A"/>
          <w:lang w:val="en-GB" w:eastAsia="en-US"/>
        </w:rPr>
        <w:t xml:space="preserve"> </w:t>
      </w:r>
      <w:r>
        <w:rPr>
          <w:rFonts w:ascii="Times New Roman" w:hAnsi="Times New Roman" w:cs="Times New Roman"/>
          <w:lang w:val="en-GB"/>
        </w:rPr>
        <w:t>SD</w:t>
      </w:r>
      <w:r>
        <w:rPr>
          <w:rFonts w:ascii="Times New Roman" w:hAnsi="Times New Roman" w:cs="Times New Roman"/>
          <w:vertAlign w:val="superscript"/>
          <w:lang w:val="en-GB"/>
        </w:rPr>
        <w:t>-1</w:t>
      </w:r>
      <w:r>
        <w:rPr>
          <w:rFonts w:ascii="Times New Roman" w:hAnsi="Times New Roman" w:cs="Times New Roman"/>
        </w:rPr>
        <w:t xml:space="preserve">; LRT </w:t>
      </w:r>
      <w:r w:rsidRPr="004219E0">
        <w:rPr>
          <w:rFonts w:ascii="Times New Roman" w:hAnsi="Times New Roman" w:cs="Times New Roman"/>
          <w:lang w:val="en-GB"/>
        </w:rPr>
        <w:t xml:space="preserve">between the model assuming WMSD is non-zero and the one assuming it equals zero: </w:t>
      </w:r>
      <w:bookmarkStart w:id="59" w:name="OLE_LINK14"/>
      <w:bookmarkStart w:id="60" w:name="OLE_LINK13"/>
      <w:r w:rsidRPr="00FE5F08">
        <w:rPr>
          <w:rFonts w:ascii="Times New Roman" w:hAnsi="Times New Roman" w:cs="Times New Roman"/>
          <w:lang w:val="en-GB"/>
        </w:rPr>
        <w:t>χ</w:t>
      </w:r>
      <w:bookmarkEnd w:id="59"/>
      <w:bookmarkEnd w:id="60"/>
      <w:r w:rsidRPr="00CB2EFA">
        <w:rPr>
          <w:rFonts w:ascii="Times New Roman" w:hAnsi="Times New Roman" w:cs="Times New Roman"/>
          <w:vertAlign w:val="superscript"/>
          <w:lang w:val="en-GB"/>
        </w:rPr>
        <w:t>2</w:t>
      </w:r>
      <w:r w:rsidRPr="004219E0">
        <w:rPr>
          <w:rFonts w:ascii="Times New Roman" w:hAnsi="Times New Roman" w:cs="Times New Roman"/>
          <w:lang w:val="en-GB"/>
        </w:rPr>
        <w:t xml:space="preserve"> </w:t>
      </w:r>
      <w:r w:rsidR="00EA491A">
        <w:rPr>
          <w:rFonts w:ascii="Times New Roman" w:hAnsi="Times New Roman" w:cs="Times New Roman"/>
          <w:lang w:val="en-GB"/>
        </w:rPr>
        <w:t>= 3.2, df = 1, p = 0.072</w:t>
      </w:r>
      <w:r w:rsidRPr="004219E0">
        <w:rPr>
          <w:rFonts w:ascii="Times New Roman" w:hAnsi="Times New Roman" w:cs="Times New Roman"/>
          <w:lang w:val="en-GB"/>
        </w:rPr>
        <w:t xml:space="preserve">). </w:t>
      </w:r>
      <w:r>
        <w:rPr>
          <w:rFonts w:ascii="Times New Roman" w:hAnsi="Times New Roman" w:cs="Times New Roman"/>
          <w:lang w:val="en-GB"/>
        </w:rPr>
        <w:t xml:space="preserve">We found significant variation in selection among fitness components </w:t>
      </w:r>
      <w:r>
        <w:rPr>
          <w:rFonts w:ascii="Times New Roman" w:hAnsi="Times New Roman" w:cs="Times New Roman"/>
        </w:rPr>
        <w:t xml:space="preserve">with most negative selection found for recruitment (Supplementary </w:t>
      </w:r>
      <w:r w:rsidR="00EC0D9F">
        <w:rPr>
          <w:rFonts w:ascii="Times New Roman" w:hAnsi="Times New Roman" w:cs="Times New Roman"/>
        </w:rPr>
        <w:t xml:space="preserve">Data </w:t>
      </w:r>
      <w:r>
        <w:rPr>
          <w:rFonts w:ascii="Times New Roman" w:hAnsi="Times New Roman" w:cs="Times New Roman"/>
        </w:rPr>
        <w:t xml:space="preserve">1). </w:t>
      </w:r>
    </w:p>
    <w:p w14:paraId="060954FD" w14:textId="266C6F2B" w:rsidR="00A06FCC" w:rsidRPr="009E2480" w:rsidRDefault="00133B6A" w:rsidP="00223AFC">
      <w:pPr>
        <w:pStyle w:val="Normal1"/>
        <w:spacing w:before="120" w:line="480" w:lineRule="auto"/>
        <w:rPr>
          <w:rFonts w:ascii="Cambria" w:eastAsia="Cambria" w:hAnsi="Cambria" w:cs="Cambria"/>
          <w:b/>
          <w:sz w:val="26"/>
          <w:szCs w:val="26"/>
        </w:rPr>
      </w:pPr>
      <w:r>
        <w:rPr>
          <w:rFonts w:ascii="Cambria" w:eastAsia="Cambria" w:hAnsi="Cambria" w:cs="Cambria"/>
          <w:b/>
          <w:sz w:val="26"/>
          <w:szCs w:val="26"/>
        </w:rPr>
        <w:t>Heterogeneity among studies</w:t>
      </w:r>
    </w:p>
    <w:p w14:paraId="45400322" w14:textId="571FFA48" w:rsidR="00D86674" w:rsidRDefault="00A06FCC" w:rsidP="0038541C">
      <w:pPr>
        <w:pStyle w:val="Normal1"/>
        <w:spacing w:line="360" w:lineRule="auto"/>
        <w:ind w:firstLine="709"/>
      </w:pPr>
      <w:r w:rsidRPr="00334A69">
        <w:t xml:space="preserve">The meta-analytical models differed in the amount of heterogeneity among studies </w:t>
      </w:r>
      <w:r w:rsidR="00E72BF7">
        <w:t xml:space="preserve">(Supplementary Table </w:t>
      </w:r>
      <w:r w:rsidR="00B151E8">
        <w:t>1</w:t>
      </w:r>
      <w:r w:rsidRPr="00334A69">
        <w:t xml:space="preserve">). </w:t>
      </w:r>
      <w:r w:rsidR="003C3ED6">
        <w:t xml:space="preserve">For models </w:t>
      </w:r>
      <w:r w:rsidR="00BB0063">
        <w:t>focusing on the effects of</w:t>
      </w:r>
      <w:r w:rsidR="003C3ED6">
        <w:t xml:space="preserve"> temperature, t</w:t>
      </w:r>
      <w:r w:rsidRPr="00334A69">
        <w:t>he amount</w:t>
      </w:r>
      <w:r>
        <w:t xml:space="preserve"> of heterogeneity was moderate (Higgins </w:t>
      </w:r>
      <w:r w:rsidRPr="003C3ED6">
        <w:rPr>
          <w:i/>
        </w:rPr>
        <w:t>I</w:t>
      </w:r>
      <w:r>
        <w:rPr>
          <w:vertAlign w:val="superscript"/>
        </w:rPr>
        <w:t>2</w:t>
      </w:r>
      <w:r>
        <w:t xml:space="preserve"> bet</w:t>
      </w:r>
      <w:r w:rsidR="00AD66CF">
        <w:t xml:space="preserve">ween 0.3 and 0.6) </w:t>
      </w:r>
      <w:r w:rsidR="00BE4517">
        <w:t>in</w:t>
      </w:r>
      <w:r w:rsidR="00AD66CF">
        <w:t xml:space="preserve"> the model</w:t>
      </w:r>
      <w:r w:rsidR="00FF6611">
        <w:t>s</w:t>
      </w:r>
      <w:r>
        <w:t xml:space="preserve"> </w:t>
      </w:r>
      <w:r w:rsidR="00FF6611">
        <w:t xml:space="preserve">describing </w:t>
      </w:r>
      <w:r>
        <w:t xml:space="preserve">the change in temperature over years </w:t>
      </w:r>
      <w:r w:rsidR="003126E7">
        <w:t xml:space="preserve">and the </w:t>
      </w:r>
      <w:r w:rsidR="00FF6611">
        <w:t xml:space="preserve">change </w:t>
      </w:r>
      <w:r w:rsidR="003126E7">
        <w:t xml:space="preserve">of </w:t>
      </w:r>
      <w:r w:rsidR="00FF6611">
        <w:t xml:space="preserve">morphological </w:t>
      </w:r>
      <w:r w:rsidR="003126E7">
        <w:t xml:space="preserve">traits </w:t>
      </w:r>
      <w:r w:rsidR="00FF6611">
        <w:t xml:space="preserve">with </w:t>
      </w:r>
      <w:r w:rsidR="003126E7">
        <w:t xml:space="preserve">temperature </w:t>
      </w:r>
      <w:r>
        <w:t xml:space="preserve">in </w:t>
      </w:r>
      <w:r w:rsidR="00AD66CF">
        <w:t>the PRC dataset</w:t>
      </w:r>
      <w:r>
        <w:t>.</w:t>
      </w:r>
      <w:r w:rsidR="00AD66CF">
        <w:t xml:space="preserve"> The amount of heterogeneity was substantial (Higgins </w:t>
      </w:r>
      <w:r w:rsidR="00AD66CF" w:rsidRPr="003C3ED6">
        <w:rPr>
          <w:i/>
        </w:rPr>
        <w:t>I</w:t>
      </w:r>
      <w:r w:rsidR="00AD66CF">
        <w:rPr>
          <w:vertAlign w:val="superscript"/>
        </w:rPr>
        <w:t>2</w:t>
      </w:r>
      <w:r w:rsidR="00AD66CF">
        <w:t xml:space="preserve"> between 0.6 and 0.75)</w:t>
      </w:r>
      <w:r>
        <w:t xml:space="preserve"> for the model</w:t>
      </w:r>
      <w:r w:rsidR="00AD66CF">
        <w:t xml:space="preserve"> assessing</w:t>
      </w:r>
      <w:r>
        <w:t xml:space="preserve"> the </w:t>
      </w:r>
      <w:r w:rsidR="00343BCB">
        <w:t xml:space="preserve">change of temperature over years in the PRCS dataset and the model of </w:t>
      </w:r>
      <w:r>
        <w:t xml:space="preserve">association between temperature and </w:t>
      </w:r>
      <w:r w:rsidR="00E72BF7">
        <w:t>phenological traits in the PRC</w:t>
      </w:r>
      <w:r>
        <w:t xml:space="preserve"> dataset. We found </w:t>
      </w:r>
      <w:r w:rsidR="00AD66CF">
        <w:t>considerable</w:t>
      </w:r>
      <w:r>
        <w:t xml:space="preserve"> heterogeneity (Higgins </w:t>
      </w:r>
      <w:r w:rsidRPr="003C3ED6">
        <w:rPr>
          <w:i/>
        </w:rPr>
        <w:t>I</w:t>
      </w:r>
      <w:r>
        <w:rPr>
          <w:vertAlign w:val="superscript"/>
        </w:rPr>
        <w:t>2</w:t>
      </w:r>
      <w:r>
        <w:t xml:space="preserve"> &gt; 0.75) for models assessing WMS</w:t>
      </w:r>
      <w:r w:rsidR="00226EDC">
        <w:t>D</w:t>
      </w:r>
      <w:r>
        <w:t xml:space="preserve"> on both phenological and mor</w:t>
      </w:r>
      <w:r w:rsidR="00AD66CF">
        <w:t>phological traits and the model</w:t>
      </w:r>
      <w:r>
        <w:t xml:space="preserve"> of the relationship between </w:t>
      </w:r>
      <w:r w:rsidR="00AD66CF">
        <w:t xml:space="preserve">temperature </w:t>
      </w:r>
      <w:r>
        <w:t xml:space="preserve">and </w:t>
      </w:r>
      <w:r w:rsidR="00AD66CF">
        <w:t xml:space="preserve">phenological </w:t>
      </w:r>
      <w:r>
        <w:t>trait</w:t>
      </w:r>
      <w:r w:rsidR="00AD66CF">
        <w:t>s</w:t>
      </w:r>
      <w:r>
        <w:t xml:space="preserve"> </w:t>
      </w:r>
      <w:r w:rsidR="00AD66CF">
        <w:t xml:space="preserve">in </w:t>
      </w:r>
      <w:r>
        <w:t>the PRC</w:t>
      </w:r>
      <w:r w:rsidR="00A976EA">
        <w:t>S</w:t>
      </w:r>
      <w:r>
        <w:t xml:space="preserve"> dataset. </w:t>
      </w:r>
      <w:r w:rsidR="00364829">
        <w:t>The amount of het</w:t>
      </w:r>
      <w:r w:rsidR="003806D6">
        <w:t>erogeneity was low in the model</w:t>
      </w:r>
      <w:r w:rsidR="00364829">
        <w:t xml:space="preserve"> </w:t>
      </w:r>
      <w:r w:rsidR="003806D6">
        <w:t xml:space="preserve">describing </w:t>
      </w:r>
      <w:r w:rsidR="00364829">
        <w:t xml:space="preserve">the association of temperature and morphological traits in </w:t>
      </w:r>
      <w:r w:rsidR="003806D6">
        <w:t>the PRCS dataset</w:t>
      </w:r>
      <w:r w:rsidR="00364829">
        <w:t>.</w:t>
      </w:r>
    </w:p>
    <w:p w14:paraId="293AE04D" w14:textId="0479D37B" w:rsidR="00FA1BA8" w:rsidRDefault="00FE30E2" w:rsidP="00223AFC">
      <w:pPr>
        <w:pStyle w:val="Normal1"/>
        <w:spacing w:line="360" w:lineRule="auto"/>
        <w:ind w:firstLine="709"/>
      </w:pPr>
      <w:r>
        <w:t xml:space="preserve">For models </w:t>
      </w:r>
      <w:r w:rsidR="007146A2">
        <w:t xml:space="preserve">focussing on the effects </w:t>
      </w:r>
      <w:r>
        <w:t xml:space="preserve">of precipitation, the amount of heterogeneity was low </w:t>
      </w:r>
      <w:r w:rsidR="00BE4517">
        <w:t>in</w:t>
      </w:r>
      <w:r>
        <w:t xml:space="preserve"> the models testing the change in precipitation over years in both datasets (</w:t>
      </w:r>
      <w:r w:rsidR="007146A2">
        <w:t>Supplementary Table 1</w:t>
      </w:r>
      <w:r>
        <w:t>), but it was substantial (</w:t>
      </w:r>
      <w:r w:rsidRPr="00464BA6">
        <w:rPr>
          <w:i/>
        </w:rPr>
        <w:t>I</w:t>
      </w:r>
      <w:r>
        <w:rPr>
          <w:vertAlign w:val="superscript"/>
        </w:rPr>
        <w:t>2</w:t>
      </w:r>
      <w:r>
        <w:t xml:space="preserve"> &gt; 0.6) in the models describing the association of traits with precipitation in both datasets and the WMSD.</w:t>
      </w:r>
    </w:p>
    <w:p w14:paraId="6646A6B4" w14:textId="77777777" w:rsidR="00223AFC" w:rsidRDefault="00223AFC" w:rsidP="00223AFC">
      <w:pPr>
        <w:pStyle w:val="Normal1"/>
        <w:spacing w:line="360" w:lineRule="auto"/>
        <w:ind w:firstLine="709"/>
      </w:pPr>
    </w:p>
    <w:p w14:paraId="3F76378F" w14:textId="77777777" w:rsidR="00223AFC" w:rsidRDefault="00223AFC" w:rsidP="00223AFC">
      <w:pPr>
        <w:pStyle w:val="Normal1"/>
        <w:spacing w:line="360" w:lineRule="auto"/>
        <w:ind w:firstLine="709"/>
      </w:pPr>
    </w:p>
    <w:p w14:paraId="54942F1A" w14:textId="77777777" w:rsidR="009A2220" w:rsidRDefault="009A2220" w:rsidP="00223AFC">
      <w:pPr>
        <w:pStyle w:val="Normal1"/>
        <w:spacing w:before="120" w:line="480" w:lineRule="auto"/>
        <w:rPr>
          <w:rFonts w:ascii="Cambria" w:eastAsia="Cambria" w:hAnsi="Cambria" w:cs="Cambria"/>
          <w:b/>
          <w:sz w:val="26"/>
          <w:szCs w:val="26"/>
        </w:rPr>
      </w:pPr>
      <w:bookmarkStart w:id="61" w:name="OLE_LINK527"/>
      <w:bookmarkStart w:id="62" w:name="OLE_LINK528"/>
      <w:r>
        <w:rPr>
          <w:rFonts w:ascii="Cambria" w:eastAsia="Cambria" w:hAnsi="Cambria" w:cs="Cambria"/>
          <w:b/>
          <w:sz w:val="26"/>
          <w:szCs w:val="26"/>
        </w:rPr>
        <w:lastRenderedPageBreak/>
        <w:t>Test of publication bias</w:t>
      </w:r>
    </w:p>
    <w:bookmarkEnd w:id="61"/>
    <w:bookmarkEnd w:id="62"/>
    <w:p w14:paraId="53DFEA30" w14:textId="3D4A9CFE" w:rsidR="009A2220" w:rsidRDefault="009A2220" w:rsidP="009A2220">
      <w:pPr>
        <w:pStyle w:val="Normal1"/>
        <w:spacing w:line="360" w:lineRule="auto"/>
        <w:rPr>
          <w:rFonts w:eastAsiaTheme="minorEastAsia"/>
          <w:color w:val="auto"/>
        </w:rPr>
      </w:pPr>
      <w:r w:rsidRPr="008E7835">
        <w:rPr>
          <w:rFonts w:eastAsiaTheme="minorEastAsia"/>
          <w:color w:val="auto"/>
        </w:rPr>
        <w:t>We have not found evidence of the small-study effect for the effect sizes used to assess all three conditions with the PRCS</w:t>
      </w:r>
      <w:r w:rsidR="005C01F1">
        <w:rPr>
          <w:rFonts w:eastAsiaTheme="minorEastAsia"/>
          <w:color w:val="auto"/>
        </w:rPr>
        <w:t xml:space="preserve"> dataset (</w:t>
      </w:r>
      <w:bookmarkStart w:id="63" w:name="OLE_LINK15"/>
      <w:bookmarkStart w:id="64" w:name="OLE_LINK16"/>
      <w:r w:rsidR="005C01F1">
        <w:rPr>
          <w:rFonts w:eastAsiaTheme="minorEastAsia"/>
          <w:color w:val="auto"/>
        </w:rPr>
        <w:t xml:space="preserve">Supplementary </w:t>
      </w:r>
      <w:bookmarkEnd w:id="63"/>
      <w:bookmarkEnd w:id="64"/>
      <w:r w:rsidR="005C01F1">
        <w:rPr>
          <w:rFonts w:eastAsiaTheme="minorEastAsia"/>
          <w:color w:val="auto"/>
        </w:rPr>
        <w:t>Fig. 16</w:t>
      </w:r>
      <w:r w:rsidRPr="008E7835">
        <w:rPr>
          <w:rFonts w:eastAsiaTheme="minorEastAsia"/>
          <w:color w:val="auto"/>
        </w:rPr>
        <w:t xml:space="preserve">). For the effect sizes obtained with </w:t>
      </w:r>
      <w:r>
        <w:rPr>
          <w:rFonts w:eastAsiaTheme="minorEastAsia"/>
          <w:color w:val="auto"/>
        </w:rPr>
        <w:t xml:space="preserve">the </w:t>
      </w:r>
      <w:r w:rsidRPr="008E7835">
        <w:rPr>
          <w:rFonts w:eastAsiaTheme="minorEastAsia"/>
          <w:color w:val="auto"/>
        </w:rPr>
        <w:t xml:space="preserve">PRC dataset, no evidence of the small-study effect was found when testing condition </w:t>
      </w:r>
      <w:r>
        <w:rPr>
          <w:rFonts w:eastAsiaTheme="minorEastAsia"/>
          <w:color w:val="auto"/>
        </w:rPr>
        <w:t xml:space="preserve">2 </w:t>
      </w:r>
      <w:r w:rsidRPr="008E7835">
        <w:rPr>
          <w:rFonts w:eastAsiaTheme="minorEastAsia"/>
          <w:color w:val="auto"/>
        </w:rPr>
        <w:t>(</w:t>
      </w:r>
      <w:bookmarkStart w:id="65" w:name="OLE_LINK435"/>
      <w:bookmarkStart w:id="66" w:name="OLE_LINK436"/>
      <w:r w:rsidR="006A029B">
        <w:rPr>
          <w:rFonts w:eastAsiaTheme="minorEastAsia"/>
          <w:color w:val="auto"/>
        </w:rPr>
        <w:t xml:space="preserve">Supplementary </w:t>
      </w:r>
      <w:r w:rsidR="005C01F1">
        <w:rPr>
          <w:rFonts w:eastAsiaTheme="minorEastAsia"/>
          <w:color w:val="auto"/>
        </w:rPr>
        <w:t>Fig. 17</w:t>
      </w:r>
      <w:r w:rsidRPr="008E7835">
        <w:rPr>
          <w:rFonts w:eastAsiaTheme="minorEastAsia"/>
          <w:color w:val="auto"/>
        </w:rPr>
        <w:t>b,c</w:t>
      </w:r>
      <w:bookmarkEnd w:id="65"/>
      <w:bookmarkEnd w:id="66"/>
      <w:r w:rsidRPr="008E7835">
        <w:rPr>
          <w:rFonts w:eastAsiaTheme="minorEastAsia"/>
          <w:color w:val="auto"/>
        </w:rPr>
        <w:t>)</w:t>
      </w:r>
      <w:r>
        <w:rPr>
          <w:rFonts w:eastAsiaTheme="minorEastAsia"/>
          <w:color w:val="auto"/>
        </w:rPr>
        <w:t>. However, w</w:t>
      </w:r>
      <w:r w:rsidRPr="008E7835">
        <w:rPr>
          <w:rFonts w:eastAsiaTheme="minorEastAsia"/>
          <w:color w:val="auto"/>
        </w:rPr>
        <w:t xml:space="preserve">e found funnel plot asymmetry when testing condition </w:t>
      </w:r>
      <w:r>
        <w:rPr>
          <w:rFonts w:eastAsiaTheme="minorEastAsia"/>
          <w:color w:val="auto"/>
        </w:rPr>
        <w:t xml:space="preserve">1 </w:t>
      </w:r>
      <w:r w:rsidRPr="008E7835">
        <w:rPr>
          <w:rFonts w:eastAsiaTheme="minorEastAsia"/>
          <w:color w:val="auto"/>
        </w:rPr>
        <w:t>(</w:t>
      </w:r>
      <w:r w:rsidR="006A029B">
        <w:rPr>
          <w:rFonts w:eastAsiaTheme="minorEastAsia"/>
          <w:color w:val="auto"/>
        </w:rPr>
        <w:t xml:space="preserve">Supplementary </w:t>
      </w:r>
      <w:r w:rsidRPr="008E7835">
        <w:rPr>
          <w:rFonts w:eastAsiaTheme="minorEastAsia"/>
          <w:color w:val="auto"/>
        </w:rPr>
        <w:t>Fi</w:t>
      </w:r>
      <w:r w:rsidR="00165E4D">
        <w:rPr>
          <w:rFonts w:eastAsiaTheme="minorEastAsia"/>
          <w:color w:val="auto"/>
        </w:rPr>
        <w:t xml:space="preserve">g. </w:t>
      </w:r>
      <w:r w:rsidR="005C01F1">
        <w:rPr>
          <w:rFonts w:eastAsiaTheme="minorEastAsia"/>
          <w:color w:val="auto"/>
        </w:rPr>
        <w:t>17</w:t>
      </w:r>
      <w:r w:rsidRPr="008E7835">
        <w:rPr>
          <w:rFonts w:eastAsiaTheme="minorEastAsia"/>
          <w:color w:val="auto"/>
        </w:rPr>
        <w:t>a, Egger’</w:t>
      </w:r>
      <w:r>
        <w:rPr>
          <w:rFonts w:eastAsiaTheme="minorEastAsia"/>
          <w:color w:val="auto"/>
        </w:rPr>
        <w:t>s test: z = 5</w:t>
      </w:r>
      <w:r w:rsidRPr="008E7835">
        <w:rPr>
          <w:rFonts w:eastAsiaTheme="minorEastAsia"/>
          <w:color w:val="auto"/>
        </w:rPr>
        <w:t>.</w:t>
      </w:r>
      <w:r>
        <w:rPr>
          <w:rFonts w:eastAsiaTheme="minorEastAsia"/>
          <w:color w:val="auto"/>
        </w:rPr>
        <w:t>88</w:t>
      </w:r>
      <w:r w:rsidRPr="008E7835">
        <w:rPr>
          <w:rFonts w:eastAsiaTheme="minorEastAsia"/>
          <w:color w:val="auto"/>
        </w:rPr>
        <w:t xml:space="preserve">, p &lt; 0.001). </w:t>
      </w:r>
      <w:r>
        <w:rPr>
          <w:rFonts w:eastAsiaTheme="minorEastAsia"/>
          <w:color w:val="auto"/>
        </w:rPr>
        <w:t>Such evidence of plot asymmetry</w:t>
      </w:r>
      <w:r w:rsidRPr="008E7835">
        <w:rPr>
          <w:rFonts w:eastAsiaTheme="minorEastAsia"/>
          <w:color w:val="auto"/>
        </w:rPr>
        <w:t xml:space="preserve"> </w:t>
      </w:r>
      <w:r>
        <w:rPr>
          <w:rFonts w:eastAsiaTheme="minorEastAsia"/>
          <w:color w:val="auto"/>
        </w:rPr>
        <w:t>is unlikely to result from a</w:t>
      </w:r>
      <w:r w:rsidRPr="008E7835">
        <w:rPr>
          <w:rFonts w:eastAsiaTheme="minorEastAsia"/>
          <w:color w:val="auto"/>
        </w:rPr>
        <w:t xml:space="preserve"> publication bias</w:t>
      </w:r>
      <w:r>
        <w:rPr>
          <w:rFonts w:eastAsiaTheme="minorEastAsia"/>
          <w:color w:val="auto"/>
        </w:rPr>
        <w:t xml:space="preserve"> in this particular case</w:t>
      </w:r>
      <w:r w:rsidRPr="008E7835">
        <w:rPr>
          <w:rFonts w:eastAsiaTheme="minorEastAsia"/>
          <w:color w:val="auto"/>
        </w:rPr>
        <w:t xml:space="preserve">. </w:t>
      </w:r>
      <w:r>
        <w:rPr>
          <w:rFonts w:eastAsiaTheme="minorEastAsia"/>
          <w:color w:val="auto"/>
        </w:rPr>
        <w:t xml:space="preserve">Instead, as we show in </w:t>
      </w:r>
      <w:r w:rsidR="00C56D9C">
        <w:rPr>
          <w:rFonts w:eastAsiaTheme="minorEastAsia"/>
          <w:color w:val="auto"/>
        </w:rPr>
        <w:t xml:space="preserve">Supplementary Fig. </w:t>
      </w:r>
      <w:r>
        <w:rPr>
          <w:rFonts w:eastAsiaTheme="minorEastAsia"/>
          <w:color w:val="auto"/>
        </w:rPr>
        <w:t xml:space="preserve">5, studies spanning shorter period of time are associated with faster rate of climate change because 1) they correspond to more recent studies, and 2) the pace of climate change has been increasing. </w:t>
      </w:r>
      <w:r w:rsidRPr="008E7835">
        <w:rPr>
          <w:rFonts w:eastAsiaTheme="minorEastAsia"/>
          <w:color w:val="auto"/>
        </w:rPr>
        <w:t>Interestingly, the fact that shorter time series revealed higher rates of warming is in line with the recent study</w:t>
      </w:r>
      <w:r w:rsidRPr="008E7835">
        <w:rPr>
          <w:rFonts w:eastAsiaTheme="minorEastAsia"/>
          <w:color w:val="auto"/>
          <w:vertAlign w:val="superscript"/>
        </w:rPr>
        <w:fldChar w:fldCharType="begin" w:fldLock="1"/>
      </w:r>
      <w:r w:rsidR="00702BB9">
        <w:rPr>
          <w:rFonts w:eastAsiaTheme="minorEastAsia"/>
          <w:color w:val="auto"/>
          <w:vertAlign w:val="superscript"/>
        </w:rPr>
        <w:instrText>ADDIN CSL_CITATION {"citationItems":[{"id":"ITEM-1","itemData":{"DOI":"10.1038/s41598-018-22258-0","ISSN":"20452322","abstract":"In the Northern Hemisphere, springtime events are frequently reported as advancing more rapidly at higher latitudes, presumably due to an acceleration of warming with latitude. However, this assumption has not been investigated in an analytical framework that simultaneously examines acceleration of warming with latitude while accounting for variation in phenological time series characteristics that might also co-vary with latitude. We analyzed 743 phenological trend estimates spanning 86 years and 42.6 degrees of latitude in the Northern Hemisphere, as well as rates of Northern Hemisphere warming over the same period and latitudinal range. We detected significant patterns of co-variation in phenological time series characteristics that may confound estimates of the magnitude of variation in trends with latitude. Notably, shorter and more recent time series tended to produce the strongest phenological trends, and these also tended to be from higher latitude studies. However, accounting for such variation only slightly modified the relationship between rates of phenological advance and latitude, which was highly significant. Furthermore, warming has increased non-linearly with latitude over the past several decades, most strongly since 1998 and northward of 59°N latitude. The acceleration of warming with latitude has likely contributed to an acceleration of phenological advance along the same gradient.","author":[{"dropping-particle":"","family":"Post","given":"Eric","non-dropping-particle":"","parse-names":false,"suffix":""},{"dropping-particle":"","family":"Steinman","given":"Byron A.","non-dropping-particle":"","parse-names":false,"suffix":""},{"dropping-particle":"","family":"Mann","given":"Michael E.","non-dropping-particle":"","parse-names":false,"suffix":""}],"container-title":"Scientific Reports","id":"ITEM-1","issue":"1","issued":{"date-parts":[["2018"]]},"page":"3927","title":"Acceleration of phenological advance and warming with latitude over the past century","type":"article-journal","volume":"8"},"uris":["http://www.mendeley.com/documents/?uuid=b45b9d2a-94a5-4d58-a241-e3370346cfe9"]}],"mendeley":{"formattedCitation":"&lt;sup&gt;10&lt;/sup&gt;","plainTextFormattedCitation":"10","previouslyFormattedCitation":"&lt;sup&gt;10&lt;/sup&gt;"},"properties":{"noteIndex":0},"schema":"https://github.com/citation-style-language/schema/raw/master/csl-citation.json"}</w:instrText>
      </w:r>
      <w:r w:rsidRPr="008E7835">
        <w:rPr>
          <w:rFonts w:eastAsiaTheme="minorEastAsia"/>
          <w:color w:val="auto"/>
          <w:vertAlign w:val="superscript"/>
        </w:rPr>
        <w:fldChar w:fldCharType="separate"/>
      </w:r>
      <w:r w:rsidR="00E07C04" w:rsidRPr="00E07C04">
        <w:rPr>
          <w:rFonts w:eastAsiaTheme="minorEastAsia"/>
          <w:noProof/>
          <w:color w:val="auto"/>
          <w:vertAlign w:val="superscript"/>
        </w:rPr>
        <w:t>10</w:t>
      </w:r>
      <w:r w:rsidRPr="008E7835">
        <w:rPr>
          <w:rFonts w:eastAsiaTheme="minorEastAsia"/>
          <w:color w:val="auto"/>
          <w:vertAlign w:val="superscript"/>
        </w:rPr>
        <w:fldChar w:fldCharType="end"/>
      </w:r>
      <w:r w:rsidRPr="008E7835">
        <w:rPr>
          <w:rFonts w:eastAsiaTheme="minorEastAsia"/>
          <w:color w:val="auto"/>
          <w:vertAlign w:val="superscript"/>
        </w:rPr>
        <w:t xml:space="preserve"> </w:t>
      </w:r>
      <w:r w:rsidRPr="008E7835">
        <w:rPr>
          <w:rFonts w:eastAsiaTheme="minorEastAsia"/>
          <w:color w:val="auto"/>
        </w:rPr>
        <w:t>reporting the same findings.</w:t>
      </w:r>
    </w:p>
    <w:p w14:paraId="755995EF" w14:textId="77777777" w:rsidR="000103B5" w:rsidRDefault="000103B5" w:rsidP="0038541C">
      <w:pPr>
        <w:pStyle w:val="Normal1"/>
        <w:spacing w:line="360" w:lineRule="auto"/>
        <w:ind w:firstLine="709"/>
      </w:pPr>
    </w:p>
    <w:p w14:paraId="1ADEE7CA" w14:textId="77777777" w:rsidR="000103B5" w:rsidRDefault="000103B5" w:rsidP="00C224C5">
      <w:pPr>
        <w:pStyle w:val="Normal1"/>
        <w:spacing w:line="360" w:lineRule="auto"/>
        <w:sectPr w:rsidR="000103B5" w:rsidSect="006F1713">
          <w:headerReference w:type="even" r:id="rId55"/>
          <w:headerReference w:type="default" r:id="rId56"/>
          <w:footerReference w:type="even" r:id="rId57"/>
          <w:footerReference w:type="default" r:id="rId58"/>
          <w:type w:val="continuous"/>
          <w:pgSz w:w="11906" w:h="16838"/>
          <w:pgMar w:top="1417" w:right="1417" w:bottom="1134" w:left="1417" w:header="708" w:footer="708" w:gutter="0"/>
          <w:cols w:space="720"/>
          <w:formProt w:val="0"/>
          <w:docGrid w:linePitch="360" w:charSpace="-6145"/>
        </w:sectPr>
      </w:pPr>
    </w:p>
    <w:p w14:paraId="3F1045B8" w14:textId="403D54C3" w:rsidR="00175C4E" w:rsidRDefault="00270F19">
      <w:pPr>
        <w:spacing w:line="360" w:lineRule="auto"/>
        <w:rPr>
          <w:rFonts w:ascii="Times New Roman" w:hAnsi="Times New Roman" w:cs="Times New Roman"/>
          <w:b/>
        </w:rPr>
      </w:pPr>
      <w:r w:rsidRPr="00270F19">
        <w:rPr>
          <w:rFonts w:ascii="Times New Roman" w:hAnsi="Times New Roman" w:cs="Times New Roman"/>
          <w:b/>
          <w:bCs/>
          <w:caps/>
        </w:rPr>
        <w:lastRenderedPageBreak/>
        <w:t xml:space="preserve">Supplementary </w:t>
      </w:r>
      <w:r w:rsidR="00C44D4A" w:rsidRPr="00270F19">
        <w:rPr>
          <w:rFonts w:ascii="Times New Roman" w:hAnsi="Times New Roman" w:cs="Times New Roman"/>
          <w:b/>
          <w:bCs/>
          <w:caps/>
        </w:rPr>
        <w:t>References</w:t>
      </w:r>
    </w:p>
    <w:p w14:paraId="793C3130" w14:textId="0DF0D89F" w:rsidR="00702BB9" w:rsidRPr="00702BB9" w:rsidRDefault="00C44D4A" w:rsidP="00702BB9">
      <w:pPr>
        <w:widowControl w:val="0"/>
        <w:autoSpaceDE w:val="0"/>
        <w:autoSpaceDN w:val="0"/>
        <w:adjustRightInd w:val="0"/>
        <w:spacing w:line="360" w:lineRule="auto"/>
        <w:ind w:left="640" w:hanging="640"/>
        <w:rPr>
          <w:rFonts w:ascii="Times New Roman" w:hAnsi="Times New Roman" w:cs="Times New Roman"/>
          <w:noProof/>
        </w:rPr>
      </w:pPr>
      <w:r>
        <w:fldChar w:fldCharType="begin" w:fldLock="1"/>
      </w:r>
      <w:r w:rsidR="00025A78">
        <w:instrText>ADDIN</w:instrText>
      </w:r>
      <w:r>
        <w:instrText xml:space="preserve"> Mendeley Bibliography CSL_BIBLIOGRAPHY</w:instrText>
      </w:r>
      <w:r>
        <w:fldChar w:fldCharType="separate"/>
      </w:r>
      <w:r w:rsidR="00702BB9" w:rsidRPr="00702BB9">
        <w:rPr>
          <w:rFonts w:ascii="Times New Roman" w:hAnsi="Times New Roman" w:cs="Times New Roman"/>
          <w:noProof/>
        </w:rPr>
        <w:t>1.</w:t>
      </w:r>
      <w:r w:rsidR="00702BB9" w:rsidRPr="00702BB9">
        <w:rPr>
          <w:rFonts w:ascii="Times New Roman" w:hAnsi="Times New Roman" w:cs="Times New Roman"/>
          <w:noProof/>
        </w:rPr>
        <w:tab/>
        <w:t xml:space="preserve">Wikham, H. </w:t>
      </w:r>
      <w:r w:rsidR="00702BB9" w:rsidRPr="00702BB9">
        <w:rPr>
          <w:rFonts w:ascii="Times New Roman" w:hAnsi="Times New Roman" w:cs="Times New Roman"/>
          <w:i/>
          <w:iCs/>
          <w:noProof/>
        </w:rPr>
        <w:t>ggplot2: Elegant Graphics for Data Analysis</w:t>
      </w:r>
      <w:r w:rsidR="00702BB9" w:rsidRPr="00702BB9">
        <w:rPr>
          <w:rFonts w:ascii="Times New Roman" w:hAnsi="Times New Roman" w:cs="Times New Roman"/>
          <w:noProof/>
        </w:rPr>
        <w:t>. (Springer-Verlag, 2016).</w:t>
      </w:r>
    </w:p>
    <w:p w14:paraId="1537F859" w14:textId="77777777" w:rsidR="00702BB9" w:rsidRPr="00702BB9" w:rsidRDefault="00702BB9" w:rsidP="00702BB9">
      <w:pPr>
        <w:widowControl w:val="0"/>
        <w:autoSpaceDE w:val="0"/>
        <w:autoSpaceDN w:val="0"/>
        <w:adjustRightInd w:val="0"/>
        <w:spacing w:line="360" w:lineRule="auto"/>
        <w:ind w:left="640" w:hanging="640"/>
        <w:rPr>
          <w:rFonts w:ascii="Times New Roman" w:hAnsi="Times New Roman" w:cs="Times New Roman"/>
          <w:noProof/>
        </w:rPr>
      </w:pPr>
      <w:r w:rsidRPr="00702BB9">
        <w:rPr>
          <w:rFonts w:ascii="Times New Roman" w:hAnsi="Times New Roman" w:cs="Times New Roman"/>
          <w:noProof/>
        </w:rPr>
        <w:t>2.</w:t>
      </w:r>
      <w:r w:rsidRPr="00702BB9">
        <w:rPr>
          <w:rFonts w:ascii="Times New Roman" w:hAnsi="Times New Roman" w:cs="Times New Roman"/>
          <w:noProof/>
        </w:rPr>
        <w:tab/>
        <w:t xml:space="preserve">Estes, S. &amp; Arnold, S. J. Resolving the paradox of stasis: Models with stabilizing selection explain evolutionary divergence on all timescales. </w:t>
      </w:r>
      <w:r w:rsidRPr="00702BB9">
        <w:rPr>
          <w:rFonts w:ascii="Times New Roman" w:hAnsi="Times New Roman" w:cs="Times New Roman"/>
          <w:i/>
          <w:iCs/>
          <w:noProof/>
        </w:rPr>
        <w:t>Am. Nat.</w:t>
      </w:r>
      <w:r w:rsidRPr="00702BB9">
        <w:rPr>
          <w:rFonts w:ascii="Times New Roman" w:hAnsi="Times New Roman" w:cs="Times New Roman"/>
          <w:noProof/>
        </w:rPr>
        <w:t xml:space="preserve"> </w:t>
      </w:r>
      <w:r w:rsidRPr="00702BB9">
        <w:rPr>
          <w:rFonts w:ascii="Times New Roman" w:hAnsi="Times New Roman" w:cs="Times New Roman"/>
          <w:b/>
          <w:bCs/>
          <w:noProof/>
        </w:rPr>
        <w:t>169</w:t>
      </w:r>
      <w:r w:rsidRPr="00702BB9">
        <w:rPr>
          <w:rFonts w:ascii="Times New Roman" w:hAnsi="Times New Roman" w:cs="Times New Roman"/>
          <w:noProof/>
        </w:rPr>
        <w:t>, 227–244 (2007).</w:t>
      </w:r>
    </w:p>
    <w:p w14:paraId="1F3F3631" w14:textId="77777777" w:rsidR="00702BB9" w:rsidRPr="00702BB9" w:rsidRDefault="00702BB9" w:rsidP="00702BB9">
      <w:pPr>
        <w:widowControl w:val="0"/>
        <w:autoSpaceDE w:val="0"/>
        <w:autoSpaceDN w:val="0"/>
        <w:adjustRightInd w:val="0"/>
        <w:spacing w:line="360" w:lineRule="auto"/>
        <w:ind w:left="640" w:hanging="640"/>
        <w:rPr>
          <w:rFonts w:ascii="Times New Roman" w:hAnsi="Times New Roman" w:cs="Times New Roman"/>
          <w:noProof/>
        </w:rPr>
      </w:pPr>
      <w:r w:rsidRPr="00702BB9">
        <w:rPr>
          <w:rFonts w:ascii="Times New Roman" w:hAnsi="Times New Roman" w:cs="Times New Roman"/>
          <w:noProof/>
        </w:rPr>
        <w:t>3.</w:t>
      </w:r>
      <w:r w:rsidRPr="00702BB9">
        <w:rPr>
          <w:rFonts w:ascii="Times New Roman" w:hAnsi="Times New Roman" w:cs="Times New Roman"/>
          <w:noProof/>
        </w:rPr>
        <w:tab/>
        <w:t xml:space="preserve">Goodenough, A. E., Hart, A. G. &amp; Elliot, S. L. What prevents phenological adjustment to climate change in migrant bird species? Evidence against the ‘arrival constraint’ hypothesis. </w:t>
      </w:r>
      <w:r w:rsidRPr="00702BB9">
        <w:rPr>
          <w:rFonts w:ascii="Times New Roman" w:hAnsi="Times New Roman" w:cs="Times New Roman"/>
          <w:i/>
          <w:iCs/>
          <w:noProof/>
        </w:rPr>
        <w:t>Int. J. Biometeorol.</w:t>
      </w:r>
      <w:r w:rsidRPr="00702BB9">
        <w:rPr>
          <w:rFonts w:ascii="Times New Roman" w:hAnsi="Times New Roman" w:cs="Times New Roman"/>
          <w:noProof/>
        </w:rPr>
        <w:t xml:space="preserve"> </w:t>
      </w:r>
      <w:r w:rsidRPr="00702BB9">
        <w:rPr>
          <w:rFonts w:ascii="Times New Roman" w:hAnsi="Times New Roman" w:cs="Times New Roman"/>
          <w:b/>
          <w:bCs/>
          <w:noProof/>
        </w:rPr>
        <w:t>55</w:t>
      </w:r>
      <w:r w:rsidRPr="00702BB9">
        <w:rPr>
          <w:rFonts w:ascii="Times New Roman" w:hAnsi="Times New Roman" w:cs="Times New Roman"/>
          <w:noProof/>
        </w:rPr>
        <w:t>, 97–102 (2011).</w:t>
      </w:r>
    </w:p>
    <w:p w14:paraId="570EB0B1" w14:textId="77777777" w:rsidR="00702BB9" w:rsidRPr="00702BB9" w:rsidRDefault="00702BB9" w:rsidP="00702BB9">
      <w:pPr>
        <w:widowControl w:val="0"/>
        <w:autoSpaceDE w:val="0"/>
        <w:autoSpaceDN w:val="0"/>
        <w:adjustRightInd w:val="0"/>
        <w:spacing w:line="360" w:lineRule="auto"/>
        <w:ind w:left="640" w:hanging="640"/>
        <w:rPr>
          <w:rFonts w:ascii="Times New Roman" w:hAnsi="Times New Roman" w:cs="Times New Roman"/>
          <w:noProof/>
        </w:rPr>
      </w:pPr>
      <w:r w:rsidRPr="00702BB9">
        <w:rPr>
          <w:rFonts w:ascii="Times New Roman" w:hAnsi="Times New Roman" w:cs="Times New Roman"/>
          <w:noProof/>
        </w:rPr>
        <w:t>4.</w:t>
      </w:r>
      <w:r w:rsidRPr="00702BB9">
        <w:rPr>
          <w:rFonts w:ascii="Times New Roman" w:hAnsi="Times New Roman" w:cs="Times New Roman"/>
          <w:noProof/>
        </w:rPr>
        <w:tab/>
        <w:t xml:space="preserve">Plard, F. </w:t>
      </w:r>
      <w:r w:rsidRPr="00702BB9">
        <w:rPr>
          <w:rFonts w:ascii="Times New Roman" w:hAnsi="Times New Roman" w:cs="Times New Roman"/>
          <w:i/>
          <w:iCs/>
          <w:noProof/>
        </w:rPr>
        <w:t>et al.</w:t>
      </w:r>
      <w:r w:rsidRPr="00702BB9">
        <w:rPr>
          <w:rFonts w:ascii="Times New Roman" w:hAnsi="Times New Roman" w:cs="Times New Roman"/>
          <w:noProof/>
        </w:rPr>
        <w:t xml:space="preserve"> Mismatch between birth date and vegetation phenology slows the demography of roe deer. </w:t>
      </w:r>
      <w:r w:rsidRPr="00702BB9">
        <w:rPr>
          <w:rFonts w:ascii="Times New Roman" w:hAnsi="Times New Roman" w:cs="Times New Roman"/>
          <w:i/>
          <w:iCs/>
          <w:noProof/>
        </w:rPr>
        <w:t>PLoS Biol.</w:t>
      </w:r>
      <w:r w:rsidRPr="00702BB9">
        <w:rPr>
          <w:rFonts w:ascii="Times New Roman" w:hAnsi="Times New Roman" w:cs="Times New Roman"/>
          <w:noProof/>
        </w:rPr>
        <w:t xml:space="preserve"> </w:t>
      </w:r>
      <w:r w:rsidRPr="00702BB9">
        <w:rPr>
          <w:rFonts w:ascii="Times New Roman" w:hAnsi="Times New Roman" w:cs="Times New Roman"/>
          <w:b/>
          <w:bCs/>
          <w:noProof/>
        </w:rPr>
        <w:t>12</w:t>
      </w:r>
      <w:r w:rsidRPr="00702BB9">
        <w:rPr>
          <w:rFonts w:ascii="Times New Roman" w:hAnsi="Times New Roman" w:cs="Times New Roman"/>
          <w:noProof/>
        </w:rPr>
        <w:t>, e1001828 (2014).</w:t>
      </w:r>
    </w:p>
    <w:p w14:paraId="699D6DA9" w14:textId="77777777" w:rsidR="00702BB9" w:rsidRPr="00702BB9" w:rsidRDefault="00702BB9" w:rsidP="00702BB9">
      <w:pPr>
        <w:widowControl w:val="0"/>
        <w:autoSpaceDE w:val="0"/>
        <w:autoSpaceDN w:val="0"/>
        <w:adjustRightInd w:val="0"/>
        <w:spacing w:line="360" w:lineRule="auto"/>
        <w:ind w:left="640" w:hanging="640"/>
        <w:rPr>
          <w:rFonts w:ascii="Times New Roman" w:hAnsi="Times New Roman" w:cs="Times New Roman"/>
          <w:noProof/>
        </w:rPr>
      </w:pPr>
      <w:r w:rsidRPr="00702BB9">
        <w:rPr>
          <w:rFonts w:ascii="Times New Roman" w:hAnsi="Times New Roman" w:cs="Times New Roman"/>
          <w:noProof/>
        </w:rPr>
        <w:t>5.</w:t>
      </w:r>
      <w:r w:rsidRPr="00702BB9">
        <w:rPr>
          <w:rFonts w:ascii="Times New Roman" w:hAnsi="Times New Roman" w:cs="Times New Roman"/>
          <w:noProof/>
        </w:rPr>
        <w:tab/>
        <w:t xml:space="preserve">Kingsolver, J. G. </w:t>
      </w:r>
      <w:r w:rsidRPr="00702BB9">
        <w:rPr>
          <w:rFonts w:ascii="Times New Roman" w:hAnsi="Times New Roman" w:cs="Times New Roman"/>
          <w:i/>
          <w:iCs/>
          <w:noProof/>
        </w:rPr>
        <w:t>et al.</w:t>
      </w:r>
      <w:r w:rsidRPr="00702BB9">
        <w:rPr>
          <w:rFonts w:ascii="Times New Roman" w:hAnsi="Times New Roman" w:cs="Times New Roman"/>
          <w:noProof/>
        </w:rPr>
        <w:t xml:space="preserve"> The strength of phenotypic selection in natural populations. </w:t>
      </w:r>
      <w:r w:rsidRPr="00702BB9">
        <w:rPr>
          <w:rFonts w:ascii="Times New Roman" w:hAnsi="Times New Roman" w:cs="Times New Roman"/>
          <w:i/>
          <w:iCs/>
          <w:noProof/>
        </w:rPr>
        <w:t>Am. Nat.</w:t>
      </w:r>
      <w:r w:rsidRPr="00702BB9">
        <w:rPr>
          <w:rFonts w:ascii="Times New Roman" w:hAnsi="Times New Roman" w:cs="Times New Roman"/>
          <w:noProof/>
        </w:rPr>
        <w:t xml:space="preserve"> </w:t>
      </w:r>
      <w:r w:rsidRPr="00702BB9">
        <w:rPr>
          <w:rFonts w:ascii="Times New Roman" w:hAnsi="Times New Roman" w:cs="Times New Roman"/>
          <w:b/>
          <w:bCs/>
          <w:noProof/>
        </w:rPr>
        <w:t>157</w:t>
      </w:r>
      <w:r w:rsidRPr="00702BB9">
        <w:rPr>
          <w:rFonts w:ascii="Times New Roman" w:hAnsi="Times New Roman" w:cs="Times New Roman"/>
          <w:noProof/>
        </w:rPr>
        <w:t>, 245–261 (2001).</w:t>
      </w:r>
    </w:p>
    <w:p w14:paraId="5784D3CB" w14:textId="77777777" w:rsidR="00702BB9" w:rsidRPr="00702BB9" w:rsidRDefault="00702BB9" w:rsidP="00702BB9">
      <w:pPr>
        <w:widowControl w:val="0"/>
        <w:autoSpaceDE w:val="0"/>
        <w:autoSpaceDN w:val="0"/>
        <w:adjustRightInd w:val="0"/>
        <w:spacing w:line="360" w:lineRule="auto"/>
        <w:ind w:left="640" w:hanging="640"/>
        <w:rPr>
          <w:rFonts w:ascii="Times New Roman" w:hAnsi="Times New Roman" w:cs="Times New Roman"/>
          <w:noProof/>
        </w:rPr>
      </w:pPr>
      <w:r w:rsidRPr="00702BB9">
        <w:rPr>
          <w:rFonts w:ascii="Times New Roman" w:hAnsi="Times New Roman" w:cs="Times New Roman"/>
          <w:noProof/>
        </w:rPr>
        <w:t>6.</w:t>
      </w:r>
      <w:r w:rsidRPr="00702BB9">
        <w:rPr>
          <w:rFonts w:ascii="Times New Roman" w:hAnsi="Times New Roman" w:cs="Times New Roman"/>
          <w:noProof/>
        </w:rPr>
        <w:tab/>
        <w:t xml:space="preserve">Frankham, R. Effective population size/adult population size ratios in wildlife: A review. </w:t>
      </w:r>
      <w:r w:rsidRPr="00702BB9">
        <w:rPr>
          <w:rFonts w:ascii="Times New Roman" w:hAnsi="Times New Roman" w:cs="Times New Roman"/>
          <w:i/>
          <w:iCs/>
          <w:noProof/>
        </w:rPr>
        <w:t>Genetics Research</w:t>
      </w:r>
      <w:r w:rsidRPr="00702BB9">
        <w:rPr>
          <w:rFonts w:ascii="Times New Roman" w:hAnsi="Times New Roman" w:cs="Times New Roman"/>
          <w:noProof/>
        </w:rPr>
        <w:t xml:space="preserve"> </w:t>
      </w:r>
      <w:r w:rsidRPr="00702BB9">
        <w:rPr>
          <w:rFonts w:ascii="Times New Roman" w:hAnsi="Times New Roman" w:cs="Times New Roman"/>
          <w:b/>
          <w:bCs/>
          <w:noProof/>
        </w:rPr>
        <w:t>89</w:t>
      </w:r>
      <w:r w:rsidRPr="00702BB9">
        <w:rPr>
          <w:rFonts w:ascii="Times New Roman" w:hAnsi="Times New Roman" w:cs="Times New Roman"/>
          <w:noProof/>
        </w:rPr>
        <w:t>, 491–503 (2008).</w:t>
      </w:r>
    </w:p>
    <w:p w14:paraId="1DBE0610" w14:textId="77777777" w:rsidR="00702BB9" w:rsidRPr="00702BB9" w:rsidRDefault="00702BB9" w:rsidP="00702BB9">
      <w:pPr>
        <w:widowControl w:val="0"/>
        <w:autoSpaceDE w:val="0"/>
        <w:autoSpaceDN w:val="0"/>
        <w:adjustRightInd w:val="0"/>
        <w:spacing w:line="360" w:lineRule="auto"/>
        <w:ind w:left="640" w:hanging="640"/>
        <w:rPr>
          <w:rFonts w:ascii="Times New Roman" w:hAnsi="Times New Roman" w:cs="Times New Roman"/>
          <w:noProof/>
        </w:rPr>
      </w:pPr>
      <w:r w:rsidRPr="00702BB9">
        <w:rPr>
          <w:rFonts w:ascii="Times New Roman" w:hAnsi="Times New Roman" w:cs="Times New Roman"/>
          <w:noProof/>
        </w:rPr>
        <w:t>7.</w:t>
      </w:r>
      <w:r w:rsidRPr="00702BB9">
        <w:rPr>
          <w:rFonts w:ascii="Times New Roman" w:hAnsi="Times New Roman" w:cs="Times New Roman"/>
          <w:noProof/>
        </w:rPr>
        <w:tab/>
        <w:t xml:space="preserve">Gienapp, P. </w:t>
      </w:r>
      <w:r w:rsidRPr="00702BB9">
        <w:rPr>
          <w:rFonts w:ascii="Times New Roman" w:hAnsi="Times New Roman" w:cs="Times New Roman"/>
          <w:i/>
          <w:iCs/>
          <w:noProof/>
        </w:rPr>
        <w:t>et al.</w:t>
      </w:r>
      <w:r w:rsidRPr="00702BB9">
        <w:rPr>
          <w:rFonts w:ascii="Times New Roman" w:hAnsi="Times New Roman" w:cs="Times New Roman"/>
          <w:noProof/>
        </w:rPr>
        <w:t xml:space="preserve"> Predicting demographically sustainable rates of adaptation: can great tit breeding time keep pace with climate change? </w:t>
      </w:r>
      <w:r w:rsidRPr="00702BB9">
        <w:rPr>
          <w:rFonts w:ascii="Times New Roman" w:hAnsi="Times New Roman" w:cs="Times New Roman"/>
          <w:i/>
          <w:iCs/>
          <w:noProof/>
        </w:rPr>
        <w:t>Philos. Trans. R. Soc. B Biol. Sci.</w:t>
      </w:r>
      <w:r w:rsidRPr="00702BB9">
        <w:rPr>
          <w:rFonts w:ascii="Times New Roman" w:hAnsi="Times New Roman" w:cs="Times New Roman"/>
          <w:noProof/>
        </w:rPr>
        <w:t xml:space="preserve"> </w:t>
      </w:r>
      <w:r w:rsidRPr="00702BB9">
        <w:rPr>
          <w:rFonts w:ascii="Times New Roman" w:hAnsi="Times New Roman" w:cs="Times New Roman"/>
          <w:b/>
          <w:bCs/>
          <w:noProof/>
        </w:rPr>
        <w:t>368</w:t>
      </w:r>
      <w:r w:rsidRPr="00702BB9">
        <w:rPr>
          <w:rFonts w:ascii="Times New Roman" w:hAnsi="Times New Roman" w:cs="Times New Roman"/>
          <w:noProof/>
        </w:rPr>
        <w:t>, 20120289 (2012).</w:t>
      </w:r>
    </w:p>
    <w:p w14:paraId="1DFB5C32" w14:textId="77777777" w:rsidR="00702BB9" w:rsidRPr="00702BB9" w:rsidRDefault="00702BB9" w:rsidP="00702BB9">
      <w:pPr>
        <w:widowControl w:val="0"/>
        <w:autoSpaceDE w:val="0"/>
        <w:autoSpaceDN w:val="0"/>
        <w:adjustRightInd w:val="0"/>
        <w:spacing w:line="360" w:lineRule="auto"/>
        <w:ind w:left="640" w:hanging="640"/>
        <w:rPr>
          <w:rFonts w:ascii="Times New Roman" w:hAnsi="Times New Roman" w:cs="Times New Roman"/>
          <w:noProof/>
        </w:rPr>
      </w:pPr>
      <w:r w:rsidRPr="00702BB9">
        <w:rPr>
          <w:rFonts w:ascii="Times New Roman" w:hAnsi="Times New Roman" w:cs="Times New Roman"/>
          <w:noProof/>
        </w:rPr>
        <w:t>8.</w:t>
      </w:r>
      <w:r w:rsidRPr="00702BB9">
        <w:rPr>
          <w:rFonts w:ascii="Times New Roman" w:hAnsi="Times New Roman" w:cs="Times New Roman"/>
          <w:noProof/>
        </w:rPr>
        <w:tab/>
        <w:t xml:space="preserve">Folland, C. K., Karl, T. R. &amp; Salinger, M. J. Observed climate variability and change. </w:t>
      </w:r>
      <w:r w:rsidRPr="00702BB9">
        <w:rPr>
          <w:rFonts w:ascii="Times New Roman" w:hAnsi="Times New Roman" w:cs="Times New Roman"/>
          <w:i/>
          <w:iCs/>
          <w:noProof/>
        </w:rPr>
        <w:t>Weather</w:t>
      </w:r>
      <w:r w:rsidRPr="00702BB9">
        <w:rPr>
          <w:rFonts w:ascii="Times New Roman" w:hAnsi="Times New Roman" w:cs="Times New Roman"/>
          <w:noProof/>
        </w:rPr>
        <w:t xml:space="preserve"> </w:t>
      </w:r>
      <w:r w:rsidRPr="00702BB9">
        <w:rPr>
          <w:rFonts w:ascii="Times New Roman" w:hAnsi="Times New Roman" w:cs="Times New Roman"/>
          <w:b/>
          <w:bCs/>
          <w:noProof/>
        </w:rPr>
        <w:t>57</w:t>
      </w:r>
      <w:r w:rsidRPr="00702BB9">
        <w:rPr>
          <w:rFonts w:ascii="Times New Roman" w:hAnsi="Times New Roman" w:cs="Times New Roman"/>
          <w:noProof/>
        </w:rPr>
        <w:t>, 269–278 (2002).</w:t>
      </w:r>
    </w:p>
    <w:p w14:paraId="4F0CAF79" w14:textId="77777777" w:rsidR="00702BB9" w:rsidRPr="00702BB9" w:rsidRDefault="00702BB9" w:rsidP="00702BB9">
      <w:pPr>
        <w:widowControl w:val="0"/>
        <w:autoSpaceDE w:val="0"/>
        <w:autoSpaceDN w:val="0"/>
        <w:adjustRightInd w:val="0"/>
        <w:spacing w:line="360" w:lineRule="auto"/>
        <w:ind w:left="640" w:hanging="640"/>
        <w:rPr>
          <w:rFonts w:ascii="Times New Roman" w:hAnsi="Times New Roman" w:cs="Times New Roman"/>
          <w:noProof/>
        </w:rPr>
      </w:pPr>
      <w:r w:rsidRPr="00702BB9">
        <w:rPr>
          <w:rFonts w:ascii="Times New Roman" w:hAnsi="Times New Roman" w:cs="Times New Roman"/>
          <w:noProof/>
        </w:rPr>
        <w:t>9.</w:t>
      </w:r>
      <w:r w:rsidRPr="00702BB9">
        <w:rPr>
          <w:rFonts w:ascii="Times New Roman" w:hAnsi="Times New Roman" w:cs="Times New Roman"/>
          <w:noProof/>
        </w:rPr>
        <w:tab/>
        <w:t xml:space="preserve">IPCC. </w:t>
      </w:r>
      <w:r w:rsidRPr="00702BB9">
        <w:rPr>
          <w:rFonts w:ascii="Times New Roman" w:hAnsi="Times New Roman" w:cs="Times New Roman"/>
          <w:i/>
          <w:iCs/>
          <w:noProof/>
        </w:rPr>
        <w:t>Climate Change 2014: Synthesis Report</w:t>
      </w:r>
      <w:r w:rsidRPr="00702BB9">
        <w:rPr>
          <w:rFonts w:ascii="Times New Roman" w:hAnsi="Times New Roman" w:cs="Times New Roman"/>
          <w:noProof/>
        </w:rPr>
        <w:t xml:space="preserve">. </w:t>
      </w:r>
      <w:r w:rsidRPr="00702BB9">
        <w:rPr>
          <w:rFonts w:ascii="Times New Roman" w:hAnsi="Times New Roman" w:cs="Times New Roman"/>
          <w:i/>
          <w:iCs/>
          <w:noProof/>
        </w:rPr>
        <w:t>Contribution of Working Groups I, II and III to the Fifth Assessment Report of the Intergovernmental Panel on Climate Change. In: Core Writing Team, Pachauri RK, Meyer LA (eds) IPCC, Geneva, Switzerland, 151 p.</w:t>
      </w:r>
      <w:r w:rsidRPr="00702BB9">
        <w:rPr>
          <w:rFonts w:ascii="Times New Roman" w:hAnsi="Times New Roman" w:cs="Times New Roman"/>
          <w:noProof/>
        </w:rPr>
        <w:t xml:space="preserve"> (2014). doi:10.1017/CBO9781107415324</w:t>
      </w:r>
    </w:p>
    <w:p w14:paraId="34B48F79" w14:textId="77777777" w:rsidR="00702BB9" w:rsidRPr="00702BB9" w:rsidRDefault="00702BB9" w:rsidP="00702BB9">
      <w:pPr>
        <w:widowControl w:val="0"/>
        <w:autoSpaceDE w:val="0"/>
        <w:autoSpaceDN w:val="0"/>
        <w:adjustRightInd w:val="0"/>
        <w:spacing w:line="360" w:lineRule="auto"/>
        <w:ind w:left="640" w:hanging="640"/>
        <w:rPr>
          <w:rFonts w:ascii="Times New Roman" w:hAnsi="Times New Roman" w:cs="Times New Roman"/>
          <w:noProof/>
        </w:rPr>
      </w:pPr>
      <w:r w:rsidRPr="00702BB9">
        <w:rPr>
          <w:rFonts w:ascii="Times New Roman" w:hAnsi="Times New Roman" w:cs="Times New Roman"/>
          <w:noProof/>
        </w:rPr>
        <w:t>10.</w:t>
      </w:r>
      <w:r w:rsidRPr="00702BB9">
        <w:rPr>
          <w:rFonts w:ascii="Times New Roman" w:hAnsi="Times New Roman" w:cs="Times New Roman"/>
          <w:noProof/>
        </w:rPr>
        <w:tab/>
        <w:t xml:space="preserve">Post, E., Steinman, B. A. &amp; Mann, M. E. Acceleration of phenological advance and warming with latitude over the past century. </w:t>
      </w:r>
      <w:r w:rsidRPr="00702BB9">
        <w:rPr>
          <w:rFonts w:ascii="Times New Roman" w:hAnsi="Times New Roman" w:cs="Times New Roman"/>
          <w:i/>
          <w:iCs/>
          <w:noProof/>
        </w:rPr>
        <w:t>Sci. Rep.</w:t>
      </w:r>
      <w:r w:rsidRPr="00702BB9">
        <w:rPr>
          <w:rFonts w:ascii="Times New Roman" w:hAnsi="Times New Roman" w:cs="Times New Roman"/>
          <w:noProof/>
        </w:rPr>
        <w:t xml:space="preserve"> </w:t>
      </w:r>
      <w:r w:rsidRPr="00702BB9">
        <w:rPr>
          <w:rFonts w:ascii="Times New Roman" w:hAnsi="Times New Roman" w:cs="Times New Roman"/>
          <w:b/>
          <w:bCs/>
          <w:noProof/>
        </w:rPr>
        <w:t>8</w:t>
      </w:r>
      <w:r w:rsidRPr="00702BB9">
        <w:rPr>
          <w:rFonts w:ascii="Times New Roman" w:hAnsi="Times New Roman" w:cs="Times New Roman"/>
          <w:noProof/>
        </w:rPr>
        <w:t>, 3927 (2018).</w:t>
      </w:r>
    </w:p>
    <w:p w14:paraId="6E4F6C4C" w14:textId="7275A459" w:rsidR="00175C4E" w:rsidRDefault="00C44D4A" w:rsidP="00702BB9">
      <w:pPr>
        <w:widowControl w:val="0"/>
        <w:autoSpaceDE w:val="0"/>
        <w:autoSpaceDN w:val="0"/>
        <w:adjustRightInd w:val="0"/>
        <w:spacing w:line="360" w:lineRule="auto"/>
        <w:ind w:left="640" w:hanging="640"/>
      </w:pPr>
      <w:r>
        <w:fldChar w:fldCharType="end"/>
      </w:r>
    </w:p>
    <w:bookmarkEnd w:id="41"/>
    <w:bookmarkEnd w:id="42"/>
    <w:p w14:paraId="62C977CA" w14:textId="77777777" w:rsidR="00175C4E" w:rsidRDefault="00175C4E" w:rsidP="00EB1C05">
      <w:pPr>
        <w:widowControl w:val="0"/>
        <w:spacing w:line="360" w:lineRule="auto"/>
      </w:pPr>
    </w:p>
    <w:sectPr w:rsidR="00175C4E" w:rsidSect="006F1713">
      <w:pgSz w:w="11906" w:h="16838"/>
      <w:pgMar w:top="1417" w:right="1417" w:bottom="1134" w:left="1417" w:header="708" w:footer="708" w:gutter="0"/>
      <w:cols w:space="720"/>
      <w:formProt w:val="0"/>
      <w:docGrid w:linePitch="360" w:charSpace="-6145"/>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30718C8" w15:done="0"/>
  <w15:commentEx w15:paraId="56E230E9" w15:done="0"/>
  <w15:commentEx w15:paraId="5ABA38CF" w15:done="0"/>
  <w15:commentEx w15:paraId="15225DC1" w15:done="0"/>
  <w15:commentEx w15:paraId="17284D16" w15:paraIdParent="15225DC1" w15:done="0"/>
  <w15:commentEx w15:paraId="3FF24EEF" w15:done="0"/>
  <w15:commentEx w15:paraId="181D09A9" w15:done="0"/>
  <w15:commentEx w15:paraId="211E4EC2" w15:done="0"/>
  <w15:commentEx w15:paraId="00917017" w15:paraIdParent="211E4EC2" w15:done="0"/>
  <w15:commentEx w15:paraId="58D26A11" w15:done="0"/>
  <w15:commentEx w15:paraId="0EB5D2F6" w15:paraIdParent="58D26A11" w15:done="0"/>
  <w15:commentEx w15:paraId="1605959F" w15:done="0"/>
  <w15:commentEx w15:paraId="7DA76774" w15:done="0"/>
  <w15:commentEx w15:paraId="1F4741C4" w15:done="0"/>
  <w15:commentEx w15:paraId="1C33BCCA" w15:done="0"/>
  <w15:commentEx w15:paraId="358236C0" w15:done="0"/>
  <w15:commentEx w15:paraId="2F6CDAA5" w15:done="0"/>
  <w15:commentEx w15:paraId="4C4D0A5E" w15:done="0"/>
  <w15:commentEx w15:paraId="7C1CEA87" w15:done="0"/>
  <w15:commentEx w15:paraId="709B743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E230E9" w16cid:durableId="203B840A"/>
  <w16cid:commentId w16cid:paraId="5ABA38CF" w16cid:durableId="203B848B"/>
  <w16cid:commentId w16cid:paraId="15225DC1" w16cid:durableId="203B849B"/>
  <w16cid:commentId w16cid:paraId="3FF24EEF" w16cid:durableId="203B84CE"/>
  <w16cid:commentId w16cid:paraId="181D09A9" w16cid:durableId="203B84E6"/>
  <w16cid:commentId w16cid:paraId="211E4EC2" w16cid:durableId="203B8506"/>
  <w16cid:commentId w16cid:paraId="58D26A11" w16cid:durableId="203B8528"/>
  <w16cid:commentId w16cid:paraId="1605959F" w16cid:durableId="203B85A4"/>
  <w16cid:commentId w16cid:paraId="7DA76774" w16cid:durableId="203B8620"/>
  <w16cid:commentId w16cid:paraId="1F4741C4" w16cid:durableId="203B8660"/>
  <w16cid:commentId w16cid:paraId="358236C0" w16cid:durableId="203B8697"/>
  <w16cid:commentId w16cid:paraId="709B743B" w16cid:durableId="203B87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FAAC1B" w14:textId="77777777" w:rsidR="0004371B" w:rsidRDefault="0004371B">
      <w:r>
        <w:separator/>
      </w:r>
    </w:p>
  </w:endnote>
  <w:endnote w:type="continuationSeparator" w:id="0">
    <w:p w14:paraId="6CBAFE7E" w14:textId="77777777" w:rsidR="0004371B" w:rsidRDefault="0004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embedRegular r:id="rId1" w:fontKey="{CE00EB07-DBCC-465E-8ECA-1E55A9658708}"/>
    <w:embedBold r:id="rId2" w:fontKey="{F44658B0-8CE8-4E7B-A5D0-D1E6FF15742C}"/>
    <w:embedItalic r:id="rId3" w:fontKey="{FAFB99B0-D30D-457C-83A2-C01CF327AD65}"/>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Arial"/>
    <w:charset w:val="00"/>
    <w:family w:val="auto"/>
    <w:pitch w:val="variable"/>
    <w:sig w:usb0="E1000AEF" w:usb1="5000A1FF" w:usb2="00000000" w:usb3="00000000" w:csb0="000001BF" w:csb1="00000000"/>
  </w:font>
  <w:font w:name="PMingLiU">
    <w:altName w:val="新細明體"/>
    <w:panose1 w:val="02020500000000000000"/>
    <w:charset w:val="88"/>
    <w:family w:val="roman"/>
    <w:pitch w:val="variable"/>
    <w:sig w:usb0="A00002FF" w:usb1="28CFFCFA" w:usb2="00000016" w:usb3="00000000" w:csb0="00100001" w:csb1="00000000"/>
  </w:font>
  <w:font w:name="Liberation Sans">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embedRegular r:id="rId4" w:fontKey="{D32D04EC-E74C-4EDF-9C64-7352BE4E3FA3}"/>
    <w:embedBold r:id="rId5" w:fontKey="{D76DC6AC-C3BB-497B-8CC5-D7F948B2ADFB}"/>
    <w:embedItalic r:id="rId6" w:fontKey="{BFB7882B-FF6F-4A72-B104-7B2C55085E96}"/>
    <w:embedBoldItalic r:id="rId7" w:fontKey="{9B38C697-C684-4016-A669-2092D41A7C41}"/>
  </w:font>
  <w:font w:name="Calibri">
    <w:panose1 w:val="020F0502020204030204"/>
    <w:charset w:val="00"/>
    <w:family w:val="swiss"/>
    <w:pitch w:val="variable"/>
    <w:sig w:usb0="E00002FF" w:usb1="4000ACFF" w:usb2="00000001" w:usb3="00000000" w:csb0="0000019F" w:csb1="00000000"/>
    <w:embedRegular r:id="rId8" w:fontKey="{27D44949-809E-4033-8CF3-D67B7F571073}"/>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3E0BA" w14:textId="77777777" w:rsidR="00175972" w:rsidRDefault="00175972" w:rsidP="009F365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461AF">
      <w:rPr>
        <w:rStyle w:val="PageNumber"/>
        <w:noProof/>
      </w:rPr>
      <w:t>2</w:t>
    </w:r>
    <w:r>
      <w:rPr>
        <w:rStyle w:val="PageNumber"/>
      </w:rPr>
      <w:fldChar w:fldCharType="end"/>
    </w:r>
  </w:p>
  <w:p w14:paraId="18198018" w14:textId="77777777" w:rsidR="00175972" w:rsidRDefault="00175972" w:rsidP="00605E3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3B2023" w14:textId="77777777" w:rsidR="00175972" w:rsidRDefault="00175972" w:rsidP="009F365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461AF">
      <w:rPr>
        <w:rStyle w:val="PageNumber"/>
        <w:noProof/>
      </w:rPr>
      <w:t>1</w:t>
    </w:r>
    <w:r>
      <w:rPr>
        <w:rStyle w:val="PageNumber"/>
      </w:rPr>
      <w:fldChar w:fldCharType="end"/>
    </w:r>
  </w:p>
  <w:p w14:paraId="5D0C202C" w14:textId="77777777" w:rsidR="00175972" w:rsidRDefault="00175972" w:rsidP="00605E34">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26563F" w14:textId="77777777" w:rsidR="00175972" w:rsidRDefault="00175972" w:rsidP="00800BA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461AF">
      <w:rPr>
        <w:rStyle w:val="PageNumber"/>
        <w:noProof/>
      </w:rPr>
      <w:t>4</w:t>
    </w:r>
    <w:r>
      <w:rPr>
        <w:rStyle w:val="PageNumber"/>
      </w:rPr>
      <w:fldChar w:fldCharType="end"/>
    </w:r>
  </w:p>
  <w:p w14:paraId="54DBF309" w14:textId="77777777" w:rsidR="00175972" w:rsidRDefault="00175972" w:rsidP="00800BAA">
    <w:pPr>
      <w:pStyle w:val="Footer1"/>
      <w:ind w:right="360" w:firstLine="360"/>
    </w:pPr>
    <w:r>
      <w:rPr>
        <w:noProof/>
        <w:lang w:val="en-GB" w:eastAsia="en-GB"/>
      </w:rPr>
      <mc:AlternateContent>
        <mc:Choice Requires="wps">
          <w:drawing>
            <wp:anchor distT="0" distB="0" distL="0" distR="0" simplePos="0" relativeHeight="3" behindDoc="0" locked="0" layoutInCell="1" allowOverlap="1" wp14:anchorId="2F42F488" wp14:editId="36ABC4A6">
              <wp:simplePos x="0" y="0"/>
              <wp:positionH relativeFrom="margin">
                <wp:align>right</wp:align>
              </wp:positionH>
              <wp:positionV relativeFrom="paragraph">
                <wp:posOffset>635</wp:posOffset>
              </wp:positionV>
              <wp:extent cx="85090" cy="178435"/>
              <wp:effectExtent l="0" t="0" r="0" b="0"/>
              <wp:wrapSquare wrapText="largest"/>
              <wp:docPr id="1" name="Frame1"/>
              <wp:cNvGraphicFramePr/>
              <a:graphic xmlns:a="http://schemas.openxmlformats.org/drawingml/2006/main">
                <a:graphicData uri="http://schemas.microsoft.com/office/word/2010/wordprocessingShape">
                  <wps:wsp>
                    <wps:cNvSpPr txBox="1"/>
                    <wps:spPr>
                      <a:xfrm>
                        <a:off x="0" y="0"/>
                        <a:ext cx="85090" cy="178435"/>
                      </a:xfrm>
                      <a:prstGeom prst="rect">
                        <a:avLst/>
                      </a:prstGeom>
                      <a:solidFill>
                        <a:srgbClr val="FFFFFF">
                          <a:alpha val="0"/>
                        </a:srgbClr>
                      </a:solidFill>
                    </wps:spPr>
                    <wps:txbx>
                      <w:txbxContent>
                        <w:p w14:paraId="100B9800" w14:textId="77777777" w:rsidR="00175972" w:rsidRDefault="00175972">
                          <w:pPr>
                            <w:pStyle w:val="Footer1"/>
                          </w:pPr>
                          <w:r>
                            <w:rPr>
                              <w:rStyle w:val="PageNumber"/>
                            </w:rPr>
                            <w:fldChar w:fldCharType="begin"/>
                          </w:r>
                          <w:r>
                            <w:instrText>PAGE</w:instrText>
                          </w:r>
                          <w:r>
                            <w:fldChar w:fldCharType="separate"/>
                          </w:r>
                          <w:r w:rsidR="001461AF">
                            <w:rPr>
                              <w:noProof/>
                            </w:rPr>
                            <w:t>4</w:t>
                          </w:r>
                          <w: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Frame1" o:spid="_x0000_s1026" type="#_x0000_t202" style="position:absolute;left:0;text-align:left;margin-left:-44.5pt;margin-top:.05pt;width:6.7pt;height:14.05pt;z-index:3;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" stroked="f">
              <v:fill opacity="0"/>
              <v:textbox style="mso-fit-shape-to-text:t" inset="0,0,0,0">
                <w:txbxContent>
                  <w:p w14:paraId="100B9800" w14:textId="77777777" w:rsidR="00175972" w:rsidRDefault="00175972">
                    <w:pPr>
                      <w:pStyle w:val="Footer1"/>
                    </w:pPr>
                    <w:r>
                      <w:rPr>
                        <w:rStyle w:val="PageNumber"/>
                      </w:rPr>
                      <w:fldChar w:fldCharType="begin"/>
                    </w:r>
                    <w:r>
                      <w:instrText>PAGE</w:instrText>
                    </w:r>
                    <w:r>
                      <w:fldChar w:fldCharType="separate"/>
                    </w:r>
                    <w:r w:rsidR="001461AF">
                      <w:rPr>
                        <w:noProof/>
                      </w:rPr>
                      <w:t>4</w:t>
                    </w:r>
                    <w:r>
                      <w:fldChar w:fldCharType="end"/>
                    </w:r>
                  </w:p>
                </w:txbxContent>
              </v:textbox>
              <w10:wrap type="square" side="largest"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057497" w14:textId="77777777" w:rsidR="00175972" w:rsidRDefault="00175972" w:rsidP="00800BA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461AF">
      <w:rPr>
        <w:rStyle w:val="PageNumber"/>
        <w:noProof/>
      </w:rPr>
      <w:t>3</w:t>
    </w:r>
    <w:r>
      <w:rPr>
        <w:rStyle w:val="PageNumber"/>
      </w:rPr>
      <w:fldChar w:fldCharType="end"/>
    </w:r>
  </w:p>
  <w:p w14:paraId="596EA6A8" w14:textId="77777777" w:rsidR="00175972" w:rsidRDefault="00175972" w:rsidP="00800BAA">
    <w:pPr>
      <w:pStyle w:val="Footer1"/>
      <w:ind w:right="360" w:firstLine="360"/>
    </w:pPr>
    <w:r>
      <w:rPr>
        <w:noProof/>
        <w:lang w:val="en-GB" w:eastAsia="en-GB"/>
      </w:rPr>
      <mc:AlternateContent>
        <mc:Choice Requires="wps">
          <w:drawing>
            <wp:anchor distT="0" distB="0" distL="0" distR="0" simplePos="0" relativeHeight="2" behindDoc="0" locked="0" layoutInCell="1" allowOverlap="1" wp14:anchorId="76A3D377" wp14:editId="05F48128">
              <wp:simplePos x="0" y="0"/>
              <wp:positionH relativeFrom="margin">
                <wp:align>right</wp:align>
              </wp:positionH>
              <wp:positionV relativeFrom="paragraph">
                <wp:posOffset>635</wp:posOffset>
              </wp:positionV>
              <wp:extent cx="85090" cy="178435"/>
              <wp:effectExtent l="0" t="0" r="0" b="0"/>
              <wp:wrapSquare wrapText="largest"/>
              <wp:docPr id="2" name="Frame2"/>
              <wp:cNvGraphicFramePr/>
              <a:graphic xmlns:a="http://schemas.openxmlformats.org/drawingml/2006/main">
                <a:graphicData uri="http://schemas.microsoft.com/office/word/2010/wordprocessingShape">
                  <wps:wsp>
                    <wps:cNvSpPr txBox="1"/>
                    <wps:spPr>
                      <a:xfrm>
                        <a:off x="0" y="0"/>
                        <a:ext cx="85090" cy="178435"/>
                      </a:xfrm>
                      <a:prstGeom prst="rect">
                        <a:avLst/>
                      </a:prstGeom>
                      <a:solidFill>
                        <a:srgbClr val="FFFFFF">
                          <a:alpha val="0"/>
                        </a:srgbClr>
                      </a:solidFill>
                    </wps:spPr>
                    <wps:txbx>
                      <w:txbxContent>
                        <w:p w14:paraId="64FBF252" w14:textId="77777777" w:rsidR="00175972" w:rsidRDefault="00175972">
                          <w:pPr>
                            <w:pStyle w:val="Footer1"/>
                          </w:pPr>
                          <w:r>
                            <w:rPr>
                              <w:rStyle w:val="PageNumber"/>
                            </w:rPr>
                            <w:fldChar w:fldCharType="begin"/>
                          </w:r>
                          <w:r>
                            <w:instrText>PAGE</w:instrText>
                          </w:r>
                          <w:r>
                            <w:fldChar w:fldCharType="separate"/>
                          </w:r>
                          <w:r w:rsidR="001461AF">
                            <w:rPr>
                              <w:noProof/>
                            </w:rPr>
                            <w:t>3</w:t>
                          </w:r>
                          <w: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Frame2" o:spid="_x0000_s1027" type="#_x0000_t202" style="position:absolute;left:0;text-align:left;margin-left:-44.5pt;margin-top:.05pt;width:6.7pt;height:14.05pt;z-index: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" stroked="f">
              <v:fill opacity="0"/>
              <v:textbox style="mso-fit-shape-to-text:t" inset="0,0,0,0">
                <w:txbxContent>
                  <w:p w14:paraId="64FBF252" w14:textId="77777777" w:rsidR="00175972" w:rsidRDefault="00175972">
                    <w:pPr>
                      <w:pStyle w:val="Footer1"/>
                    </w:pPr>
                    <w:r>
                      <w:rPr>
                        <w:rStyle w:val="PageNumber"/>
                      </w:rPr>
                      <w:fldChar w:fldCharType="begin"/>
                    </w:r>
                    <w:r>
                      <w:instrText>PAGE</w:instrText>
                    </w:r>
                    <w:r>
                      <w:fldChar w:fldCharType="separate"/>
                    </w:r>
                    <w:r w:rsidR="001461AF">
                      <w:rPr>
                        <w:noProof/>
                      </w:rPr>
                      <w:t>3</w:t>
                    </w:r>
                    <w:r>
                      <w:fldChar w:fldCharType="end"/>
                    </w:r>
                  </w:p>
                </w:txbxContent>
              </v:textbox>
              <w10:wrap type="square" side="largest"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F3B6F3" w14:textId="77777777" w:rsidR="00175972" w:rsidRDefault="00175972" w:rsidP="00800BA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461AF">
      <w:rPr>
        <w:rStyle w:val="PageNumber"/>
        <w:noProof/>
      </w:rPr>
      <w:t>22</w:t>
    </w:r>
    <w:r>
      <w:rPr>
        <w:rStyle w:val="PageNumber"/>
      </w:rPr>
      <w:fldChar w:fldCharType="end"/>
    </w:r>
  </w:p>
  <w:p w14:paraId="6F557E50" w14:textId="77777777" w:rsidR="00175972" w:rsidRDefault="00175972" w:rsidP="00800BAA">
    <w:pPr>
      <w:pStyle w:val="Footer1"/>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BE5442" w14:textId="77777777" w:rsidR="00175972" w:rsidRDefault="00175972" w:rsidP="00800BA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461AF">
      <w:rPr>
        <w:rStyle w:val="PageNumber"/>
        <w:noProof/>
      </w:rPr>
      <w:t>21</w:t>
    </w:r>
    <w:r>
      <w:rPr>
        <w:rStyle w:val="PageNumber"/>
      </w:rPr>
      <w:fldChar w:fldCharType="end"/>
    </w:r>
  </w:p>
  <w:p w14:paraId="3229C186" w14:textId="77777777" w:rsidR="00175972" w:rsidRDefault="00175972" w:rsidP="00800BAA">
    <w:pPr>
      <w:pStyle w:val="Footer1"/>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361A27" w14:textId="77777777" w:rsidR="00175972" w:rsidRDefault="00175972" w:rsidP="00800BA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0C68E7">
      <w:rPr>
        <w:rStyle w:val="PageNumber"/>
        <w:noProof/>
      </w:rPr>
      <w:t>24</w:t>
    </w:r>
    <w:r>
      <w:rPr>
        <w:rStyle w:val="PageNumber"/>
      </w:rPr>
      <w:fldChar w:fldCharType="end"/>
    </w:r>
  </w:p>
  <w:p w14:paraId="00961FE4" w14:textId="77777777" w:rsidR="00175972" w:rsidRDefault="00175972" w:rsidP="00800BAA">
    <w:pPr>
      <w:pStyle w:val="Footer1"/>
      <w:ind w:right="360"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98C75" w14:textId="77777777" w:rsidR="00175972" w:rsidRDefault="00175972" w:rsidP="00800BA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461AF">
      <w:rPr>
        <w:rStyle w:val="PageNumber"/>
        <w:noProof/>
      </w:rPr>
      <w:t>23</w:t>
    </w:r>
    <w:r>
      <w:rPr>
        <w:rStyle w:val="PageNumber"/>
      </w:rPr>
      <w:fldChar w:fldCharType="end"/>
    </w:r>
  </w:p>
  <w:p w14:paraId="357E4FFD" w14:textId="77777777" w:rsidR="00175972" w:rsidRDefault="00175972" w:rsidP="00800BAA">
    <w:pPr>
      <w:pStyle w:val="Footer1"/>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63CB73" w14:textId="77777777" w:rsidR="00175972" w:rsidRDefault="00175972" w:rsidP="00800BA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461AF">
      <w:rPr>
        <w:rStyle w:val="PageNumber"/>
        <w:noProof/>
      </w:rPr>
      <w:t>24</w:t>
    </w:r>
    <w:r>
      <w:rPr>
        <w:rStyle w:val="PageNumber"/>
      </w:rPr>
      <w:fldChar w:fldCharType="end"/>
    </w:r>
  </w:p>
  <w:p w14:paraId="61C964ED" w14:textId="77777777" w:rsidR="00175972" w:rsidRDefault="00175972" w:rsidP="00800BAA">
    <w:pPr>
      <w:pStyle w:val="Footer1"/>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80D4D7" w14:textId="77777777" w:rsidR="00175972" w:rsidRDefault="00175972" w:rsidP="00800BA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0C68E7">
      <w:rPr>
        <w:rStyle w:val="PageNumber"/>
        <w:noProof/>
      </w:rPr>
      <w:t>25</w:t>
    </w:r>
    <w:r>
      <w:rPr>
        <w:rStyle w:val="PageNumber"/>
      </w:rPr>
      <w:fldChar w:fldCharType="end"/>
    </w:r>
  </w:p>
  <w:p w14:paraId="3CDD0657" w14:textId="77777777" w:rsidR="00175972" w:rsidRDefault="00175972" w:rsidP="00800BAA">
    <w:pPr>
      <w:pStyle w:val="Footer1"/>
      <w:ind w:right="360"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A3AEB" w14:textId="77777777" w:rsidR="00175972" w:rsidRDefault="00175972" w:rsidP="00800BA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461AF">
      <w:rPr>
        <w:rStyle w:val="PageNumber"/>
        <w:noProof/>
      </w:rPr>
      <w:t>26</w:t>
    </w:r>
    <w:r>
      <w:rPr>
        <w:rStyle w:val="PageNumber"/>
      </w:rPr>
      <w:fldChar w:fldCharType="end"/>
    </w:r>
  </w:p>
  <w:p w14:paraId="75F6B7E1" w14:textId="77777777" w:rsidR="00175972" w:rsidRDefault="00175972" w:rsidP="00800BAA">
    <w:pPr>
      <w:pStyle w:val="Footer1"/>
      <w:ind w:right="360"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131DAB" w14:textId="77777777" w:rsidR="00175972" w:rsidRDefault="00175972" w:rsidP="00800BA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461AF">
      <w:rPr>
        <w:rStyle w:val="PageNumber"/>
        <w:noProof/>
      </w:rPr>
      <w:t>25</w:t>
    </w:r>
    <w:r>
      <w:rPr>
        <w:rStyle w:val="PageNumber"/>
      </w:rPr>
      <w:fldChar w:fldCharType="end"/>
    </w:r>
  </w:p>
  <w:p w14:paraId="36BF7DC0" w14:textId="77777777" w:rsidR="00175972" w:rsidRDefault="00175972" w:rsidP="00800BAA">
    <w:pPr>
      <w:pStyle w:val="Footer1"/>
      <w:ind w:right="360" w:firstLine="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F951EC" w14:textId="77777777" w:rsidR="00175972" w:rsidRDefault="00175972" w:rsidP="00800BA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461AF">
      <w:rPr>
        <w:rStyle w:val="PageNumber"/>
        <w:noProof/>
      </w:rPr>
      <w:t>28</w:t>
    </w:r>
    <w:r>
      <w:rPr>
        <w:rStyle w:val="PageNumber"/>
      </w:rPr>
      <w:fldChar w:fldCharType="end"/>
    </w:r>
  </w:p>
  <w:p w14:paraId="04BD7B05" w14:textId="77777777" w:rsidR="00175972" w:rsidRDefault="00175972" w:rsidP="00800BAA">
    <w:pPr>
      <w:pStyle w:val="Footer1"/>
      <w:ind w:right="360" w:firstLine="36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C8815B" w14:textId="77777777" w:rsidR="00175972" w:rsidRDefault="00175972" w:rsidP="00800BA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461AF">
      <w:rPr>
        <w:rStyle w:val="PageNumber"/>
        <w:noProof/>
      </w:rPr>
      <w:t>29</w:t>
    </w:r>
    <w:r>
      <w:rPr>
        <w:rStyle w:val="PageNumber"/>
      </w:rPr>
      <w:fldChar w:fldCharType="end"/>
    </w:r>
  </w:p>
  <w:p w14:paraId="4E11DAE5" w14:textId="77777777" w:rsidR="00175972" w:rsidRDefault="00175972" w:rsidP="00800BAA">
    <w:pPr>
      <w:pStyle w:val="Footer1"/>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3EB4B6" w14:textId="77777777" w:rsidR="0004371B" w:rsidRDefault="0004371B">
      <w:r>
        <w:separator/>
      </w:r>
    </w:p>
  </w:footnote>
  <w:footnote w:type="continuationSeparator" w:id="0">
    <w:p w14:paraId="1A697E0E" w14:textId="77777777" w:rsidR="0004371B" w:rsidRDefault="000437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9265E" w14:textId="77777777" w:rsidR="00175972" w:rsidRDefault="00175972">
    <w:pPr>
      <w:pStyle w:val="Header"/>
      <w:rPr>
        <w:rStyle w:val="PageNumber"/>
      </w:rPr>
    </w:pPr>
  </w:p>
  <w:p w14:paraId="151672BE" w14:textId="77777777" w:rsidR="00175972" w:rsidRDefault="00175972">
    <w:pPr>
      <w:pStyle w:val="Header"/>
    </w:pPr>
  </w:p>
  <w:p w14:paraId="1227B1EE" w14:textId="0455BC18" w:rsidR="00175972" w:rsidRDefault="001759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890243" w14:textId="77777777" w:rsidR="00175972" w:rsidRDefault="00175972" w:rsidP="006E623F">
    <w:pPr>
      <w:pStyle w:val="Header1"/>
      <w:rPr>
        <w:b/>
      </w:rPr>
    </w:pPr>
  </w:p>
  <w:p w14:paraId="4AE70B78" w14:textId="77777777" w:rsidR="00175972" w:rsidRDefault="00175972" w:rsidP="006E623F">
    <w:pPr>
      <w:pStyle w:val="Header1"/>
      <w:rPr>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1152" w:type="dxa"/>
      <w:tblBorders>
        <w:right w:val="single" w:sz="4" w:space="0" w:color="00000A"/>
        <w:insideV w:val="single" w:sz="4" w:space="0" w:color="00000A"/>
      </w:tblBorders>
      <w:tblLook w:val="04A0" w:firstRow="1" w:lastRow="0" w:firstColumn="1" w:lastColumn="0" w:noHBand="0" w:noVBand="1"/>
    </w:tblPr>
    <w:tblGrid>
      <w:gridCol w:w="1151"/>
      <w:gridCol w:w="13352"/>
    </w:tblGrid>
    <w:tr w:rsidR="00175972" w14:paraId="3CD90E1E" w14:textId="77777777">
      <w:tc>
        <w:tcPr>
          <w:tcW w:w="1134" w:type="dxa"/>
          <w:tcBorders>
            <w:right w:val="single" w:sz="4" w:space="0" w:color="00000A"/>
          </w:tcBorders>
          <w:shd w:val="clear" w:color="auto" w:fill="auto"/>
        </w:tcPr>
        <w:p w14:paraId="13D8BBD6" w14:textId="327E9000" w:rsidR="00175972" w:rsidRDefault="00175972">
          <w:pPr>
            <w:pStyle w:val="Header1"/>
            <w:jc w:val="right"/>
          </w:pPr>
        </w:p>
      </w:tc>
      <w:tc>
        <w:tcPr>
          <w:tcW w:w="13152" w:type="dxa"/>
          <w:tcBorders>
            <w:left w:val="single" w:sz="4" w:space="0" w:color="00000A"/>
          </w:tcBorders>
          <w:shd w:val="clear" w:color="auto" w:fill="auto"/>
          <w:tcMar>
            <w:left w:w="103" w:type="dxa"/>
          </w:tcMar>
        </w:tcPr>
        <w:p w14:paraId="7CAABB1C" w14:textId="77777777" w:rsidR="00175972" w:rsidRDefault="00175972">
          <w:pPr>
            <w:pStyle w:val="Header1"/>
            <w:rPr>
              <w:rFonts w:ascii="Cambria" w:hAnsi="Cambria"/>
            </w:rPr>
          </w:pPr>
        </w:p>
      </w:tc>
    </w:tr>
  </w:tbl>
  <w:p w14:paraId="6DFF72EE" w14:textId="77777777" w:rsidR="00175972" w:rsidRDefault="00175972">
    <w:pPr>
      <w:pStyle w:val="Header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2C5876" w14:textId="0779F137" w:rsidR="00175972" w:rsidRPr="00E60D32" w:rsidRDefault="00175972" w:rsidP="00E60D32">
    <w:pPr>
      <w:pStyle w:val="Header"/>
      <w:rPr>
        <w:b/>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BC3C9" w14:textId="77777777" w:rsidR="00175972" w:rsidRDefault="00175972">
    <w:pPr>
      <w:pStyle w:val="Header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C720E7" w14:textId="759E65D7" w:rsidR="00175972" w:rsidRPr="00E60D32" w:rsidRDefault="00175972" w:rsidP="00E60D32">
    <w:pPr>
      <w:pStyle w:val="Header"/>
      <w:rPr>
        <w:b/>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357CD1" w14:textId="77777777" w:rsidR="00175972" w:rsidRDefault="00175972">
    <w:pPr>
      <w:pStyle w:val="Header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27CBE" w14:textId="77777777" w:rsidR="00175972" w:rsidRPr="006D1120" w:rsidRDefault="00175972" w:rsidP="006D1120">
    <w:pPr>
      <w:pStyle w:val="Header"/>
      <w:rPr>
        <w:b/>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96F28" w14:textId="77777777" w:rsidR="00175972" w:rsidRDefault="00175972">
    <w:pPr>
      <w:pStyle w:val="Header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291028" w14:textId="2C151542" w:rsidR="00175972" w:rsidRPr="00327C71" w:rsidRDefault="00175972" w:rsidP="00327C71">
    <w:pPr>
      <w:pStyle w:val="Header"/>
      <w:rPr>
        <w:b/>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BECD9F" w14:textId="77777777" w:rsidR="00175972" w:rsidRDefault="00175972">
    <w:pPr>
      <w:pStyle w:val="Header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AA7B5F" w14:textId="0E3FCE15" w:rsidR="00175972" w:rsidRPr="00487F2D" w:rsidRDefault="00175972" w:rsidP="00487F2D">
    <w:pPr>
      <w:pStyle w:val="Header"/>
      <w:rPr>
        <w:b/>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7B31C7" w14:textId="77777777" w:rsidR="00175972" w:rsidRDefault="00175972">
    <w:pPr>
      <w:pStyle w:val="Header1"/>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829668" w14:textId="5F60C0DC" w:rsidR="00175972" w:rsidRPr="006D1120" w:rsidRDefault="00175972" w:rsidP="006D1120">
    <w:pPr>
      <w:pStyle w:val="Head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E531D"/>
    <w:multiLevelType w:val="hybridMultilevel"/>
    <w:tmpl w:val="452AB808"/>
    <w:lvl w:ilvl="0" w:tplc="D0D2933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phanie Kramer">
    <w15:presenceInfo w15:providerId="Windows Live" w15:userId="19c5376a9802e58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embedTrueTypeFonts/>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C4E"/>
    <w:rsid w:val="0000683C"/>
    <w:rsid w:val="00007AE5"/>
    <w:rsid w:val="000103B5"/>
    <w:rsid w:val="0001060B"/>
    <w:rsid w:val="00024B50"/>
    <w:rsid w:val="00025A78"/>
    <w:rsid w:val="00026A26"/>
    <w:rsid w:val="00032CFF"/>
    <w:rsid w:val="00033B3B"/>
    <w:rsid w:val="0003475C"/>
    <w:rsid w:val="000362FC"/>
    <w:rsid w:val="00036854"/>
    <w:rsid w:val="00041FDF"/>
    <w:rsid w:val="00042897"/>
    <w:rsid w:val="0004371B"/>
    <w:rsid w:val="00044403"/>
    <w:rsid w:val="000458B9"/>
    <w:rsid w:val="0004680A"/>
    <w:rsid w:val="00060045"/>
    <w:rsid w:val="00061696"/>
    <w:rsid w:val="000619B2"/>
    <w:rsid w:val="00061B37"/>
    <w:rsid w:val="00080470"/>
    <w:rsid w:val="00092EF4"/>
    <w:rsid w:val="000A0FAB"/>
    <w:rsid w:val="000A2033"/>
    <w:rsid w:val="000A5045"/>
    <w:rsid w:val="000A77CB"/>
    <w:rsid w:val="000B1599"/>
    <w:rsid w:val="000B2001"/>
    <w:rsid w:val="000B55FE"/>
    <w:rsid w:val="000B5DB3"/>
    <w:rsid w:val="000B6DDF"/>
    <w:rsid w:val="000C33BA"/>
    <w:rsid w:val="000C3D84"/>
    <w:rsid w:val="000C5789"/>
    <w:rsid w:val="000C68E7"/>
    <w:rsid w:val="000C7FB0"/>
    <w:rsid w:val="000D1828"/>
    <w:rsid w:val="000D2251"/>
    <w:rsid w:val="000D4E54"/>
    <w:rsid w:val="000D4E80"/>
    <w:rsid w:val="000D6866"/>
    <w:rsid w:val="000D6DA8"/>
    <w:rsid w:val="000D6E36"/>
    <w:rsid w:val="000E0EF0"/>
    <w:rsid w:val="000E1A52"/>
    <w:rsid w:val="000E2795"/>
    <w:rsid w:val="000E3D24"/>
    <w:rsid w:val="000E47B4"/>
    <w:rsid w:val="000E4D27"/>
    <w:rsid w:val="000E50FE"/>
    <w:rsid w:val="000E6B9F"/>
    <w:rsid w:val="000F6001"/>
    <w:rsid w:val="001003AA"/>
    <w:rsid w:val="00100C55"/>
    <w:rsid w:val="00104707"/>
    <w:rsid w:val="00105D0F"/>
    <w:rsid w:val="001061AC"/>
    <w:rsid w:val="0011081B"/>
    <w:rsid w:val="001136E9"/>
    <w:rsid w:val="00113D11"/>
    <w:rsid w:val="00117818"/>
    <w:rsid w:val="001207BD"/>
    <w:rsid w:val="00127918"/>
    <w:rsid w:val="00133B6A"/>
    <w:rsid w:val="001455D0"/>
    <w:rsid w:val="001461AF"/>
    <w:rsid w:val="00146A21"/>
    <w:rsid w:val="001500AE"/>
    <w:rsid w:val="0015296A"/>
    <w:rsid w:val="0015500E"/>
    <w:rsid w:val="00162FBF"/>
    <w:rsid w:val="001632C3"/>
    <w:rsid w:val="00163D3B"/>
    <w:rsid w:val="00165E4D"/>
    <w:rsid w:val="00166873"/>
    <w:rsid w:val="00171FBC"/>
    <w:rsid w:val="001726EF"/>
    <w:rsid w:val="001728A7"/>
    <w:rsid w:val="00174D90"/>
    <w:rsid w:val="00175972"/>
    <w:rsid w:val="00175A03"/>
    <w:rsid w:val="00175C4E"/>
    <w:rsid w:val="00183E3E"/>
    <w:rsid w:val="0019118D"/>
    <w:rsid w:val="0019125A"/>
    <w:rsid w:val="001924FC"/>
    <w:rsid w:val="001A0235"/>
    <w:rsid w:val="001A1559"/>
    <w:rsid w:val="001A6DC8"/>
    <w:rsid w:val="001B36D7"/>
    <w:rsid w:val="001B433E"/>
    <w:rsid w:val="001B4CE5"/>
    <w:rsid w:val="001C11EE"/>
    <w:rsid w:val="001C1B39"/>
    <w:rsid w:val="001C3411"/>
    <w:rsid w:val="001C3518"/>
    <w:rsid w:val="001C5424"/>
    <w:rsid w:val="001C5766"/>
    <w:rsid w:val="001C6112"/>
    <w:rsid w:val="001C6A3F"/>
    <w:rsid w:val="001C6AF5"/>
    <w:rsid w:val="001C72AC"/>
    <w:rsid w:val="001D0B30"/>
    <w:rsid w:val="001D30E2"/>
    <w:rsid w:val="001D44C4"/>
    <w:rsid w:val="001D6BF1"/>
    <w:rsid w:val="001E0549"/>
    <w:rsid w:val="001F5ED7"/>
    <w:rsid w:val="001F7360"/>
    <w:rsid w:val="00201A77"/>
    <w:rsid w:val="0020532B"/>
    <w:rsid w:val="002115C7"/>
    <w:rsid w:val="002120DD"/>
    <w:rsid w:val="00212D10"/>
    <w:rsid w:val="00213B20"/>
    <w:rsid w:val="002141D9"/>
    <w:rsid w:val="0022070E"/>
    <w:rsid w:val="00223AFC"/>
    <w:rsid w:val="00226EDC"/>
    <w:rsid w:val="0023184B"/>
    <w:rsid w:val="00231F85"/>
    <w:rsid w:val="002374E0"/>
    <w:rsid w:val="00237E25"/>
    <w:rsid w:val="002412AF"/>
    <w:rsid w:val="0024260C"/>
    <w:rsid w:val="002428F4"/>
    <w:rsid w:val="00243108"/>
    <w:rsid w:val="0025005D"/>
    <w:rsid w:val="00255BC6"/>
    <w:rsid w:val="0026151D"/>
    <w:rsid w:val="0026301A"/>
    <w:rsid w:val="002638C4"/>
    <w:rsid w:val="002654E2"/>
    <w:rsid w:val="00265BDE"/>
    <w:rsid w:val="00265DA7"/>
    <w:rsid w:val="00270F19"/>
    <w:rsid w:val="00271E0C"/>
    <w:rsid w:val="002736BF"/>
    <w:rsid w:val="00273CCF"/>
    <w:rsid w:val="00274636"/>
    <w:rsid w:val="002750C8"/>
    <w:rsid w:val="00276080"/>
    <w:rsid w:val="00277FE5"/>
    <w:rsid w:val="00285453"/>
    <w:rsid w:val="002856D0"/>
    <w:rsid w:val="00290504"/>
    <w:rsid w:val="002912F4"/>
    <w:rsid w:val="002918B3"/>
    <w:rsid w:val="00293EB1"/>
    <w:rsid w:val="00294215"/>
    <w:rsid w:val="00297058"/>
    <w:rsid w:val="002B0D63"/>
    <w:rsid w:val="002B1771"/>
    <w:rsid w:val="002B2A1F"/>
    <w:rsid w:val="002B54E2"/>
    <w:rsid w:val="002B62E5"/>
    <w:rsid w:val="002C0699"/>
    <w:rsid w:val="002C41EB"/>
    <w:rsid w:val="002C4F7A"/>
    <w:rsid w:val="002C53A7"/>
    <w:rsid w:val="002D1171"/>
    <w:rsid w:val="002D173D"/>
    <w:rsid w:val="002D2520"/>
    <w:rsid w:val="002D73D3"/>
    <w:rsid w:val="002E137D"/>
    <w:rsid w:val="002E1522"/>
    <w:rsid w:val="002E172F"/>
    <w:rsid w:val="002E6A78"/>
    <w:rsid w:val="002F187E"/>
    <w:rsid w:val="003049DE"/>
    <w:rsid w:val="00306132"/>
    <w:rsid w:val="00310A7D"/>
    <w:rsid w:val="003126E7"/>
    <w:rsid w:val="003139D8"/>
    <w:rsid w:val="00314532"/>
    <w:rsid w:val="00316A1F"/>
    <w:rsid w:val="00316C1F"/>
    <w:rsid w:val="0031777B"/>
    <w:rsid w:val="00326418"/>
    <w:rsid w:val="00327C71"/>
    <w:rsid w:val="00330698"/>
    <w:rsid w:val="0033306F"/>
    <w:rsid w:val="00334A69"/>
    <w:rsid w:val="0034124D"/>
    <w:rsid w:val="00343BCB"/>
    <w:rsid w:val="0034575E"/>
    <w:rsid w:val="003457CB"/>
    <w:rsid w:val="0035056C"/>
    <w:rsid w:val="00352572"/>
    <w:rsid w:val="00355C93"/>
    <w:rsid w:val="003561FE"/>
    <w:rsid w:val="00363DC6"/>
    <w:rsid w:val="00364829"/>
    <w:rsid w:val="00374FB9"/>
    <w:rsid w:val="003806D6"/>
    <w:rsid w:val="003848F9"/>
    <w:rsid w:val="0038541C"/>
    <w:rsid w:val="003950D8"/>
    <w:rsid w:val="0039562F"/>
    <w:rsid w:val="00397AF4"/>
    <w:rsid w:val="003A241A"/>
    <w:rsid w:val="003A5ED2"/>
    <w:rsid w:val="003B08FD"/>
    <w:rsid w:val="003B71B0"/>
    <w:rsid w:val="003C0ED2"/>
    <w:rsid w:val="003C3ED6"/>
    <w:rsid w:val="003C6E1E"/>
    <w:rsid w:val="003C7EDD"/>
    <w:rsid w:val="003D0EC8"/>
    <w:rsid w:val="003D444D"/>
    <w:rsid w:val="003D4ECB"/>
    <w:rsid w:val="003E10BB"/>
    <w:rsid w:val="003F0F25"/>
    <w:rsid w:val="003F238B"/>
    <w:rsid w:val="003F2EFC"/>
    <w:rsid w:val="003F6F81"/>
    <w:rsid w:val="00401292"/>
    <w:rsid w:val="004016FF"/>
    <w:rsid w:val="00401C7A"/>
    <w:rsid w:val="00403ECC"/>
    <w:rsid w:val="004161D7"/>
    <w:rsid w:val="004202D8"/>
    <w:rsid w:val="00420311"/>
    <w:rsid w:val="00420FC3"/>
    <w:rsid w:val="004219E0"/>
    <w:rsid w:val="0042584F"/>
    <w:rsid w:val="00426285"/>
    <w:rsid w:val="004272B8"/>
    <w:rsid w:val="00434FA6"/>
    <w:rsid w:val="00446DB4"/>
    <w:rsid w:val="004510AD"/>
    <w:rsid w:val="00457379"/>
    <w:rsid w:val="0046136E"/>
    <w:rsid w:val="0046159C"/>
    <w:rsid w:val="00464BA6"/>
    <w:rsid w:val="00465728"/>
    <w:rsid w:val="00466479"/>
    <w:rsid w:val="0047198E"/>
    <w:rsid w:val="00475CA5"/>
    <w:rsid w:val="00483E0B"/>
    <w:rsid w:val="0048443D"/>
    <w:rsid w:val="00484B0D"/>
    <w:rsid w:val="00487F2D"/>
    <w:rsid w:val="00491758"/>
    <w:rsid w:val="004943F1"/>
    <w:rsid w:val="0049715F"/>
    <w:rsid w:val="004A47B8"/>
    <w:rsid w:val="004A723F"/>
    <w:rsid w:val="004A7B4C"/>
    <w:rsid w:val="004B1891"/>
    <w:rsid w:val="004B7607"/>
    <w:rsid w:val="004C19A1"/>
    <w:rsid w:val="004C4044"/>
    <w:rsid w:val="004D39BB"/>
    <w:rsid w:val="004E2CE7"/>
    <w:rsid w:val="004E510F"/>
    <w:rsid w:val="004F1445"/>
    <w:rsid w:val="00503D02"/>
    <w:rsid w:val="005141FC"/>
    <w:rsid w:val="00533447"/>
    <w:rsid w:val="00535C96"/>
    <w:rsid w:val="00542EEA"/>
    <w:rsid w:val="0054397E"/>
    <w:rsid w:val="00546F0E"/>
    <w:rsid w:val="005470AF"/>
    <w:rsid w:val="005503E2"/>
    <w:rsid w:val="00557B21"/>
    <w:rsid w:val="0056131E"/>
    <w:rsid w:val="00562B33"/>
    <w:rsid w:val="00564E07"/>
    <w:rsid w:val="005662DB"/>
    <w:rsid w:val="00566468"/>
    <w:rsid w:val="00586842"/>
    <w:rsid w:val="0059354A"/>
    <w:rsid w:val="00595C0B"/>
    <w:rsid w:val="005A320F"/>
    <w:rsid w:val="005A32A8"/>
    <w:rsid w:val="005B6F19"/>
    <w:rsid w:val="005C01F1"/>
    <w:rsid w:val="005C24A0"/>
    <w:rsid w:val="005D3B7D"/>
    <w:rsid w:val="005D3BDD"/>
    <w:rsid w:val="005D52AA"/>
    <w:rsid w:val="005D5642"/>
    <w:rsid w:val="005E364E"/>
    <w:rsid w:val="005E5C21"/>
    <w:rsid w:val="005E74DF"/>
    <w:rsid w:val="005F3C5B"/>
    <w:rsid w:val="005F4479"/>
    <w:rsid w:val="00602484"/>
    <w:rsid w:val="00604CB0"/>
    <w:rsid w:val="00605E34"/>
    <w:rsid w:val="00607157"/>
    <w:rsid w:val="00610E11"/>
    <w:rsid w:val="006124A7"/>
    <w:rsid w:val="006149F0"/>
    <w:rsid w:val="006156BF"/>
    <w:rsid w:val="00622434"/>
    <w:rsid w:val="006274C2"/>
    <w:rsid w:val="006347B7"/>
    <w:rsid w:val="00636996"/>
    <w:rsid w:val="00640AC1"/>
    <w:rsid w:val="00643E15"/>
    <w:rsid w:val="00646BCC"/>
    <w:rsid w:val="006504C7"/>
    <w:rsid w:val="006520B9"/>
    <w:rsid w:val="00652E6E"/>
    <w:rsid w:val="0065644E"/>
    <w:rsid w:val="0065676B"/>
    <w:rsid w:val="0065781E"/>
    <w:rsid w:val="00657CB0"/>
    <w:rsid w:val="006646B3"/>
    <w:rsid w:val="0068170A"/>
    <w:rsid w:val="006853AD"/>
    <w:rsid w:val="00687B53"/>
    <w:rsid w:val="0069370E"/>
    <w:rsid w:val="00693790"/>
    <w:rsid w:val="006A029B"/>
    <w:rsid w:val="006A24E7"/>
    <w:rsid w:val="006A4B62"/>
    <w:rsid w:val="006B43F6"/>
    <w:rsid w:val="006C41B3"/>
    <w:rsid w:val="006C6178"/>
    <w:rsid w:val="006C70EE"/>
    <w:rsid w:val="006D0DC6"/>
    <w:rsid w:val="006D1120"/>
    <w:rsid w:val="006D148F"/>
    <w:rsid w:val="006D217D"/>
    <w:rsid w:val="006D29D7"/>
    <w:rsid w:val="006D6DD7"/>
    <w:rsid w:val="006D7E6B"/>
    <w:rsid w:val="006E1C2F"/>
    <w:rsid w:val="006E233C"/>
    <w:rsid w:val="006E623F"/>
    <w:rsid w:val="006F1713"/>
    <w:rsid w:val="006F2982"/>
    <w:rsid w:val="006F3D99"/>
    <w:rsid w:val="006F4060"/>
    <w:rsid w:val="006F464E"/>
    <w:rsid w:val="006F4C99"/>
    <w:rsid w:val="006F4D60"/>
    <w:rsid w:val="00702BB9"/>
    <w:rsid w:val="007052D1"/>
    <w:rsid w:val="00711851"/>
    <w:rsid w:val="00712BC9"/>
    <w:rsid w:val="007146A2"/>
    <w:rsid w:val="007242EA"/>
    <w:rsid w:val="00726C1E"/>
    <w:rsid w:val="00734B86"/>
    <w:rsid w:val="00740A84"/>
    <w:rsid w:val="0074579D"/>
    <w:rsid w:val="007476C8"/>
    <w:rsid w:val="00751638"/>
    <w:rsid w:val="00751A73"/>
    <w:rsid w:val="00752332"/>
    <w:rsid w:val="00754810"/>
    <w:rsid w:val="0075709B"/>
    <w:rsid w:val="0075773C"/>
    <w:rsid w:val="00762E2E"/>
    <w:rsid w:val="00764E64"/>
    <w:rsid w:val="007708C7"/>
    <w:rsid w:val="00770992"/>
    <w:rsid w:val="00776D4C"/>
    <w:rsid w:val="007809F8"/>
    <w:rsid w:val="00786633"/>
    <w:rsid w:val="00787DE0"/>
    <w:rsid w:val="007A264C"/>
    <w:rsid w:val="007A284E"/>
    <w:rsid w:val="007A6B1D"/>
    <w:rsid w:val="007A706F"/>
    <w:rsid w:val="007B2257"/>
    <w:rsid w:val="007B43F8"/>
    <w:rsid w:val="007B5C43"/>
    <w:rsid w:val="007B6C3D"/>
    <w:rsid w:val="007B7051"/>
    <w:rsid w:val="007C6DAF"/>
    <w:rsid w:val="007D059B"/>
    <w:rsid w:val="007D2BCE"/>
    <w:rsid w:val="007E0969"/>
    <w:rsid w:val="007E25A9"/>
    <w:rsid w:val="007E496E"/>
    <w:rsid w:val="007E4F1C"/>
    <w:rsid w:val="007E7908"/>
    <w:rsid w:val="007F7302"/>
    <w:rsid w:val="00800340"/>
    <w:rsid w:val="00800BAA"/>
    <w:rsid w:val="00800E2A"/>
    <w:rsid w:val="00803210"/>
    <w:rsid w:val="00806775"/>
    <w:rsid w:val="008116D7"/>
    <w:rsid w:val="00821011"/>
    <w:rsid w:val="0082785C"/>
    <w:rsid w:val="00827F79"/>
    <w:rsid w:val="00836EEC"/>
    <w:rsid w:val="00842185"/>
    <w:rsid w:val="00842DA2"/>
    <w:rsid w:val="0084307F"/>
    <w:rsid w:val="008437AB"/>
    <w:rsid w:val="0084426C"/>
    <w:rsid w:val="0085412E"/>
    <w:rsid w:val="008621F3"/>
    <w:rsid w:val="00863DD9"/>
    <w:rsid w:val="00865C82"/>
    <w:rsid w:val="0087247A"/>
    <w:rsid w:val="00876472"/>
    <w:rsid w:val="008844FF"/>
    <w:rsid w:val="0089343C"/>
    <w:rsid w:val="00894091"/>
    <w:rsid w:val="00895731"/>
    <w:rsid w:val="0089605B"/>
    <w:rsid w:val="00896CC1"/>
    <w:rsid w:val="0089787D"/>
    <w:rsid w:val="00897F81"/>
    <w:rsid w:val="008A396F"/>
    <w:rsid w:val="008A4177"/>
    <w:rsid w:val="008A5E2B"/>
    <w:rsid w:val="008A66D2"/>
    <w:rsid w:val="008B1438"/>
    <w:rsid w:val="008B3A99"/>
    <w:rsid w:val="008B6093"/>
    <w:rsid w:val="008C14BD"/>
    <w:rsid w:val="008C25A3"/>
    <w:rsid w:val="008C77B8"/>
    <w:rsid w:val="008D217C"/>
    <w:rsid w:val="008D27A2"/>
    <w:rsid w:val="008D7805"/>
    <w:rsid w:val="008E04DD"/>
    <w:rsid w:val="008E11A8"/>
    <w:rsid w:val="008E16C9"/>
    <w:rsid w:val="008E40D5"/>
    <w:rsid w:val="008E7835"/>
    <w:rsid w:val="008F0193"/>
    <w:rsid w:val="008F06BF"/>
    <w:rsid w:val="008F13FE"/>
    <w:rsid w:val="009040A0"/>
    <w:rsid w:val="00904111"/>
    <w:rsid w:val="009068A9"/>
    <w:rsid w:val="00906CFD"/>
    <w:rsid w:val="00911B0A"/>
    <w:rsid w:val="009124A7"/>
    <w:rsid w:val="00917380"/>
    <w:rsid w:val="009207F8"/>
    <w:rsid w:val="00923D35"/>
    <w:rsid w:val="00923E8A"/>
    <w:rsid w:val="0092646F"/>
    <w:rsid w:val="009266EA"/>
    <w:rsid w:val="0092697C"/>
    <w:rsid w:val="00931D60"/>
    <w:rsid w:val="00932CF9"/>
    <w:rsid w:val="00932D66"/>
    <w:rsid w:val="009335EB"/>
    <w:rsid w:val="009336A2"/>
    <w:rsid w:val="00936B35"/>
    <w:rsid w:val="00936CCC"/>
    <w:rsid w:val="009447C4"/>
    <w:rsid w:val="009467AC"/>
    <w:rsid w:val="00953A33"/>
    <w:rsid w:val="00965FD5"/>
    <w:rsid w:val="009707C9"/>
    <w:rsid w:val="00972986"/>
    <w:rsid w:val="0098580B"/>
    <w:rsid w:val="0099180E"/>
    <w:rsid w:val="0099226B"/>
    <w:rsid w:val="00992C39"/>
    <w:rsid w:val="00995E92"/>
    <w:rsid w:val="009A2220"/>
    <w:rsid w:val="009A5E27"/>
    <w:rsid w:val="009A6DF3"/>
    <w:rsid w:val="009B5E9C"/>
    <w:rsid w:val="009B76CB"/>
    <w:rsid w:val="009B7F2C"/>
    <w:rsid w:val="009C087C"/>
    <w:rsid w:val="009C3820"/>
    <w:rsid w:val="009C469F"/>
    <w:rsid w:val="009C7000"/>
    <w:rsid w:val="009E2480"/>
    <w:rsid w:val="009E2EEF"/>
    <w:rsid w:val="009E7D4C"/>
    <w:rsid w:val="009F1368"/>
    <w:rsid w:val="009F149F"/>
    <w:rsid w:val="009F1F95"/>
    <w:rsid w:val="009F2535"/>
    <w:rsid w:val="009F33DD"/>
    <w:rsid w:val="009F3657"/>
    <w:rsid w:val="009F694F"/>
    <w:rsid w:val="00A00EFE"/>
    <w:rsid w:val="00A024E5"/>
    <w:rsid w:val="00A02ABA"/>
    <w:rsid w:val="00A05FAE"/>
    <w:rsid w:val="00A06FCC"/>
    <w:rsid w:val="00A11F16"/>
    <w:rsid w:val="00A13DD7"/>
    <w:rsid w:val="00A15940"/>
    <w:rsid w:val="00A17AB5"/>
    <w:rsid w:val="00A24D61"/>
    <w:rsid w:val="00A309FD"/>
    <w:rsid w:val="00A34EF6"/>
    <w:rsid w:val="00A3536E"/>
    <w:rsid w:val="00A4179F"/>
    <w:rsid w:val="00A43A8A"/>
    <w:rsid w:val="00A46C5E"/>
    <w:rsid w:val="00A60285"/>
    <w:rsid w:val="00A60E07"/>
    <w:rsid w:val="00A62932"/>
    <w:rsid w:val="00A6294E"/>
    <w:rsid w:val="00A72258"/>
    <w:rsid w:val="00A741B7"/>
    <w:rsid w:val="00A8402C"/>
    <w:rsid w:val="00A85331"/>
    <w:rsid w:val="00A87D44"/>
    <w:rsid w:val="00A9463F"/>
    <w:rsid w:val="00A94705"/>
    <w:rsid w:val="00A9509C"/>
    <w:rsid w:val="00A976EA"/>
    <w:rsid w:val="00AA08FD"/>
    <w:rsid w:val="00AA626C"/>
    <w:rsid w:val="00AA7124"/>
    <w:rsid w:val="00AB1F98"/>
    <w:rsid w:val="00AB306A"/>
    <w:rsid w:val="00AB5D0B"/>
    <w:rsid w:val="00AC10F7"/>
    <w:rsid w:val="00AC2A52"/>
    <w:rsid w:val="00AD14B4"/>
    <w:rsid w:val="00AD2384"/>
    <w:rsid w:val="00AD66CF"/>
    <w:rsid w:val="00AD689D"/>
    <w:rsid w:val="00AD6BBC"/>
    <w:rsid w:val="00AF0611"/>
    <w:rsid w:val="00AF31DF"/>
    <w:rsid w:val="00B015FB"/>
    <w:rsid w:val="00B03BBA"/>
    <w:rsid w:val="00B04AB0"/>
    <w:rsid w:val="00B0705E"/>
    <w:rsid w:val="00B1074E"/>
    <w:rsid w:val="00B151E8"/>
    <w:rsid w:val="00B1580C"/>
    <w:rsid w:val="00B17A17"/>
    <w:rsid w:val="00B21BB2"/>
    <w:rsid w:val="00B25D3F"/>
    <w:rsid w:val="00B2713C"/>
    <w:rsid w:val="00B27FDB"/>
    <w:rsid w:val="00B3102C"/>
    <w:rsid w:val="00B3106D"/>
    <w:rsid w:val="00B376E4"/>
    <w:rsid w:val="00B37EFC"/>
    <w:rsid w:val="00B4519E"/>
    <w:rsid w:val="00B459DF"/>
    <w:rsid w:val="00B47899"/>
    <w:rsid w:val="00B536FA"/>
    <w:rsid w:val="00B64B91"/>
    <w:rsid w:val="00B64FD6"/>
    <w:rsid w:val="00B6697E"/>
    <w:rsid w:val="00B678AC"/>
    <w:rsid w:val="00B74503"/>
    <w:rsid w:val="00B75300"/>
    <w:rsid w:val="00B75ABC"/>
    <w:rsid w:val="00B8343B"/>
    <w:rsid w:val="00B8406C"/>
    <w:rsid w:val="00B852BE"/>
    <w:rsid w:val="00B86B37"/>
    <w:rsid w:val="00B9101D"/>
    <w:rsid w:val="00B96AAC"/>
    <w:rsid w:val="00BA1ADC"/>
    <w:rsid w:val="00BA2F1C"/>
    <w:rsid w:val="00BB0063"/>
    <w:rsid w:val="00BB347C"/>
    <w:rsid w:val="00BC0D68"/>
    <w:rsid w:val="00BC37BF"/>
    <w:rsid w:val="00BC538E"/>
    <w:rsid w:val="00BD274D"/>
    <w:rsid w:val="00BD63FA"/>
    <w:rsid w:val="00BD6D31"/>
    <w:rsid w:val="00BE0080"/>
    <w:rsid w:val="00BE334C"/>
    <w:rsid w:val="00BE4366"/>
    <w:rsid w:val="00BE4517"/>
    <w:rsid w:val="00BE4FB2"/>
    <w:rsid w:val="00BE7C51"/>
    <w:rsid w:val="00BF3915"/>
    <w:rsid w:val="00C0093D"/>
    <w:rsid w:val="00C01909"/>
    <w:rsid w:val="00C050A4"/>
    <w:rsid w:val="00C11BCA"/>
    <w:rsid w:val="00C14BEA"/>
    <w:rsid w:val="00C21061"/>
    <w:rsid w:val="00C2143F"/>
    <w:rsid w:val="00C224C5"/>
    <w:rsid w:val="00C240C5"/>
    <w:rsid w:val="00C30E11"/>
    <w:rsid w:val="00C31E98"/>
    <w:rsid w:val="00C329DD"/>
    <w:rsid w:val="00C32DF9"/>
    <w:rsid w:val="00C356DB"/>
    <w:rsid w:val="00C43061"/>
    <w:rsid w:val="00C44D4A"/>
    <w:rsid w:val="00C46C6C"/>
    <w:rsid w:val="00C51479"/>
    <w:rsid w:val="00C53B23"/>
    <w:rsid w:val="00C56D9C"/>
    <w:rsid w:val="00C60EEB"/>
    <w:rsid w:val="00C61E46"/>
    <w:rsid w:val="00C6512E"/>
    <w:rsid w:val="00C65B6E"/>
    <w:rsid w:val="00C7275B"/>
    <w:rsid w:val="00C737C9"/>
    <w:rsid w:val="00C76337"/>
    <w:rsid w:val="00C76F4A"/>
    <w:rsid w:val="00C82515"/>
    <w:rsid w:val="00C829E6"/>
    <w:rsid w:val="00C85701"/>
    <w:rsid w:val="00C86813"/>
    <w:rsid w:val="00C87B0C"/>
    <w:rsid w:val="00C90D0D"/>
    <w:rsid w:val="00C914D9"/>
    <w:rsid w:val="00C95269"/>
    <w:rsid w:val="00CA3434"/>
    <w:rsid w:val="00CA6F44"/>
    <w:rsid w:val="00CB04FC"/>
    <w:rsid w:val="00CB2EFA"/>
    <w:rsid w:val="00CB4935"/>
    <w:rsid w:val="00CC3ED5"/>
    <w:rsid w:val="00CC4CEA"/>
    <w:rsid w:val="00CD3CD8"/>
    <w:rsid w:val="00CD5BA5"/>
    <w:rsid w:val="00CD7D97"/>
    <w:rsid w:val="00CE2143"/>
    <w:rsid w:val="00CF3DF0"/>
    <w:rsid w:val="00CF478C"/>
    <w:rsid w:val="00CF7BB7"/>
    <w:rsid w:val="00D0145C"/>
    <w:rsid w:val="00D016BD"/>
    <w:rsid w:val="00D01D8C"/>
    <w:rsid w:val="00D06E63"/>
    <w:rsid w:val="00D07667"/>
    <w:rsid w:val="00D11815"/>
    <w:rsid w:val="00D1466F"/>
    <w:rsid w:val="00D16E1E"/>
    <w:rsid w:val="00D205F8"/>
    <w:rsid w:val="00D2265D"/>
    <w:rsid w:val="00D24612"/>
    <w:rsid w:val="00D276C9"/>
    <w:rsid w:val="00D301B3"/>
    <w:rsid w:val="00D337AA"/>
    <w:rsid w:val="00D33EF2"/>
    <w:rsid w:val="00D41262"/>
    <w:rsid w:val="00D462CF"/>
    <w:rsid w:val="00D5069D"/>
    <w:rsid w:val="00D61C6F"/>
    <w:rsid w:val="00D70DCE"/>
    <w:rsid w:val="00D711CF"/>
    <w:rsid w:val="00D755C0"/>
    <w:rsid w:val="00D83410"/>
    <w:rsid w:val="00D843C3"/>
    <w:rsid w:val="00D8491D"/>
    <w:rsid w:val="00D86674"/>
    <w:rsid w:val="00D87C44"/>
    <w:rsid w:val="00D87E3E"/>
    <w:rsid w:val="00D9160E"/>
    <w:rsid w:val="00D91892"/>
    <w:rsid w:val="00D91F42"/>
    <w:rsid w:val="00D94562"/>
    <w:rsid w:val="00D9709D"/>
    <w:rsid w:val="00D97AFB"/>
    <w:rsid w:val="00DA2F5B"/>
    <w:rsid w:val="00DA5D61"/>
    <w:rsid w:val="00DA5E91"/>
    <w:rsid w:val="00DA63C4"/>
    <w:rsid w:val="00DB66DA"/>
    <w:rsid w:val="00DC4F8A"/>
    <w:rsid w:val="00DD57EC"/>
    <w:rsid w:val="00DD59FF"/>
    <w:rsid w:val="00DD5CBB"/>
    <w:rsid w:val="00DD63CB"/>
    <w:rsid w:val="00DD7814"/>
    <w:rsid w:val="00DD7953"/>
    <w:rsid w:val="00DE0B1D"/>
    <w:rsid w:val="00DE4BE7"/>
    <w:rsid w:val="00DE541A"/>
    <w:rsid w:val="00DF2692"/>
    <w:rsid w:val="00DF2ABD"/>
    <w:rsid w:val="00DF35CC"/>
    <w:rsid w:val="00DF3996"/>
    <w:rsid w:val="00DF46FE"/>
    <w:rsid w:val="00E002ED"/>
    <w:rsid w:val="00E0316F"/>
    <w:rsid w:val="00E07C04"/>
    <w:rsid w:val="00E10E33"/>
    <w:rsid w:val="00E143C3"/>
    <w:rsid w:val="00E159CC"/>
    <w:rsid w:val="00E22A4A"/>
    <w:rsid w:val="00E249E4"/>
    <w:rsid w:val="00E24EEC"/>
    <w:rsid w:val="00E31C65"/>
    <w:rsid w:val="00E37C4C"/>
    <w:rsid w:val="00E41E7C"/>
    <w:rsid w:val="00E42248"/>
    <w:rsid w:val="00E42D56"/>
    <w:rsid w:val="00E4397C"/>
    <w:rsid w:val="00E46D73"/>
    <w:rsid w:val="00E50C56"/>
    <w:rsid w:val="00E60D32"/>
    <w:rsid w:val="00E72BF7"/>
    <w:rsid w:val="00E74BBF"/>
    <w:rsid w:val="00E76733"/>
    <w:rsid w:val="00E76F2C"/>
    <w:rsid w:val="00E83D8F"/>
    <w:rsid w:val="00E85FC5"/>
    <w:rsid w:val="00E8641E"/>
    <w:rsid w:val="00E93CC1"/>
    <w:rsid w:val="00EA13AC"/>
    <w:rsid w:val="00EA2DDE"/>
    <w:rsid w:val="00EA491A"/>
    <w:rsid w:val="00EA4E8A"/>
    <w:rsid w:val="00EB1C05"/>
    <w:rsid w:val="00EB4522"/>
    <w:rsid w:val="00EB4A62"/>
    <w:rsid w:val="00EB5136"/>
    <w:rsid w:val="00EC0D9F"/>
    <w:rsid w:val="00ED136F"/>
    <w:rsid w:val="00ED1C8A"/>
    <w:rsid w:val="00F1239A"/>
    <w:rsid w:val="00F13544"/>
    <w:rsid w:val="00F1660D"/>
    <w:rsid w:val="00F1689C"/>
    <w:rsid w:val="00F23DA5"/>
    <w:rsid w:val="00F27622"/>
    <w:rsid w:val="00F32E97"/>
    <w:rsid w:val="00F37BB7"/>
    <w:rsid w:val="00F43C6D"/>
    <w:rsid w:val="00F4453E"/>
    <w:rsid w:val="00F44AEB"/>
    <w:rsid w:val="00F45894"/>
    <w:rsid w:val="00F53E2D"/>
    <w:rsid w:val="00F55898"/>
    <w:rsid w:val="00F572F4"/>
    <w:rsid w:val="00F64CDD"/>
    <w:rsid w:val="00F67F1D"/>
    <w:rsid w:val="00F72E75"/>
    <w:rsid w:val="00F750F5"/>
    <w:rsid w:val="00F83BB5"/>
    <w:rsid w:val="00F8621B"/>
    <w:rsid w:val="00F90345"/>
    <w:rsid w:val="00F92395"/>
    <w:rsid w:val="00F93505"/>
    <w:rsid w:val="00F93E4B"/>
    <w:rsid w:val="00F94A9E"/>
    <w:rsid w:val="00FA1BA8"/>
    <w:rsid w:val="00FA3533"/>
    <w:rsid w:val="00FA6B02"/>
    <w:rsid w:val="00FA6EC3"/>
    <w:rsid w:val="00FB130A"/>
    <w:rsid w:val="00FB29F4"/>
    <w:rsid w:val="00FC5E90"/>
    <w:rsid w:val="00FD10E6"/>
    <w:rsid w:val="00FE046D"/>
    <w:rsid w:val="00FE30E2"/>
    <w:rsid w:val="00FE5F08"/>
    <w:rsid w:val="00FE7CDB"/>
    <w:rsid w:val="00FF532C"/>
    <w:rsid w:val="00FF66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6E9B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pag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0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625584"/>
    <w:rPr>
      <w:rFonts w:ascii="Lucida Grande" w:hAnsi="Lucida Grande" w:cs="Lucida Grande"/>
      <w:sz w:val="18"/>
      <w:szCs w:val="18"/>
    </w:rPr>
  </w:style>
  <w:style w:type="character" w:customStyle="1" w:styleId="CommentTextChar">
    <w:name w:val="Comment Text Char"/>
    <w:basedOn w:val="DefaultParagraphFont"/>
    <w:link w:val="CommentText"/>
    <w:uiPriority w:val="99"/>
    <w:qFormat/>
    <w:rsid w:val="00530AF0"/>
  </w:style>
  <w:style w:type="character" w:styleId="CommentReference">
    <w:name w:val="annotation reference"/>
    <w:uiPriority w:val="99"/>
    <w:semiHidden/>
    <w:qFormat/>
    <w:rsid w:val="00530AF0"/>
    <w:rPr>
      <w:rFonts w:cs="Times New Roman"/>
      <w:sz w:val="16"/>
    </w:rPr>
  </w:style>
  <w:style w:type="character" w:customStyle="1" w:styleId="CommentSubjectChar">
    <w:name w:val="Comment Subject Char"/>
    <w:basedOn w:val="CommentTextChar"/>
    <w:link w:val="CommentSubject"/>
    <w:uiPriority w:val="99"/>
    <w:semiHidden/>
    <w:qFormat/>
    <w:rsid w:val="002C59A0"/>
    <w:rPr>
      <w:b/>
      <w:bCs/>
      <w:sz w:val="20"/>
      <w:szCs w:val="20"/>
    </w:rPr>
  </w:style>
  <w:style w:type="character" w:customStyle="1" w:styleId="FuzeileZeichen">
    <w:name w:val="Fußzeile Zeichen"/>
    <w:basedOn w:val="DefaultParagraphFont"/>
    <w:link w:val="Footer1"/>
    <w:uiPriority w:val="99"/>
    <w:qFormat/>
    <w:rsid w:val="00BB4A55"/>
  </w:style>
  <w:style w:type="character" w:styleId="PageNumber">
    <w:name w:val="page number"/>
    <w:basedOn w:val="DefaultParagraphFont"/>
    <w:uiPriority w:val="99"/>
    <w:semiHidden/>
    <w:unhideWhenUsed/>
    <w:qFormat/>
    <w:rsid w:val="00BB4A55"/>
  </w:style>
  <w:style w:type="character" w:customStyle="1" w:styleId="KopfzeileZeichen">
    <w:name w:val="Kopfzeile Zeichen"/>
    <w:basedOn w:val="DefaultParagraphFont"/>
    <w:link w:val="Header1"/>
    <w:uiPriority w:val="99"/>
    <w:qFormat/>
    <w:rsid w:val="00BB4A55"/>
  </w:style>
  <w:style w:type="character" w:customStyle="1" w:styleId="NoSpacingChar">
    <w:name w:val="No Spacing Char"/>
    <w:basedOn w:val="DefaultParagraphFont"/>
    <w:link w:val="NoSpacing"/>
    <w:qFormat/>
    <w:rsid w:val="00BB4A55"/>
    <w:rPr>
      <w:rFonts w:ascii="PMingLiU" w:hAnsi="PMingLiU"/>
      <w:sz w:val="22"/>
      <w:szCs w:val="22"/>
    </w:rPr>
  </w:style>
  <w:style w:type="paragraph" w:customStyle="1" w:styleId="Heading">
    <w:name w:val="Heading"/>
    <w:basedOn w:val="Normal"/>
    <w:next w:val="BodyText"/>
    <w:qFormat/>
    <w:pPr>
      <w:keepNext/>
      <w:spacing w:before="240" w:after="120"/>
    </w:pPr>
    <w:rPr>
      <w:rFonts w:ascii="Liberation Sans" w:eastAsia="Arial Unicode MS" w:hAnsi="Liberation Sans" w:cs="Arial Unicode MS"/>
      <w:sz w:val="28"/>
      <w:szCs w:val="28"/>
    </w:rPr>
  </w:style>
  <w:style w:type="paragraph" w:styleId="BodyText">
    <w:name w:val="Body Text"/>
    <w:basedOn w:val="Normal"/>
    <w:pPr>
      <w:spacing w:after="140" w:line="288" w:lineRule="auto"/>
    </w:pPr>
  </w:style>
  <w:style w:type="paragraph" w:styleId="List">
    <w:name w:val="List"/>
    <w:basedOn w:val="BodyText"/>
  </w:style>
  <w:style w:type="paragraph" w:customStyle="1" w:styleId="Caption1">
    <w:name w:val="Caption1"/>
    <w:basedOn w:val="Normal"/>
    <w:qFormat/>
    <w:pPr>
      <w:suppressLineNumbers/>
      <w:spacing w:before="120" w:after="120"/>
    </w:pPr>
    <w:rPr>
      <w:i/>
      <w:iCs/>
    </w:rPr>
  </w:style>
  <w:style w:type="paragraph" w:customStyle="1" w:styleId="Index">
    <w:name w:val="Index"/>
    <w:basedOn w:val="Normal"/>
    <w:qFormat/>
    <w:pPr>
      <w:suppressLineNumbers/>
    </w:pPr>
  </w:style>
  <w:style w:type="paragraph" w:styleId="BalloonText">
    <w:name w:val="Balloon Text"/>
    <w:basedOn w:val="Normal"/>
    <w:link w:val="BalloonTextChar"/>
    <w:uiPriority w:val="99"/>
    <w:semiHidden/>
    <w:unhideWhenUsed/>
    <w:qFormat/>
    <w:rsid w:val="00625584"/>
    <w:rPr>
      <w:rFonts w:ascii="Lucida Grande" w:hAnsi="Lucida Grande" w:cs="Lucida Grande"/>
      <w:sz w:val="18"/>
      <w:szCs w:val="18"/>
    </w:rPr>
  </w:style>
  <w:style w:type="paragraph" w:styleId="CommentText">
    <w:name w:val="annotation text"/>
    <w:basedOn w:val="Normal"/>
    <w:link w:val="CommentTextChar"/>
    <w:uiPriority w:val="99"/>
    <w:unhideWhenUsed/>
    <w:qFormat/>
    <w:rsid w:val="00530AF0"/>
  </w:style>
  <w:style w:type="paragraph" w:styleId="CommentSubject">
    <w:name w:val="annotation subject"/>
    <w:basedOn w:val="CommentText"/>
    <w:link w:val="CommentSubjectChar"/>
    <w:uiPriority w:val="99"/>
    <w:semiHidden/>
    <w:unhideWhenUsed/>
    <w:qFormat/>
    <w:rsid w:val="002C59A0"/>
    <w:rPr>
      <w:b/>
      <w:bCs/>
      <w:sz w:val="20"/>
      <w:szCs w:val="20"/>
    </w:rPr>
  </w:style>
  <w:style w:type="paragraph" w:customStyle="1" w:styleId="Footer1">
    <w:name w:val="Footer1"/>
    <w:basedOn w:val="Normal"/>
    <w:link w:val="FuzeileZeichen"/>
    <w:uiPriority w:val="99"/>
    <w:unhideWhenUsed/>
    <w:rsid w:val="00BB4A55"/>
    <w:pPr>
      <w:tabs>
        <w:tab w:val="center" w:pos="4703"/>
        <w:tab w:val="right" w:pos="9406"/>
      </w:tabs>
    </w:pPr>
  </w:style>
  <w:style w:type="paragraph" w:customStyle="1" w:styleId="Header1">
    <w:name w:val="Header1"/>
    <w:basedOn w:val="Normal"/>
    <w:link w:val="KopfzeileZeichen"/>
    <w:uiPriority w:val="99"/>
    <w:unhideWhenUsed/>
    <w:rsid w:val="00BB4A55"/>
    <w:pPr>
      <w:tabs>
        <w:tab w:val="center" w:pos="4703"/>
        <w:tab w:val="right" w:pos="9406"/>
      </w:tabs>
    </w:pPr>
  </w:style>
  <w:style w:type="paragraph" w:styleId="NoSpacing">
    <w:name w:val="No Spacing"/>
    <w:link w:val="NoSpacingChar"/>
    <w:qFormat/>
    <w:rsid w:val="00BB4A55"/>
    <w:rPr>
      <w:rFonts w:ascii="PMingLiU" w:hAnsi="PMingLiU"/>
      <w:sz w:val="22"/>
      <w:szCs w:val="22"/>
    </w:rPr>
  </w:style>
  <w:style w:type="paragraph" w:customStyle="1" w:styleId="FrameContents">
    <w:name w:val="Frame Contents"/>
    <w:basedOn w:val="Normal"/>
    <w:qFormat/>
  </w:style>
  <w:style w:type="table" w:styleId="LightShading">
    <w:name w:val="Light Shading"/>
    <w:basedOn w:val="TableNormal"/>
    <w:uiPriority w:val="60"/>
    <w:rsid w:val="00EB41C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0D3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1239A"/>
  </w:style>
  <w:style w:type="paragraph" w:styleId="Header">
    <w:name w:val="header"/>
    <w:basedOn w:val="Normal"/>
    <w:link w:val="HeaderChar"/>
    <w:uiPriority w:val="99"/>
    <w:unhideWhenUsed/>
    <w:rsid w:val="001C3411"/>
    <w:pPr>
      <w:tabs>
        <w:tab w:val="center" w:pos="4536"/>
        <w:tab w:val="right" w:pos="9072"/>
      </w:tabs>
    </w:pPr>
  </w:style>
  <w:style w:type="character" w:customStyle="1" w:styleId="HeaderChar">
    <w:name w:val="Header Char"/>
    <w:basedOn w:val="DefaultParagraphFont"/>
    <w:link w:val="Header"/>
    <w:uiPriority w:val="99"/>
    <w:rsid w:val="001C3411"/>
  </w:style>
  <w:style w:type="paragraph" w:styleId="Footer">
    <w:name w:val="footer"/>
    <w:basedOn w:val="Normal"/>
    <w:link w:val="FooterChar"/>
    <w:uiPriority w:val="99"/>
    <w:unhideWhenUsed/>
    <w:rsid w:val="001C3411"/>
    <w:pPr>
      <w:tabs>
        <w:tab w:val="center" w:pos="4536"/>
        <w:tab w:val="right" w:pos="9072"/>
      </w:tabs>
    </w:pPr>
  </w:style>
  <w:style w:type="character" w:customStyle="1" w:styleId="FooterChar">
    <w:name w:val="Footer Char"/>
    <w:basedOn w:val="DefaultParagraphFont"/>
    <w:link w:val="Footer"/>
    <w:uiPriority w:val="99"/>
    <w:rsid w:val="001C3411"/>
  </w:style>
  <w:style w:type="paragraph" w:customStyle="1" w:styleId="Normal1">
    <w:name w:val="Normal1"/>
    <w:qFormat/>
    <w:rsid w:val="00800BAA"/>
    <w:rPr>
      <w:rFonts w:ascii="Times New Roman" w:eastAsia="Times New Roman" w:hAnsi="Times New Roman" w:cs="Times New Roman"/>
      <w:color w:val="00000A"/>
      <w:lang w:val="en-GB"/>
    </w:rPr>
  </w:style>
  <w:style w:type="character" w:styleId="LineNumber">
    <w:name w:val="line number"/>
    <w:basedOn w:val="DefaultParagraphFont"/>
    <w:uiPriority w:val="99"/>
    <w:semiHidden/>
    <w:unhideWhenUsed/>
    <w:rsid w:val="00602484"/>
  </w:style>
  <w:style w:type="character" w:styleId="PlaceholderText">
    <w:name w:val="Placeholder Text"/>
    <w:basedOn w:val="DefaultParagraphFont"/>
    <w:uiPriority w:val="99"/>
    <w:semiHidden/>
    <w:rsid w:val="0004680A"/>
    <w:rPr>
      <w:color w:val="808080"/>
    </w:rPr>
  </w:style>
  <w:style w:type="character" w:styleId="Hyperlink">
    <w:name w:val="Hyperlink"/>
    <w:basedOn w:val="DefaultParagraphFont"/>
    <w:uiPriority w:val="99"/>
    <w:unhideWhenUsed/>
    <w:rsid w:val="002B0D63"/>
    <w:rPr>
      <w:color w:val="0000FF" w:themeColor="hyperlink"/>
      <w:u w:val="single"/>
    </w:rPr>
  </w:style>
  <w:style w:type="character" w:styleId="FollowedHyperlink">
    <w:name w:val="FollowedHyperlink"/>
    <w:basedOn w:val="DefaultParagraphFont"/>
    <w:uiPriority w:val="99"/>
    <w:semiHidden/>
    <w:unhideWhenUsed/>
    <w:rsid w:val="00965FD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pag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0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625584"/>
    <w:rPr>
      <w:rFonts w:ascii="Lucida Grande" w:hAnsi="Lucida Grande" w:cs="Lucida Grande"/>
      <w:sz w:val="18"/>
      <w:szCs w:val="18"/>
    </w:rPr>
  </w:style>
  <w:style w:type="character" w:customStyle="1" w:styleId="CommentTextChar">
    <w:name w:val="Comment Text Char"/>
    <w:basedOn w:val="DefaultParagraphFont"/>
    <w:link w:val="CommentText"/>
    <w:uiPriority w:val="99"/>
    <w:qFormat/>
    <w:rsid w:val="00530AF0"/>
  </w:style>
  <w:style w:type="character" w:styleId="CommentReference">
    <w:name w:val="annotation reference"/>
    <w:uiPriority w:val="99"/>
    <w:semiHidden/>
    <w:qFormat/>
    <w:rsid w:val="00530AF0"/>
    <w:rPr>
      <w:rFonts w:cs="Times New Roman"/>
      <w:sz w:val="16"/>
    </w:rPr>
  </w:style>
  <w:style w:type="character" w:customStyle="1" w:styleId="CommentSubjectChar">
    <w:name w:val="Comment Subject Char"/>
    <w:basedOn w:val="CommentTextChar"/>
    <w:link w:val="CommentSubject"/>
    <w:uiPriority w:val="99"/>
    <w:semiHidden/>
    <w:qFormat/>
    <w:rsid w:val="002C59A0"/>
    <w:rPr>
      <w:b/>
      <w:bCs/>
      <w:sz w:val="20"/>
      <w:szCs w:val="20"/>
    </w:rPr>
  </w:style>
  <w:style w:type="character" w:customStyle="1" w:styleId="FuzeileZeichen">
    <w:name w:val="Fußzeile Zeichen"/>
    <w:basedOn w:val="DefaultParagraphFont"/>
    <w:link w:val="Footer1"/>
    <w:uiPriority w:val="99"/>
    <w:qFormat/>
    <w:rsid w:val="00BB4A55"/>
  </w:style>
  <w:style w:type="character" w:styleId="PageNumber">
    <w:name w:val="page number"/>
    <w:basedOn w:val="DefaultParagraphFont"/>
    <w:uiPriority w:val="99"/>
    <w:semiHidden/>
    <w:unhideWhenUsed/>
    <w:qFormat/>
    <w:rsid w:val="00BB4A55"/>
  </w:style>
  <w:style w:type="character" w:customStyle="1" w:styleId="KopfzeileZeichen">
    <w:name w:val="Kopfzeile Zeichen"/>
    <w:basedOn w:val="DefaultParagraphFont"/>
    <w:link w:val="Header1"/>
    <w:uiPriority w:val="99"/>
    <w:qFormat/>
    <w:rsid w:val="00BB4A55"/>
  </w:style>
  <w:style w:type="character" w:customStyle="1" w:styleId="NoSpacingChar">
    <w:name w:val="No Spacing Char"/>
    <w:basedOn w:val="DefaultParagraphFont"/>
    <w:link w:val="NoSpacing"/>
    <w:qFormat/>
    <w:rsid w:val="00BB4A55"/>
    <w:rPr>
      <w:rFonts w:ascii="PMingLiU" w:hAnsi="PMingLiU"/>
      <w:sz w:val="22"/>
      <w:szCs w:val="22"/>
    </w:rPr>
  </w:style>
  <w:style w:type="paragraph" w:customStyle="1" w:styleId="Heading">
    <w:name w:val="Heading"/>
    <w:basedOn w:val="Normal"/>
    <w:next w:val="BodyText"/>
    <w:qFormat/>
    <w:pPr>
      <w:keepNext/>
      <w:spacing w:before="240" w:after="120"/>
    </w:pPr>
    <w:rPr>
      <w:rFonts w:ascii="Liberation Sans" w:eastAsia="Arial Unicode MS" w:hAnsi="Liberation Sans" w:cs="Arial Unicode MS"/>
      <w:sz w:val="28"/>
      <w:szCs w:val="28"/>
    </w:rPr>
  </w:style>
  <w:style w:type="paragraph" w:styleId="BodyText">
    <w:name w:val="Body Text"/>
    <w:basedOn w:val="Normal"/>
    <w:pPr>
      <w:spacing w:after="140" w:line="288" w:lineRule="auto"/>
    </w:pPr>
  </w:style>
  <w:style w:type="paragraph" w:styleId="List">
    <w:name w:val="List"/>
    <w:basedOn w:val="BodyText"/>
  </w:style>
  <w:style w:type="paragraph" w:customStyle="1" w:styleId="Caption1">
    <w:name w:val="Caption1"/>
    <w:basedOn w:val="Normal"/>
    <w:qFormat/>
    <w:pPr>
      <w:suppressLineNumbers/>
      <w:spacing w:before="120" w:after="120"/>
    </w:pPr>
    <w:rPr>
      <w:i/>
      <w:iCs/>
    </w:rPr>
  </w:style>
  <w:style w:type="paragraph" w:customStyle="1" w:styleId="Index">
    <w:name w:val="Index"/>
    <w:basedOn w:val="Normal"/>
    <w:qFormat/>
    <w:pPr>
      <w:suppressLineNumbers/>
    </w:pPr>
  </w:style>
  <w:style w:type="paragraph" w:styleId="BalloonText">
    <w:name w:val="Balloon Text"/>
    <w:basedOn w:val="Normal"/>
    <w:link w:val="BalloonTextChar"/>
    <w:uiPriority w:val="99"/>
    <w:semiHidden/>
    <w:unhideWhenUsed/>
    <w:qFormat/>
    <w:rsid w:val="00625584"/>
    <w:rPr>
      <w:rFonts w:ascii="Lucida Grande" w:hAnsi="Lucida Grande" w:cs="Lucida Grande"/>
      <w:sz w:val="18"/>
      <w:szCs w:val="18"/>
    </w:rPr>
  </w:style>
  <w:style w:type="paragraph" w:styleId="CommentText">
    <w:name w:val="annotation text"/>
    <w:basedOn w:val="Normal"/>
    <w:link w:val="CommentTextChar"/>
    <w:uiPriority w:val="99"/>
    <w:unhideWhenUsed/>
    <w:qFormat/>
    <w:rsid w:val="00530AF0"/>
  </w:style>
  <w:style w:type="paragraph" w:styleId="CommentSubject">
    <w:name w:val="annotation subject"/>
    <w:basedOn w:val="CommentText"/>
    <w:link w:val="CommentSubjectChar"/>
    <w:uiPriority w:val="99"/>
    <w:semiHidden/>
    <w:unhideWhenUsed/>
    <w:qFormat/>
    <w:rsid w:val="002C59A0"/>
    <w:rPr>
      <w:b/>
      <w:bCs/>
      <w:sz w:val="20"/>
      <w:szCs w:val="20"/>
    </w:rPr>
  </w:style>
  <w:style w:type="paragraph" w:customStyle="1" w:styleId="Footer1">
    <w:name w:val="Footer1"/>
    <w:basedOn w:val="Normal"/>
    <w:link w:val="FuzeileZeichen"/>
    <w:uiPriority w:val="99"/>
    <w:unhideWhenUsed/>
    <w:rsid w:val="00BB4A55"/>
    <w:pPr>
      <w:tabs>
        <w:tab w:val="center" w:pos="4703"/>
        <w:tab w:val="right" w:pos="9406"/>
      </w:tabs>
    </w:pPr>
  </w:style>
  <w:style w:type="paragraph" w:customStyle="1" w:styleId="Header1">
    <w:name w:val="Header1"/>
    <w:basedOn w:val="Normal"/>
    <w:link w:val="KopfzeileZeichen"/>
    <w:uiPriority w:val="99"/>
    <w:unhideWhenUsed/>
    <w:rsid w:val="00BB4A55"/>
    <w:pPr>
      <w:tabs>
        <w:tab w:val="center" w:pos="4703"/>
        <w:tab w:val="right" w:pos="9406"/>
      </w:tabs>
    </w:pPr>
  </w:style>
  <w:style w:type="paragraph" w:styleId="NoSpacing">
    <w:name w:val="No Spacing"/>
    <w:link w:val="NoSpacingChar"/>
    <w:qFormat/>
    <w:rsid w:val="00BB4A55"/>
    <w:rPr>
      <w:rFonts w:ascii="PMingLiU" w:hAnsi="PMingLiU"/>
      <w:sz w:val="22"/>
      <w:szCs w:val="22"/>
    </w:rPr>
  </w:style>
  <w:style w:type="paragraph" w:customStyle="1" w:styleId="FrameContents">
    <w:name w:val="Frame Contents"/>
    <w:basedOn w:val="Normal"/>
    <w:qFormat/>
  </w:style>
  <w:style w:type="table" w:styleId="LightShading">
    <w:name w:val="Light Shading"/>
    <w:basedOn w:val="TableNormal"/>
    <w:uiPriority w:val="60"/>
    <w:rsid w:val="00EB41C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0D3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1239A"/>
  </w:style>
  <w:style w:type="paragraph" w:styleId="Header">
    <w:name w:val="header"/>
    <w:basedOn w:val="Normal"/>
    <w:link w:val="HeaderChar"/>
    <w:uiPriority w:val="99"/>
    <w:unhideWhenUsed/>
    <w:rsid w:val="001C3411"/>
    <w:pPr>
      <w:tabs>
        <w:tab w:val="center" w:pos="4536"/>
        <w:tab w:val="right" w:pos="9072"/>
      </w:tabs>
    </w:pPr>
  </w:style>
  <w:style w:type="character" w:customStyle="1" w:styleId="HeaderChar">
    <w:name w:val="Header Char"/>
    <w:basedOn w:val="DefaultParagraphFont"/>
    <w:link w:val="Header"/>
    <w:uiPriority w:val="99"/>
    <w:rsid w:val="001C3411"/>
  </w:style>
  <w:style w:type="paragraph" w:styleId="Footer">
    <w:name w:val="footer"/>
    <w:basedOn w:val="Normal"/>
    <w:link w:val="FooterChar"/>
    <w:uiPriority w:val="99"/>
    <w:unhideWhenUsed/>
    <w:rsid w:val="001C3411"/>
    <w:pPr>
      <w:tabs>
        <w:tab w:val="center" w:pos="4536"/>
        <w:tab w:val="right" w:pos="9072"/>
      </w:tabs>
    </w:pPr>
  </w:style>
  <w:style w:type="character" w:customStyle="1" w:styleId="FooterChar">
    <w:name w:val="Footer Char"/>
    <w:basedOn w:val="DefaultParagraphFont"/>
    <w:link w:val="Footer"/>
    <w:uiPriority w:val="99"/>
    <w:rsid w:val="001C3411"/>
  </w:style>
  <w:style w:type="paragraph" w:customStyle="1" w:styleId="Normal1">
    <w:name w:val="Normal1"/>
    <w:qFormat/>
    <w:rsid w:val="00800BAA"/>
    <w:rPr>
      <w:rFonts w:ascii="Times New Roman" w:eastAsia="Times New Roman" w:hAnsi="Times New Roman" w:cs="Times New Roman"/>
      <w:color w:val="00000A"/>
      <w:lang w:val="en-GB"/>
    </w:rPr>
  </w:style>
  <w:style w:type="character" w:styleId="LineNumber">
    <w:name w:val="line number"/>
    <w:basedOn w:val="DefaultParagraphFont"/>
    <w:uiPriority w:val="99"/>
    <w:semiHidden/>
    <w:unhideWhenUsed/>
    <w:rsid w:val="00602484"/>
  </w:style>
  <w:style w:type="character" w:styleId="PlaceholderText">
    <w:name w:val="Placeholder Text"/>
    <w:basedOn w:val="DefaultParagraphFont"/>
    <w:uiPriority w:val="99"/>
    <w:semiHidden/>
    <w:rsid w:val="0004680A"/>
    <w:rPr>
      <w:color w:val="808080"/>
    </w:rPr>
  </w:style>
  <w:style w:type="character" w:styleId="Hyperlink">
    <w:name w:val="Hyperlink"/>
    <w:basedOn w:val="DefaultParagraphFont"/>
    <w:uiPriority w:val="99"/>
    <w:unhideWhenUsed/>
    <w:rsid w:val="002B0D63"/>
    <w:rPr>
      <w:color w:val="0000FF" w:themeColor="hyperlink"/>
      <w:u w:val="single"/>
    </w:rPr>
  </w:style>
  <w:style w:type="character" w:styleId="FollowedHyperlink">
    <w:name w:val="FollowedHyperlink"/>
    <w:basedOn w:val="DefaultParagraphFont"/>
    <w:uiPriority w:val="99"/>
    <w:semiHidden/>
    <w:unhideWhenUsed/>
    <w:rsid w:val="00965FD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4911">
      <w:bodyDiv w:val="1"/>
      <w:marLeft w:val="0"/>
      <w:marRight w:val="0"/>
      <w:marTop w:val="0"/>
      <w:marBottom w:val="0"/>
      <w:divBdr>
        <w:top w:val="none" w:sz="0" w:space="0" w:color="auto"/>
        <w:left w:val="none" w:sz="0" w:space="0" w:color="auto"/>
        <w:bottom w:val="none" w:sz="0" w:space="0" w:color="auto"/>
        <w:right w:val="none" w:sz="0" w:space="0" w:color="auto"/>
      </w:divBdr>
    </w:div>
    <w:div w:id="51124443">
      <w:bodyDiv w:val="1"/>
      <w:marLeft w:val="0"/>
      <w:marRight w:val="0"/>
      <w:marTop w:val="0"/>
      <w:marBottom w:val="0"/>
      <w:divBdr>
        <w:top w:val="none" w:sz="0" w:space="0" w:color="auto"/>
        <w:left w:val="none" w:sz="0" w:space="0" w:color="auto"/>
        <w:bottom w:val="none" w:sz="0" w:space="0" w:color="auto"/>
        <w:right w:val="none" w:sz="0" w:space="0" w:color="auto"/>
      </w:divBdr>
    </w:div>
    <w:div w:id="81679675">
      <w:bodyDiv w:val="1"/>
      <w:marLeft w:val="0"/>
      <w:marRight w:val="0"/>
      <w:marTop w:val="0"/>
      <w:marBottom w:val="0"/>
      <w:divBdr>
        <w:top w:val="none" w:sz="0" w:space="0" w:color="auto"/>
        <w:left w:val="none" w:sz="0" w:space="0" w:color="auto"/>
        <w:bottom w:val="none" w:sz="0" w:space="0" w:color="auto"/>
        <w:right w:val="none" w:sz="0" w:space="0" w:color="auto"/>
      </w:divBdr>
    </w:div>
    <w:div w:id="210044797">
      <w:bodyDiv w:val="1"/>
      <w:marLeft w:val="0"/>
      <w:marRight w:val="0"/>
      <w:marTop w:val="0"/>
      <w:marBottom w:val="0"/>
      <w:divBdr>
        <w:top w:val="none" w:sz="0" w:space="0" w:color="auto"/>
        <w:left w:val="none" w:sz="0" w:space="0" w:color="auto"/>
        <w:bottom w:val="none" w:sz="0" w:space="0" w:color="auto"/>
        <w:right w:val="none" w:sz="0" w:space="0" w:color="auto"/>
      </w:divBdr>
    </w:div>
    <w:div w:id="219437300">
      <w:bodyDiv w:val="1"/>
      <w:marLeft w:val="0"/>
      <w:marRight w:val="0"/>
      <w:marTop w:val="0"/>
      <w:marBottom w:val="0"/>
      <w:divBdr>
        <w:top w:val="none" w:sz="0" w:space="0" w:color="auto"/>
        <w:left w:val="none" w:sz="0" w:space="0" w:color="auto"/>
        <w:bottom w:val="none" w:sz="0" w:space="0" w:color="auto"/>
        <w:right w:val="none" w:sz="0" w:space="0" w:color="auto"/>
      </w:divBdr>
    </w:div>
    <w:div w:id="225529634">
      <w:bodyDiv w:val="1"/>
      <w:marLeft w:val="0"/>
      <w:marRight w:val="0"/>
      <w:marTop w:val="0"/>
      <w:marBottom w:val="0"/>
      <w:divBdr>
        <w:top w:val="none" w:sz="0" w:space="0" w:color="auto"/>
        <w:left w:val="none" w:sz="0" w:space="0" w:color="auto"/>
        <w:bottom w:val="none" w:sz="0" w:space="0" w:color="auto"/>
        <w:right w:val="none" w:sz="0" w:space="0" w:color="auto"/>
      </w:divBdr>
    </w:div>
    <w:div w:id="236864283">
      <w:bodyDiv w:val="1"/>
      <w:marLeft w:val="0"/>
      <w:marRight w:val="0"/>
      <w:marTop w:val="0"/>
      <w:marBottom w:val="0"/>
      <w:divBdr>
        <w:top w:val="none" w:sz="0" w:space="0" w:color="auto"/>
        <w:left w:val="none" w:sz="0" w:space="0" w:color="auto"/>
        <w:bottom w:val="none" w:sz="0" w:space="0" w:color="auto"/>
        <w:right w:val="none" w:sz="0" w:space="0" w:color="auto"/>
      </w:divBdr>
    </w:div>
    <w:div w:id="272372043">
      <w:bodyDiv w:val="1"/>
      <w:marLeft w:val="0"/>
      <w:marRight w:val="0"/>
      <w:marTop w:val="0"/>
      <w:marBottom w:val="0"/>
      <w:divBdr>
        <w:top w:val="none" w:sz="0" w:space="0" w:color="auto"/>
        <w:left w:val="none" w:sz="0" w:space="0" w:color="auto"/>
        <w:bottom w:val="none" w:sz="0" w:space="0" w:color="auto"/>
        <w:right w:val="none" w:sz="0" w:space="0" w:color="auto"/>
      </w:divBdr>
    </w:div>
    <w:div w:id="306932507">
      <w:bodyDiv w:val="1"/>
      <w:marLeft w:val="0"/>
      <w:marRight w:val="0"/>
      <w:marTop w:val="0"/>
      <w:marBottom w:val="0"/>
      <w:divBdr>
        <w:top w:val="none" w:sz="0" w:space="0" w:color="auto"/>
        <w:left w:val="none" w:sz="0" w:space="0" w:color="auto"/>
        <w:bottom w:val="none" w:sz="0" w:space="0" w:color="auto"/>
        <w:right w:val="none" w:sz="0" w:space="0" w:color="auto"/>
      </w:divBdr>
    </w:div>
    <w:div w:id="430245356">
      <w:bodyDiv w:val="1"/>
      <w:marLeft w:val="0"/>
      <w:marRight w:val="0"/>
      <w:marTop w:val="0"/>
      <w:marBottom w:val="0"/>
      <w:divBdr>
        <w:top w:val="none" w:sz="0" w:space="0" w:color="auto"/>
        <w:left w:val="none" w:sz="0" w:space="0" w:color="auto"/>
        <w:bottom w:val="none" w:sz="0" w:space="0" w:color="auto"/>
        <w:right w:val="none" w:sz="0" w:space="0" w:color="auto"/>
      </w:divBdr>
    </w:div>
    <w:div w:id="447088901">
      <w:bodyDiv w:val="1"/>
      <w:marLeft w:val="0"/>
      <w:marRight w:val="0"/>
      <w:marTop w:val="0"/>
      <w:marBottom w:val="0"/>
      <w:divBdr>
        <w:top w:val="none" w:sz="0" w:space="0" w:color="auto"/>
        <w:left w:val="none" w:sz="0" w:space="0" w:color="auto"/>
        <w:bottom w:val="none" w:sz="0" w:space="0" w:color="auto"/>
        <w:right w:val="none" w:sz="0" w:space="0" w:color="auto"/>
      </w:divBdr>
    </w:div>
    <w:div w:id="458259253">
      <w:bodyDiv w:val="1"/>
      <w:marLeft w:val="0"/>
      <w:marRight w:val="0"/>
      <w:marTop w:val="0"/>
      <w:marBottom w:val="0"/>
      <w:divBdr>
        <w:top w:val="none" w:sz="0" w:space="0" w:color="auto"/>
        <w:left w:val="none" w:sz="0" w:space="0" w:color="auto"/>
        <w:bottom w:val="none" w:sz="0" w:space="0" w:color="auto"/>
        <w:right w:val="none" w:sz="0" w:space="0" w:color="auto"/>
      </w:divBdr>
    </w:div>
    <w:div w:id="462505741">
      <w:bodyDiv w:val="1"/>
      <w:marLeft w:val="0"/>
      <w:marRight w:val="0"/>
      <w:marTop w:val="0"/>
      <w:marBottom w:val="0"/>
      <w:divBdr>
        <w:top w:val="none" w:sz="0" w:space="0" w:color="auto"/>
        <w:left w:val="none" w:sz="0" w:space="0" w:color="auto"/>
        <w:bottom w:val="none" w:sz="0" w:space="0" w:color="auto"/>
        <w:right w:val="none" w:sz="0" w:space="0" w:color="auto"/>
      </w:divBdr>
    </w:div>
    <w:div w:id="541206898">
      <w:bodyDiv w:val="1"/>
      <w:marLeft w:val="0"/>
      <w:marRight w:val="0"/>
      <w:marTop w:val="0"/>
      <w:marBottom w:val="0"/>
      <w:divBdr>
        <w:top w:val="none" w:sz="0" w:space="0" w:color="auto"/>
        <w:left w:val="none" w:sz="0" w:space="0" w:color="auto"/>
        <w:bottom w:val="none" w:sz="0" w:space="0" w:color="auto"/>
        <w:right w:val="none" w:sz="0" w:space="0" w:color="auto"/>
      </w:divBdr>
    </w:div>
    <w:div w:id="716661633">
      <w:bodyDiv w:val="1"/>
      <w:marLeft w:val="0"/>
      <w:marRight w:val="0"/>
      <w:marTop w:val="0"/>
      <w:marBottom w:val="0"/>
      <w:divBdr>
        <w:top w:val="none" w:sz="0" w:space="0" w:color="auto"/>
        <w:left w:val="none" w:sz="0" w:space="0" w:color="auto"/>
        <w:bottom w:val="none" w:sz="0" w:space="0" w:color="auto"/>
        <w:right w:val="none" w:sz="0" w:space="0" w:color="auto"/>
      </w:divBdr>
    </w:div>
    <w:div w:id="872575553">
      <w:bodyDiv w:val="1"/>
      <w:marLeft w:val="0"/>
      <w:marRight w:val="0"/>
      <w:marTop w:val="0"/>
      <w:marBottom w:val="0"/>
      <w:divBdr>
        <w:top w:val="none" w:sz="0" w:space="0" w:color="auto"/>
        <w:left w:val="none" w:sz="0" w:space="0" w:color="auto"/>
        <w:bottom w:val="none" w:sz="0" w:space="0" w:color="auto"/>
        <w:right w:val="none" w:sz="0" w:space="0" w:color="auto"/>
      </w:divBdr>
      <w:divsChild>
        <w:div w:id="1916937289">
          <w:marLeft w:val="0"/>
          <w:marRight w:val="0"/>
          <w:marTop w:val="0"/>
          <w:marBottom w:val="0"/>
          <w:divBdr>
            <w:top w:val="none" w:sz="0" w:space="0" w:color="auto"/>
            <w:left w:val="none" w:sz="0" w:space="0" w:color="auto"/>
            <w:bottom w:val="none" w:sz="0" w:space="0" w:color="auto"/>
            <w:right w:val="none" w:sz="0" w:space="0" w:color="auto"/>
          </w:divBdr>
        </w:div>
        <w:div w:id="661934045">
          <w:marLeft w:val="0"/>
          <w:marRight w:val="0"/>
          <w:marTop w:val="0"/>
          <w:marBottom w:val="0"/>
          <w:divBdr>
            <w:top w:val="none" w:sz="0" w:space="0" w:color="auto"/>
            <w:left w:val="none" w:sz="0" w:space="0" w:color="auto"/>
            <w:bottom w:val="none" w:sz="0" w:space="0" w:color="auto"/>
            <w:right w:val="none" w:sz="0" w:space="0" w:color="auto"/>
          </w:divBdr>
        </w:div>
        <w:div w:id="1830052636">
          <w:marLeft w:val="0"/>
          <w:marRight w:val="0"/>
          <w:marTop w:val="0"/>
          <w:marBottom w:val="0"/>
          <w:divBdr>
            <w:top w:val="none" w:sz="0" w:space="0" w:color="auto"/>
            <w:left w:val="none" w:sz="0" w:space="0" w:color="auto"/>
            <w:bottom w:val="none" w:sz="0" w:space="0" w:color="auto"/>
            <w:right w:val="none" w:sz="0" w:space="0" w:color="auto"/>
          </w:divBdr>
        </w:div>
        <w:div w:id="1481456387">
          <w:marLeft w:val="0"/>
          <w:marRight w:val="0"/>
          <w:marTop w:val="0"/>
          <w:marBottom w:val="0"/>
          <w:divBdr>
            <w:top w:val="none" w:sz="0" w:space="0" w:color="auto"/>
            <w:left w:val="none" w:sz="0" w:space="0" w:color="auto"/>
            <w:bottom w:val="none" w:sz="0" w:space="0" w:color="auto"/>
            <w:right w:val="none" w:sz="0" w:space="0" w:color="auto"/>
          </w:divBdr>
        </w:div>
        <w:div w:id="207960523">
          <w:marLeft w:val="0"/>
          <w:marRight w:val="0"/>
          <w:marTop w:val="0"/>
          <w:marBottom w:val="0"/>
          <w:divBdr>
            <w:top w:val="none" w:sz="0" w:space="0" w:color="auto"/>
            <w:left w:val="none" w:sz="0" w:space="0" w:color="auto"/>
            <w:bottom w:val="none" w:sz="0" w:space="0" w:color="auto"/>
            <w:right w:val="none" w:sz="0" w:space="0" w:color="auto"/>
          </w:divBdr>
        </w:div>
        <w:div w:id="783883971">
          <w:marLeft w:val="0"/>
          <w:marRight w:val="0"/>
          <w:marTop w:val="0"/>
          <w:marBottom w:val="0"/>
          <w:divBdr>
            <w:top w:val="none" w:sz="0" w:space="0" w:color="auto"/>
            <w:left w:val="none" w:sz="0" w:space="0" w:color="auto"/>
            <w:bottom w:val="none" w:sz="0" w:space="0" w:color="auto"/>
            <w:right w:val="none" w:sz="0" w:space="0" w:color="auto"/>
          </w:divBdr>
        </w:div>
      </w:divsChild>
    </w:div>
    <w:div w:id="960459252">
      <w:bodyDiv w:val="1"/>
      <w:marLeft w:val="0"/>
      <w:marRight w:val="0"/>
      <w:marTop w:val="0"/>
      <w:marBottom w:val="0"/>
      <w:divBdr>
        <w:top w:val="none" w:sz="0" w:space="0" w:color="auto"/>
        <w:left w:val="none" w:sz="0" w:space="0" w:color="auto"/>
        <w:bottom w:val="none" w:sz="0" w:space="0" w:color="auto"/>
        <w:right w:val="none" w:sz="0" w:space="0" w:color="auto"/>
      </w:divBdr>
    </w:div>
    <w:div w:id="1107507307">
      <w:bodyDiv w:val="1"/>
      <w:marLeft w:val="0"/>
      <w:marRight w:val="0"/>
      <w:marTop w:val="0"/>
      <w:marBottom w:val="0"/>
      <w:divBdr>
        <w:top w:val="none" w:sz="0" w:space="0" w:color="auto"/>
        <w:left w:val="none" w:sz="0" w:space="0" w:color="auto"/>
        <w:bottom w:val="none" w:sz="0" w:space="0" w:color="auto"/>
        <w:right w:val="none" w:sz="0" w:space="0" w:color="auto"/>
      </w:divBdr>
    </w:div>
    <w:div w:id="1112631282">
      <w:bodyDiv w:val="1"/>
      <w:marLeft w:val="0"/>
      <w:marRight w:val="0"/>
      <w:marTop w:val="0"/>
      <w:marBottom w:val="0"/>
      <w:divBdr>
        <w:top w:val="none" w:sz="0" w:space="0" w:color="auto"/>
        <w:left w:val="none" w:sz="0" w:space="0" w:color="auto"/>
        <w:bottom w:val="none" w:sz="0" w:space="0" w:color="auto"/>
        <w:right w:val="none" w:sz="0" w:space="0" w:color="auto"/>
      </w:divBdr>
    </w:div>
    <w:div w:id="1205219557">
      <w:bodyDiv w:val="1"/>
      <w:marLeft w:val="0"/>
      <w:marRight w:val="0"/>
      <w:marTop w:val="0"/>
      <w:marBottom w:val="0"/>
      <w:divBdr>
        <w:top w:val="none" w:sz="0" w:space="0" w:color="auto"/>
        <w:left w:val="none" w:sz="0" w:space="0" w:color="auto"/>
        <w:bottom w:val="none" w:sz="0" w:space="0" w:color="auto"/>
        <w:right w:val="none" w:sz="0" w:space="0" w:color="auto"/>
      </w:divBdr>
    </w:div>
    <w:div w:id="1222520360">
      <w:bodyDiv w:val="1"/>
      <w:marLeft w:val="0"/>
      <w:marRight w:val="0"/>
      <w:marTop w:val="0"/>
      <w:marBottom w:val="0"/>
      <w:divBdr>
        <w:top w:val="none" w:sz="0" w:space="0" w:color="auto"/>
        <w:left w:val="none" w:sz="0" w:space="0" w:color="auto"/>
        <w:bottom w:val="none" w:sz="0" w:space="0" w:color="auto"/>
        <w:right w:val="none" w:sz="0" w:space="0" w:color="auto"/>
      </w:divBdr>
    </w:div>
    <w:div w:id="1299651574">
      <w:bodyDiv w:val="1"/>
      <w:marLeft w:val="0"/>
      <w:marRight w:val="0"/>
      <w:marTop w:val="0"/>
      <w:marBottom w:val="0"/>
      <w:divBdr>
        <w:top w:val="none" w:sz="0" w:space="0" w:color="auto"/>
        <w:left w:val="none" w:sz="0" w:space="0" w:color="auto"/>
        <w:bottom w:val="none" w:sz="0" w:space="0" w:color="auto"/>
        <w:right w:val="none" w:sz="0" w:space="0" w:color="auto"/>
      </w:divBdr>
    </w:div>
    <w:div w:id="1500076220">
      <w:bodyDiv w:val="1"/>
      <w:marLeft w:val="0"/>
      <w:marRight w:val="0"/>
      <w:marTop w:val="0"/>
      <w:marBottom w:val="0"/>
      <w:divBdr>
        <w:top w:val="none" w:sz="0" w:space="0" w:color="auto"/>
        <w:left w:val="none" w:sz="0" w:space="0" w:color="auto"/>
        <w:bottom w:val="none" w:sz="0" w:space="0" w:color="auto"/>
        <w:right w:val="none" w:sz="0" w:space="0" w:color="auto"/>
      </w:divBdr>
    </w:div>
    <w:div w:id="1577518137">
      <w:bodyDiv w:val="1"/>
      <w:marLeft w:val="0"/>
      <w:marRight w:val="0"/>
      <w:marTop w:val="0"/>
      <w:marBottom w:val="0"/>
      <w:divBdr>
        <w:top w:val="none" w:sz="0" w:space="0" w:color="auto"/>
        <w:left w:val="none" w:sz="0" w:space="0" w:color="auto"/>
        <w:bottom w:val="none" w:sz="0" w:space="0" w:color="auto"/>
        <w:right w:val="none" w:sz="0" w:space="0" w:color="auto"/>
      </w:divBdr>
    </w:div>
    <w:div w:id="1724675817">
      <w:bodyDiv w:val="1"/>
      <w:marLeft w:val="0"/>
      <w:marRight w:val="0"/>
      <w:marTop w:val="0"/>
      <w:marBottom w:val="0"/>
      <w:divBdr>
        <w:top w:val="none" w:sz="0" w:space="0" w:color="auto"/>
        <w:left w:val="none" w:sz="0" w:space="0" w:color="auto"/>
        <w:bottom w:val="none" w:sz="0" w:space="0" w:color="auto"/>
        <w:right w:val="none" w:sz="0" w:space="0" w:color="auto"/>
      </w:divBdr>
    </w:div>
    <w:div w:id="1739403393">
      <w:bodyDiv w:val="1"/>
      <w:marLeft w:val="0"/>
      <w:marRight w:val="0"/>
      <w:marTop w:val="0"/>
      <w:marBottom w:val="0"/>
      <w:divBdr>
        <w:top w:val="none" w:sz="0" w:space="0" w:color="auto"/>
        <w:left w:val="none" w:sz="0" w:space="0" w:color="auto"/>
        <w:bottom w:val="none" w:sz="0" w:space="0" w:color="auto"/>
        <w:right w:val="none" w:sz="0" w:space="0" w:color="auto"/>
      </w:divBdr>
    </w:div>
    <w:div w:id="1771464962">
      <w:bodyDiv w:val="1"/>
      <w:marLeft w:val="0"/>
      <w:marRight w:val="0"/>
      <w:marTop w:val="0"/>
      <w:marBottom w:val="0"/>
      <w:divBdr>
        <w:top w:val="none" w:sz="0" w:space="0" w:color="auto"/>
        <w:left w:val="none" w:sz="0" w:space="0" w:color="auto"/>
        <w:bottom w:val="none" w:sz="0" w:space="0" w:color="auto"/>
        <w:right w:val="none" w:sz="0" w:space="0" w:color="auto"/>
      </w:divBdr>
    </w:div>
    <w:div w:id="2010251291">
      <w:bodyDiv w:val="1"/>
      <w:marLeft w:val="0"/>
      <w:marRight w:val="0"/>
      <w:marTop w:val="0"/>
      <w:marBottom w:val="0"/>
      <w:divBdr>
        <w:top w:val="none" w:sz="0" w:space="0" w:color="auto"/>
        <w:left w:val="none" w:sz="0" w:space="0" w:color="auto"/>
        <w:bottom w:val="none" w:sz="0" w:space="0" w:color="auto"/>
        <w:right w:val="none" w:sz="0" w:space="0" w:color="auto"/>
      </w:divBdr>
    </w:div>
    <w:div w:id="2027704808">
      <w:bodyDiv w:val="1"/>
      <w:marLeft w:val="0"/>
      <w:marRight w:val="0"/>
      <w:marTop w:val="0"/>
      <w:marBottom w:val="0"/>
      <w:divBdr>
        <w:top w:val="none" w:sz="0" w:space="0" w:color="auto"/>
        <w:left w:val="none" w:sz="0" w:space="0" w:color="auto"/>
        <w:bottom w:val="none" w:sz="0" w:space="0" w:color="auto"/>
        <w:right w:val="none" w:sz="0" w:space="0" w:color="auto"/>
      </w:divBdr>
    </w:div>
    <w:div w:id="20537259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header" Target="header4.xml"/><Relationship Id="rId26" Type="http://schemas.openxmlformats.org/officeDocument/2006/relationships/footer" Target="footer6.xml"/><Relationship Id="rId39" Type="http://schemas.openxmlformats.org/officeDocument/2006/relationships/image" Target="media/image18.emf"/><Relationship Id="rId21" Type="http://schemas.openxmlformats.org/officeDocument/2006/relationships/image" Target="media/image4.emf"/><Relationship Id="rId34" Type="http://schemas.openxmlformats.org/officeDocument/2006/relationships/image" Target="media/image13.emf"/><Relationship Id="rId42" Type="http://schemas.openxmlformats.org/officeDocument/2006/relationships/image" Target="media/image21.emf"/><Relationship Id="rId47" Type="http://schemas.openxmlformats.org/officeDocument/2006/relationships/header" Target="header9.xml"/><Relationship Id="rId50" Type="http://schemas.openxmlformats.org/officeDocument/2006/relationships/footer" Target="footer10.xml"/><Relationship Id="rId55" Type="http://schemas.openxmlformats.org/officeDocument/2006/relationships/header" Target="header1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footer" Target="footer4.xml"/><Relationship Id="rId29" Type="http://schemas.openxmlformats.org/officeDocument/2006/relationships/image" Target="media/image8.emf"/><Relationship Id="rId41" Type="http://schemas.openxmlformats.org/officeDocument/2006/relationships/image" Target="media/image20.emf"/><Relationship Id="rId54"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6.xml"/><Relationship Id="rId32" Type="http://schemas.openxmlformats.org/officeDocument/2006/relationships/image" Target="media/image11.emf"/><Relationship Id="rId37" Type="http://schemas.openxmlformats.org/officeDocument/2006/relationships/image" Target="media/image16.emf"/><Relationship Id="rId40" Type="http://schemas.openxmlformats.org/officeDocument/2006/relationships/image" Target="media/image19.emf"/><Relationship Id="rId45" Type="http://schemas.openxmlformats.org/officeDocument/2006/relationships/footer" Target="footer7.xml"/><Relationship Id="rId53" Type="http://schemas.openxmlformats.org/officeDocument/2006/relationships/footer" Target="footer11.xml"/><Relationship Id="rId58" Type="http://schemas.openxmlformats.org/officeDocument/2006/relationships/footer" Target="footer14.xml"/><Relationship Id="rId66" Type="http://schemas.microsoft.com/office/2011/relationships/people" Target="people.xml"/><Relationship Id="rId5" Type="http://schemas.openxmlformats.org/officeDocument/2006/relationships/settings" Target="settings.xml"/><Relationship Id="rId15" Type="http://schemas.openxmlformats.org/officeDocument/2006/relationships/image" Target="media/image2.emf"/><Relationship Id="rId23" Type="http://schemas.openxmlformats.org/officeDocument/2006/relationships/header" Target="header5.xml"/><Relationship Id="rId28" Type="http://schemas.openxmlformats.org/officeDocument/2006/relationships/image" Target="media/image7.emf"/><Relationship Id="rId36" Type="http://schemas.openxmlformats.org/officeDocument/2006/relationships/image" Target="media/image15.emf"/><Relationship Id="rId49" Type="http://schemas.openxmlformats.org/officeDocument/2006/relationships/footer" Target="footer9.xml"/><Relationship Id="rId57" Type="http://schemas.openxmlformats.org/officeDocument/2006/relationships/footer" Target="footer13.xml"/><Relationship Id="rId10" Type="http://schemas.openxmlformats.org/officeDocument/2006/relationships/header" Target="header2.xml"/><Relationship Id="rId19" Type="http://schemas.openxmlformats.org/officeDocument/2006/relationships/footer" Target="footer3.xml"/><Relationship Id="rId31" Type="http://schemas.openxmlformats.org/officeDocument/2006/relationships/image" Target="media/image10.emf"/><Relationship Id="rId44" Type="http://schemas.openxmlformats.org/officeDocument/2006/relationships/header" Target="header8.xml"/><Relationship Id="rId52" Type="http://schemas.openxmlformats.org/officeDocument/2006/relationships/header" Target="header12.xml"/><Relationship Id="rId60" Type="http://schemas.openxmlformats.org/officeDocument/2006/relationships/theme" Target="theme/theme1.xml"/><Relationship Id="rId65"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hylopic.org" TargetMode="External"/><Relationship Id="rId22" Type="http://schemas.openxmlformats.org/officeDocument/2006/relationships/image" Target="media/image5.emf"/><Relationship Id="rId27" Type="http://schemas.openxmlformats.org/officeDocument/2006/relationships/image" Target="media/image6.emf"/><Relationship Id="rId30" Type="http://schemas.openxmlformats.org/officeDocument/2006/relationships/image" Target="media/image9.emf"/><Relationship Id="rId35" Type="http://schemas.openxmlformats.org/officeDocument/2006/relationships/image" Target="media/image14.emf"/><Relationship Id="rId43" Type="http://schemas.openxmlformats.org/officeDocument/2006/relationships/header" Target="header7.xml"/><Relationship Id="rId48" Type="http://schemas.openxmlformats.org/officeDocument/2006/relationships/header" Target="header10.xml"/><Relationship Id="rId56" Type="http://schemas.openxmlformats.org/officeDocument/2006/relationships/header" Target="header14.xml"/><Relationship Id="rId64" Type="http://schemas.microsoft.com/office/2016/09/relationships/commentsIds" Target="commentsIds.xml"/><Relationship Id="rId8" Type="http://schemas.openxmlformats.org/officeDocument/2006/relationships/endnotes" Target="endnotes.xml"/><Relationship Id="rId51" Type="http://schemas.openxmlformats.org/officeDocument/2006/relationships/header" Target="header1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3.xml"/><Relationship Id="rId25" Type="http://schemas.openxmlformats.org/officeDocument/2006/relationships/footer" Target="footer5.xml"/><Relationship Id="rId33" Type="http://schemas.openxmlformats.org/officeDocument/2006/relationships/image" Target="media/image12.emf"/><Relationship Id="rId38" Type="http://schemas.openxmlformats.org/officeDocument/2006/relationships/image" Target="media/image17.emf"/><Relationship Id="rId46" Type="http://schemas.openxmlformats.org/officeDocument/2006/relationships/footer" Target="footer8.xml"/><Relationship Id="rId5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E2C60-8477-48D1-AFC3-563472491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16146</Words>
  <Characters>92034</Characters>
  <Application>Microsoft Office Word</Application>
  <DocSecurity>0</DocSecurity>
  <Lines>766</Lines>
  <Paragraphs>215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Springer-SBM</Company>
  <LinksUpToDate>false</LinksUpToDate>
  <CharactersWithSpaces>107965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Viktoriia Radchuk</dc:creator>
  <cp:lastModifiedBy>Beckett, Joanna</cp:lastModifiedBy>
  <cp:revision>2</cp:revision>
  <cp:lastPrinted>2019-05-13T16:05:00Z</cp:lastPrinted>
  <dcterms:created xsi:type="dcterms:W3CDTF">2019-07-05T10:25:00Z</dcterms:created>
  <dcterms:modified xsi:type="dcterms:W3CDTF">2019-07-05T10:25:00Z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endeley Citation Style_1">
    <vt:lpwstr>http://www.zotero.org/styles/nature</vt:lpwstr>
  </property>
  <property fmtid="{D5CDD505-2E9C-101B-9397-08002B2CF9AE}" pid="7" name="Mendeley Document_1">
    <vt:lpwstr>True</vt:lpwstr>
  </property>
  <property fmtid="{D5CDD505-2E9C-101B-9397-08002B2CF9AE}" pid="8" name="Mendeley Recent Style Id 0_1">
    <vt:lpwstr>http://www.zotero.org/styles/american-medical-association</vt:lpwstr>
  </property>
  <property fmtid="{D5CDD505-2E9C-101B-9397-08002B2CF9AE}" pid="9" name="Mendeley Recent Style Id 1_1">
    <vt:lpwstr>http://www.zotero.org/styles/apa</vt:lpwstr>
  </property>
  <property fmtid="{D5CDD505-2E9C-101B-9397-08002B2CF9AE}" pid="10" name="Mendeley Recent Style Id 2_1">
    <vt:lpwstr>http://csl.mendeley.com/styles/94116681/ecology-Viktoria</vt:lpwstr>
  </property>
  <property fmtid="{D5CDD505-2E9C-101B-9397-08002B2CF9AE}" pid="11" name="Mendeley Recent Style Id 3_1">
    <vt:lpwstr>http://csl.mendeley.com/styles/94116681/elsevier-harvard-Vik-2</vt:lpwstr>
  </property>
  <property fmtid="{D5CDD505-2E9C-101B-9397-08002B2CF9AE}" pid="12" name="Mendeley Recent Style Id 4_1">
    <vt:lpwstr>http://csl.mendeley.com/styles/94116681/elsevier-harvard-Vik</vt:lpwstr>
  </property>
  <property fmtid="{D5CDD505-2E9C-101B-9397-08002B2CF9AE}" pid="13" name="Mendeley Recent Style Id 5_1">
    <vt:lpwstr>http://csl.mendeley.com/styles/94116681/global-ecology-and-biogeography-V2</vt:lpwstr>
  </property>
  <property fmtid="{D5CDD505-2E9C-101B-9397-08002B2CF9AE}" pid="14" name="Mendeley Recent Style Id 6_1">
    <vt:lpwstr>http://www.zotero.org/styles/harvard1</vt:lpwstr>
  </property>
  <property fmtid="{D5CDD505-2E9C-101B-9397-08002B2CF9AE}" pid="15" name="Mendeley Recent Style Id 7_1">
    <vt:lpwstr>http://www.zotero.org/styles/jbiog_vik</vt:lpwstr>
  </property>
  <property fmtid="{D5CDD505-2E9C-101B-9397-08002B2CF9AE}" pid="16" name="Mendeley Recent Style Id 8_1">
    <vt:lpwstr>http://www.zotero.org/styles/nature</vt:lpwstr>
  </property>
  <property fmtid="{D5CDD505-2E9C-101B-9397-08002B2CF9AE}" pid="17" name="Mendeley Recent Style Id 9_1">
    <vt:lpwstr>http://csl.mendeley.com/styles/94116681/oikos-2</vt:lpwstr>
  </property>
  <property fmtid="{D5CDD505-2E9C-101B-9397-08002B2CF9AE}" pid="18" name="Mendeley Recent Style Name 0_1">
    <vt:lpwstr>American Medical Association</vt:lpwstr>
  </property>
  <property fmtid="{D5CDD505-2E9C-101B-9397-08002B2CF9AE}" pid="19" name="Mendeley Recent Style Name 1_1">
    <vt:lpwstr>American Psychological Association 6th edition</vt:lpwstr>
  </property>
  <property fmtid="{D5CDD505-2E9C-101B-9397-08002B2CF9AE}" pid="20" name="Mendeley Recent Style Name 2_1">
    <vt:lpwstr>Ecology - Viktoriia Radchuk</vt:lpwstr>
  </property>
  <property fmtid="{D5CDD505-2E9C-101B-9397-08002B2CF9AE}" pid="21" name="Mendeley Recent Style Name 3_1">
    <vt:lpwstr>Elsevier - Harvard (with titles) - Viktoriia Radchuk, PhD</vt:lpwstr>
  </property>
  <property fmtid="{D5CDD505-2E9C-101B-9397-08002B2CF9AE}" pid="22" name="Mendeley Recent Style Name 4_1">
    <vt:lpwstr>Elsevier - Harvard (with titles) - Viktoriia Radchuk, PhD</vt:lpwstr>
  </property>
  <property fmtid="{D5CDD505-2E9C-101B-9397-08002B2CF9AE}" pid="23" name="Mendeley Recent Style Name 5_1">
    <vt:lpwstr>Global Ecology and Biogeography - Viktoriia Radchuk</vt:lpwstr>
  </property>
  <property fmtid="{D5CDD505-2E9C-101B-9397-08002B2CF9AE}" pid="24" name="Mendeley Recent Style Name 6_1">
    <vt:lpwstr>Harvard reference format 1 (deprecated)</vt:lpwstr>
  </property>
  <property fmtid="{D5CDD505-2E9C-101B-9397-08002B2CF9AE}" pid="25" name="Mendeley Recent Style Name 7_1">
    <vt:lpwstr>JBiog_Vik</vt:lpwstr>
  </property>
  <property fmtid="{D5CDD505-2E9C-101B-9397-08002B2CF9AE}" pid="26" name="Mendeley Recent Style Name 8_1">
    <vt:lpwstr>Nature</vt:lpwstr>
  </property>
  <property fmtid="{D5CDD505-2E9C-101B-9397-08002B2CF9AE}" pid="27" name="Mendeley Recent Style Name 9_1">
    <vt:lpwstr>Oikos - Viktoriia Radchuk</vt:lpwstr>
  </property>
  <property fmtid="{D5CDD505-2E9C-101B-9397-08002B2CF9AE}" pid="28" name="Mendeley Unique User Id_1">
    <vt:lpwstr>88f3f9d8-0a06-3f79-aba8-a16ac3dad343</vt:lpwstr>
  </property>
  <property fmtid="{D5CDD505-2E9C-101B-9397-08002B2CF9AE}" pid="29" name="ScaleCrop">
    <vt:bool>false</vt:bool>
  </property>
  <property fmtid="{D5CDD505-2E9C-101B-9397-08002B2CF9AE}" pid="30" name="ShareDoc">
    <vt:bool>false</vt:bool>
  </property>
</Properties>
</file>