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0C16D" w14:textId="77777777" w:rsidR="007D5180" w:rsidRDefault="00FF0E29" w:rsidP="005D636C">
      <w:pPr>
        <w:pStyle w:val="Heading2"/>
        <w:spacing w:before="0" w:after="120"/>
        <w:jc w:val="center"/>
        <w:rPr>
          <w:color w:val="auto"/>
          <w:sz w:val="28"/>
          <w:szCs w:val="28"/>
        </w:rPr>
      </w:pPr>
      <w:r w:rsidRPr="00FF0E29">
        <w:rPr>
          <w:color w:val="auto"/>
          <w:sz w:val="28"/>
          <w:szCs w:val="28"/>
        </w:rPr>
        <w:t>Supporting Information</w:t>
      </w:r>
    </w:p>
    <w:p w14:paraId="329DEBEE" w14:textId="77777777" w:rsidR="00531082" w:rsidRPr="00531082" w:rsidRDefault="00531082" w:rsidP="00531082"/>
    <w:p w14:paraId="1D0F1338" w14:textId="77777777" w:rsidR="00FF0E29" w:rsidRPr="00E138D0" w:rsidRDefault="00FF0E29" w:rsidP="00FF0E29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0" w:name="_Hlk213546733"/>
      <w:r w:rsidRPr="00575E6C">
        <w:rPr>
          <w:rFonts w:ascii="Calibri" w:hAnsi="Calibri" w:cs="Calibri"/>
          <w:b/>
          <w:bCs/>
          <w:sz w:val="32"/>
          <w:szCs w:val="32"/>
        </w:rPr>
        <w:t>Orientation-engineered PtTe</w:t>
      </w:r>
      <w:r w:rsidRPr="00575E6C">
        <w:rPr>
          <w:rFonts w:ascii="Calibri" w:hAnsi="Calibri" w:cs="Calibri"/>
          <w:b/>
          <w:bCs/>
          <w:sz w:val="32"/>
          <w:szCs w:val="32"/>
          <w:vertAlign w:val="subscript"/>
        </w:rPr>
        <w:t>2</w:t>
      </w:r>
      <w:r w:rsidRPr="00575E6C">
        <w:rPr>
          <w:rFonts w:ascii="Calibri" w:hAnsi="Calibri" w:cs="Calibri"/>
          <w:b/>
          <w:bCs/>
          <w:sz w:val="32"/>
          <w:szCs w:val="32"/>
        </w:rPr>
        <w:t xml:space="preserve"> Schottky FETs: Quantum transport insights for dopant-free advanced technology nodes</w:t>
      </w:r>
    </w:p>
    <w:p w14:paraId="666111A0" w14:textId="77777777" w:rsidR="00FF0E29" w:rsidRPr="00E138D0" w:rsidRDefault="00FF0E29" w:rsidP="00FF0E29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en-IE"/>
        </w:rPr>
      </w:pPr>
    </w:p>
    <w:p w14:paraId="34EE0F80" w14:textId="77777777" w:rsidR="00FF0E29" w:rsidRPr="00E138D0" w:rsidRDefault="00FF0E29" w:rsidP="00FF0E29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en-IE"/>
        </w:rPr>
      </w:pPr>
      <w:r w:rsidRPr="00E138D0">
        <w:rPr>
          <w:rFonts w:ascii="Calibri" w:hAnsi="Calibri" w:cs="Calibri"/>
          <w:sz w:val="24"/>
          <w:szCs w:val="24"/>
          <w:lang w:val="en-IE"/>
        </w:rPr>
        <w:t>Lida Ansari</w:t>
      </w:r>
      <w:r w:rsidRPr="00E138D0">
        <w:rPr>
          <w:rFonts w:ascii="Calibri" w:hAnsi="Calibri" w:cs="Calibri"/>
          <w:sz w:val="24"/>
          <w:szCs w:val="24"/>
          <w:vertAlign w:val="superscript"/>
          <w:lang w:val="en-IE"/>
        </w:rPr>
        <w:t>1</w:t>
      </w:r>
      <w:r w:rsidRPr="00E138D0">
        <w:rPr>
          <w:rFonts w:ascii="Calibri" w:hAnsi="Calibri" w:cs="Calibri"/>
          <w:sz w:val="24"/>
          <w:szCs w:val="24"/>
          <w:lang w:val="en-IE"/>
        </w:rPr>
        <w:t>, Paul K. Hurley</w:t>
      </w:r>
      <w:r w:rsidRPr="00E138D0">
        <w:rPr>
          <w:rFonts w:ascii="Calibri" w:hAnsi="Calibri" w:cs="Calibri"/>
          <w:sz w:val="24"/>
          <w:szCs w:val="24"/>
          <w:vertAlign w:val="superscript"/>
          <w:lang w:val="en-IE"/>
        </w:rPr>
        <w:t>1,2</w:t>
      </w:r>
      <w:r w:rsidRPr="00E138D0">
        <w:rPr>
          <w:rFonts w:ascii="Calibri" w:hAnsi="Calibri" w:cs="Calibri"/>
          <w:sz w:val="24"/>
          <w:szCs w:val="24"/>
          <w:lang w:val="en-IE"/>
        </w:rPr>
        <w:t>, and Farzan Gity</w:t>
      </w:r>
      <w:proofErr w:type="gramStart"/>
      <w:r w:rsidRPr="00E138D0">
        <w:rPr>
          <w:rFonts w:ascii="Calibri" w:hAnsi="Calibri" w:cs="Calibri"/>
          <w:sz w:val="24"/>
          <w:szCs w:val="24"/>
          <w:vertAlign w:val="superscript"/>
          <w:lang w:val="en-IE"/>
        </w:rPr>
        <w:t>1</w:t>
      </w:r>
      <w:r>
        <w:rPr>
          <w:rFonts w:ascii="Calibri" w:hAnsi="Calibri" w:cs="Calibri"/>
          <w:sz w:val="24"/>
          <w:szCs w:val="24"/>
          <w:vertAlign w:val="superscript"/>
          <w:lang w:val="en-IE"/>
        </w:rPr>
        <w:t>,*</w:t>
      </w:r>
      <w:proofErr w:type="gramEnd"/>
    </w:p>
    <w:p w14:paraId="2BD57C51" w14:textId="77777777" w:rsidR="00FF0E29" w:rsidRPr="00E138D0" w:rsidRDefault="00FF0E29" w:rsidP="00FF0E29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en-IE"/>
        </w:rPr>
      </w:pPr>
      <w:r w:rsidRPr="00E138D0">
        <w:rPr>
          <w:rFonts w:ascii="Calibri" w:hAnsi="Calibri" w:cs="Calibri"/>
          <w:sz w:val="24"/>
          <w:szCs w:val="24"/>
          <w:vertAlign w:val="superscript"/>
          <w:lang w:val="en-IE"/>
        </w:rPr>
        <w:t>1</w:t>
      </w:r>
      <w:r w:rsidRPr="00E138D0">
        <w:rPr>
          <w:rFonts w:ascii="Calibri" w:hAnsi="Calibri" w:cs="Calibri"/>
          <w:sz w:val="24"/>
          <w:szCs w:val="24"/>
          <w:lang w:val="en-IE"/>
        </w:rPr>
        <w:t xml:space="preserve"> Tyndall National Institute, University College Cork, Lee Maltings, Dyke Parade, Cork, T12 R5CP, Ireland</w:t>
      </w:r>
    </w:p>
    <w:p w14:paraId="380EE899" w14:textId="77777777" w:rsidR="00FF0E29" w:rsidRPr="00E138D0" w:rsidRDefault="00FF0E29" w:rsidP="00FF0E29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en-IE"/>
        </w:rPr>
      </w:pPr>
      <w:r w:rsidRPr="00E138D0">
        <w:rPr>
          <w:rFonts w:ascii="Calibri" w:hAnsi="Calibri" w:cs="Calibri"/>
          <w:sz w:val="24"/>
          <w:szCs w:val="24"/>
          <w:vertAlign w:val="superscript"/>
          <w:lang w:val="en-IE"/>
        </w:rPr>
        <w:t>2</w:t>
      </w:r>
      <w:r w:rsidRPr="00E138D0">
        <w:rPr>
          <w:rFonts w:ascii="Calibri" w:hAnsi="Calibri" w:cs="Calibri"/>
          <w:sz w:val="24"/>
          <w:szCs w:val="24"/>
          <w:lang w:val="en-IE"/>
        </w:rPr>
        <w:t xml:space="preserve"> School of Chemistry, University College Cork, Cork, Ireland</w:t>
      </w:r>
    </w:p>
    <w:p w14:paraId="2EFDFFC3" w14:textId="77777777" w:rsidR="00FF0E29" w:rsidRPr="00E138D0" w:rsidRDefault="00FF0E29" w:rsidP="00FF0E29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en-IE"/>
        </w:rPr>
      </w:pPr>
      <w:r w:rsidRPr="00E138D0">
        <w:rPr>
          <w:rFonts w:ascii="Calibri" w:hAnsi="Calibri" w:cs="Calibri"/>
          <w:sz w:val="24"/>
          <w:szCs w:val="24"/>
          <w:lang w:val="en-IE"/>
        </w:rPr>
        <w:t xml:space="preserve">* Corresponding author: </w:t>
      </w:r>
      <w:hyperlink r:id="rId6" w:history="1">
        <w:r w:rsidRPr="0091701D">
          <w:rPr>
            <w:rStyle w:val="Hyperlink"/>
            <w:rFonts w:ascii="Calibri" w:hAnsi="Calibri" w:cs="Calibri"/>
            <w:sz w:val="24"/>
            <w:szCs w:val="24"/>
            <w:lang w:val="en-IE"/>
          </w:rPr>
          <w:t>Farzan.Gity@Tyndall.ie</w:t>
        </w:r>
      </w:hyperlink>
      <w:r w:rsidRPr="00E138D0">
        <w:rPr>
          <w:rFonts w:ascii="Calibri" w:hAnsi="Calibri" w:cs="Calibri"/>
          <w:sz w:val="24"/>
          <w:szCs w:val="24"/>
          <w:lang w:val="en-IE"/>
        </w:rPr>
        <w:t xml:space="preserve"> </w:t>
      </w:r>
    </w:p>
    <w:p w14:paraId="6149AEEF" w14:textId="77777777" w:rsidR="00FF0E29" w:rsidRDefault="00FF0E29" w:rsidP="00FF0E29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IE"/>
        </w:rPr>
      </w:pPr>
    </w:p>
    <w:p w14:paraId="2F42FFE1" w14:textId="77777777" w:rsidR="00140C2E" w:rsidRDefault="00140C2E" w:rsidP="00FF0E29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IE"/>
        </w:rPr>
      </w:pPr>
    </w:p>
    <w:p w14:paraId="41F9965A" w14:textId="77777777" w:rsidR="00426104" w:rsidRDefault="00426104" w:rsidP="00FF0E29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IE"/>
        </w:rPr>
      </w:pPr>
    </w:p>
    <w:p w14:paraId="41E39843" w14:textId="77777777" w:rsidR="00D908B8" w:rsidRDefault="00D908B8" w:rsidP="00FF0E29">
      <w:pPr>
        <w:spacing w:after="0" w:line="240" w:lineRule="auto"/>
        <w:rPr>
          <w:rFonts w:ascii="Calibri" w:hAnsi="Calibri" w:cs="Calibri"/>
        </w:rPr>
      </w:pPr>
    </w:p>
    <w:p w14:paraId="131BCEA5" w14:textId="77777777" w:rsidR="00D908B8" w:rsidRPr="00D908B8" w:rsidRDefault="00D908B8" w:rsidP="00FF0E29">
      <w:pPr>
        <w:spacing w:after="0" w:line="240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2"/>
        <w:gridCol w:w="2998"/>
        <w:gridCol w:w="2996"/>
      </w:tblGrid>
      <w:tr w:rsidR="001D5CEE" w:rsidRPr="001D5CEE" w14:paraId="59A17EF4" w14:textId="77777777" w:rsidTr="00DA3ECC">
        <w:tc>
          <w:tcPr>
            <w:tcW w:w="2862" w:type="dxa"/>
            <w:vAlign w:val="center"/>
          </w:tcPr>
          <w:bookmarkEnd w:id="0"/>
          <w:p w14:paraId="3464FD55" w14:textId="4072D209" w:rsidR="001D5CEE" w:rsidRPr="001D5CEE" w:rsidRDefault="001D5CEE" w:rsidP="00DA3ECC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 w:rsidRPr="001D5CEE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0FF06B34" wp14:editId="154D6BC1">
                  <wp:extent cx="1704387" cy="1332000"/>
                  <wp:effectExtent l="0" t="0" r="0" b="1905"/>
                  <wp:docPr id="25" name="Picture 24" descr="A screenshot of a computer generated imag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40636A-FCC0-15A2-915D-3550B8A611D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 descr="A screenshot of a computer generated image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CA40636A-FCC0-15A2-915D-3550B8A611D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r="66944" b="16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387" cy="133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  <w:vAlign w:val="center"/>
          </w:tcPr>
          <w:p w14:paraId="2157820B" w14:textId="05A7F71A" w:rsidR="001D5CEE" w:rsidRPr="001D5CEE" w:rsidRDefault="001D5CEE" w:rsidP="00DA3ECC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 w:rsidRPr="001D5CEE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7BF6289" wp14:editId="2433DD31">
                  <wp:extent cx="1792550" cy="1332000"/>
                  <wp:effectExtent l="0" t="0" r="0" b="1905"/>
                  <wp:docPr id="2054993957" name="Picture 2" descr="A screenshot of a graph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993957" name="Picture 2" descr="A screenshot of a graph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55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6" w:type="dxa"/>
            <w:vAlign w:val="center"/>
          </w:tcPr>
          <w:p w14:paraId="3524A382" w14:textId="2D01365B" w:rsidR="001D5CEE" w:rsidRPr="001D5CEE" w:rsidRDefault="001D5CEE" w:rsidP="00DA3ECC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 w:rsidRPr="001D5CEE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28F1C2C" wp14:editId="67389907">
                  <wp:extent cx="1786955" cy="1332000"/>
                  <wp:effectExtent l="0" t="0" r="3810" b="1905"/>
                  <wp:docPr id="74415510" name="Picture 3" descr="A graph of a graph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15510" name="Picture 3" descr="A graph of a graph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6955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5CEE" w:rsidRPr="001D5CEE" w14:paraId="673F4613" w14:textId="77777777" w:rsidTr="00DA3ECC">
        <w:tc>
          <w:tcPr>
            <w:tcW w:w="2862" w:type="dxa"/>
            <w:vAlign w:val="center"/>
          </w:tcPr>
          <w:p w14:paraId="2390307B" w14:textId="3B6A1BBF" w:rsidR="001D5CEE" w:rsidRPr="001D5CEE" w:rsidRDefault="001D5CEE" w:rsidP="00DA3ECC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 w:rsidRPr="001D5CEE">
              <w:rPr>
                <w:rFonts w:asciiTheme="majorHAnsi" w:hAnsiTheme="majorHAnsi" w:cstheme="majorHAnsi"/>
              </w:rPr>
              <w:t>(a)</w:t>
            </w:r>
          </w:p>
        </w:tc>
        <w:tc>
          <w:tcPr>
            <w:tcW w:w="2998" w:type="dxa"/>
            <w:vAlign w:val="center"/>
          </w:tcPr>
          <w:p w14:paraId="6DA0B05A" w14:textId="74608B20" w:rsidR="001D5CEE" w:rsidRPr="001D5CEE" w:rsidRDefault="001D5CEE" w:rsidP="00DA3ECC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 w:rsidRPr="001D5CEE">
              <w:rPr>
                <w:rFonts w:asciiTheme="majorHAnsi" w:hAnsiTheme="majorHAnsi" w:cstheme="majorHAnsi"/>
              </w:rPr>
              <w:t>(b)</w:t>
            </w:r>
          </w:p>
        </w:tc>
        <w:tc>
          <w:tcPr>
            <w:tcW w:w="2996" w:type="dxa"/>
            <w:vAlign w:val="center"/>
          </w:tcPr>
          <w:p w14:paraId="489A6C73" w14:textId="3F08F8C6" w:rsidR="001D5CEE" w:rsidRPr="001D5CEE" w:rsidRDefault="00DA3ECC" w:rsidP="00DA3ECC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(c)</w:t>
            </w:r>
          </w:p>
        </w:tc>
      </w:tr>
      <w:tr w:rsidR="00DA3ECC" w:rsidRPr="001D5CEE" w14:paraId="3ADAFF54" w14:textId="77777777" w:rsidTr="00DA3ECC">
        <w:tc>
          <w:tcPr>
            <w:tcW w:w="8856" w:type="dxa"/>
            <w:gridSpan w:val="3"/>
            <w:vAlign w:val="center"/>
          </w:tcPr>
          <w:p w14:paraId="037F0477" w14:textId="00080BE1" w:rsidR="00DA3ECC" w:rsidRPr="001D5CEE" w:rsidRDefault="00DA3ECC" w:rsidP="00DA3ECC">
            <w:pPr>
              <w:spacing w:after="120"/>
              <w:jc w:val="both"/>
              <w:rPr>
                <w:rFonts w:asciiTheme="majorHAnsi" w:hAnsiTheme="majorHAnsi" w:cstheme="majorHAnsi"/>
              </w:rPr>
            </w:pPr>
            <w:r w:rsidRPr="001D5CEE">
              <w:rPr>
                <w:rFonts w:asciiTheme="majorHAnsi" w:hAnsiTheme="majorHAnsi" w:cstheme="majorHAnsi"/>
              </w:rPr>
              <w:t>Figure S1. Electronic structure of few-layer PtTe</w:t>
            </w:r>
            <w:r w:rsidRPr="00DA3ECC">
              <w:rPr>
                <w:rFonts w:asciiTheme="majorHAnsi" w:hAnsiTheme="majorHAnsi" w:cstheme="majorHAnsi"/>
                <w:vertAlign w:val="subscript"/>
              </w:rPr>
              <w:t>2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1D5CEE">
              <w:rPr>
                <w:rFonts w:asciiTheme="majorHAnsi" w:hAnsiTheme="majorHAnsi" w:cstheme="majorHAnsi"/>
              </w:rPr>
              <w:t xml:space="preserve">Electronic band structures of (a) monolayer, (b) bilayer, and (c) </w:t>
            </w:r>
            <w:proofErr w:type="spellStart"/>
            <w:r w:rsidRPr="001D5CEE">
              <w:rPr>
                <w:rFonts w:asciiTheme="majorHAnsi" w:hAnsiTheme="majorHAnsi" w:cstheme="majorHAnsi"/>
              </w:rPr>
              <w:t>trilayer</w:t>
            </w:r>
            <w:proofErr w:type="spellEnd"/>
            <w:r w:rsidRPr="001D5CEE">
              <w:rPr>
                <w:rFonts w:asciiTheme="majorHAnsi" w:hAnsiTheme="majorHAnsi" w:cstheme="majorHAnsi"/>
              </w:rPr>
              <w:t xml:space="preserve"> PtTe</w:t>
            </w:r>
            <w:r w:rsidRPr="00DA3ECC">
              <w:rPr>
                <w:rFonts w:asciiTheme="majorHAnsi" w:hAnsiTheme="majorHAnsi" w:cstheme="majorHAnsi"/>
                <w:vertAlign w:val="subscript"/>
              </w:rPr>
              <w:t>2</w:t>
            </w:r>
            <w:r w:rsidRPr="001D5CEE">
              <w:rPr>
                <w:rFonts w:asciiTheme="majorHAnsi" w:hAnsiTheme="majorHAnsi" w:cstheme="majorHAnsi"/>
              </w:rPr>
              <w:t xml:space="preserve"> calculated using fully relativistic DFT including spin</w:t>
            </w:r>
            <w:r>
              <w:rPr>
                <w:rFonts w:asciiTheme="majorHAnsi" w:hAnsiTheme="majorHAnsi" w:cstheme="majorHAnsi"/>
              </w:rPr>
              <w:t>-</w:t>
            </w:r>
            <w:r w:rsidRPr="001D5CEE">
              <w:rPr>
                <w:rFonts w:asciiTheme="majorHAnsi" w:hAnsiTheme="majorHAnsi" w:cstheme="majorHAnsi"/>
              </w:rPr>
              <w:t xml:space="preserve">orbit coupling. </w:t>
            </w:r>
            <w:r>
              <w:rPr>
                <w:rFonts w:asciiTheme="majorHAnsi" w:hAnsiTheme="majorHAnsi" w:cstheme="majorHAnsi"/>
              </w:rPr>
              <w:t xml:space="preserve">Energies are referenced to the Fermi level. </w:t>
            </w:r>
            <w:r w:rsidRPr="001D5CEE">
              <w:rPr>
                <w:rFonts w:asciiTheme="majorHAnsi" w:hAnsiTheme="majorHAnsi" w:cstheme="majorHAnsi"/>
              </w:rPr>
              <w:t xml:space="preserve">The transition from semiconducting (monolayer) to </w:t>
            </w:r>
            <w:proofErr w:type="spellStart"/>
            <w:r w:rsidRPr="001D5CEE">
              <w:rPr>
                <w:rFonts w:asciiTheme="majorHAnsi" w:hAnsiTheme="majorHAnsi" w:cstheme="majorHAnsi"/>
              </w:rPr>
              <w:t>semimetallic</w:t>
            </w:r>
            <w:proofErr w:type="spellEnd"/>
            <w:r w:rsidRPr="001D5CEE">
              <w:rPr>
                <w:rFonts w:asciiTheme="majorHAnsi" w:hAnsiTheme="majorHAnsi" w:cstheme="majorHAnsi"/>
              </w:rPr>
              <w:t xml:space="preserve"> (bilayer/</w:t>
            </w:r>
            <w:proofErr w:type="spellStart"/>
            <w:r w:rsidRPr="001D5CEE">
              <w:rPr>
                <w:rFonts w:asciiTheme="majorHAnsi" w:hAnsiTheme="majorHAnsi" w:cstheme="majorHAnsi"/>
              </w:rPr>
              <w:t>trilayer</w:t>
            </w:r>
            <w:proofErr w:type="spellEnd"/>
            <w:r w:rsidRPr="001D5CEE">
              <w:rPr>
                <w:rFonts w:asciiTheme="majorHAnsi" w:hAnsiTheme="majorHAnsi" w:cstheme="majorHAnsi"/>
              </w:rPr>
              <w:t xml:space="preserve">) </w:t>
            </w:r>
            <w:r w:rsidR="00405F86" w:rsidRPr="001D5CEE">
              <w:rPr>
                <w:rFonts w:asciiTheme="majorHAnsi" w:hAnsiTheme="majorHAnsi" w:cstheme="majorHAnsi"/>
              </w:rPr>
              <w:t>behavior</w:t>
            </w:r>
            <w:r w:rsidRPr="001D5CEE">
              <w:rPr>
                <w:rFonts w:asciiTheme="majorHAnsi" w:hAnsiTheme="majorHAnsi" w:cstheme="majorHAnsi"/>
              </w:rPr>
              <w:t xml:space="preserve"> confirms the thickness-dependent phase transition discussed in the main text.</w:t>
            </w:r>
          </w:p>
        </w:tc>
      </w:tr>
    </w:tbl>
    <w:p w14:paraId="67310F0D" w14:textId="700C39DA" w:rsidR="007D5180" w:rsidRDefault="007D5180" w:rsidP="001D5CEE">
      <w:pPr>
        <w:rPr>
          <w:rFonts w:asciiTheme="majorHAnsi" w:hAnsiTheme="majorHAnsi" w:cstheme="majorHAnsi"/>
        </w:rPr>
      </w:pPr>
    </w:p>
    <w:p w14:paraId="577C81C6" w14:textId="77777777" w:rsidR="00531082" w:rsidRDefault="00531082" w:rsidP="001D5CEE">
      <w:pPr>
        <w:rPr>
          <w:rFonts w:asciiTheme="majorHAnsi" w:hAnsiTheme="majorHAnsi" w:cstheme="majorHAnsi"/>
        </w:rPr>
      </w:pPr>
    </w:p>
    <w:p w14:paraId="3C3FF93A" w14:textId="77777777" w:rsidR="00D908B8" w:rsidRDefault="00D908B8" w:rsidP="001D5CEE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5"/>
        <w:gridCol w:w="4261"/>
      </w:tblGrid>
      <w:tr w:rsidR="00DA3ECC" w14:paraId="1473BAFD" w14:textId="77777777" w:rsidTr="00140C2E">
        <w:tc>
          <w:tcPr>
            <w:tcW w:w="4595" w:type="dxa"/>
            <w:vAlign w:val="center"/>
          </w:tcPr>
          <w:p w14:paraId="17EA5F19" w14:textId="184C3574" w:rsidR="00DA3ECC" w:rsidRDefault="00DA3ECC" w:rsidP="00DA3ECC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 w:rsidRPr="001D5CEE">
              <w:rPr>
                <w:rFonts w:asciiTheme="majorHAnsi" w:hAnsiTheme="majorHAnsi" w:cstheme="majorHAnsi"/>
                <w:noProof/>
              </w:rPr>
              <w:lastRenderedPageBreak/>
              <w:drawing>
                <wp:inline distT="0" distB="0" distL="0" distR="0" wp14:anchorId="3EAB5D36" wp14:editId="4F23B1B0">
                  <wp:extent cx="2789804" cy="1980000"/>
                  <wp:effectExtent l="0" t="0" r="0" b="1270"/>
                  <wp:docPr id="1112236827" name="Picture 4" descr="A diagram of a volta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236827" name="Picture 4" descr="A diagram of a voltage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9804" cy="19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14:paraId="154F0B5D" w14:textId="7E755B11" w:rsidR="00DA3ECC" w:rsidRDefault="00DA3ECC" w:rsidP="00DA3ECC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 w:rsidRPr="001D5CEE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77339648" wp14:editId="111932C8">
                  <wp:extent cx="2577370" cy="1980000"/>
                  <wp:effectExtent l="0" t="0" r="0" b="1270"/>
                  <wp:docPr id="868571619" name="Picture 5" descr="A diagram of a volta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571619" name="Picture 5" descr="A diagram of a voltag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7370" cy="19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3ECC" w14:paraId="34CC21D3" w14:textId="77777777" w:rsidTr="00140C2E">
        <w:tc>
          <w:tcPr>
            <w:tcW w:w="4595" w:type="dxa"/>
            <w:vAlign w:val="center"/>
          </w:tcPr>
          <w:p w14:paraId="36D94B56" w14:textId="1873B4E5" w:rsidR="00DA3ECC" w:rsidRDefault="00DA3ECC" w:rsidP="00DA3ECC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(a)</w:t>
            </w:r>
          </w:p>
        </w:tc>
        <w:tc>
          <w:tcPr>
            <w:tcW w:w="4261" w:type="dxa"/>
            <w:vAlign w:val="center"/>
          </w:tcPr>
          <w:p w14:paraId="492BEA66" w14:textId="1AEFEFA8" w:rsidR="00DA3ECC" w:rsidRDefault="00DA3ECC" w:rsidP="00DA3ECC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(b)</w:t>
            </w:r>
          </w:p>
        </w:tc>
      </w:tr>
      <w:tr w:rsidR="00DA3ECC" w14:paraId="788303C2" w14:textId="77777777" w:rsidTr="00140C2E">
        <w:tc>
          <w:tcPr>
            <w:tcW w:w="8856" w:type="dxa"/>
            <w:gridSpan w:val="2"/>
            <w:vAlign w:val="center"/>
          </w:tcPr>
          <w:p w14:paraId="57EEA028" w14:textId="5F26CF6C" w:rsidR="00DA3ECC" w:rsidRPr="00AA1A40" w:rsidRDefault="00DA3ECC" w:rsidP="00DA3ECC">
            <w:pPr>
              <w:spacing w:after="120"/>
              <w:jc w:val="both"/>
              <w:rPr>
                <w:rFonts w:asciiTheme="majorHAnsi" w:hAnsiTheme="majorHAnsi" w:cstheme="majorHAnsi"/>
              </w:rPr>
            </w:pPr>
            <w:r w:rsidRPr="00AA1A40">
              <w:rPr>
                <w:rFonts w:asciiTheme="majorHAnsi" w:hAnsiTheme="majorHAnsi" w:cstheme="majorHAnsi"/>
              </w:rPr>
              <w:t>Figure S2. Simulated output characteristics (I</w:t>
            </w:r>
            <w:r w:rsidRPr="00AA1A40">
              <w:rPr>
                <w:rFonts w:asciiTheme="majorHAnsi" w:hAnsiTheme="majorHAnsi" w:cstheme="majorHAnsi"/>
                <w:vertAlign w:val="subscript"/>
              </w:rPr>
              <w:t>DS</w:t>
            </w:r>
            <w:r w:rsidRPr="00AA1A40">
              <w:rPr>
                <w:rFonts w:asciiTheme="majorHAnsi" w:hAnsiTheme="majorHAnsi" w:cstheme="majorHAnsi"/>
              </w:rPr>
              <w:t>–V</w:t>
            </w:r>
            <w:r w:rsidRPr="00AA1A40">
              <w:rPr>
                <w:rFonts w:asciiTheme="majorHAnsi" w:hAnsiTheme="majorHAnsi" w:cstheme="majorHAnsi"/>
                <w:vertAlign w:val="subscript"/>
              </w:rPr>
              <w:t>DS</w:t>
            </w:r>
            <w:r w:rsidRPr="00AA1A40">
              <w:rPr>
                <w:rFonts w:asciiTheme="majorHAnsi" w:hAnsiTheme="majorHAnsi" w:cstheme="majorHAnsi"/>
              </w:rPr>
              <w:t xml:space="preserve"> curves) for monomaterial PtTe</w:t>
            </w:r>
            <w:r w:rsidRPr="00AA1A40">
              <w:rPr>
                <w:rFonts w:asciiTheme="majorHAnsi" w:hAnsiTheme="majorHAnsi" w:cstheme="majorHAnsi"/>
                <w:vertAlign w:val="subscript"/>
              </w:rPr>
              <w:t>2</w:t>
            </w:r>
            <w:r w:rsidRPr="00AA1A40">
              <w:rPr>
                <w:rFonts w:asciiTheme="majorHAnsi" w:hAnsiTheme="majorHAnsi" w:cstheme="majorHAnsi"/>
              </w:rPr>
              <w:t xml:space="preserve"> Schottky FETs under different gate voltages. Results are shown for (a) Γ-M (Ori 1) and (b) Γ-K (Ori 2) orientations at gate lengths of 2 nm. Calculations employ the Landauer–</w:t>
            </w:r>
            <w:proofErr w:type="spellStart"/>
            <w:r w:rsidRPr="00AA1A40">
              <w:rPr>
                <w:rFonts w:asciiTheme="majorHAnsi" w:hAnsiTheme="majorHAnsi" w:cstheme="majorHAnsi"/>
              </w:rPr>
              <w:t>Büttiker</w:t>
            </w:r>
            <w:proofErr w:type="spellEnd"/>
            <w:r w:rsidRPr="00AA1A40">
              <w:rPr>
                <w:rFonts w:asciiTheme="majorHAnsi" w:hAnsiTheme="majorHAnsi" w:cstheme="majorHAnsi"/>
              </w:rPr>
              <w:t xml:space="preserve"> linear-response formalism using the converged NEGF results. The curves exhibit quasi-linear behavior at small biases and saturation at higher V</w:t>
            </w:r>
            <w:r w:rsidRPr="00AA1A40">
              <w:rPr>
                <w:rFonts w:asciiTheme="majorHAnsi" w:hAnsiTheme="majorHAnsi" w:cstheme="majorHAnsi"/>
                <w:vertAlign w:val="subscript"/>
              </w:rPr>
              <w:t>DS</w:t>
            </w:r>
            <w:r w:rsidRPr="00AA1A40">
              <w:rPr>
                <w:rFonts w:asciiTheme="majorHAnsi" w:hAnsiTheme="majorHAnsi" w:cstheme="majorHAnsi"/>
              </w:rPr>
              <w:t>, consistent with ballistic transport trends shown in the transfer characteristics (Figure 2 of the main manuscript).</w:t>
            </w:r>
          </w:p>
        </w:tc>
      </w:tr>
    </w:tbl>
    <w:p w14:paraId="4E230BD0" w14:textId="201453BD" w:rsidR="007D5180" w:rsidRDefault="007D5180" w:rsidP="001D5CEE">
      <w:pPr>
        <w:rPr>
          <w:rFonts w:asciiTheme="majorHAnsi" w:hAnsiTheme="majorHAnsi" w:cstheme="majorHAnsi"/>
        </w:rPr>
      </w:pPr>
    </w:p>
    <w:p w14:paraId="55CF3C4E" w14:textId="77777777" w:rsidR="00140C2E" w:rsidRDefault="00140C2E" w:rsidP="001D5CEE">
      <w:pPr>
        <w:rPr>
          <w:rFonts w:asciiTheme="majorHAnsi" w:hAnsiTheme="majorHAnsi" w:cstheme="majorHAnsi"/>
        </w:rPr>
      </w:pPr>
    </w:p>
    <w:sectPr w:rsidR="00140C2E" w:rsidSect="005D636C">
      <w:pgSz w:w="12240" w:h="15840"/>
      <w:pgMar w:top="1276" w:right="180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8207052">
    <w:abstractNumId w:val="8"/>
  </w:num>
  <w:num w:numId="2" w16cid:durableId="17392199">
    <w:abstractNumId w:val="6"/>
  </w:num>
  <w:num w:numId="3" w16cid:durableId="2100129960">
    <w:abstractNumId w:val="5"/>
  </w:num>
  <w:num w:numId="4" w16cid:durableId="1146893781">
    <w:abstractNumId w:val="4"/>
  </w:num>
  <w:num w:numId="5" w16cid:durableId="75249333">
    <w:abstractNumId w:val="7"/>
  </w:num>
  <w:num w:numId="6" w16cid:durableId="629439603">
    <w:abstractNumId w:val="3"/>
  </w:num>
  <w:num w:numId="7" w16cid:durableId="1193572176">
    <w:abstractNumId w:val="2"/>
  </w:num>
  <w:num w:numId="8" w16cid:durableId="1283882112">
    <w:abstractNumId w:val="1"/>
  </w:num>
  <w:num w:numId="9" w16cid:durableId="233702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7E7"/>
    <w:rsid w:val="00034616"/>
    <w:rsid w:val="0006063C"/>
    <w:rsid w:val="000A440A"/>
    <w:rsid w:val="00122B18"/>
    <w:rsid w:val="00140C2E"/>
    <w:rsid w:val="0015074B"/>
    <w:rsid w:val="001D5CEE"/>
    <w:rsid w:val="002605CC"/>
    <w:rsid w:val="0029639D"/>
    <w:rsid w:val="002973FD"/>
    <w:rsid w:val="002A1523"/>
    <w:rsid w:val="00326F90"/>
    <w:rsid w:val="00405F86"/>
    <w:rsid w:val="00426104"/>
    <w:rsid w:val="00531082"/>
    <w:rsid w:val="00551CF2"/>
    <w:rsid w:val="0056582C"/>
    <w:rsid w:val="005B6CE1"/>
    <w:rsid w:val="005D636C"/>
    <w:rsid w:val="006B4805"/>
    <w:rsid w:val="00770CA0"/>
    <w:rsid w:val="007D5180"/>
    <w:rsid w:val="00927454"/>
    <w:rsid w:val="00961AAB"/>
    <w:rsid w:val="009E2786"/>
    <w:rsid w:val="00AA1A40"/>
    <w:rsid w:val="00AA1D8D"/>
    <w:rsid w:val="00B44144"/>
    <w:rsid w:val="00B47730"/>
    <w:rsid w:val="00CB0664"/>
    <w:rsid w:val="00D908B8"/>
    <w:rsid w:val="00DA3ECC"/>
    <w:rsid w:val="00DB37A2"/>
    <w:rsid w:val="00E047FD"/>
    <w:rsid w:val="00E06A03"/>
    <w:rsid w:val="00F202F8"/>
    <w:rsid w:val="00F52CC7"/>
    <w:rsid w:val="00FC0593"/>
    <w:rsid w:val="00FC693F"/>
    <w:rsid w:val="00FF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A8E49D"/>
  <w14:defaultImageDpi w14:val="300"/>
  <w15:docId w15:val="{CE805675-515F-4D83-B270-74572CE1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F0E29"/>
    <w:rPr>
      <w:color w:val="0000FF" w:themeColor="hyperlink"/>
      <w:u w:val="single"/>
    </w:rPr>
  </w:style>
  <w:style w:type="table" w:styleId="GridTable1Light-Accent5">
    <w:name w:val="Grid Table 1 Light Accent 5"/>
    <w:basedOn w:val="TableNormal"/>
    <w:uiPriority w:val="46"/>
    <w:rsid w:val="00770CA0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arzan.Gity@Tyndall.ie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Farzan Gity</cp:lastModifiedBy>
  <cp:revision>24</cp:revision>
  <dcterms:created xsi:type="dcterms:W3CDTF">2013-12-23T23:15:00Z</dcterms:created>
  <dcterms:modified xsi:type="dcterms:W3CDTF">2026-01-07T17:00:00Z</dcterms:modified>
  <cp:category/>
</cp:coreProperties>
</file>