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34D40" w14:textId="26B84625" w:rsidR="005C20CE" w:rsidRPr="00C6541B" w:rsidRDefault="005C20CE" w:rsidP="00C6541B">
      <w:pPr>
        <w:spacing w:line="276" w:lineRule="auto"/>
        <w:jc w:val="center"/>
        <w:rPr>
          <w:rFonts w:cstheme="minorHAnsi"/>
          <w:b/>
          <w:bCs/>
          <w:sz w:val="28"/>
          <w:szCs w:val="28"/>
        </w:rPr>
      </w:pPr>
      <w:r w:rsidRPr="00C6541B">
        <w:rPr>
          <w:rFonts w:cstheme="minorHAnsi"/>
          <w:b/>
          <w:bCs/>
          <w:sz w:val="28"/>
          <w:szCs w:val="28"/>
        </w:rPr>
        <w:t>Anionic liposome formulation for oral delivery of thuricin CD, a potential antimicrobial peptide therapeutic</w:t>
      </w:r>
    </w:p>
    <w:p w14:paraId="50676E82" w14:textId="48657A2E" w:rsidR="005C20CE" w:rsidRPr="004A3AB1" w:rsidRDefault="005C20CE" w:rsidP="00C6541B">
      <w:pPr>
        <w:spacing w:line="276" w:lineRule="auto"/>
        <w:jc w:val="center"/>
        <w:rPr>
          <w:rFonts w:cstheme="minorHAnsi"/>
          <w:b/>
          <w:bCs/>
          <w:sz w:val="28"/>
          <w:szCs w:val="28"/>
          <w:lang w:val="pt-BR"/>
        </w:rPr>
      </w:pPr>
      <w:r w:rsidRPr="004A3AB1">
        <w:rPr>
          <w:rFonts w:cstheme="minorHAnsi"/>
          <w:b/>
          <w:bCs/>
          <w:sz w:val="28"/>
          <w:szCs w:val="28"/>
          <w:lang w:val="pt-BR"/>
        </w:rPr>
        <w:t>Camila Viera Herrera</w:t>
      </w:r>
      <w:r w:rsidRPr="004A3AB1">
        <w:rPr>
          <w:rFonts w:cstheme="minorHAnsi"/>
          <w:b/>
          <w:bCs/>
          <w:sz w:val="28"/>
          <w:szCs w:val="28"/>
          <w:vertAlign w:val="superscript"/>
          <w:lang w:val="pt-BR"/>
        </w:rPr>
        <w:t>a</w:t>
      </w:r>
      <w:r w:rsidRPr="004A3AB1">
        <w:rPr>
          <w:rFonts w:cstheme="minorHAnsi"/>
          <w:b/>
          <w:bCs/>
          <w:sz w:val="28"/>
          <w:szCs w:val="28"/>
          <w:lang w:val="pt-BR"/>
        </w:rPr>
        <w:t>, Paula M. O’Connor</w:t>
      </w:r>
      <w:r w:rsidRPr="004A3AB1">
        <w:rPr>
          <w:rFonts w:cstheme="minorHAnsi"/>
          <w:b/>
          <w:bCs/>
          <w:sz w:val="28"/>
          <w:szCs w:val="28"/>
          <w:vertAlign w:val="superscript"/>
          <w:lang w:val="pt-BR"/>
        </w:rPr>
        <w:t>b,c</w:t>
      </w:r>
      <w:r w:rsidRPr="004A3AB1">
        <w:rPr>
          <w:rFonts w:cstheme="minorHAnsi"/>
          <w:b/>
          <w:bCs/>
          <w:sz w:val="28"/>
          <w:szCs w:val="28"/>
          <w:lang w:val="pt-BR"/>
        </w:rPr>
        <w:t>, Poonam Ratrey</w:t>
      </w:r>
      <w:r w:rsidRPr="004A3AB1">
        <w:rPr>
          <w:rFonts w:cstheme="minorHAnsi"/>
          <w:b/>
          <w:bCs/>
          <w:sz w:val="28"/>
          <w:szCs w:val="28"/>
          <w:vertAlign w:val="superscript"/>
          <w:lang w:val="pt-BR"/>
        </w:rPr>
        <w:t>a</w:t>
      </w:r>
      <w:r w:rsidRPr="004A3AB1">
        <w:rPr>
          <w:rFonts w:cstheme="minorHAnsi"/>
          <w:b/>
          <w:bCs/>
          <w:sz w:val="28"/>
          <w:szCs w:val="28"/>
          <w:lang w:val="pt-BR"/>
        </w:rPr>
        <w:t>,</w:t>
      </w:r>
      <w:r w:rsidRPr="004A3AB1">
        <w:rPr>
          <w:rFonts w:cstheme="minorHAnsi"/>
          <w:b/>
          <w:bCs/>
          <w:sz w:val="28"/>
          <w:szCs w:val="28"/>
          <w:vertAlign w:val="superscript"/>
          <w:lang w:val="pt-BR"/>
        </w:rPr>
        <w:t xml:space="preserve"> </w:t>
      </w:r>
      <w:r w:rsidRPr="004A3AB1">
        <w:rPr>
          <w:rFonts w:cstheme="minorHAnsi"/>
          <w:b/>
          <w:bCs/>
          <w:sz w:val="28"/>
          <w:szCs w:val="28"/>
          <w:lang w:val="pt-BR"/>
        </w:rPr>
        <w:t>R Paul Ross</w:t>
      </w:r>
      <w:r w:rsidRPr="004A3AB1">
        <w:rPr>
          <w:rFonts w:cstheme="minorHAnsi"/>
          <w:b/>
          <w:bCs/>
          <w:sz w:val="28"/>
          <w:szCs w:val="28"/>
          <w:vertAlign w:val="superscript"/>
          <w:lang w:val="pt-BR"/>
        </w:rPr>
        <w:t>c,d</w:t>
      </w:r>
      <w:r w:rsidRPr="004A3AB1">
        <w:rPr>
          <w:rFonts w:cstheme="minorHAnsi"/>
          <w:b/>
          <w:bCs/>
          <w:sz w:val="28"/>
          <w:szCs w:val="28"/>
          <w:lang w:val="pt-BR"/>
        </w:rPr>
        <w:t>, Colin Hill</w:t>
      </w:r>
      <w:r w:rsidRPr="004A3AB1">
        <w:rPr>
          <w:rFonts w:cstheme="minorHAnsi"/>
          <w:b/>
          <w:bCs/>
          <w:sz w:val="28"/>
          <w:szCs w:val="28"/>
          <w:vertAlign w:val="superscript"/>
          <w:lang w:val="pt-BR"/>
        </w:rPr>
        <w:t>c,d</w:t>
      </w:r>
      <w:r w:rsidRPr="004A3AB1">
        <w:rPr>
          <w:rFonts w:cstheme="minorHAnsi"/>
          <w:b/>
          <w:bCs/>
          <w:sz w:val="28"/>
          <w:szCs w:val="28"/>
          <w:lang w:val="pt-BR"/>
        </w:rPr>
        <w:t>, Sarah P. Hudson</w:t>
      </w:r>
      <w:r w:rsidRPr="004A3AB1">
        <w:rPr>
          <w:rFonts w:cstheme="minorHAnsi"/>
          <w:b/>
          <w:bCs/>
          <w:sz w:val="28"/>
          <w:szCs w:val="28"/>
          <w:vertAlign w:val="superscript"/>
          <w:lang w:val="pt-BR"/>
        </w:rPr>
        <w:t>a,</w:t>
      </w:r>
      <w:r w:rsidRPr="004A3AB1">
        <w:rPr>
          <w:rFonts w:cstheme="minorHAnsi"/>
          <w:b/>
          <w:bCs/>
          <w:sz w:val="28"/>
          <w:szCs w:val="28"/>
          <w:lang w:val="pt-BR"/>
        </w:rPr>
        <w:t>*</w:t>
      </w:r>
    </w:p>
    <w:p w14:paraId="780D2274" w14:textId="77777777" w:rsidR="00C6541B" w:rsidRPr="004A3AB1" w:rsidRDefault="00C6541B" w:rsidP="00C6541B">
      <w:pPr>
        <w:spacing w:line="276" w:lineRule="auto"/>
        <w:jc w:val="center"/>
        <w:rPr>
          <w:rFonts w:cstheme="minorHAnsi"/>
          <w:b/>
          <w:bCs/>
          <w:sz w:val="28"/>
          <w:szCs w:val="28"/>
          <w:lang w:val="pt-BR"/>
        </w:rPr>
      </w:pPr>
    </w:p>
    <w:p w14:paraId="2B075E66" w14:textId="77777777" w:rsidR="005C20CE" w:rsidRDefault="005C20CE" w:rsidP="005C20CE">
      <w:pPr>
        <w:spacing w:line="360" w:lineRule="auto"/>
      </w:pPr>
      <w:r>
        <w:rPr>
          <w:vertAlign w:val="superscript"/>
        </w:rPr>
        <w:t>a</w:t>
      </w:r>
      <w:r w:rsidRPr="007005C1">
        <w:t xml:space="preserve"> Department of Chemical Sciences, Bernal Institute, University of Limerick, Ireland, </w:t>
      </w:r>
    </w:p>
    <w:p w14:paraId="54BD3B7B" w14:textId="77777777" w:rsidR="005C20CE" w:rsidRDefault="005C20CE" w:rsidP="005C20CE">
      <w:pPr>
        <w:spacing w:line="360" w:lineRule="auto"/>
      </w:pPr>
      <w:r>
        <w:rPr>
          <w:vertAlign w:val="superscript"/>
        </w:rPr>
        <w:t xml:space="preserve">b </w:t>
      </w:r>
      <w:r>
        <w:t xml:space="preserve">Food Biosciences </w:t>
      </w:r>
      <w:r w:rsidRPr="007005C1">
        <w:t xml:space="preserve">, </w:t>
      </w:r>
      <w:proofErr w:type="spellStart"/>
      <w:r w:rsidRPr="007005C1">
        <w:t>Teagasc</w:t>
      </w:r>
      <w:proofErr w:type="spellEnd"/>
      <w:r w:rsidRPr="007005C1">
        <w:t xml:space="preserve">, </w:t>
      </w:r>
      <w:proofErr w:type="spellStart"/>
      <w:r w:rsidRPr="007005C1">
        <w:t>Moorepark</w:t>
      </w:r>
      <w:proofErr w:type="spellEnd"/>
      <w:r w:rsidRPr="007005C1">
        <w:t xml:space="preserve"> Food Research Centre, Fermoy, </w:t>
      </w:r>
      <w:r>
        <w:t xml:space="preserve">Co. Cork, </w:t>
      </w:r>
      <w:r w:rsidRPr="007005C1">
        <w:t xml:space="preserve">Ireland, </w:t>
      </w:r>
    </w:p>
    <w:p w14:paraId="7A9FC202" w14:textId="77777777" w:rsidR="005C20CE" w:rsidRDefault="005C20CE" w:rsidP="005C20CE">
      <w:pPr>
        <w:spacing w:line="360" w:lineRule="auto"/>
      </w:pPr>
      <w:r>
        <w:rPr>
          <w:vertAlign w:val="superscript"/>
        </w:rPr>
        <w:t xml:space="preserve">c </w:t>
      </w:r>
      <w:r>
        <w:t>APC Microbiome Ireland Cork, Cork, Ireland.</w:t>
      </w:r>
    </w:p>
    <w:p w14:paraId="5DE2CF3F" w14:textId="77777777" w:rsidR="005C20CE" w:rsidRDefault="005C20CE" w:rsidP="005C20CE">
      <w:pPr>
        <w:spacing w:line="360" w:lineRule="auto"/>
      </w:pPr>
      <w:r>
        <w:rPr>
          <w:vertAlign w:val="superscript"/>
        </w:rPr>
        <w:t xml:space="preserve">d </w:t>
      </w:r>
      <w:r>
        <w:t>School of Microbiology, University College Cork, College Road, Cork, Ireland.</w:t>
      </w:r>
    </w:p>
    <w:p w14:paraId="087D3552" w14:textId="23CB2FCB" w:rsidR="005C20CE" w:rsidRPr="005C20CE" w:rsidRDefault="005C20CE" w:rsidP="005C20CE">
      <w:pPr>
        <w:spacing w:line="360" w:lineRule="auto"/>
      </w:pPr>
      <w:r>
        <w:t xml:space="preserve">*Email: </w:t>
      </w:r>
      <w:r w:rsidRPr="0000281F">
        <w:t>sarah.hudson@ul.ie</w:t>
      </w:r>
      <w:r>
        <w:t xml:space="preserve"> </w:t>
      </w:r>
    </w:p>
    <w:p w14:paraId="337A6079" w14:textId="77777777" w:rsidR="00C6541B" w:rsidRDefault="00C6541B" w:rsidP="00C6541B">
      <w:pPr>
        <w:spacing w:line="360" w:lineRule="auto"/>
        <w:jc w:val="both"/>
        <w:rPr>
          <w:b/>
          <w:bCs/>
        </w:rPr>
      </w:pPr>
    </w:p>
    <w:p w14:paraId="7136E334" w14:textId="77777777" w:rsidR="00C6541B" w:rsidRDefault="00C6541B" w:rsidP="00C6541B">
      <w:pPr>
        <w:spacing w:line="360" w:lineRule="auto"/>
        <w:jc w:val="both"/>
        <w:rPr>
          <w:b/>
          <w:bCs/>
        </w:rPr>
      </w:pPr>
    </w:p>
    <w:p w14:paraId="64E433CC" w14:textId="78D3D247" w:rsidR="00C6541B" w:rsidRPr="00C6541B" w:rsidRDefault="00C6541B" w:rsidP="00C6541B">
      <w:pPr>
        <w:spacing w:line="360" w:lineRule="auto"/>
        <w:jc w:val="center"/>
        <w:rPr>
          <w:b/>
          <w:bCs/>
          <w:sz w:val="36"/>
          <w:szCs w:val="36"/>
        </w:rPr>
      </w:pPr>
      <w:r w:rsidRPr="00C6541B">
        <w:rPr>
          <w:b/>
          <w:bCs/>
          <w:sz w:val="36"/>
          <w:szCs w:val="36"/>
        </w:rPr>
        <w:t>Supplementary information</w:t>
      </w:r>
    </w:p>
    <w:p w14:paraId="32E70CD6" w14:textId="77777777" w:rsidR="00C6541B" w:rsidRDefault="00C6541B">
      <w:pPr>
        <w:rPr>
          <w:b/>
          <w:bCs/>
        </w:rPr>
      </w:pPr>
    </w:p>
    <w:p w14:paraId="4C52FCC7" w14:textId="77777777" w:rsidR="00C6541B" w:rsidRDefault="00C6541B">
      <w:pPr>
        <w:rPr>
          <w:b/>
          <w:bCs/>
        </w:rPr>
      </w:pPr>
      <w:r>
        <w:rPr>
          <w:b/>
          <w:bCs/>
        </w:rPr>
        <w:br w:type="page"/>
      </w:r>
    </w:p>
    <w:p w14:paraId="36C01BF0" w14:textId="19B8455D" w:rsidR="00C6541B" w:rsidRDefault="001B4FFF" w:rsidP="008A4066">
      <w:pPr>
        <w:spacing w:line="360" w:lineRule="auto"/>
        <w:jc w:val="both"/>
        <w:rPr>
          <w:b/>
          <w:bCs/>
        </w:rPr>
      </w:pPr>
      <w:r>
        <w:rPr>
          <w:b/>
          <w:bCs/>
        </w:rPr>
        <w:lastRenderedPageBreak/>
        <w:t>Section A:</w:t>
      </w:r>
    </w:p>
    <w:p w14:paraId="3A9E37EC" w14:textId="77777777" w:rsidR="001B4FFF" w:rsidRDefault="001B4FFF" w:rsidP="001B4FFF">
      <w:pPr>
        <w:spacing w:line="360" w:lineRule="auto"/>
        <w:jc w:val="both"/>
        <w:rPr>
          <w:b/>
          <w:bCs/>
        </w:rPr>
      </w:pPr>
      <w:r w:rsidRPr="61F3E137">
        <w:rPr>
          <w:b/>
          <w:bCs/>
        </w:rPr>
        <w:t>Production and purification of Thuricin CD</w:t>
      </w:r>
    </w:p>
    <w:p w14:paraId="62D42502" w14:textId="77777777" w:rsidR="001B4FFF" w:rsidRDefault="001B4FFF" w:rsidP="001B4FFF">
      <w:pPr>
        <w:spacing w:line="360" w:lineRule="auto"/>
        <w:jc w:val="both"/>
        <w:rPr>
          <w:rFonts w:ascii="Calibri" w:eastAsia="Calibri" w:hAnsi="Calibri" w:cs="Calibri"/>
          <w:color w:val="000000" w:themeColor="text1"/>
        </w:rPr>
      </w:pPr>
      <w:r w:rsidRPr="61F3E137">
        <w:rPr>
          <w:rFonts w:ascii="Calibri" w:eastAsia="Calibri" w:hAnsi="Calibri" w:cs="Calibri"/>
          <w:color w:val="000000" w:themeColor="text1"/>
        </w:rPr>
        <w:t>Trn α and Trn β peptides were produced and purified with a varying yield of 2 to 5 mg/L</w:t>
      </w:r>
      <w:r>
        <w:rPr>
          <w:rFonts w:ascii="Calibri" w:eastAsia="Calibri" w:hAnsi="Calibri" w:cs="Calibri"/>
          <w:color w:val="000000" w:themeColor="text1"/>
        </w:rPr>
        <w:t>. Structures of each peptide are shown in Figure S1.</w:t>
      </w:r>
    </w:p>
    <w:p w14:paraId="7F9CBA7B" w14:textId="77777777" w:rsidR="001B4FFF" w:rsidRDefault="001B4FFF" w:rsidP="001B4FFF">
      <w:pPr>
        <w:spacing w:line="360" w:lineRule="auto"/>
        <w:jc w:val="both"/>
        <w:rPr>
          <w:rFonts w:ascii="Calibri" w:eastAsia="Calibri" w:hAnsi="Calibri" w:cs="Calibri"/>
        </w:rPr>
      </w:pPr>
      <w:r w:rsidRPr="00990D9B">
        <w:rPr>
          <w:rFonts w:ascii="Calibri" w:eastAsia="Calibri" w:hAnsi="Calibri" w:cs="Calibri"/>
          <w:noProof/>
        </w:rPr>
        <w:drawing>
          <wp:inline distT="0" distB="0" distL="0" distR="0" wp14:anchorId="4A095BC5" wp14:editId="2ECA70F0">
            <wp:extent cx="4699221" cy="3344538"/>
            <wp:effectExtent l="0" t="0" r="6350" b="8890"/>
            <wp:docPr id="2078294369" name="Picture 17" descr="A picture containing text&#10;&#10;Description automatically generated">
              <a:extLst xmlns:a="http://schemas.openxmlformats.org/drawingml/2006/main">
                <a:ext uri="{FF2B5EF4-FFF2-40B4-BE49-F238E27FC236}">
                  <a16:creationId xmlns:a16="http://schemas.microsoft.com/office/drawing/2014/main" id="{B4C20D9C-EFD6-4165-A52D-E67F25CAEE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picture containing text&#10;&#10;Description automatically generated">
                      <a:extLst>
                        <a:ext uri="{FF2B5EF4-FFF2-40B4-BE49-F238E27FC236}">
                          <a16:creationId xmlns:a16="http://schemas.microsoft.com/office/drawing/2014/main" id="{B4C20D9C-EFD6-4165-A52D-E67F25CAEE82}"/>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713032" cy="3354368"/>
                    </a:xfrm>
                    <a:prstGeom prst="rect">
                      <a:avLst/>
                    </a:prstGeom>
                  </pic:spPr>
                </pic:pic>
              </a:graphicData>
            </a:graphic>
          </wp:inline>
        </w:drawing>
      </w:r>
    </w:p>
    <w:p w14:paraId="121B1521" w14:textId="6DE58A10" w:rsidR="00F22C0A" w:rsidRDefault="001B4FFF" w:rsidP="001B4FFF">
      <w:pPr>
        <w:spacing w:line="360" w:lineRule="auto"/>
        <w:jc w:val="both"/>
        <w:rPr>
          <w:b/>
          <w:bCs/>
        </w:rPr>
      </w:pPr>
      <w:r>
        <w:rPr>
          <w:rFonts w:ascii="Calibri" w:eastAsia="Calibri" w:hAnsi="Calibri" w:cs="Calibri"/>
        </w:rPr>
        <w:t xml:space="preserve">Figure S1. </w:t>
      </w:r>
      <w:r w:rsidRPr="00094490">
        <w:rPr>
          <w:rFonts w:ascii="Calibri" w:eastAsia="Calibri" w:hAnsi="Calibri" w:cs="Calibri"/>
        </w:rPr>
        <w:t xml:space="preserve">Chemical structures of Trn </w:t>
      </w:r>
      <w:r w:rsidRPr="00094490">
        <w:rPr>
          <w:rFonts w:ascii="Calibri" w:eastAsia="Calibri" w:hAnsi="Calibri" w:cs="Calibri"/>
          <w:lang w:val="el-GR"/>
        </w:rPr>
        <w:t>α</w:t>
      </w:r>
      <w:r w:rsidRPr="00094490">
        <w:rPr>
          <w:rFonts w:ascii="Calibri" w:eastAsia="Calibri" w:hAnsi="Calibri" w:cs="Calibri"/>
        </w:rPr>
        <w:t xml:space="preserve"> and Trn </w:t>
      </w:r>
      <w:r w:rsidRPr="00094490">
        <w:rPr>
          <w:rFonts w:ascii="Calibri" w:eastAsia="Calibri" w:hAnsi="Calibri" w:cs="Calibri"/>
          <w:lang w:val="el-GR"/>
        </w:rPr>
        <w:t>β</w:t>
      </w:r>
      <w:r>
        <w:rPr>
          <w:rFonts w:ascii="Calibri" w:eastAsia="Calibri" w:hAnsi="Calibri" w:cs="Calibri"/>
        </w:rPr>
        <w:t xml:space="preserve"> </w:t>
      </w:r>
      <w:sdt>
        <w:sdtPr>
          <w:rPr>
            <w:rFonts w:ascii="Calibri" w:eastAsia="Calibri" w:hAnsi="Calibri" w:cs="Calibri"/>
            <w:color w:val="000000"/>
          </w:rPr>
          <w:tag w:val="MENDELEY_CITATION_v3_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"/>
          <w:id w:val="-805236255"/>
          <w:placeholder>
            <w:docPart w:val="DefaultPlaceholder_-1854013440"/>
          </w:placeholder>
        </w:sdtPr>
        <w:sdtEndPr/>
        <w:sdtContent>
          <w:r w:rsidR="00F52420" w:rsidRPr="005347F1">
            <w:rPr>
              <w:rFonts w:ascii="Calibri" w:eastAsia="Calibri" w:hAnsi="Calibri" w:cs="Calibri"/>
              <w:color w:val="000000"/>
            </w:rPr>
            <w:t>[1]</w:t>
          </w:r>
        </w:sdtContent>
      </w:sdt>
      <w:r>
        <w:rPr>
          <w:rFonts w:ascii="Calibri" w:eastAsia="Calibri" w:hAnsi="Calibri" w:cs="Calibri"/>
        </w:rPr>
        <w:t>.</w:t>
      </w:r>
    </w:p>
    <w:p w14:paraId="1F627F95" w14:textId="77777777" w:rsidR="00351B0E" w:rsidRDefault="00351B0E">
      <w:pPr>
        <w:rPr>
          <w:b/>
          <w:bCs/>
        </w:rPr>
      </w:pPr>
      <w:r>
        <w:rPr>
          <w:b/>
          <w:bCs/>
        </w:rPr>
        <w:br w:type="page"/>
      </w:r>
    </w:p>
    <w:p w14:paraId="437283F4" w14:textId="26FBA7D6" w:rsidR="008A4066" w:rsidRDefault="21109DB0" w:rsidP="008A4066">
      <w:pPr>
        <w:spacing w:line="360" w:lineRule="auto"/>
        <w:jc w:val="both"/>
        <w:rPr>
          <w:b/>
          <w:bCs/>
        </w:rPr>
      </w:pPr>
      <w:r w:rsidRPr="61F3E137">
        <w:rPr>
          <w:b/>
          <w:bCs/>
        </w:rPr>
        <w:lastRenderedPageBreak/>
        <w:t>Section B:</w:t>
      </w:r>
      <w:r w:rsidR="008A4066" w:rsidRPr="00D95AB0">
        <w:rPr>
          <w:b/>
          <w:bCs/>
        </w:rPr>
        <w:t xml:space="preserve">MALDI-TOF mass spectrometry </w:t>
      </w:r>
    </w:p>
    <w:p w14:paraId="5D8C3C1B" w14:textId="0CA4EB10" w:rsidR="001220EE" w:rsidRPr="001220EE" w:rsidRDefault="001220EE" w:rsidP="008A4066">
      <w:pPr>
        <w:spacing w:line="360" w:lineRule="auto"/>
        <w:jc w:val="both"/>
      </w:pPr>
      <w:r>
        <w:t>Mass spectrometry was performed on the purified thuricin CD to confirm its production. The individual peptides were resuspended from powder in 70% IPA 0.1% TFA in water at a concentration of 1 mg/</w:t>
      </w:r>
      <w:proofErr w:type="spellStart"/>
      <w:r>
        <w:t>m</w:t>
      </w:r>
      <w:r w:rsidR="00DF322F">
        <w:t>L</w:t>
      </w:r>
      <w:r>
        <w:t>.</w:t>
      </w:r>
      <w:proofErr w:type="spellEnd"/>
      <w:r>
        <w:t xml:space="preserve"> </w:t>
      </w:r>
      <w:proofErr w:type="spellStart"/>
      <w:r>
        <w:t>Sinapinic</w:t>
      </w:r>
      <w:proofErr w:type="spellEnd"/>
      <w:r>
        <w:t xml:space="preserve"> acid (SA) was used as the matrix. 0.7 </w:t>
      </w:r>
      <w:r>
        <w:rPr>
          <w:rFonts w:cstheme="minorHAnsi"/>
        </w:rPr>
        <w:t>µ</w:t>
      </w:r>
      <w:r>
        <w:t xml:space="preserve">l of 4 mg/ml </w:t>
      </w:r>
      <w:proofErr w:type="spellStart"/>
      <w:r>
        <w:t>sinapinic</w:t>
      </w:r>
      <w:proofErr w:type="spellEnd"/>
      <w:r>
        <w:t xml:space="preserve"> acid solution in a 1:1 (vol) acetonitrile: methanol solution was added to the plate and left to evaporate. Then, a 10 mg/m</w:t>
      </w:r>
      <w:r w:rsidR="00351B0E">
        <w:t>L</w:t>
      </w:r>
      <w:r>
        <w:t xml:space="preserve"> SA solution in 60% ACN 0.1% TFA in water was prepared. This was mixed in a 1:1 volume ratio with each peptide solution. 0.3 </w:t>
      </w:r>
      <w:r>
        <w:rPr>
          <w:rFonts w:cstheme="minorHAnsi"/>
        </w:rPr>
        <w:t>µ</w:t>
      </w:r>
      <w:r w:rsidR="00351B0E">
        <w:t>L</w:t>
      </w:r>
      <w:r>
        <w:t xml:space="preserve"> of the mix were added to the plate and left to evaporate. The same protocol was followed for the calibrant used which was “Peptide II”. The plate was loaded into MALDI-TOF </w:t>
      </w:r>
      <w:proofErr w:type="spellStart"/>
      <w:r>
        <w:t>Ultraflex</w:t>
      </w:r>
      <w:proofErr w:type="spellEnd"/>
      <w:r>
        <w:t xml:space="preserve"> from Bruker and RP-700-3500 </w:t>
      </w:r>
      <w:proofErr w:type="spellStart"/>
      <w:r>
        <w:t>kDa</w:t>
      </w:r>
      <w:proofErr w:type="spellEnd"/>
      <w:r>
        <w:t xml:space="preserve"> mode was selected. Shoot intensity was approximately 70 %.</w:t>
      </w:r>
    </w:p>
    <w:p w14:paraId="1B3D0CCC" w14:textId="77777777" w:rsidR="008A4066" w:rsidRDefault="008A4066" w:rsidP="008A4066">
      <w:pPr>
        <w:spacing w:line="360" w:lineRule="auto"/>
        <w:jc w:val="center"/>
      </w:pPr>
      <w:r>
        <w:rPr>
          <w:noProof/>
        </w:rPr>
        <w:drawing>
          <wp:inline distT="0" distB="0" distL="0" distR="0" wp14:anchorId="6F2EAD06" wp14:editId="6CB0B27E">
            <wp:extent cx="3448050" cy="4968450"/>
            <wp:effectExtent l="0" t="0" r="0" b="0"/>
            <wp:docPr id="999487499" name="Picture 999487499"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80391" name="Picture 4" descr="Diagram&#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58408" cy="4983376"/>
                    </a:xfrm>
                    <a:prstGeom prst="rect">
                      <a:avLst/>
                    </a:prstGeom>
                  </pic:spPr>
                </pic:pic>
              </a:graphicData>
            </a:graphic>
          </wp:inline>
        </w:drawing>
      </w:r>
    </w:p>
    <w:p w14:paraId="1020A9D5" w14:textId="100C26B9" w:rsidR="008A4066" w:rsidRDefault="008A4066" w:rsidP="008A4066">
      <w:pPr>
        <w:spacing w:line="276" w:lineRule="auto"/>
        <w:jc w:val="both"/>
        <w:rPr>
          <w:sz w:val="20"/>
          <w:szCs w:val="20"/>
        </w:rPr>
      </w:pPr>
      <w:r w:rsidRPr="00F354EC">
        <w:rPr>
          <w:sz w:val="20"/>
          <w:szCs w:val="20"/>
        </w:rPr>
        <w:t xml:space="preserve">Figure </w:t>
      </w:r>
      <w:r w:rsidR="00823CFD">
        <w:rPr>
          <w:sz w:val="20"/>
          <w:szCs w:val="20"/>
        </w:rPr>
        <w:t>S</w:t>
      </w:r>
      <w:r w:rsidR="00CB5304">
        <w:rPr>
          <w:sz w:val="20"/>
          <w:szCs w:val="20"/>
        </w:rPr>
        <w:t>2</w:t>
      </w:r>
      <w:r w:rsidRPr="00F354EC">
        <w:rPr>
          <w:sz w:val="20"/>
          <w:szCs w:val="20"/>
        </w:rPr>
        <w:t xml:space="preserve">. Mass spectrum of the products obtained from the production and purification method corresponding to a) Trn </w:t>
      </w:r>
      <w:r>
        <w:rPr>
          <w:sz w:val="20"/>
          <w:szCs w:val="20"/>
        </w:rPr>
        <w:t>α</w:t>
      </w:r>
      <w:r w:rsidRPr="00F354EC">
        <w:rPr>
          <w:sz w:val="20"/>
          <w:szCs w:val="20"/>
        </w:rPr>
        <w:t xml:space="preserve"> b) Trn </w:t>
      </w:r>
      <w:r>
        <w:rPr>
          <w:sz w:val="20"/>
          <w:szCs w:val="20"/>
        </w:rPr>
        <w:t>β.</w:t>
      </w:r>
    </w:p>
    <w:p w14:paraId="75EAA99E" w14:textId="4C891C0C" w:rsidR="008A4066" w:rsidRPr="008A4066" w:rsidRDefault="008A4066" w:rsidP="008A4066">
      <w:pPr>
        <w:spacing w:line="360" w:lineRule="auto"/>
        <w:jc w:val="both"/>
      </w:pPr>
      <w:r>
        <w:t xml:space="preserve">Peaks corresponding to masses of 2763.35 Da and 2861.37 Da were detected for each peptide marked by the green and brown arrows in Figure </w:t>
      </w:r>
      <w:r w:rsidR="00823CFD">
        <w:t>S</w:t>
      </w:r>
      <w:r w:rsidR="00CB5304">
        <w:t>2</w:t>
      </w:r>
      <w:r>
        <w:t xml:space="preserve">. In both observed peaks, a prominent peak 22 mass units </w:t>
      </w:r>
      <w:r>
        <w:lastRenderedPageBreak/>
        <w:t>to the right can also be observed corresponding to the [</w:t>
      </w:r>
      <w:proofErr w:type="spellStart"/>
      <w:r>
        <w:t>M+Na</w:t>
      </w:r>
      <w:proofErr w:type="spellEnd"/>
      <w:r>
        <w:t xml:space="preserve">] + adduct. 38 mass units to the right, another peak which would correspond to [M+K] + adduct is also observed. These are commonly found when using positive </w:t>
      </w:r>
      <w:proofErr w:type="spellStart"/>
      <w:r>
        <w:t>reflectron</w:t>
      </w:r>
      <w:proofErr w:type="spellEnd"/>
      <w:r>
        <w:t xml:space="preserve"> mode in mass spectrometry for biological samples </w:t>
      </w:r>
      <w:sdt>
        <w:sdtPr>
          <w:rPr>
            <w:color w:val="000000"/>
          </w:rPr>
          <w:tag w:val="MENDELEY_CITATION_v3_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"/>
          <w:id w:val="690728586"/>
          <w:placeholder>
            <w:docPart w:val="F7983144C76D4EF58A69D189E6132A0E"/>
          </w:placeholder>
        </w:sdtPr>
        <w:sdtEndPr/>
        <w:sdtContent>
          <w:r w:rsidR="00BD48FF" w:rsidRPr="00BD48FF">
            <w:rPr>
              <w:color w:val="000000"/>
            </w:rPr>
            <w:t>[2]</w:t>
          </w:r>
        </w:sdtContent>
      </w:sdt>
      <w:r>
        <w:t xml:space="preserve">.  </w:t>
      </w:r>
    </w:p>
    <w:p w14:paraId="64A25A8E" w14:textId="77777777" w:rsidR="00C6541B" w:rsidRDefault="00C6541B" w:rsidP="008A4066">
      <w:pPr>
        <w:spacing w:line="360" w:lineRule="auto"/>
        <w:jc w:val="both"/>
        <w:rPr>
          <w:b/>
          <w:bCs/>
        </w:rPr>
      </w:pPr>
    </w:p>
    <w:p w14:paraId="34535D61" w14:textId="77777777" w:rsidR="00351B0E" w:rsidRDefault="00351B0E">
      <w:pPr>
        <w:rPr>
          <w:b/>
          <w:bCs/>
        </w:rPr>
      </w:pPr>
      <w:r>
        <w:rPr>
          <w:b/>
          <w:bCs/>
        </w:rPr>
        <w:br w:type="page"/>
      </w:r>
    </w:p>
    <w:p w14:paraId="69BFCB0A" w14:textId="2DDA8CAC" w:rsidR="00CB5304" w:rsidRDefault="00C6541B" w:rsidP="00C6541B">
      <w:pPr>
        <w:spacing w:line="360" w:lineRule="auto"/>
        <w:jc w:val="both"/>
        <w:rPr>
          <w:b/>
          <w:bCs/>
        </w:rPr>
      </w:pPr>
      <w:bookmarkStart w:id="0" w:name="_GoBack"/>
      <w:bookmarkEnd w:id="0"/>
      <w:r w:rsidRPr="61F3E137">
        <w:rPr>
          <w:b/>
          <w:bCs/>
        </w:rPr>
        <w:lastRenderedPageBreak/>
        <w:t xml:space="preserve">Section </w:t>
      </w:r>
      <w:r w:rsidR="78712588" w:rsidRPr="61F3E137">
        <w:rPr>
          <w:b/>
          <w:bCs/>
        </w:rPr>
        <w:t>C</w:t>
      </w:r>
      <w:r w:rsidRPr="61F3E137">
        <w:rPr>
          <w:b/>
          <w:bCs/>
        </w:rPr>
        <w:t xml:space="preserve">: </w:t>
      </w:r>
    </w:p>
    <w:p w14:paraId="7CB214AA" w14:textId="6651C357" w:rsidR="008A4066" w:rsidRPr="00C6541B" w:rsidRDefault="008A4066" w:rsidP="00C6541B">
      <w:pPr>
        <w:spacing w:line="360" w:lineRule="auto"/>
        <w:jc w:val="both"/>
        <w:rPr>
          <w:b/>
          <w:bCs/>
        </w:rPr>
      </w:pPr>
      <w:r w:rsidRPr="61F3E137">
        <w:rPr>
          <w:b/>
          <w:bCs/>
        </w:rPr>
        <w:t xml:space="preserve">Activity of dissolved thuricin CD after exposed to </w:t>
      </w:r>
      <w:proofErr w:type="spellStart"/>
      <w:r w:rsidRPr="61F3E137">
        <w:rPr>
          <w:b/>
          <w:bCs/>
        </w:rPr>
        <w:t>FaSSGF</w:t>
      </w:r>
      <w:proofErr w:type="spellEnd"/>
      <w:r w:rsidRPr="61F3E137">
        <w:rPr>
          <w:b/>
          <w:bCs/>
        </w:rPr>
        <w:t xml:space="preserve"> </w:t>
      </w:r>
    </w:p>
    <w:p w14:paraId="56CFA6A8" w14:textId="77777777" w:rsidR="008A4066" w:rsidRDefault="008A4066" w:rsidP="008A4066">
      <w:pPr>
        <w:spacing w:line="360" w:lineRule="auto"/>
        <w:jc w:val="both"/>
      </w:pPr>
      <w:r>
        <w:rPr>
          <w:noProof/>
        </w:rPr>
        <w:drawing>
          <wp:inline distT="0" distB="0" distL="0" distR="0" wp14:anchorId="51BC7A97" wp14:editId="46B7E592">
            <wp:extent cx="4284921" cy="3278492"/>
            <wp:effectExtent l="0" t="0" r="0" b="0"/>
            <wp:docPr id="744149571" name="Picture 10" descr="A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149571" name="Picture 10" descr="A screen shot of a computer scree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292751" cy="3284483"/>
                    </a:xfrm>
                    <a:prstGeom prst="rect">
                      <a:avLst/>
                    </a:prstGeom>
                  </pic:spPr>
                </pic:pic>
              </a:graphicData>
            </a:graphic>
          </wp:inline>
        </w:drawing>
      </w:r>
    </w:p>
    <w:p w14:paraId="61DD343E" w14:textId="575B556A" w:rsidR="008A4066" w:rsidRDefault="008A4066" w:rsidP="008A4066">
      <w:pPr>
        <w:spacing w:line="360" w:lineRule="auto"/>
        <w:jc w:val="both"/>
        <w:rPr>
          <w:sz w:val="20"/>
          <w:szCs w:val="20"/>
        </w:rPr>
      </w:pPr>
      <w:r w:rsidRPr="00F354EC">
        <w:rPr>
          <w:sz w:val="20"/>
          <w:szCs w:val="20"/>
        </w:rPr>
        <w:t xml:space="preserve">Figure </w:t>
      </w:r>
      <w:r w:rsidR="00C6541B">
        <w:rPr>
          <w:sz w:val="20"/>
          <w:szCs w:val="20"/>
        </w:rPr>
        <w:t>S</w:t>
      </w:r>
      <w:r w:rsidR="00CB5304">
        <w:rPr>
          <w:sz w:val="20"/>
          <w:szCs w:val="20"/>
        </w:rPr>
        <w:t>3</w:t>
      </w:r>
      <w:r w:rsidRPr="00F354EC">
        <w:rPr>
          <w:sz w:val="20"/>
          <w:szCs w:val="20"/>
        </w:rPr>
        <w:t>.</w:t>
      </w:r>
      <w:r>
        <w:rPr>
          <w:sz w:val="20"/>
          <w:szCs w:val="20"/>
        </w:rPr>
        <w:t xml:space="preserve"> Biological activity of thuricin CD lyophilised peptides pre-dissolved in 70% IPA 0.1% TFA in water and diluted in </w:t>
      </w:r>
      <w:proofErr w:type="spellStart"/>
      <w:r>
        <w:rPr>
          <w:sz w:val="20"/>
          <w:szCs w:val="20"/>
        </w:rPr>
        <w:t>FaSSGF</w:t>
      </w:r>
      <w:proofErr w:type="spellEnd"/>
      <w:r>
        <w:rPr>
          <w:sz w:val="20"/>
          <w:szCs w:val="20"/>
        </w:rPr>
        <w:t xml:space="preserve"> at concentrations of 2, 5, and 10 times the MIC</w:t>
      </w:r>
      <w:r>
        <w:rPr>
          <w:sz w:val="20"/>
          <w:szCs w:val="20"/>
          <w:vertAlign w:val="subscript"/>
        </w:rPr>
        <w:t xml:space="preserve">50 </w:t>
      </w:r>
      <w:r>
        <w:rPr>
          <w:sz w:val="20"/>
          <w:szCs w:val="20"/>
        </w:rPr>
        <w:t xml:space="preserve">against </w:t>
      </w:r>
      <w:r>
        <w:rPr>
          <w:i/>
          <w:iCs/>
          <w:sz w:val="20"/>
          <w:szCs w:val="20"/>
        </w:rPr>
        <w:t>L. monocytogenes</w:t>
      </w:r>
      <w:r w:rsidR="00C5726F">
        <w:rPr>
          <w:i/>
          <w:iCs/>
          <w:sz w:val="20"/>
          <w:szCs w:val="20"/>
        </w:rPr>
        <w:t xml:space="preserve"> </w:t>
      </w:r>
      <w:r w:rsidR="00C5726F" w:rsidRPr="00C5726F">
        <w:rPr>
          <w:sz w:val="20"/>
          <w:szCs w:val="20"/>
        </w:rPr>
        <w:t>at a 1:1 molar ratio</w:t>
      </w:r>
      <w:r>
        <w:rPr>
          <w:i/>
          <w:iCs/>
          <w:sz w:val="20"/>
          <w:szCs w:val="20"/>
        </w:rPr>
        <w:t>.</w:t>
      </w:r>
      <w:r>
        <w:rPr>
          <w:sz w:val="20"/>
          <w:szCs w:val="20"/>
        </w:rPr>
        <w:t xml:space="preserve"> </w:t>
      </w:r>
    </w:p>
    <w:p w14:paraId="5BCDCF69" w14:textId="77777777" w:rsidR="00C6541B" w:rsidRDefault="00C6541B" w:rsidP="00C6541B">
      <w:pPr>
        <w:rPr>
          <w:b/>
          <w:bCs/>
          <w:sz w:val="20"/>
          <w:szCs w:val="20"/>
        </w:rPr>
      </w:pPr>
    </w:p>
    <w:p w14:paraId="4B52E948" w14:textId="1A557748" w:rsidR="00406AC9" w:rsidRPr="008A4066" w:rsidRDefault="008A4066" w:rsidP="00C6541B">
      <w:pPr>
        <w:rPr>
          <w:b/>
          <w:bCs/>
          <w:sz w:val="20"/>
          <w:szCs w:val="20"/>
        </w:rPr>
      </w:pPr>
      <w:r w:rsidRPr="008A4066">
        <w:rPr>
          <w:b/>
          <w:bCs/>
          <w:sz w:val="20"/>
          <w:szCs w:val="20"/>
        </w:rPr>
        <w:t>References</w:t>
      </w:r>
    </w:p>
    <w:sdt>
      <w:sdtPr>
        <w:tag w:val="MENDELEY_BIBLIOGRAPHY"/>
        <w:id w:val="1353372669"/>
        <w:placeholder>
          <w:docPart w:val="DefaultPlaceholder_-1854013440"/>
        </w:placeholder>
      </w:sdtPr>
      <w:sdtEndPr/>
      <w:sdtContent>
        <w:p w14:paraId="711556C6" w14:textId="77777777" w:rsidR="00BD48FF" w:rsidRDefault="00BD48FF">
          <w:pPr>
            <w:autoSpaceDE w:val="0"/>
            <w:autoSpaceDN w:val="0"/>
            <w:ind w:hanging="640"/>
            <w:divId w:val="241333347"/>
            <w:rPr>
              <w:rFonts w:eastAsia="Times New Roman"/>
              <w:sz w:val="24"/>
              <w:szCs w:val="24"/>
              <w14:ligatures w14:val="none"/>
            </w:rPr>
          </w:pPr>
          <w:r>
            <w:rPr>
              <w:rFonts w:eastAsia="Times New Roman"/>
            </w:rPr>
            <w:t>[1]</w:t>
          </w:r>
          <w:r>
            <w:rPr>
              <w:rFonts w:eastAsia="Times New Roman"/>
            </w:rPr>
            <w:tab/>
            <w:t xml:space="preserve">C. S. Sit, R. T. McKay, C. Hill, R. P. Ross, and J. C. </w:t>
          </w:r>
          <w:proofErr w:type="spellStart"/>
          <w:r>
            <w:rPr>
              <w:rFonts w:eastAsia="Times New Roman"/>
            </w:rPr>
            <w:t>Vederas</w:t>
          </w:r>
          <w:proofErr w:type="spellEnd"/>
          <w:r>
            <w:rPr>
              <w:rFonts w:eastAsia="Times New Roman"/>
            </w:rPr>
            <w:t xml:space="preserve">, “The 3D structure of Thuricin CD, a two-component bacteriocin with cysteine sulfur to α-carbon cross-links,” </w:t>
          </w:r>
          <w:r>
            <w:rPr>
              <w:rFonts w:eastAsia="Times New Roman"/>
              <w:i/>
              <w:iCs/>
            </w:rPr>
            <w:t>J Am Chem Soc</w:t>
          </w:r>
          <w:r>
            <w:rPr>
              <w:rFonts w:eastAsia="Times New Roman"/>
            </w:rPr>
            <w:t xml:space="preserve">, vol. 133, no. 20, 2011, </w:t>
          </w:r>
          <w:proofErr w:type="spellStart"/>
          <w:r>
            <w:rPr>
              <w:rFonts w:eastAsia="Times New Roman"/>
            </w:rPr>
            <w:t>doi</w:t>
          </w:r>
          <w:proofErr w:type="spellEnd"/>
          <w:r>
            <w:rPr>
              <w:rFonts w:eastAsia="Times New Roman"/>
            </w:rPr>
            <w:t>: 10.1021/ja201802f.</w:t>
          </w:r>
        </w:p>
        <w:p w14:paraId="5AAED0F4" w14:textId="77777777" w:rsidR="00BD48FF" w:rsidRDefault="00BD48FF">
          <w:pPr>
            <w:autoSpaceDE w:val="0"/>
            <w:autoSpaceDN w:val="0"/>
            <w:ind w:hanging="640"/>
            <w:divId w:val="814219383"/>
            <w:rPr>
              <w:rFonts w:eastAsia="Times New Roman"/>
            </w:rPr>
          </w:pPr>
          <w:r>
            <w:rPr>
              <w:rFonts w:eastAsia="Times New Roman"/>
            </w:rPr>
            <w:t>[2]</w:t>
          </w:r>
          <w:r>
            <w:rPr>
              <w:rFonts w:eastAsia="Times New Roman"/>
            </w:rPr>
            <w:tab/>
            <w:t xml:space="preserve">M. Janda, B. K. B. Seah, D. Jakob, J. Beckmann, B. Geier, and M. </w:t>
          </w:r>
          <w:proofErr w:type="spellStart"/>
          <w:r>
            <w:rPr>
              <w:rFonts w:eastAsia="Times New Roman"/>
            </w:rPr>
            <w:t>Liebeke</w:t>
          </w:r>
          <w:proofErr w:type="spellEnd"/>
          <w:r>
            <w:rPr>
              <w:rFonts w:eastAsia="Times New Roman"/>
            </w:rPr>
            <w:t xml:space="preserve">, “Determination of Abundant Metabolite Matrix Adducts Illuminates the Dark Metabolome of MALDI-Mass Spectrometry Imaging Datasets,” </w:t>
          </w:r>
          <w:r>
            <w:rPr>
              <w:rFonts w:eastAsia="Times New Roman"/>
              <w:i/>
              <w:iCs/>
            </w:rPr>
            <w:t>Anal Chem</w:t>
          </w:r>
          <w:r>
            <w:rPr>
              <w:rFonts w:eastAsia="Times New Roman"/>
            </w:rPr>
            <w:t xml:space="preserve">, vol. 93, no. 24, pp. 8399–8407, Jun. 2021, </w:t>
          </w:r>
          <w:proofErr w:type="spellStart"/>
          <w:r>
            <w:rPr>
              <w:rFonts w:eastAsia="Times New Roman"/>
            </w:rPr>
            <w:t>doi</w:t>
          </w:r>
          <w:proofErr w:type="spellEnd"/>
          <w:r>
            <w:rPr>
              <w:rFonts w:eastAsia="Times New Roman"/>
            </w:rPr>
            <w:t>: 10.1021/acs.analchem.0c04720.</w:t>
          </w:r>
        </w:p>
        <w:p w14:paraId="7397BB4D" w14:textId="41E54FA2" w:rsidR="008A4066" w:rsidRDefault="00BD48FF">
          <w:r>
            <w:rPr>
              <w:rFonts w:eastAsia="Times New Roman"/>
            </w:rPr>
            <w:t> </w:t>
          </w:r>
        </w:p>
      </w:sdtContent>
    </w:sdt>
    <w:sectPr w:rsidR="008A4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066"/>
    <w:rsid w:val="00094490"/>
    <w:rsid w:val="001220EE"/>
    <w:rsid w:val="00145489"/>
    <w:rsid w:val="001B4FFF"/>
    <w:rsid w:val="002F743E"/>
    <w:rsid w:val="00303187"/>
    <w:rsid w:val="00351B0E"/>
    <w:rsid w:val="00406AC9"/>
    <w:rsid w:val="00482F14"/>
    <w:rsid w:val="004A3AB1"/>
    <w:rsid w:val="005112C8"/>
    <w:rsid w:val="005347F1"/>
    <w:rsid w:val="00594257"/>
    <w:rsid w:val="005C20CE"/>
    <w:rsid w:val="00660A8F"/>
    <w:rsid w:val="00753334"/>
    <w:rsid w:val="00823CFD"/>
    <w:rsid w:val="00845CC1"/>
    <w:rsid w:val="008A4066"/>
    <w:rsid w:val="00990D9B"/>
    <w:rsid w:val="009C0FB1"/>
    <w:rsid w:val="00A14421"/>
    <w:rsid w:val="00B30426"/>
    <w:rsid w:val="00BD48FF"/>
    <w:rsid w:val="00C5726F"/>
    <w:rsid w:val="00C6541B"/>
    <w:rsid w:val="00CB5304"/>
    <w:rsid w:val="00D432B2"/>
    <w:rsid w:val="00DF322F"/>
    <w:rsid w:val="00F22C0A"/>
    <w:rsid w:val="00F52420"/>
    <w:rsid w:val="00FB32C0"/>
    <w:rsid w:val="18DF3998"/>
    <w:rsid w:val="21109DB0"/>
    <w:rsid w:val="6037052F"/>
    <w:rsid w:val="61F3E137"/>
    <w:rsid w:val="78712588"/>
    <w:rsid w:val="7F62690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539A"/>
  <w15:chartTrackingRefBased/>
  <w15:docId w15:val="{EBCC9FCD-BB12-478B-B5BD-23E2E73F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IE"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066"/>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4066"/>
    <w:rPr>
      <w:color w:val="666666"/>
    </w:rPr>
  </w:style>
  <w:style w:type="paragraph" w:styleId="NormalWeb">
    <w:name w:val="Normal (Web)"/>
    <w:basedOn w:val="Normal"/>
    <w:uiPriority w:val="99"/>
    <w:semiHidden/>
    <w:unhideWhenUsed/>
    <w:rsid w:val="00094490"/>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Revision">
    <w:name w:val="Revision"/>
    <w:hidden/>
    <w:uiPriority w:val="99"/>
    <w:semiHidden/>
    <w:rsid w:val="00F22C0A"/>
    <w:pPr>
      <w:spacing w:after="0" w:line="240" w:lineRule="auto"/>
    </w:pPr>
    <w:rPr>
      <w:kern w:val="0"/>
    </w:rPr>
  </w:style>
  <w:style w:type="paragraph" w:styleId="BalloonText">
    <w:name w:val="Balloon Text"/>
    <w:basedOn w:val="Normal"/>
    <w:link w:val="BalloonTextChar"/>
    <w:uiPriority w:val="99"/>
    <w:semiHidden/>
    <w:unhideWhenUsed/>
    <w:rsid w:val="00845CC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45CC1"/>
    <w:rPr>
      <w:rFonts w:ascii="Times New Roman" w:hAnsi="Times New Roman"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7550777">
      <w:bodyDiv w:val="1"/>
      <w:marLeft w:val="0"/>
      <w:marRight w:val="0"/>
      <w:marTop w:val="0"/>
      <w:marBottom w:val="0"/>
      <w:divBdr>
        <w:top w:val="none" w:sz="0" w:space="0" w:color="auto"/>
        <w:left w:val="none" w:sz="0" w:space="0" w:color="auto"/>
        <w:bottom w:val="none" w:sz="0" w:space="0" w:color="auto"/>
        <w:right w:val="none" w:sz="0" w:space="0" w:color="auto"/>
      </w:divBdr>
    </w:div>
    <w:div w:id="1997999397">
      <w:bodyDiv w:val="1"/>
      <w:marLeft w:val="0"/>
      <w:marRight w:val="0"/>
      <w:marTop w:val="0"/>
      <w:marBottom w:val="0"/>
      <w:divBdr>
        <w:top w:val="none" w:sz="0" w:space="0" w:color="auto"/>
        <w:left w:val="none" w:sz="0" w:space="0" w:color="auto"/>
        <w:bottom w:val="none" w:sz="0" w:space="0" w:color="auto"/>
        <w:right w:val="none" w:sz="0" w:space="0" w:color="auto"/>
      </w:divBdr>
      <w:divsChild>
        <w:div w:id="1750695281">
          <w:marLeft w:val="640"/>
          <w:marRight w:val="0"/>
          <w:marTop w:val="0"/>
          <w:marBottom w:val="0"/>
          <w:divBdr>
            <w:top w:val="none" w:sz="0" w:space="0" w:color="auto"/>
            <w:left w:val="none" w:sz="0" w:space="0" w:color="auto"/>
            <w:bottom w:val="none" w:sz="0" w:space="0" w:color="auto"/>
            <w:right w:val="none" w:sz="0" w:space="0" w:color="auto"/>
          </w:divBdr>
          <w:divsChild>
            <w:div w:id="1377196446">
              <w:marLeft w:val="0"/>
              <w:marRight w:val="0"/>
              <w:marTop w:val="0"/>
              <w:marBottom w:val="0"/>
              <w:divBdr>
                <w:top w:val="none" w:sz="0" w:space="0" w:color="auto"/>
                <w:left w:val="none" w:sz="0" w:space="0" w:color="auto"/>
                <w:bottom w:val="none" w:sz="0" w:space="0" w:color="auto"/>
                <w:right w:val="none" w:sz="0" w:space="0" w:color="auto"/>
              </w:divBdr>
              <w:divsChild>
                <w:div w:id="1952542066">
                  <w:marLeft w:val="640"/>
                  <w:marRight w:val="0"/>
                  <w:marTop w:val="0"/>
                  <w:marBottom w:val="0"/>
                  <w:divBdr>
                    <w:top w:val="none" w:sz="0" w:space="0" w:color="auto"/>
                    <w:left w:val="none" w:sz="0" w:space="0" w:color="auto"/>
                    <w:bottom w:val="none" w:sz="0" w:space="0" w:color="auto"/>
                    <w:right w:val="none" w:sz="0" w:space="0" w:color="auto"/>
                  </w:divBdr>
                </w:div>
              </w:divsChild>
            </w:div>
            <w:div w:id="792408098">
              <w:marLeft w:val="0"/>
              <w:marRight w:val="0"/>
              <w:marTop w:val="0"/>
              <w:marBottom w:val="0"/>
              <w:divBdr>
                <w:top w:val="none" w:sz="0" w:space="0" w:color="auto"/>
                <w:left w:val="none" w:sz="0" w:space="0" w:color="auto"/>
                <w:bottom w:val="none" w:sz="0" w:space="0" w:color="auto"/>
                <w:right w:val="none" w:sz="0" w:space="0" w:color="auto"/>
              </w:divBdr>
              <w:divsChild>
                <w:div w:id="1501504599">
                  <w:marLeft w:val="640"/>
                  <w:marRight w:val="0"/>
                  <w:marTop w:val="0"/>
                  <w:marBottom w:val="0"/>
                  <w:divBdr>
                    <w:top w:val="none" w:sz="0" w:space="0" w:color="auto"/>
                    <w:left w:val="none" w:sz="0" w:space="0" w:color="auto"/>
                    <w:bottom w:val="none" w:sz="0" w:space="0" w:color="auto"/>
                    <w:right w:val="none" w:sz="0" w:space="0" w:color="auto"/>
                  </w:divBdr>
                </w:div>
              </w:divsChild>
            </w:div>
            <w:div w:id="1756315495">
              <w:marLeft w:val="0"/>
              <w:marRight w:val="0"/>
              <w:marTop w:val="0"/>
              <w:marBottom w:val="0"/>
              <w:divBdr>
                <w:top w:val="none" w:sz="0" w:space="0" w:color="auto"/>
                <w:left w:val="none" w:sz="0" w:space="0" w:color="auto"/>
                <w:bottom w:val="none" w:sz="0" w:space="0" w:color="auto"/>
                <w:right w:val="none" w:sz="0" w:space="0" w:color="auto"/>
              </w:divBdr>
              <w:divsChild>
                <w:div w:id="241333347">
                  <w:marLeft w:val="640"/>
                  <w:marRight w:val="0"/>
                  <w:marTop w:val="0"/>
                  <w:marBottom w:val="0"/>
                  <w:divBdr>
                    <w:top w:val="none" w:sz="0" w:space="0" w:color="auto"/>
                    <w:left w:val="none" w:sz="0" w:space="0" w:color="auto"/>
                    <w:bottom w:val="none" w:sz="0" w:space="0" w:color="auto"/>
                    <w:right w:val="none" w:sz="0" w:space="0" w:color="auto"/>
                  </w:divBdr>
                </w:div>
                <w:div w:id="81421938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7983144C76D4EF58A69D189E6132A0E"/>
        <w:category>
          <w:name w:val="General"/>
          <w:gallery w:val="placeholder"/>
        </w:category>
        <w:types>
          <w:type w:val="bbPlcHdr"/>
        </w:types>
        <w:behaviors>
          <w:behavior w:val="content"/>
        </w:behaviors>
        <w:guid w:val="{4B4226AD-2861-4D9B-87AD-C5C711E44E30}"/>
      </w:docPartPr>
      <w:docPartBody>
        <w:p w:rsidR="0091314F" w:rsidRDefault="00791283" w:rsidP="00791283">
          <w:pPr>
            <w:pStyle w:val="F7983144C76D4EF58A69D189E6132A0E"/>
          </w:pPr>
          <w:r w:rsidRPr="00E8352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A4B2CE3E-8541-46AA-AE61-6A1F38306FDD}"/>
      </w:docPartPr>
      <w:docPartBody>
        <w:p w:rsidR="0091314F" w:rsidRDefault="00791283">
          <w:r w:rsidRPr="006B579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283"/>
    <w:rsid w:val="003A39E6"/>
    <w:rsid w:val="004162F7"/>
    <w:rsid w:val="0074068F"/>
    <w:rsid w:val="00791283"/>
    <w:rsid w:val="0091314F"/>
    <w:rsid w:val="00AB14F4"/>
    <w:rsid w:val="00AD577F"/>
    <w:rsid w:val="00DE711F"/>
    <w:rsid w:val="00FD2E3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IE"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1283"/>
    <w:rPr>
      <w:color w:val="666666"/>
    </w:rPr>
  </w:style>
  <w:style w:type="paragraph" w:customStyle="1" w:styleId="F7983144C76D4EF58A69D189E6132A0E">
    <w:name w:val="F7983144C76D4EF58A69D189E6132A0E"/>
    <w:rsid w:val="007912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884018C-8E6A-45EC-BAD1-3D50632D74B4}">
  <we:reference id="f78a3046-9e99-4300-aa2b-5814002b01a2" version="1.55.1.0" store="EXCatalog" storeType="EXCatalog"/>
  <we:alternateReferences>
    <we:reference id="WA104382081" version="1.55.1.0" store="en-IE" storeType="OMEX"/>
  </we:alternateReferences>
  <we:properties>
    <we:property name="MENDELEY_CITATIONS" value="[{&quot;citationID&quot;:&quot;MENDELEY_CITATION_e0860508-7118-4ce1-aef9-c19a1fabe204&quot;,&quot;properties&quot;:{&quot;noteIndex&quot;:0},&quot;isEdited&quot;:false,&quot;manualOverride&quot;:{&quot;isManuallyOverridden&quot;:false,&quot;citeprocText&quot;:&quot;[1]&quot;,&quot;manualOverrideText&quot;:&quot;&quot;},&quot;citationTag&quot;:&quot;MENDELEY_CITATION_v3_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&quot;,&quot;citationItems&quot;:[{&quot;id&quot;:&quot;eb6c5d41-7776-3731-aa3e-54786c0a2d61&quot;,&quot;itemData&quot;:{&quot;type&quot;:&quot;article-journal&quot;,&quot;id&quot;:&quot;eb6c5d41-7776-3731-aa3e-54786c0a2d61&quot;,&quot;title&quot;:&quot;The 3D structure of Thuricin CD, a two-component bacteriocin with cysteine sulfur to α-carbon cross-links&quot;,&quot;author&quot;:[{&quot;family&quot;:&quot;Sit&quot;,&quot;given&quot;:&quot;Clarissa S.&quot;,&quot;parse-names&quot;:false,&quot;dropping-particle&quot;:&quot;&quot;,&quot;non-dropping-particle&quot;:&quot;&quot;},{&quot;family&quot;:&quot;McKay&quot;,&quot;given&quot;:&quot;Ryan T.&quot;,&quot;parse-names&quot;:false,&quot;dropping-particle&quot;:&quot;&quot;,&quot;non-dropping-particle&quot;:&quot;&quot;},{&quot;family&quot;:&quot;Hill&quot;,&quot;given&quot;:&quot;Colin&quot;,&quot;parse-names&quot;:false,&quot;dropping-particle&quot;:&quot;&quot;,&quot;non-dropping-particle&quot;:&quot;&quot;},{&quot;family&quot;:&quot;Ross&quot;,&quot;given&quot;:&quot;R. Paul&quot;,&quot;parse-names&quot;:false,&quot;dropping-particle&quot;:&quot;&quot;,&quot;non-dropping-particle&quot;:&quot;&quot;},{&quot;family&quot;:&quot;Vederas&quot;,&quot;given&quot;:&quot;John C.&quot;,&quot;parse-names&quot;:false,&quot;dropping-particle&quot;:&quot;&quot;,&quot;non-dropping-particle&quot;:&quot;&quot;}],&quot;container-title&quot;:&quot;Journal of the American Chemical Society&quot;,&quot;container-title-short&quot;:&quot;J Am Chem Soc&quot;,&quot;DOI&quot;:&quot;10.1021/ja201802f&quot;,&quot;ISSN&quot;:&quot;00027863&quot;,&quot;issued&quot;:{&quot;date-parts&quot;:[[2011]]},&quot;abstract&quot;:&quot;Thuricin CD is an antimicrobial factor that consists of two peptides, Trn-α and Trn-β, that exhibit synergistic activity against drug resistant strains of Clostridium difficile. Trn-α and Trn-β each possess three sulfur to α-carbon thioether bridges for which the stereochemistry is unknown. This report presents the three-dimensional solution structures of Trn-α and Trn-β. Structure calculations were performed for the eight possible stereoisomers of each peptide based on the same NMR data. The structure of the stereoisomer that best fit the experimental data was chosen as the representative structure for each peptide. It was determined that Trn-α has l-stereochemistry at Ser21 (α-R), l-stereochemistry at Thr25 (α-R), and d-stereochemistry at Thr28 (α-S) (an LLD isomer). Trn-β was also found to be the LLD isomer, with l-stereochemistry at Thr21 (α-R), l-stereochemistry at Ala25 (α-R), and d-stereochemistry at Tyr28 (α-S). © 2011 American Chemical Society.&quot;,&quot;issue&quot;:&quot;20&quot;,&quot;volume&quot;:&quot;133&quot;},&quot;isTemporary&quot;:false}]},{&quot;citationID&quot;:&quot;MENDELEY_CITATION_36e673d6-4bf6-4b82-9e79-6ce1d028edad&quot;,&quot;properties&quot;:{&quot;noteIndex&quot;:0},&quot;isEdited&quot;:false,&quot;manualOverride&quot;:{&quot;isManuallyOverridden&quot;:false,&quot;citeprocText&quot;:&quot;[2]&quot;,&quot;manualOverrideText&quot;:&quot;&quot;},&quot;citationTag&quot;:&quot;MENDELEY_CITATION_v3_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&quot;,&quot;citationItems&quot;:[{&quot;id&quot;:&quot;c69364db-49c9-3eb3-8e40-7952b692a7a8&quot;,&quot;itemData&quot;:{&quot;type&quot;:&quot;article-journal&quot;,&quot;id&quot;:&quot;c69364db-49c9-3eb3-8e40-7952b692a7a8&quot;,&quot;title&quot;:&quot;Determination of Abundant Metabolite Matrix Adducts Illuminates the Dark Metabolome of MALDI-Mass Spectrometry Imaging Datasets&quot;,&quot;author&quot;:[{&quot;family&quot;:&quot;Janda&quot;,&quot;given&quot;:&quot;Moritz&quot;,&quot;parse-names&quot;:false,&quot;dropping-particle&quot;:&quot;&quot;,&quot;non-dropping-particle&quot;:&quot;&quot;},{&quot;family&quot;:&quot;Seah&quot;,&quot;given&quot;:&quot;Brandon K. B.&quot;,&quot;parse-names&quot;:false,&quot;dropping-particle&quot;:&quot;&quot;,&quot;non-dropping-particle&quot;:&quot;&quot;},{&quot;family&quot;:&quot;Jakob&quot;,&quot;given&quot;:&quot;Dennis&quot;,&quot;parse-names&quot;:false,&quot;dropping-particle&quot;:&quot;&quot;,&quot;non-dropping-particle&quot;:&quot;&quot;},{&quot;family&quot;:&quot;Beckmann&quot;,&quot;given&quot;:&quot;Janine&quot;,&quot;parse-names&quot;:false,&quot;dropping-particle&quot;:&quot;&quot;,&quot;non-dropping-particle&quot;:&quot;&quot;},{&quot;family&quot;:&quot;Geier&quot;,&quot;given&quot;:&quot;Benedikt&quot;,&quot;parse-names&quot;:false,&quot;dropping-particle&quot;:&quot;&quot;,&quot;non-dropping-particle&quot;:&quot;&quot;},{&quot;family&quot;:&quot;Liebeke&quot;,&quot;given&quot;:&quot;Manuel&quot;,&quot;parse-names&quot;:false,&quot;dropping-particle&quot;:&quot;&quot;,&quot;non-dropping-particle&quot;:&quot;&quot;}],&quot;container-title&quot;:&quot;Analytical Chemistry&quot;,&quot;DOI&quot;:&quot;10.1021/acs.analchem.0c04720&quot;,&quot;ISSN&quot;:&quot;0003-2700&quot;,&quot;URL&quot;:&quot;https://pubs.acs.org/doi/10.1021/acs.analchem.0c04720&quot;,&quot;issued&quot;:{&quot;date-parts&quot;:[[2021,6,22]]},&quot;page&quot;:&quot;8399-8407&quot;,&quot;abstract&quot;:&quot;Spatial metabolomics using mass spectrometry imaging (MSI) is a powerful tool to map hundreds to thousands of metabolites in biological systems. One major challenge in MSI is the annotation ofm/zvalues, which is substantially complicated by background ions introduced throughout the chemicals and equipment used during experimental procedures. Among many factors, the formation of adducts with sodium or potassium ions, or in case of matrix-assisted laser desorption ionization (MALDI)-MSI, the presence of abundant matrix clusters strongly increases totalm/zpeak counts. Currently, there is a limitation to identify the chemistry of the many unknown peaks to interpret their biological function. We took advantage of the co-localization of adducts with their parent ions and the accuracy of high mass resolution to estimate adduct abundance in 20 datasets from different vendors of mass spectrometers. Metabolites ranging from lipids to amines and amino acids form matrix adducts with the commonly used 2,5-dihydroxybenzoic acid (DHB) matrix like [M + (DHB-H2O) + H]+and [M + DHB + Na]+. Current data analyses neglect those matrix adducts and overestimate total metabolite numbers, thereby expanding the number of unidentified peaks. Our study demonstrates that MALDI-MSI data are strongly influenced by adduct formation across different sample types and vendor platforms and reveals a major influence of so far unrecognized metabolite-matrix adducts on total peak counts (up to one third). We developed a software package,mass2adduct, for the community for an automated putative assignment and quantification of metabolite-matrix adducts enabling users to ultimately focus on the biologically relevant portion of the MSI data.&quot;,&quot;issue&quot;:&quot;24&quot;,&quot;volume&quot;:&quot;93&quot;,&quot;container-title-short&quot;:&quot;Anal Chem&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CFE55-B711-B049-8C0D-0942DD56F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469</Words>
  <Characters>2678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Camila.VieraHerrera</dc:creator>
  <cp:keywords/>
  <dc:description/>
  <cp:lastModifiedBy>Sarah.Hudson</cp:lastModifiedBy>
  <cp:revision>3</cp:revision>
  <dcterms:created xsi:type="dcterms:W3CDTF">2024-02-23T13:55:00Z</dcterms:created>
  <dcterms:modified xsi:type="dcterms:W3CDTF">2024-02-23T13:56:00Z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c8901054-df4a-3fd9-b3c8-960dee175c51</vt:lpwstr>
  </property>
  <property fmtid="{D5CDD505-2E9C-101B-9397-08002B2CF9AE}" pid="4" name="Mendeley Citation Style_1">
    <vt:lpwstr>http://www.zotero.org/styles/apa</vt:lpwstr>
  </property>
</Properties>
</file>