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BEF20" w14:textId="77777777" w:rsidR="004360A2" w:rsidRPr="001518E1" w:rsidRDefault="004360A2" w:rsidP="004360A2">
      <w:pPr>
        <w:pStyle w:val="Heading2"/>
        <w:rPr>
          <w:rFonts w:eastAsiaTheme="minorEastAsia"/>
          <w:lang w:val="en-US"/>
        </w:rPr>
      </w:pPr>
      <w:bookmarkStart w:id="0" w:name="_Hlk526886881"/>
      <w:bookmarkStart w:id="1" w:name="_Hlk16628791"/>
      <w:r>
        <w:rPr>
          <w:rFonts w:eastAsiaTheme="minorEastAsia"/>
          <w:lang w:val="en-US"/>
        </w:rPr>
        <w:t xml:space="preserve"> </w:t>
      </w:r>
      <w:bookmarkStart w:id="2" w:name="_Toc528887157"/>
      <w:r w:rsidRPr="001518E1">
        <w:rPr>
          <w:rFonts w:eastAsiaTheme="minorEastAsia"/>
          <w:lang w:val="en-US"/>
        </w:rPr>
        <w:t>Supplementary documentation</w:t>
      </w:r>
      <w:bookmarkStart w:id="3" w:name="_GoBack"/>
      <w:bookmarkEnd w:id="2"/>
      <w:bookmarkEnd w:id="3"/>
    </w:p>
    <w:p w14:paraId="7A516102" w14:textId="77777777" w:rsidR="004360A2" w:rsidRPr="001518E1" w:rsidRDefault="004360A2" w:rsidP="004360A2">
      <w:pPr>
        <w:spacing w:line="360" w:lineRule="auto"/>
        <w:rPr>
          <w:lang w:val="en-US"/>
        </w:rPr>
      </w:pPr>
    </w:p>
    <w:p w14:paraId="1F038762" w14:textId="6EFD0E5B" w:rsidR="004360A2" w:rsidRPr="001518E1" w:rsidRDefault="004360A2" w:rsidP="004360A2">
      <w:pPr>
        <w:pStyle w:val="Heading3"/>
        <w:framePr w:wrap="notBeside"/>
        <w:spacing w:line="360" w:lineRule="auto"/>
      </w:pPr>
      <w:bookmarkStart w:id="4" w:name="_Toc528887158"/>
      <w:r w:rsidRPr="001518E1">
        <w:t>Preliminary results of Sex Differences (Male vs Female)</w:t>
      </w:r>
      <w:bookmarkEnd w:id="4"/>
    </w:p>
    <w:bookmarkEnd w:id="0"/>
    <w:p w14:paraId="656D859A" w14:textId="77777777" w:rsidR="004360A2" w:rsidRPr="001518E1" w:rsidRDefault="004360A2" w:rsidP="004360A2">
      <w:pPr>
        <w:spacing w:line="360" w:lineRule="auto"/>
        <w:rPr>
          <w:rFonts w:cs="Arial"/>
          <w:i/>
        </w:rPr>
      </w:pPr>
    </w:p>
    <w:p w14:paraId="35AB5E55" w14:textId="77777777" w:rsidR="004360A2" w:rsidRPr="001518E1" w:rsidRDefault="004360A2" w:rsidP="006252CA">
      <w:pPr>
        <w:pStyle w:val="Heading4"/>
      </w:pPr>
      <w:r w:rsidRPr="001518E1">
        <w:t>Behavioral cluster analysis</w:t>
      </w:r>
    </w:p>
    <w:p w14:paraId="0A4EA040" w14:textId="60788C2E" w:rsidR="004360A2" w:rsidRPr="001518E1" w:rsidRDefault="004360A2" w:rsidP="004360A2">
      <w:pPr>
        <w:spacing w:line="360" w:lineRule="auto"/>
        <w:rPr>
          <w:rFonts w:cs="Arial"/>
          <w:szCs w:val="24"/>
        </w:rPr>
      </w:pPr>
      <w:bookmarkStart w:id="5" w:name="_Hlk2436841"/>
      <w:r w:rsidRPr="001518E1">
        <w:rPr>
          <w:rFonts w:cs="Arial"/>
          <w:szCs w:val="24"/>
        </w:rPr>
        <w:t>To assess the ability for the goal/sign-</w:t>
      </w:r>
      <w:proofErr w:type="spellStart"/>
      <w:r w:rsidRPr="001518E1">
        <w:rPr>
          <w:rFonts w:cs="Arial"/>
          <w:szCs w:val="24"/>
        </w:rPr>
        <w:t>traking</w:t>
      </w:r>
      <w:proofErr w:type="spellEnd"/>
      <w:r w:rsidRPr="001518E1">
        <w:rPr>
          <w:rFonts w:cs="Arial"/>
          <w:szCs w:val="24"/>
        </w:rPr>
        <w:t xml:space="preserve"> phenotype to predict differences in other </w:t>
      </w:r>
      <w:proofErr w:type="spellStart"/>
      <w:r w:rsidRPr="001518E1">
        <w:rPr>
          <w:rFonts w:cs="Arial"/>
          <w:szCs w:val="24"/>
        </w:rPr>
        <w:t>behavioral</w:t>
      </w:r>
      <w:proofErr w:type="spellEnd"/>
      <w:r w:rsidRPr="001518E1">
        <w:rPr>
          <w:rFonts w:cs="Arial"/>
          <w:szCs w:val="24"/>
        </w:rPr>
        <w:t xml:space="preserve"> measures associated to addiction, an unsupervised ordination plot was generated. A bray-</w:t>
      </w:r>
      <w:proofErr w:type="spellStart"/>
      <w:r w:rsidRPr="001518E1">
        <w:rPr>
          <w:rFonts w:cs="Arial"/>
          <w:szCs w:val="24"/>
        </w:rPr>
        <w:t>curtis</w:t>
      </w:r>
      <w:proofErr w:type="spellEnd"/>
      <w:r w:rsidRPr="001518E1">
        <w:rPr>
          <w:rFonts w:cs="Arial"/>
          <w:szCs w:val="24"/>
        </w:rPr>
        <w:t xml:space="preserve"> dissimilarity matrix was created from a total of 48 </w:t>
      </w:r>
      <w:proofErr w:type="spellStart"/>
      <w:r w:rsidRPr="001518E1">
        <w:rPr>
          <w:rFonts w:cs="Arial"/>
          <w:szCs w:val="24"/>
        </w:rPr>
        <w:t>behavioral</w:t>
      </w:r>
      <w:proofErr w:type="spellEnd"/>
      <w:r w:rsidRPr="001518E1">
        <w:rPr>
          <w:rFonts w:cs="Arial"/>
          <w:szCs w:val="24"/>
        </w:rPr>
        <w:t xml:space="preserve"> measures, with the 6 </w:t>
      </w:r>
      <w:proofErr w:type="spellStart"/>
      <w:r w:rsidRPr="001518E1">
        <w:rPr>
          <w:rFonts w:cs="Arial"/>
          <w:szCs w:val="24"/>
        </w:rPr>
        <w:t>behavioral</w:t>
      </w:r>
      <w:proofErr w:type="spellEnd"/>
      <w:r w:rsidRPr="001518E1">
        <w:rPr>
          <w:rFonts w:cs="Arial"/>
          <w:szCs w:val="24"/>
        </w:rPr>
        <w:t xml:space="preserve"> measures related to </w:t>
      </w:r>
      <w:proofErr w:type="spellStart"/>
      <w:r w:rsidRPr="001518E1">
        <w:rPr>
          <w:rFonts w:cs="Arial"/>
          <w:szCs w:val="24"/>
        </w:rPr>
        <w:t>PavCA</w:t>
      </w:r>
      <w:proofErr w:type="spellEnd"/>
      <w:r w:rsidRPr="001518E1">
        <w:rPr>
          <w:rFonts w:cs="Arial"/>
          <w:szCs w:val="24"/>
        </w:rPr>
        <w:t xml:space="preserve"> removed. Points were </w:t>
      </w:r>
      <w:proofErr w:type="spellStart"/>
      <w:r w:rsidRPr="001518E1">
        <w:rPr>
          <w:rFonts w:cs="Arial"/>
          <w:szCs w:val="24"/>
        </w:rPr>
        <w:t>colored</w:t>
      </w:r>
      <w:proofErr w:type="spellEnd"/>
      <w:r w:rsidRPr="001518E1">
        <w:rPr>
          <w:rFonts w:cs="Arial"/>
          <w:szCs w:val="24"/>
        </w:rPr>
        <w:t xml:space="preserve"> and shaped by </w:t>
      </w:r>
      <w:proofErr w:type="spellStart"/>
      <w:r w:rsidRPr="001518E1">
        <w:rPr>
          <w:rFonts w:cs="Arial"/>
          <w:szCs w:val="24"/>
        </w:rPr>
        <w:t>Behav.Cluster</w:t>
      </w:r>
      <w:proofErr w:type="spellEnd"/>
      <w:r w:rsidRPr="001518E1">
        <w:rPr>
          <w:rFonts w:cs="Arial"/>
          <w:szCs w:val="24"/>
        </w:rPr>
        <w:t xml:space="preserve"> and Tracker group by sex, respectively. Results indicated that differences in non-</w:t>
      </w:r>
      <w:proofErr w:type="spellStart"/>
      <w:r w:rsidRPr="001518E1">
        <w:rPr>
          <w:rFonts w:cs="Arial"/>
          <w:szCs w:val="24"/>
        </w:rPr>
        <w:t>PavCA</w:t>
      </w:r>
      <w:proofErr w:type="spellEnd"/>
      <w:r w:rsidRPr="001518E1">
        <w:rPr>
          <w:rFonts w:cs="Arial"/>
          <w:szCs w:val="24"/>
        </w:rPr>
        <w:t xml:space="preserve"> </w:t>
      </w:r>
      <w:proofErr w:type="spellStart"/>
      <w:r w:rsidRPr="001518E1">
        <w:rPr>
          <w:rFonts w:cs="Arial"/>
          <w:szCs w:val="24"/>
        </w:rPr>
        <w:t>behavio</w:t>
      </w:r>
      <w:r w:rsidR="00777B77">
        <w:rPr>
          <w:rFonts w:cs="Arial"/>
          <w:szCs w:val="24"/>
        </w:rPr>
        <w:t>r</w:t>
      </w:r>
      <w:r w:rsidRPr="001518E1">
        <w:rPr>
          <w:rFonts w:cs="Arial"/>
          <w:szCs w:val="24"/>
        </w:rPr>
        <w:t>al</w:t>
      </w:r>
      <w:proofErr w:type="spellEnd"/>
      <w:r w:rsidRPr="001518E1">
        <w:rPr>
          <w:rFonts w:cs="Arial"/>
          <w:szCs w:val="24"/>
        </w:rPr>
        <w:t xml:space="preserve"> measures separated by this grouping </w:t>
      </w:r>
      <w:r w:rsidR="008E0EA7">
        <w:rPr>
          <w:rFonts w:cs="Arial"/>
          <w:szCs w:val="24"/>
        </w:rPr>
        <w:t xml:space="preserve">were </w:t>
      </w:r>
      <w:r w:rsidRPr="001518E1">
        <w:rPr>
          <w:rFonts w:cs="Arial"/>
          <w:szCs w:val="24"/>
        </w:rPr>
        <w:t>designat</w:t>
      </w:r>
      <w:r w:rsidR="008E0EA7">
        <w:rPr>
          <w:rFonts w:cs="Arial"/>
          <w:szCs w:val="24"/>
        </w:rPr>
        <w:t>ed</w:t>
      </w:r>
      <w:r w:rsidRPr="001518E1">
        <w:rPr>
          <w:rFonts w:cs="Arial"/>
          <w:szCs w:val="24"/>
        </w:rPr>
        <w:t xml:space="preserve"> on the x-axis (Fig. S1), while females and males separated on the y-axis (Fig. S1A).</w:t>
      </w:r>
    </w:p>
    <w:bookmarkEnd w:id="5"/>
    <w:p w14:paraId="056661AA" w14:textId="224292A9" w:rsidR="004360A2" w:rsidRPr="001518E1" w:rsidRDefault="004360A2" w:rsidP="004360A2">
      <w:pPr>
        <w:spacing w:line="360" w:lineRule="auto"/>
        <w:rPr>
          <w:rFonts w:cs="Arial"/>
          <w:szCs w:val="24"/>
        </w:rPr>
      </w:pPr>
      <w:r w:rsidRPr="001518E1">
        <w:rPr>
          <w:rFonts w:cs="Arial"/>
          <w:szCs w:val="24"/>
        </w:rPr>
        <w:t xml:space="preserve">Partial least squares differential analysis (PLS-DA) of all 54 </w:t>
      </w:r>
      <w:proofErr w:type="spellStart"/>
      <w:r w:rsidRPr="001518E1">
        <w:rPr>
          <w:rFonts w:cs="Arial"/>
          <w:szCs w:val="24"/>
        </w:rPr>
        <w:t>behavioral</w:t>
      </w:r>
      <w:proofErr w:type="spellEnd"/>
      <w:r w:rsidRPr="001518E1">
        <w:rPr>
          <w:rFonts w:cs="Arial"/>
          <w:szCs w:val="24"/>
        </w:rPr>
        <w:t xml:space="preserve"> measures constrained by sex and goal/sign tracking (GT/ST) phenotype resulted in a separation between males and females (Fig. S2A). 81% of males are present in the left cluster (</w:t>
      </w:r>
      <w:proofErr w:type="spellStart"/>
      <w:r w:rsidRPr="001518E1">
        <w:rPr>
          <w:rFonts w:cs="Arial"/>
          <w:szCs w:val="24"/>
        </w:rPr>
        <w:t>L.Behav.Clust</w:t>
      </w:r>
      <w:proofErr w:type="spellEnd"/>
      <w:r w:rsidRPr="001518E1">
        <w:rPr>
          <w:rFonts w:cs="Arial"/>
          <w:szCs w:val="24"/>
        </w:rPr>
        <w:t xml:space="preserve"> = Behav.Clust.1), while only 26% of females are present in the </w:t>
      </w:r>
      <w:proofErr w:type="spellStart"/>
      <w:r w:rsidRPr="001518E1">
        <w:rPr>
          <w:rFonts w:cs="Arial"/>
          <w:szCs w:val="24"/>
        </w:rPr>
        <w:t>L.Behav.Clust</w:t>
      </w:r>
      <w:proofErr w:type="spellEnd"/>
      <w:r w:rsidRPr="001518E1">
        <w:rPr>
          <w:rFonts w:cs="Arial"/>
          <w:szCs w:val="24"/>
        </w:rPr>
        <w:t xml:space="preserve">. In the right </w:t>
      </w:r>
      <w:proofErr w:type="spellStart"/>
      <w:r w:rsidRPr="001518E1">
        <w:rPr>
          <w:rFonts w:cs="Arial"/>
          <w:szCs w:val="24"/>
        </w:rPr>
        <w:t>behavioral</w:t>
      </w:r>
      <w:proofErr w:type="spellEnd"/>
      <w:r w:rsidRPr="001518E1">
        <w:rPr>
          <w:rFonts w:cs="Arial"/>
          <w:szCs w:val="24"/>
        </w:rPr>
        <w:t xml:space="preserve"> phenotype cluster (</w:t>
      </w:r>
      <w:proofErr w:type="spellStart"/>
      <w:r w:rsidRPr="001518E1">
        <w:rPr>
          <w:rFonts w:cs="Arial"/>
          <w:szCs w:val="24"/>
        </w:rPr>
        <w:t>R.Behav.Clust</w:t>
      </w:r>
      <w:proofErr w:type="spellEnd"/>
      <w:r w:rsidRPr="001518E1">
        <w:rPr>
          <w:rFonts w:cs="Arial"/>
          <w:szCs w:val="24"/>
        </w:rPr>
        <w:t xml:space="preserve"> = Behav.Clust.2), 74% of females are present while only 19% of males are present. Interestingly, </w:t>
      </w:r>
      <w:proofErr w:type="gramStart"/>
      <w:r w:rsidRPr="001518E1">
        <w:rPr>
          <w:rFonts w:cs="Arial"/>
          <w:szCs w:val="24"/>
        </w:rPr>
        <w:t>the majority of</w:t>
      </w:r>
      <w:proofErr w:type="gramEnd"/>
      <w:r w:rsidRPr="001518E1">
        <w:rPr>
          <w:rFonts w:cs="Arial"/>
          <w:szCs w:val="24"/>
        </w:rPr>
        <w:t xml:space="preserve"> female and male sign-trackers (ST) congregated in the lower right quadrant of this cluster. </w:t>
      </w:r>
    </w:p>
    <w:p w14:paraId="66EC9F46" w14:textId="27B481E2" w:rsidR="00E67B2C" w:rsidRPr="001518E1" w:rsidRDefault="00E67B2C" w:rsidP="00E67B2C">
      <w:pPr>
        <w:pStyle w:val="Heading4"/>
        <w:spacing w:line="360" w:lineRule="auto"/>
      </w:pPr>
      <w:bookmarkStart w:id="6" w:name="_Hlk3970397"/>
      <w:r w:rsidRPr="001518E1">
        <w:t>Random Forest Regression Analysis</w:t>
      </w:r>
    </w:p>
    <w:p w14:paraId="52E77F49" w14:textId="07E4A0E1" w:rsidR="00E67B2C" w:rsidRPr="001518E1" w:rsidRDefault="00E67B2C" w:rsidP="00E67B2C">
      <w:pPr>
        <w:spacing w:line="360" w:lineRule="auto"/>
      </w:pPr>
      <w:r w:rsidRPr="001518E1">
        <w:t xml:space="preserve">Additional analysis was performed to assess if variance in </w:t>
      </w:r>
      <w:proofErr w:type="spellStart"/>
      <w:r w:rsidRPr="001518E1">
        <w:t>behavioral</w:t>
      </w:r>
      <w:proofErr w:type="spellEnd"/>
      <w:r w:rsidRPr="001518E1">
        <w:t xml:space="preserve"> measures could be predicted by microbiome composition. Random forest regression analysis was performed</w:t>
      </w:r>
      <w:r w:rsidR="007C0DDC" w:rsidRPr="001518E1">
        <w:t xml:space="preserve"> within sex</w:t>
      </w:r>
      <w:r w:rsidRPr="001518E1">
        <w:t xml:space="preserve"> in R (v</w:t>
      </w:r>
      <w:r w:rsidR="007C0DDC" w:rsidRPr="001518E1">
        <w:t xml:space="preserve">3.5.2) using the </w:t>
      </w:r>
      <w:proofErr w:type="spellStart"/>
      <w:r w:rsidR="007C0DDC" w:rsidRPr="001518E1">
        <w:t>randomForest</w:t>
      </w:r>
      <w:proofErr w:type="spellEnd"/>
      <w:r w:rsidR="007C0DDC" w:rsidRPr="001518E1">
        <w:t xml:space="preserve"> package (v4.6-14). </w:t>
      </w:r>
      <w:proofErr w:type="spellStart"/>
      <w:r w:rsidR="007C0DDC" w:rsidRPr="001518E1">
        <w:t>Wisconson</w:t>
      </w:r>
      <w:proofErr w:type="spellEnd"/>
      <w:r w:rsidR="007C0DDC" w:rsidRPr="001518E1">
        <w:t xml:space="preserve"> normalization from the vegan package (v2.5-4) was used on the filtered (&gt;0.01% abundance) bacterial OTU table. Analysis was performed for two output: 1) Pavlovian Conditioned Approach Index score, used to assign the GT/IN/ST group 2) x-axis values from the NMDS plots shown in Supp. Fig. 1. Each dataset was randomly assigned to a training set (70% of samples) or </w:t>
      </w:r>
      <w:r w:rsidR="00396476">
        <w:t xml:space="preserve">a </w:t>
      </w:r>
      <w:r w:rsidR="007C0DDC" w:rsidRPr="001518E1">
        <w:t xml:space="preserve">prediction set (30% of samples). Parameters for random forest were set to number of decision trees </w:t>
      </w:r>
      <w:r w:rsidR="007C0DDC" w:rsidRPr="001518E1">
        <w:lastRenderedPageBreak/>
        <w:t>(</w:t>
      </w:r>
      <w:proofErr w:type="spellStart"/>
      <w:r w:rsidR="007C0DDC" w:rsidRPr="001518E1">
        <w:t>ntree</w:t>
      </w:r>
      <w:proofErr w:type="spellEnd"/>
      <w:r w:rsidR="007C0DDC" w:rsidRPr="001518E1">
        <w:t>=500) and number of variables randomly sampled at each stage (</w:t>
      </w:r>
      <w:proofErr w:type="spellStart"/>
      <w:r w:rsidR="007C0DDC" w:rsidRPr="001518E1">
        <w:t>mtry</w:t>
      </w:r>
      <w:proofErr w:type="spellEnd"/>
      <w:r w:rsidR="007C0DDC" w:rsidRPr="001518E1">
        <w:t>=total number of variables/3).</w:t>
      </w:r>
      <w:r w:rsidR="00791738" w:rsidRPr="001518E1">
        <w:t xml:space="preserve"> Explained variance for all training sets were low (variance explained &gt; 4%). For random forest regression analysis within females and males by </w:t>
      </w:r>
      <w:proofErr w:type="spellStart"/>
      <w:r w:rsidR="00791738" w:rsidRPr="001518E1">
        <w:t>PavCA</w:t>
      </w:r>
      <w:proofErr w:type="spellEnd"/>
      <w:r w:rsidR="00791738" w:rsidRPr="001518E1">
        <w:t xml:space="preserve"> Index Score and X-axis, predicted mean variance equalled zero. This </w:t>
      </w:r>
      <w:proofErr w:type="gramStart"/>
      <w:r w:rsidR="00791738" w:rsidRPr="001518E1">
        <w:t>zero value</w:t>
      </w:r>
      <w:proofErr w:type="gramEnd"/>
      <w:r w:rsidR="00791738" w:rsidRPr="001518E1">
        <w:t xml:space="preserve"> indicated that microbiome composition can not predict GT/ST grouping or overall </w:t>
      </w:r>
      <w:proofErr w:type="spellStart"/>
      <w:r w:rsidR="00791738" w:rsidRPr="001518E1">
        <w:t>behavioral</w:t>
      </w:r>
      <w:proofErr w:type="spellEnd"/>
      <w:r w:rsidR="00791738" w:rsidRPr="001518E1">
        <w:t xml:space="preserve"> variance (as represented by x-axis points). The </w:t>
      </w:r>
      <w:proofErr w:type="spellStart"/>
      <w:r w:rsidR="00791738" w:rsidRPr="001518E1">
        <w:t>varImpPlot</w:t>
      </w:r>
      <w:proofErr w:type="spellEnd"/>
      <w:r w:rsidR="00791738" w:rsidRPr="001518E1">
        <w:t xml:space="preserve"> function from </w:t>
      </w:r>
      <w:proofErr w:type="spellStart"/>
      <w:r w:rsidR="00791738" w:rsidRPr="001518E1">
        <w:t>randomForest</w:t>
      </w:r>
      <w:proofErr w:type="spellEnd"/>
      <w:r w:rsidR="00791738" w:rsidRPr="001518E1">
        <w:t xml:space="preserve"> was used to visualize the most important bacteria associated </w:t>
      </w:r>
      <w:r w:rsidR="0097639A">
        <w:t xml:space="preserve">with </w:t>
      </w:r>
      <w:r w:rsidR="00791738" w:rsidRPr="001518E1">
        <w:t>variations in Index Score and X-axis (Supplementary Figure 6-7).</w:t>
      </w:r>
    </w:p>
    <w:bookmarkEnd w:id="6"/>
    <w:p w14:paraId="53879E24" w14:textId="77777777" w:rsidR="004360A2" w:rsidRPr="001518E1" w:rsidRDefault="004360A2" w:rsidP="004360A2">
      <w:pPr>
        <w:pStyle w:val="Heading4"/>
        <w:spacing w:line="360" w:lineRule="auto"/>
      </w:pPr>
      <w:proofErr w:type="spellStart"/>
      <w:r w:rsidRPr="001518E1">
        <w:t>Behavioral</w:t>
      </w:r>
      <w:proofErr w:type="spellEnd"/>
      <w:r w:rsidRPr="001518E1">
        <w:t xml:space="preserve"> differences between sex and </w:t>
      </w:r>
      <w:proofErr w:type="spellStart"/>
      <w:r w:rsidRPr="001518E1">
        <w:t>behavioral</w:t>
      </w:r>
      <w:proofErr w:type="spellEnd"/>
      <w:r w:rsidRPr="001518E1">
        <w:t xml:space="preserve"> cluster</w:t>
      </w:r>
    </w:p>
    <w:p w14:paraId="14CAB8B4" w14:textId="77777777" w:rsidR="004360A2" w:rsidRPr="001518E1" w:rsidRDefault="004360A2" w:rsidP="004360A2">
      <w:pPr>
        <w:spacing w:line="360" w:lineRule="auto"/>
        <w:rPr>
          <w:rFonts w:cs="Arial"/>
          <w:szCs w:val="24"/>
        </w:rPr>
      </w:pPr>
      <w:r w:rsidRPr="001518E1">
        <w:rPr>
          <w:rFonts w:cs="Arial"/>
          <w:szCs w:val="24"/>
        </w:rPr>
        <w:t xml:space="preserve">Factor analysis (PERMANOVA) of 54 </w:t>
      </w:r>
      <w:proofErr w:type="spellStart"/>
      <w:r w:rsidRPr="001518E1">
        <w:rPr>
          <w:rFonts w:cs="Arial"/>
          <w:szCs w:val="24"/>
        </w:rPr>
        <w:t>behavioral</w:t>
      </w:r>
      <w:proofErr w:type="spellEnd"/>
      <w:r w:rsidRPr="001518E1">
        <w:rPr>
          <w:rFonts w:cs="Arial"/>
          <w:szCs w:val="24"/>
        </w:rPr>
        <w:t xml:space="preserve"> measures revealed that sex was the only significant contributing factor (R2=0.301, p=0.0002). To ensure this observation was not due to sex differences in weight, factor analysis was also performed for animal weights at experiment endpoint. Weight was not a significant factor contributing to </w:t>
      </w:r>
      <w:proofErr w:type="spellStart"/>
      <w:r w:rsidRPr="001518E1">
        <w:rPr>
          <w:rFonts w:cs="Arial"/>
          <w:szCs w:val="24"/>
        </w:rPr>
        <w:t>behavior</w:t>
      </w:r>
      <w:proofErr w:type="spellEnd"/>
      <w:r w:rsidRPr="001518E1">
        <w:rPr>
          <w:rFonts w:cs="Arial"/>
          <w:szCs w:val="24"/>
        </w:rPr>
        <w:t xml:space="preserve"> (R2=0.006, p=0.173). Additionally, sign/goal tracker phenotype was not a significant factor for all </w:t>
      </w:r>
      <w:proofErr w:type="spellStart"/>
      <w:r w:rsidRPr="001518E1">
        <w:rPr>
          <w:rFonts w:cs="Arial"/>
          <w:szCs w:val="24"/>
        </w:rPr>
        <w:t>behavioral</w:t>
      </w:r>
      <w:proofErr w:type="spellEnd"/>
      <w:r w:rsidRPr="001518E1">
        <w:rPr>
          <w:rFonts w:cs="Arial"/>
          <w:szCs w:val="24"/>
        </w:rPr>
        <w:t xml:space="preserve"> measures (R2=0.007, p=0.371). Of 54 </w:t>
      </w:r>
      <w:proofErr w:type="spellStart"/>
      <w:r w:rsidRPr="001518E1">
        <w:rPr>
          <w:rFonts w:cs="Arial"/>
          <w:szCs w:val="24"/>
        </w:rPr>
        <w:t>behaviors</w:t>
      </w:r>
      <w:proofErr w:type="spellEnd"/>
      <w:r w:rsidRPr="001518E1">
        <w:rPr>
          <w:rFonts w:cs="Arial"/>
          <w:szCs w:val="24"/>
        </w:rPr>
        <w:t xml:space="preserve"> tested, 32 were significantly different when compared by sex, 34 between left and right </w:t>
      </w:r>
      <w:proofErr w:type="spellStart"/>
      <w:r w:rsidRPr="001518E1">
        <w:rPr>
          <w:rFonts w:cs="Arial"/>
          <w:szCs w:val="24"/>
        </w:rPr>
        <w:t>behavioral</w:t>
      </w:r>
      <w:proofErr w:type="spellEnd"/>
      <w:r w:rsidRPr="001518E1">
        <w:rPr>
          <w:rFonts w:cs="Arial"/>
          <w:szCs w:val="24"/>
        </w:rPr>
        <w:t xml:space="preserve"> cluster, 17 when females only where compared by </w:t>
      </w:r>
      <w:proofErr w:type="spellStart"/>
      <w:r w:rsidRPr="001518E1">
        <w:rPr>
          <w:rFonts w:cs="Arial"/>
          <w:szCs w:val="24"/>
        </w:rPr>
        <w:t>behavioral</w:t>
      </w:r>
      <w:proofErr w:type="spellEnd"/>
      <w:r w:rsidRPr="001518E1">
        <w:rPr>
          <w:rFonts w:cs="Arial"/>
          <w:szCs w:val="24"/>
        </w:rPr>
        <w:t xml:space="preserve"> cluster, and 20 when males only were compared by </w:t>
      </w:r>
      <w:proofErr w:type="spellStart"/>
      <w:r w:rsidRPr="001518E1">
        <w:rPr>
          <w:rFonts w:cs="Arial"/>
          <w:szCs w:val="24"/>
        </w:rPr>
        <w:t>behavioral</w:t>
      </w:r>
      <w:proofErr w:type="spellEnd"/>
      <w:r w:rsidRPr="001518E1">
        <w:rPr>
          <w:rFonts w:cs="Arial"/>
          <w:szCs w:val="24"/>
        </w:rPr>
        <w:t xml:space="preserve"> cluster. Z-score was used to represent </w:t>
      </w:r>
      <w:proofErr w:type="spellStart"/>
      <w:r w:rsidRPr="001518E1">
        <w:rPr>
          <w:rFonts w:cs="Arial"/>
          <w:szCs w:val="24"/>
        </w:rPr>
        <w:t>behavioral</w:t>
      </w:r>
      <w:proofErr w:type="spellEnd"/>
      <w:r w:rsidRPr="001518E1">
        <w:rPr>
          <w:rFonts w:cs="Arial"/>
          <w:szCs w:val="24"/>
        </w:rPr>
        <w:t xml:space="preserve"> differences by sex, </w:t>
      </w:r>
      <w:proofErr w:type="spellStart"/>
      <w:r w:rsidRPr="001518E1">
        <w:rPr>
          <w:rFonts w:cs="Arial"/>
          <w:szCs w:val="24"/>
        </w:rPr>
        <w:t>behavioral</w:t>
      </w:r>
      <w:proofErr w:type="spellEnd"/>
      <w:r w:rsidRPr="001518E1">
        <w:rPr>
          <w:rFonts w:cs="Arial"/>
          <w:szCs w:val="24"/>
        </w:rPr>
        <w:t xml:space="preserve"> cluster (</w:t>
      </w:r>
      <w:proofErr w:type="spellStart"/>
      <w:r w:rsidRPr="001518E1">
        <w:rPr>
          <w:rFonts w:cs="Arial"/>
          <w:szCs w:val="24"/>
        </w:rPr>
        <w:t>R.Behav.Clust</w:t>
      </w:r>
      <w:proofErr w:type="spellEnd"/>
      <w:r w:rsidRPr="001518E1">
        <w:rPr>
          <w:rFonts w:cs="Arial"/>
          <w:szCs w:val="24"/>
        </w:rPr>
        <w:t xml:space="preserve"> and </w:t>
      </w:r>
      <w:proofErr w:type="spellStart"/>
      <w:r w:rsidRPr="001518E1">
        <w:rPr>
          <w:rFonts w:cs="Arial"/>
          <w:szCs w:val="24"/>
        </w:rPr>
        <w:t>L.Behav.Clust</w:t>
      </w:r>
      <w:proofErr w:type="spellEnd"/>
      <w:r w:rsidRPr="001518E1">
        <w:rPr>
          <w:rFonts w:cs="Arial"/>
          <w:szCs w:val="24"/>
        </w:rPr>
        <w:t xml:space="preserve">), and </w:t>
      </w:r>
      <w:proofErr w:type="spellStart"/>
      <w:r w:rsidRPr="001518E1">
        <w:rPr>
          <w:rFonts w:cs="Arial"/>
          <w:szCs w:val="24"/>
        </w:rPr>
        <w:t>behavioral</w:t>
      </w:r>
      <w:proofErr w:type="spellEnd"/>
      <w:r w:rsidRPr="001518E1">
        <w:rPr>
          <w:rFonts w:cs="Arial"/>
          <w:szCs w:val="24"/>
        </w:rPr>
        <w:t xml:space="preserve"> cluster by sex (Fig S2B). </w:t>
      </w:r>
    </w:p>
    <w:p w14:paraId="1FA3BB86" w14:textId="77777777" w:rsidR="004360A2" w:rsidRPr="001518E1" w:rsidRDefault="004360A2" w:rsidP="004360A2">
      <w:pPr>
        <w:pStyle w:val="Heading4"/>
        <w:spacing w:line="360" w:lineRule="auto"/>
        <w:rPr>
          <w:szCs w:val="24"/>
        </w:rPr>
      </w:pPr>
      <w:bookmarkStart w:id="7" w:name="_Hlk509086156"/>
      <w:r w:rsidRPr="001518E1">
        <w:rPr>
          <w:szCs w:val="24"/>
        </w:rPr>
        <w:t>Sex differences in Pavlovian Conditioned Approach (</w:t>
      </w:r>
      <w:proofErr w:type="spellStart"/>
      <w:r w:rsidRPr="001518E1">
        <w:rPr>
          <w:szCs w:val="24"/>
        </w:rPr>
        <w:t>PavCA</w:t>
      </w:r>
      <w:proofErr w:type="spellEnd"/>
      <w:r w:rsidRPr="001518E1">
        <w:rPr>
          <w:szCs w:val="24"/>
        </w:rPr>
        <w:t>)</w:t>
      </w:r>
    </w:p>
    <w:bookmarkEnd w:id="7"/>
    <w:p w14:paraId="675DC1B8" w14:textId="6008B663" w:rsidR="004360A2" w:rsidRPr="001518E1" w:rsidRDefault="004360A2" w:rsidP="004360A2">
      <w:pPr>
        <w:spacing w:line="360" w:lineRule="auto"/>
        <w:rPr>
          <w:rFonts w:cs="Arial"/>
          <w:szCs w:val="24"/>
        </w:rPr>
      </w:pPr>
      <w:r w:rsidRPr="001518E1">
        <w:rPr>
          <w:rFonts w:cs="Arial"/>
          <w:szCs w:val="24"/>
        </w:rPr>
        <w:t xml:space="preserve">Females had significantly increased sign-tracking </w:t>
      </w:r>
      <w:proofErr w:type="spellStart"/>
      <w:r w:rsidRPr="001518E1">
        <w:rPr>
          <w:rFonts w:cs="Arial"/>
          <w:szCs w:val="24"/>
        </w:rPr>
        <w:t>behavior</w:t>
      </w:r>
      <w:proofErr w:type="spellEnd"/>
      <w:r w:rsidRPr="001518E1">
        <w:rPr>
          <w:rFonts w:cs="Arial"/>
          <w:szCs w:val="24"/>
        </w:rPr>
        <w:t xml:space="preserve"> compared to males (Fig. S2A-B). This was evident by significant increases in Pavlovian Index score on day 4 (PavCA.D4.Index, p&lt;0.0001) and day 5 (PavCA.D5.Index, p&lt;0.01) in females compared to males. Pavlovian Index score was also significant between </w:t>
      </w:r>
      <w:proofErr w:type="spellStart"/>
      <w:r w:rsidRPr="001518E1">
        <w:rPr>
          <w:rFonts w:cs="Arial"/>
          <w:szCs w:val="24"/>
        </w:rPr>
        <w:t>behavior</w:t>
      </w:r>
      <w:proofErr w:type="spellEnd"/>
      <w:r w:rsidRPr="001518E1">
        <w:rPr>
          <w:rFonts w:cs="Arial"/>
          <w:szCs w:val="24"/>
        </w:rPr>
        <w:t xml:space="preserve"> cluster (PavCA.D4.Index and PavCA.D5.Index, p&lt;0.001) and when males and females were compared individually by </w:t>
      </w:r>
      <w:proofErr w:type="spellStart"/>
      <w:r w:rsidRPr="001518E1">
        <w:rPr>
          <w:rFonts w:cs="Arial"/>
          <w:szCs w:val="24"/>
        </w:rPr>
        <w:t>behavioral</w:t>
      </w:r>
      <w:proofErr w:type="spellEnd"/>
      <w:r w:rsidRPr="001518E1">
        <w:rPr>
          <w:rFonts w:cs="Arial"/>
          <w:szCs w:val="24"/>
        </w:rPr>
        <w:t xml:space="preserve"> cluster (PavCA.D4.Index and PavCA.D5.Index, p&lt;0.001). Sign-tracking </w:t>
      </w:r>
      <w:proofErr w:type="spellStart"/>
      <w:r w:rsidRPr="001518E1">
        <w:rPr>
          <w:rFonts w:cs="Arial"/>
          <w:szCs w:val="24"/>
        </w:rPr>
        <w:t>behavior</w:t>
      </w:r>
      <w:proofErr w:type="spellEnd"/>
      <w:r w:rsidRPr="001518E1">
        <w:rPr>
          <w:rFonts w:cs="Arial"/>
          <w:szCs w:val="24"/>
        </w:rPr>
        <w:t xml:space="preserve">, as measured by lever-cue associations, was significantly increased in females, </w:t>
      </w:r>
      <w:proofErr w:type="spellStart"/>
      <w:r w:rsidRPr="001518E1">
        <w:rPr>
          <w:rFonts w:cs="Arial"/>
          <w:szCs w:val="24"/>
        </w:rPr>
        <w:t>R.Behav.Clust</w:t>
      </w:r>
      <w:proofErr w:type="spellEnd"/>
      <w:r w:rsidRPr="001518E1">
        <w:rPr>
          <w:rFonts w:cs="Arial"/>
          <w:szCs w:val="24"/>
        </w:rPr>
        <w:t xml:space="preserve">,  and </w:t>
      </w:r>
      <w:proofErr w:type="spellStart"/>
      <w:r w:rsidRPr="001518E1">
        <w:rPr>
          <w:rFonts w:cs="Arial"/>
          <w:szCs w:val="24"/>
        </w:rPr>
        <w:t>R.Behav,Clust.F</w:t>
      </w:r>
      <w:proofErr w:type="spellEnd"/>
      <w:r w:rsidRPr="001518E1">
        <w:rPr>
          <w:rFonts w:cs="Arial"/>
          <w:szCs w:val="24"/>
        </w:rPr>
        <w:t xml:space="preserve">  on day 1, 4, and 5 (PavCA.D1.Lever_CS, p&lt;0.001; PavCA.D4.Lever_CS, p&lt;0.001; PavCA.D5.Lever_CS, p&lt;0.001). Male right </w:t>
      </w:r>
      <w:proofErr w:type="spellStart"/>
      <w:r w:rsidRPr="001518E1">
        <w:rPr>
          <w:rFonts w:cs="Arial"/>
          <w:szCs w:val="24"/>
        </w:rPr>
        <w:t>behavioral</w:t>
      </w:r>
      <w:proofErr w:type="spellEnd"/>
      <w:r w:rsidRPr="001518E1">
        <w:rPr>
          <w:rFonts w:cs="Arial"/>
          <w:szCs w:val="24"/>
        </w:rPr>
        <w:t xml:space="preserve"> cluster (</w:t>
      </w:r>
      <w:proofErr w:type="spellStart"/>
      <w:r w:rsidRPr="001518E1">
        <w:rPr>
          <w:rFonts w:cs="Arial"/>
          <w:szCs w:val="24"/>
        </w:rPr>
        <w:t>R.Behav.Clust</w:t>
      </w:r>
      <w:proofErr w:type="spellEnd"/>
      <w:r w:rsidRPr="001518E1">
        <w:rPr>
          <w:rFonts w:cs="Arial"/>
          <w:szCs w:val="24"/>
        </w:rPr>
        <w:t xml:space="preserve">) was also significantly increased on day 4 and 5 </w:t>
      </w:r>
      <w:r w:rsidRPr="001518E1">
        <w:rPr>
          <w:rFonts w:cs="Arial"/>
          <w:szCs w:val="24"/>
        </w:rPr>
        <w:lastRenderedPageBreak/>
        <w:t xml:space="preserve">(PavCA.D4.Lever_CS, p&lt;0.001; PavCA.D5.Lever_CS, p&lt;0.001) compared to left </w:t>
      </w:r>
      <w:proofErr w:type="spellStart"/>
      <w:r w:rsidRPr="001518E1">
        <w:rPr>
          <w:rFonts w:cs="Arial"/>
          <w:szCs w:val="24"/>
        </w:rPr>
        <w:t>behavioral</w:t>
      </w:r>
      <w:proofErr w:type="spellEnd"/>
      <w:r w:rsidRPr="001518E1">
        <w:rPr>
          <w:rFonts w:cs="Arial"/>
          <w:szCs w:val="24"/>
        </w:rPr>
        <w:t xml:space="preserve"> male cluster (</w:t>
      </w:r>
      <w:proofErr w:type="spellStart"/>
      <w:r w:rsidRPr="001518E1">
        <w:rPr>
          <w:rFonts w:cs="Arial"/>
          <w:szCs w:val="24"/>
        </w:rPr>
        <w:t>L.Behav.Clust</w:t>
      </w:r>
      <w:proofErr w:type="spellEnd"/>
      <w:r w:rsidRPr="001518E1">
        <w:rPr>
          <w:rFonts w:cs="Arial"/>
          <w:szCs w:val="24"/>
        </w:rPr>
        <w:t>). These finding</w:t>
      </w:r>
      <w:r w:rsidR="006D571B">
        <w:rPr>
          <w:rFonts w:cs="Arial"/>
          <w:szCs w:val="24"/>
        </w:rPr>
        <w:t>s</w:t>
      </w:r>
      <w:r w:rsidRPr="001518E1">
        <w:rPr>
          <w:rFonts w:cs="Arial"/>
          <w:szCs w:val="24"/>
        </w:rPr>
        <w:t xml:space="preserve"> show that sign-tracking </w:t>
      </w:r>
      <w:proofErr w:type="spellStart"/>
      <w:r w:rsidRPr="001518E1">
        <w:rPr>
          <w:rFonts w:cs="Arial"/>
          <w:szCs w:val="24"/>
        </w:rPr>
        <w:t>behavior</w:t>
      </w:r>
      <w:proofErr w:type="spellEnd"/>
      <w:r w:rsidRPr="001518E1">
        <w:rPr>
          <w:rFonts w:cs="Arial"/>
          <w:szCs w:val="24"/>
        </w:rPr>
        <w:t xml:space="preserve"> is increased in all females compared to males, as well as right and left </w:t>
      </w:r>
      <w:proofErr w:type="spellStart"/>
      <w:r w:rsidRPr="001518E1">
        <w:rPr>
          <w:rFonts w:cs="Arial"/>
          <w:szCs w:val="24"/>
        </w:rPr>
        <w:t>behavioral</w:t>
      </w:r>
      <w:proofErr w:type="spellEnd"/>
      <w:r w:rsidRPr="001518E1">
        <w:rPr>
          <w:rFonts w:cs="Arial"/>
          <w:szCs w:val="24"/>
        </w:rPr>
        <w:t xml:space="preserve"> cluster</w:t>
      </w:r>
      <w:r w:rsidR="00B96001">
        <w:rPr>
          <w:rFonts w:cs="Arial"/>
          <w:szCs w:val="24"/>
        </w:rPr>
        <w:t>s</w:t>
      </w:r>
      <w:r w:rsidRPr="001518E1">
        <w:rPr>
          <w:rFonts w:cs="Arial"/>
          <w:szCs w:val="24"/>
        </w:rPr>
        <w:t xml:space="preserve">, either compared with all samples or within sex. </w:t>
      </w:r>
    </w:p>
    <w:p w14:paraId="5A4235DD" w14:textId="77777777" w:rsidR="004360A2" w:rsidRPr="001518E1" w:rsidRDefault="004360A2" w:rsidP="004360A2">
      <w:pPr>
        <w:pStyle w:val="Heading4"/>
        <w:spacing w:line="360" w:lineRule="auto"/>
      </w:pPr>
      <w:r w:rsidRPr="001518E1">
        <w:t xml:space="preserve">Sex differences in Pavlovian Conditioned Reinforcement (CRF) </w:t>
      </w:r>
    </w:p>
    <w:p w14:paraId="39193BF9" w14:textId="77777777" w:rsidR="004360A2" w:rsidRPr="001518E1" w:rsidRDefault="004360A2" w:rsidP="004360A2">
      <w:pPr>
        <w:spacing w:line="360" w:lineRule="auto"/>
        <w:rPr>
          <w:rFonts w:cs="Arial"/>
          <w:szCs w:val="24"/>
        </w:rPr>
      </w:pPr>
      <w:r w:rsidRPr="001518E1">
        <w:rPr>
          <w:rFonts w:cs="Arial"/>
          <w:szCs w:val="24"/>
        </w:rPr>
        <w:t xml:space="preserve">Females had significant increases in reinforcement </w:t>
      </w:r>
      <w:proofErr w:type="spellStart"/>
      <w:r w:rsidRPr="001518E1">
        <w:rPr>
          <w:rFonts w:cs="Arial"/>
          <w:szCs w:val="24"/>
        </w:rPr>
        <w:t>behavior</w:t>
      </w:r>
      <w:proofErr w:type="spellEnd"/>
      <w:r w:rsidRPr="001518E1">
        <w:rPr>
          <w:rFonts w:cs="Arial"/>
          <w:szCs w:val="24"/>
        </w:rPr>
        <w:t xml:space="preserve"> compared to males (Fig. S2B). Number of CS lever presentations was significantly different between sex, </w:t>
      </w:r>
      <w:proofErr w:type="spellStart"/>
      <w:r w:rsidRPr="001518E1">
        <w:rPr>
          <w:rFonts w:cs="Arial"/>
          <w:szCs w:val="24"/>
        </w:rPr>
        <w:t>behavioral</w:t>
      </w:r>
      <w:proofErr w:type="spellEnd"/>
      <w:r w:rsidRPr="001518E1">
        <w:rPr>
          <w:rFonts w:cs="Arial"/>
          <w:szCs w:val="24"/>
        </w:rPr>
        <w:t xml:space="preserve"> cluster, and </w:t>
      </w:r>
      <w:proofErr w:type="spellStart"/>
      <w:r w:rsidRPr="001518E1">
        <w:rPr>
          <w:rFonts w:cs="Arial"/>
          <w:szCs w:val="24"/>
        </w:rPr>
        <w:t>behavioral</w:t>
      </w:r>
      <w:proofErr w:type="spellEnd"/>
      <w:r w:rsidRPr="001518E1">
        <w:rPr>
          <w:rFonts w:cs="Arial"/>
          <w:szCs w:val="24"/>
        </w:rPr>
        <w:t xml:space="preserve"> cluster by sex (</w:t>
      </w:r>
      <w:proofErr w:type="spellStart"/>
      <w:r w:rsidRPr="001518E1">
        <w:rPr>
          <w:rFonts w:cs="Arial"/>
          <w:szCs w:val="24"/>
        </w:rPr>
        <w:t>CRF.Number.Reinforcers</w:t>
      </w:r>
      <w:proofErr w:type="spellEnd"/>
      <w:r w:rsidRPr="001518E1">
        <w:rPr>
          <w:rFonts w:cs="Arial"/>
          <w:szCs w:val="24"/>
        </w:rPr>
        <w:t xml:space="preserve">, p&lt;0.001), and total number of lever presses </w:t>
      </w:r>
      <w:r w:rsidRPr="001518E1">
        <w:rPr>
          <w:rFonts w:cs="Arial"/>
          <w:color w:val="000000"/>
          <w:szCs w:val="24"/>
        </w:rPr>
        <w:t>(</w:t>
      </w:r>
      <w:proofErr w:type="spellStart"/>
      <w:r w:rsidRPr="001518E1">
        <w:rPr>
          <w:rFonts w:cs="Arial"/>
          <w:color w:val="000000"/>
          <w:szCs w:val="24"/>
        </w:rPr>
        <w:t>CRF.LeverPresses</w:t>
      </w:r>
      <w:proofErr w:type="spellEnd"/>
      <w:r w:rsidRPr="001518E1">
        <w:rPr>
          <w:rFonts w:cs="Arial"/>
          <w:color w:val="000000"/>
          <w:szCs w:val="24"/>
        </w:rPr>
        <w:t xml:space="preserve">, </w:t>
      </w:r>
      <w:r w:rsidRPr="001518E1">
        <w:rPr>
          <w:rFonts w:cs="Arial"/>
          <w:szCs w:val="24"/>
        </w:rPr>
        <w:t xml:space="preserve">p&lt;0.001). These measures were significantly increased in females vs. males. </w:t>
      </w:r>
      <w:proofErr w:type="spellStart"/>
      <w:r w:rsidRPr="001518E1">
        <w:rPr>
          <w:rFonts w:cs="Arial"/>
          <w:szCs w:val="24"/>
        </w:rPr>
        <w:t>L.Behav.Clust</w:t>
      </w:r>
      <w:proofErr w:type="spellEnd"/>
      <w:r w:rsidRPr="001518E1">
        <w:rPr>
          <w:rFonts w:cs="Arial"/>
          <w:szCs w:val="24"/>
        </w:rPr>
        <w:t xml:space="preserve"> vs. </w:t>
      </w:r>
      <w:proofErr w:type="spellStart"/>
      <w:proofErr w:type="gramStart"/>
      <w:r w:rsidRPr="001518E1">
        <w:rPr>
          <w:rFonts w:cs="Arial"/>
          <w:szCs w:val="24"/>
        </w:rPr>
        <w:t>R.Behav.Clust</w:t>
      </w:r>
      <w:proofErr w:type="spellEnd"/>
      <w:proofErr w:type="gramEnd"/>
      <w:r w:rsidRPr="001518E1">
        <w:rPr>
          <w:rFonts w:cs="Arial"/>
          <w:szCs w:val="24"/>
        </w:rPr>
        <w:t xml:space="preserve">, and left </w:t>
      </w:r>
      <w:proofErr w:type="spellStart"/>
      <w:r w:rsidRPr="001518E1">
        <w:rPr>
          <w:rFonts w:cs="Arial"/>
          <w:szCs w:val="24"/>
        </w:rPr>
        <w:t>behavioral</w:t>
      </w:r>
      <w:proofErr w:type="spellEnd"/>
      <w:r w:rsidRPr="001518E1">
        <w:rPr>
          <w:rFonts w:cs="Arial"/>
          <w:szCs w:val="24"/>
        </w:rPr>
        <w:t xml:space="preserve"> clusters within both sexes (Fig. S2B). </w:t>
      </w:r>
    </w:p>
    <w:p w14:paraId="6722BED8" w14:textId="77777777" w:rsidR="004360A2" w:rsidRPr="001518E1" w:rsidRDefault="004360A2" w:rsidP="004360A2">
      <w:pPr>
        <w:pStyle w:val="Heading4"/>
        <w:spacing w:line="360" w:lineRule="auto"/>
      </w:pPr>
      <w:r w:rsidRPr="001518E1">
        <w:t xml:space="preserve">Sex differences in Cocaine Cue Preference (CCP) </w:t>
      </w:r>
    </w:p>
    <w:p w14:paraId="3B0040EE" w14:textId="24FE8D97" w:rsidR="004360A2" w:rsidRPr="001518E1" w:rsidRDefault="004360A2" w:rsidP="004360A2">
      <w:pPr>
        <w:spacing w:line="360" w:lineRule="auto"/>
        <w:rPr>
          <w:rFonts w:cs="Arial"/>
          <w:szCs w:val="24"/>
        </w:rPr>
      </w:pPr>
      <w:r w:rsidRPr="001518E1">
        <w:rPr>
          <w:rFonts w:cs="Arial"/>
          <w:szCs w:val="24"/>
        </w:rPr>
        <w:t>Females had an overall significant increase in locomotor distance travelled compared to males following cocaine administration at both trial</w:t>
      </w:r>
      <w:r w:rsidR="004845B2">
        <w:rPr>
          <w:rFonts w:cs="Arial"/>
          <w:szCs w:val="24"/>
        </w:rPr>
        <w:t>s</w:t>
      </w:r>
      <w:r w:rsidRPr="001518E1">
        <w:rPr>
          <w:rFonts w:cs="Arial"/>
          <w:szCs w:val="24"/>
        </w:rPr>
        <w:t xml:space="preserve"> 1 and 4 (CCP.T</w:t>
      </w:r>
      <w:proofErr w:type="gramStart"/>
      <w:r w:rsidRPr="001518E1">
        <w:rPr>
          <w:rFonts w:cs="Arial"/>
          <w:szCs w:val="24"/>
        </w:rPr>
        <w:t>1.Cocaine.Dist</w:t>
      </w:r>
      <w:proofErr w:type="gramEnd"/>
      <w:r w:rsidRPr="001518E1">
        <w:rPr>
          <w:rFonts w:cs="Arial"/>
          <w:szCs w:val="24"/>
        </w:rPr>
        <w:t xml:space="preserve"> and CCP.T4.Cocaine.Dist, p&lt; 0.001) (Fig. S2B). Significant differences in cocaine-induce</w:t>
      </w:r>
      <w:r w:rsidR="004845B2">
        <w:rPr>
          <w:rFonts w:cs="Arial"/>
          <w:szCs w:val="24"/>
        </w:rPr>
        <w:t>d</w:t>
      </w:r>
      <w:r w:rsidRPr="001518E1">
        <w:rPr>
          <w:rFonts w:cs="Arial"/>
          <w:szCs w:val="24"/>
        </w:rPr>
        <w:t xml:space="preserve"> locomotor travel was also observed between </w:t>
      </w:r>
      <w:proofErr w:type="spellStart"/>
      <w:r w:rsidRPr="001518E1">
        <w:rPr>
          <w:rFonts w:cs="Arial"/>
          <w:szCs w:val="24"/>
        </w:rPr>
        <w:t>behavioral</w:t>
      </w:r>
      <w:proofErr w:type="spellEnd"/>
      <w:r w:rsidRPr="001518E1">
        <w:rPr>
          <w:rFonts w:cs="Arial"/>
          <w:szCs w:val="24"/>
        </w:rPr>
        <w:t xml:space="preserve"> clusters</w:t>
      </w:r>
      <w:r w:rsidR="00554663">
        <w:rPr>
          <w:rFonts w:cs="Arial"/>
          <w:szCs w:val="24"/>
        </w:rPr>
        <w:t>.</w:t>
      </w:r>
      <w:r w:rsidRPr="001518E1">
        <w:rPr>
          <w:rFonts w:cs="Arial"/>
          <w:szCs w:val="24"/>
        </w:rPr>
        <w:t xml:space="preserve"> </w:t>
      </w:r>
      <w:r w:rsidR="00554663">
        <w:rPr>
          <w:rFonts w:cs="Arial"/>
          <w:szCs w:val="24"/>
        </w:rPr>
        <w:t>H</w:t>
      </w:r>
      <w:r w:rsidRPr="001518E1">
        <w:rPr>
          <w:rFonts w:cs="Arial"/>
          <w:szCs w:val="24"/>
        </w:rPr>
        <w:t>owever</w:t>
      </w:r>
      <w:r w:rsidR="00554663">
        <w:rPr>
          <w:rFonts w:cs="Arial"/>
          <w:szCs w:val="24"/>
        </w:rPr>
        <w:t>,</w:t>
      </w:r>
      <w:r w:rsidRPr="001518E1">
        <w:rPr>
          <w:rFonts w:cs="Arial"/>
          <w:szCs w:val="24"/>
        </w:rPr>
        <w:t xml:space="preserve"> when </w:t>
      </w:r>
      <w:proofErr w:type="spellStart"/>
      <w:r w:rsidRPr="001518E1">
        <w:rPr>
          <w:rFonts w:cs="Arial"/>
          <w:szCs w:val="24"/>
        </w:rPr>
        <w:t>behavioral</w:t>
      </w:r>
      <w:proofErr w:type="spellEnd"/>
      <w:r w:rsidRPr="001518E1">
        <w:rPr>
          <w:rFonts w:cs="Arial"/>
          <w:szCs w:val="24"/>
        </w:rPr>
        <w:t xml:space="preserve"> clusters were compared within sex, only significant differences were seen within females at trial 1 (CCP.T</w:t>
      </w:r>
      <w:proofErr w:type="gramStart"/>
      <w:r w:rsidRPr="001518E1">
        <w:rPr>
          <w:rFonts w:cs="Arial"/>
          <w:szCs w:val="24"/>
        </w:rPr>
        <w:t>1.Cocaine.Dist</w:t>
      </w:r>
      <w:proofErr w:type="gramEnd"/>
      <w:r w:rsidRPr="001518E1">
        <w:rPr>
          <w:rFonts w:cs="Arial"/>
          <w:szCs w:val="24"/>
        </w:rPr>
        <w:t xml:space="preserve">, p&lt; 0.01). </w:t>
      </w:r>
      <w:proofErr w:type="spellStart"/>
      <w:r w:rsidRPr="001518E1">
        <w:rPr>
          <w:rFonts w:cs="Arial"/>
          <w:szCs w:val="24"/>
        </w:rPr>
        <w:t>Behavioral</w:t>
      </w:r>
      <w:proofErr w:type="spellEnd"/>
      <w:r w:rsidRPr="001518E1">
        <w:rPr>
          <w:rFonts w:cs="Arial"/>
          <w:szCs w:val="24"/>
        </w:rPr>
        <w:t xml:space="preserve"> cluster comparisons in all samples (</w:t>
      </w:r>
      <w:proofErr w:type="spellStart"/>
      <w:r w:rsidRPr="001518E1">
        <w:rPr>
          <w:rFonts w:cs="Arial"/>
          <w:szCs w:val="24"/>
        </w:rPr>
        <w:t>L.Behav.Clust</w:t>
      </w:r>
      <w:proofErr w:type="spellEnd"/>
      <w:r w:rsidRPr="001518E1">
        <w:rPr>
          <w:rFonts w:cs="Arial"/>
          <w:szCs w:val="24"/>
        </w:rPr>
        <w:t xml:space="preserve"> vs. </w:t>
      </w:r>
      <w:proofErr w:type="spellStart"/>
      <w:r w:rsidRPr="001518E1">
        <w:rPr>
          <w:rFonts w:cs="Arial"/>
          <w:szCs w:val="24"/>
        </w:rPr>
        <w:t>R.Behav.Clust</w:t>
      </w:r>
      <w:proofErr w:type="spellEnd"/>
      <w:r w:rsidRPr="001518E1">
        <w:rPr>
          <w:rFonts w:cs="Arial"/>
          <w:szCs w:val="24"/>
        </w:rPr>
        <w:t xml:space="preserve">) showed significant differences in locomotor </w:t>
      </w:r>
      <w:proofErr w:type="spellStart"/>
      <w:r w:rsidRPr="001518E1">
        <w:rPr>
          <w:rFonts w:cs="Arial"/>
          <w:szCs w:val="24"/>
        </w:rPr>
        <w:t>behavior</w:t>
      </w:r>
      <w:proofErr w:type="spellEnd"/>
      <w:r w:rsidRPr="001518E1">
        <w:rPr>
          <w:rFonts w:cs="Arial"/>
          <w:szCs w:val="24"/>
        </w:rPr>
        <w:t xml:space="preserve"> between cocaine administration and saline (</w:t>
      </w:r>
      <w:proofErr w:type="spellStart"/>
      <w:r w:rsidRPr="001518E1">
        <w:rPr>
          <w:rFonts w:cs="Arial"/>
          <w:szCs w:val="24"/>
        </w:rPr>
        <w:t>CCP.dtLoco</w:t>
      </w:r>
      <w:proofErr w:type="spellEnd"/>
      <w:r w:rsidRPr="001518E1">
        <w:rPr>
          <w:rFonts w:cs="Arial"/>
          <w:szCs w:val="24"/>
        </w:rPr>
        <w:t>, p&lt;0.01).</w:t>
      </w:r>
    </w:p>
    <w:p w14:paraId="13C7C9D9" w14:textId="77777777" w:rsidR="004360A2" w:rsidRPr="001518E1" w:rsidRDefault="004360A2" w:rsidP="004360A2">
      <w:pPr>
        <w:spacing w:line="360" w:lineRule="auto"/>
        <w:rPr>
          <w:rFonts w:cs="Arial"/>
          <w:szCs w:val="24"/>
        </w:rPr>
      </w:pPr>
      <w:r w:rsidRPr="001518E1">
        <w:rPr>
          <w:rFonts w:cs="Arial"/>
          <w:szCs w:val="24"/>
        </w:rPr>
        <w:t>There were no significant sex differences in the primary measures of change in time (s) in cocaine-paired (CS+) floor between the post-test and pre-test (</w:t>
      </w:r>
      <w:proofErr w:type="spellStart"/>
      <w:r w:rsidRPr="001518E1">
        <w:rPr>
          <w:rFonts w:cs="Arial"/>
          <w:szCs w:val="24"/>
        </w:rPr>
        <w:t>CCP.dtCS</w:t>
      </w:r>
      <w:proofErr w:type="spellEnd"/>
      <w:r w:rsidRPr="001518E1">
        <w:rPr>
          <w:rFonts w:cs="Arial"/>
          <w:szCs w:val="24"/>
        </w:rPr>
        <w:t xml:space="preserve">, p&gt;0.05). </w:t>
      </w:r>
    </w:p>
    <w:p w14:paraId="3068223E" w14:textId="77777777" w:rsidR="004360A2" w:rsidRPr="001518E1" w:rsidRDefault="004360A2" w:rsidP="004360A2">
      <w:pPr>
        <w:pStyle w:val="Heading4"/>
        <w:spacing w:line="360" w:lineRule="auto"/>
      </w:pPr>
      <w:r w:rsidRPr="001518E1">
        <w:t>Sex differences in Choice Reaction Time Task (RT)</w:t>
      </w:r>
    </w:p>
    <w:p w14:paraId="25F66830" w14:textId="093BD398" w:rsidR="004360A2" w:rsidRPr="001518E1" w:rsidRDefault="004360A2" w:rsidP="004360A2">
      <w:pPr>
        <w:spacing w:line="360" w:lineRule="auto"/>
        <w:jc w:val="both"/>
        <w:rPr>
          <w:rFonts w:cs="Arial"/>
          <w:szCs w:val="24"/>
        </w:rPr>
      </w:pPr>
      <w:r w:rsidRPr="001518E1">
        <w:rPr>
          <w:rFonts w:cs="Arial"/>
          <w:szCs w:val="24"/>
        </w:rPr>
        <w:t>Reaction time (RT) measures of impulsivity total number of per opportunity false alarms was not significant (RT.POFA, p&gt;0.05). A significant increase in total number of per opportunity premature initiations (</w:t>
      </w:r>
      <w:proofErr w:type="spellStart"/>
      <w:proofErr w:type="gramStart"/>
      <w:r w:rsidRPr="001518E1">
        <w:rPr>
          <w:rFonts w:cs="Arial"/>
          <w:szCs w:val="24"/>
        </w:rPr>
        <w:t>RT.PerOPInit</w:t>
      </w:r>
      <w:proofErr w:type="spellEnd"/>
      <w:proofErr w:type="gramEnd"/>
      <w:r w:rsidRPr="001518E1">
        <w:rPr>
          <w:rFonts w:cs="Arial"/>
          <w:szCs w:val="24"/>
        </w:rPr>
        <w:t>, p&lt;0.001) was observed in females compared to males</w:t>
      </w:r>
      <w:r w:rsidR="00EA28A2">
        <w:rPr>
          <w:rFonts w:cs="Arial"/>
          <w:szCs w:val="24"/>
        </w:rPr>
        <w:t>,</w:t>
      </w:r>
      <w:r w:rsidRPr="001518E1">
        <w:rPr>
          <w:rFonts w:cs="Arial"/>
          <w:szCs w:val="24"/>
        </w:rPr>
        <w:t xml:space="preserve"> and left </w:t>
      </w:r>
      <w:proofErr w:type="spellStart"/>
      <w:r w:rsidRPr="001518E1">
        <w:rPr>
          <w:rFonts w:cs="Arial"/>
          <w:szCs w:val="24"/>
        </w:rPr>
        <w:t>behavioral</w:t>
      </w:r>
      <w:proofErr w:type="spellEnd"/>
      <w:r w:rsidRPr="001518E1">
        <w:rPr>
          <w:rFonts w:cs="Arial"/>
          <w:szCs w:val="24"/>
        </w:rPr>
        <w:t xml:space="preserve"> cluster compared to right (Fig. S2B).</w:t>
      </w:r>
    </w:p>
    <w:p w14:paraId="7907ADBC" w14:textId="77777777" w:rsidR="004360A2" w:rsidRPr="001518E1" w:rsidRDefault="004360A2" w:rsidP="004360A2">
      <w:pPr>
        <w:pStyle w:val="Heading4"/>
        <w:spacing w:line="360" w:lineRule="auto"/>
      </w:pPr>
      <w:r w:rsidRPr="001518E1">
        <w:t>Sex differences in Locomotor Response to Novelty (Loco)</w:t>
      </w:r>
    </w:p>
    <w:p w14:paraId="36A0FD42" w14:textId="367082E0" w:rsidR="004360A2" w:rsidRPr="001518E1" w:rsidRDefault="00EA28A2" w:rsidP="004360A2">
      <w:pPr>
        <w:spacing w:line="360" w:lineRule="auto"/>
        <w:jc w:val="both"/>
        <w:rPr>
          <w:rFonts w:cs="Arial"/>
          <w:i/>
        </w:rPr>
      </w:pPr>
      <w:r w:rsidRPr="001518E1">
        <w:rPr>
          <w:rFonts w:cs="Arial"/>
        </w:rPr>
        <w:t>Like</w:t>
      </w:r>
      <w:r w:rsidR="004360A2" w:rsidRPr="001518E1">
        <w:rPr>
          <w:rFonts w:cs="Arial"/>
        </w:rPr>
        <w:t xml:space="preserve"> measures from CCP, females had significant increases in distance travelled (</w:t>
      </w:r>
      <w:proofErr w:type="spellStart"/>
      <w:r w:rsidR="004360A2" w:rsidRPr="001518E1">
        <w:rPr>
          <w:rFonts w:cs="Arial"/>
        </w:rPr>
        <w:t>Loco.Distance</w:t>
      </w:r>
      <w:proofErr w:type="spellEnd"/>
      <w:r w:rsidR="004360A2" w:rsidRPr="001518E1">
        <w:rPr>
          <w:rFonts w:cs="Arial"/>
        </w:rPr>
        <w:t xml:space="preserve">, p&lt;0.001). This was also seen in comparisons between </w:t>
      </w:r>
      <w:proofErr w:type="spellStart"/>
      <w:r w:rsidR="004360A2" w:rsidRPr="001518E1">
        <w:rPr>
          <w:rFonts w:cs="Arial"/>
        </w:rPr>
        <w:t>behavioral</w:t>
      </w:r>
      <w:proofErr w:type="spellEnd"/>
      <w:r w:rsidR="004360A2" w:rsidRPr="001518E1">
        <w:rPr>
          <w:rFonts w:cs="Arial"/>
        </w:rPr>
        <w:t xml:space="preserve"> </w:t>
      </w:r>
      <w:r w:rsidR="004360A2" w:rsidRPr="001518E1">
        <w:rPr>
          <w:rFonts w:cs="Arial"/>
        </w:rPr>
        <w:lastRenderedPageBreak/>
        <w:t xml:space="preserve">cluster and within male </w:t>
      </w:r>
      <w:proofErr w:type="spellStart"/>
      <w:r w:rsidR="004360A2" w:rsidRPr="001518E1">
        <w:rPr>
          <w:rFonts w:cs="Arial"/>
        </w:rPr>
        <w:t>behavioral</w:t>
      </w:r>
      <w:proofErr w:type="spellEnd"/>
      <w:r w:rsidR="004360A2" w:rsidRPr="001518E1">
        <w:rPr>
          <w:rFonts w:cs="Arial"/>
        </w:rPr>
        <w:t xml:space="preserve"> cluster (</w:t>
      </w:r>
      <w:proofErr w:type="spellStart"/>
      <w:r w:rsidR="004360A2" w:rsidRPr="001518E1">
        <w:rPr>
          <w:rFonts w:cs="Arial"/>
        </w:rPr>
        <w:t>Loco.Distance</w:t>
      </w:r>
      <w:proofErr w:type="spellEnd"/>
      <w:r w:rsidR="004360A2" w:rsidRPr="001518E1">
        <w:rPr>
          <w:rFonts w:cs="Arial"/>
        </w:rPr>
        <w:t xml:space="preserve">, p&lt;0.05). Additionally, there was significant increases in maximum exploratory rearing measures in females, </w:t>
      </w:r>
      <w:proofErr w:type="spellStart"/>
      <w:r w:rsidR="004360A2" w:rsidRPr="001518E1">
        <w:rPr>
          <w:rFonts w:cs="Arial"/>
        </w:rPr>
        <w:t>R.Behav.Clust</w:t>
      </w:r>
      <w:proofErr w:type="spellEnd"/>
      <w:r w:rsidR="004360A2" w:rsidRPr="001518E1">
        <w:rPr>
          <w:rFonts w:cs="Arial"/>
        </w:rPr>
        <w:t xml:space="preserve">, </w:t>
      </w:r>
      <w:proofErr w:type="spellStart"/>
      <w:r w:rsidR="004360A2" w:rsidRPr="001518E1">
        <w:rPr>
          <w:rFonts w:cs="Arial"/>
        </w:rPr>
        <w:t>R.Behav.Clust.F</w:t>
      </w:r>
      <w:proofErr w:type="spellEnd"/>
      <w:r w:rsidR="004360A2" w:rsidRPr="001518E1">
        <w:rPr>
          <w:rFonts w:cs="Arial"/>
        </w:rPr>
        <w:t xml:space="preserve"> and </w:t>
      </w:r>
      <w:proofErr w:type="spellStart"/>
      <w:r w:rsidR="004360A2" w:rsidRPr="001518E1">
        <w:rPr>
          <w:rFonts w:cs="Arial"/>
        </w:rPr>
        <w:t>R.Behav.Clust.M</w:t>
      </w:r>
      <w:proofErr w:type="spellEnd"/>
      <w:r w:rsidR="004360A2" w:rsidRPr="001518E1">
        <w:rPr>
          <w:rFonts w:cs="Arial"/>
        </w:rPr>
        <w:t xml:space="preserve"> (</w:t>
      </w:r>
      <w:proofErr w:type="spellStart"/>
      <w:r w:rsidR="004360A2" w:rsidRPr="001518E1">
        <w:rPr>
          <w:rFonts w:cs="Arial"/>
        </w:rPr>
        <w:t>Loco.MaxRear</w:t>
      </w:r>
      <w:proofErr w:type="spellEnd"/>
      <w:r w:rsidR="004360A2" w:rsidRPr="001518E1">
        <w:rPr>
          <w:rFonts w:cs="Arial"/>
        </w:rPr>
        <w:t>, p&lt;0.01). Significant decreases in total locomotor activity (</w:t>
      </w:r>
      <w:proofErr w:type="spellStart"/>
      <w:r w:rsidR="004360A2" w:rsidRPr="001518E1">
        <w:rPr>
          <w:rFonts w:cs="Arial"/>
        </w:rPr>
        <w:t>Loco.Activity</w:t>
      </w:r>
      <w:proofErr w:type="spellEnd"/>
      <w:r w:rsidR="004360A2" w:rsidRPr="001518E1">
        <w:rPr>
          <w:rFonts w:cs="Arial"/>
        </w:rPr>
        <w:t xml:space="preserve">, p&lt;0.001) in females compared to males. </w:t>
      </w:r>
    </w:p>
    <w:p w14:paraId="59209F79" w14:textId="77777777" w:rsidR="004360A2" w:rsidRPr="001518E1" w:rsidRDefault="004360A2" w:rsidP="004360A2">
      <w:pPr>
        <w:pStyle w:val="Heading4"/>
        <w:spacing w:line="360" w:lineRule="auto"/>
      </w:pPr>
      <w:r w:rsidRPr="001518E1">
        <w:t>Sex differences in Light Reinforcement (LR)</w:t>
      </w:r>
    </w:p>
    <w:p w14:paraId="5392BE45" w14:textId="26A60FF8" w:rsidR="004360A2" w:rsidRPr="001518E1" w:rsidRDefault="004360A2" w:rsidP="004360A2">
      <w:pPr>
        <w:spacing w:line="360" w:lineRule="auto"/>
        <w:rPr>
          <w:rFonts w:cs="Arial"/>
        </w:rPr>
      </w:pPr>
      <w:r w:rsidRPr="001518E1">
        <w:rPr>
          <w:rFonts w:cs="Arial"/>
        </w:rPr>
        <w:t xml:space="preserve">Total Light Reinforcement </w:t>
      </w:r>
      <w:proofErr w:type="spellStart"/>
      <w:r w:rsidRPr="001518E1">
        <w:rPr>
          <w:rFonts w:cs="Arial"/>
        </w:rPr>
        <w:t>LR.Reinforcers</w:t>
      </w:r>
      <w:proofErr w:type="spellEnd"/>
      <w:r w:rsidRPr="001518E1">
        <w:rPr>
          <w:rFonts w:cs="Arial"/>
        </w:rPr>
        <w:t>, p&lt;0.01) and total inactive responses (</w:t>
      </w:r>
      <w:proofErr w:type="spellStart"/>
      <w:r w:rsidRPr="001518E1">
        <w:rPr>
          <w:rFonts w:cs="Arial"/>
        </w:rPr>
        <w:t>LR.InActive,p</w:t>
      </w:r>
      <w:proofErr w:type="spellEnd"/>
      <w:r w:rsidRPr="001518E1">
        <w:rPr>
          <w:rFonts w:cs="Arial"/>
        </w:rPr>
        <w:t xml:space="preserve">&lt;0.05) were significantly different by sex, </w:t>
      </w:r>
      <w:proofErr w:type="spellStart"/>
      <w:r w:rsidRPr="001518E1">
        <w:rPr>
          <w:rFonts w:cs="Arial"/>
        </w:rPr>
        <w:t>behavioral</w:t>
      </w:r>
      <w:proofErr w:type="spellEnd"/>
      <w:r w:rsidRPr="001518E1">
        <w:rPr>
          <w:rFonts w:cs="Arial"/>
        </w:rPr>
        <w:t xml:space="preserve"> cluster, and within the male </w:t>
      </w:r>
      <w:proofErr w:type="spellStart"/>
      <w:r w:rsidRPr="001518E1">
        <w:rPr>
          <w:rFonts w:cs="Arial"/>
        </w:rPr>
        <w:t>behavioral</w:t>
      </w:r>
      <w:proofErr w:type="spellEnd"/>
      <w:r w:rsidRPr="001518E1">
        <w:rPr>
          <w:rFonts w:cs="Arial"/>
        </w:rPr>
        <w:t xml:space="preserve"> cluster. Significant increases in measures </w:t>
      </w:r>
      <w:r w:rsidR="00131DDA">
        <w:rPr>
          <w:rFonts w:cs="Arial"/>
        </w:rPr>
        <w:t xml:space="preserve">of </w:t>
      </w:r>
      <w:r w:rsidRPr="001518E1">
        <w:rPr>
          <w:rFonts w:cs="Arial"/>
        </w:rPr>
        <w:t xml:space="preserve">total active and inactive responses in females, </w:t>
      </w:r>
      <w:proofErr w:type="spellStart"/>
      <w:proofErr w:type="gramStart"/>
      <w:r w:rsidRPr="001518E1">
        <w:rPr>
          <w:rFonts w:cs="Arial"/>
        </w:rPr>
        <w:t>R.Behav.Clust</w:t>
      </w:r>
      <w:proofErr w:type="spellEnd"/>
      <w:proofErr w:type="gramEnd"/>
      <w:r w:rsidRPr="001518E1">
        <w:rPr>
          <w:rFonts w:cs="Arial"/>
        </w:rPr>
        <w:t xml:space="preserve">, </w:t>
      </w:r>
      <w:proofErr w:type="spellStart"/>
      <w:r w:rsidRPr="001518E1">
        <w:rPr>
          <w:rFonts w:cs="Arial"/>
        </w:rPr>
        <w:t>R.Behav.Clust.F</w:t>
      </w:r>
      <w:proofErr w:type="spellEnd"/>
      <w:r w:rsidRPr="001518E1">
        <w:rPr>
          <w:rFonts w:cs="Arial"/>
        </w:rPr>
        <w:t xml:space="preserve"> and </w:t>
      </w:r>
      <w:proofErr w:type="spellStart"/>
      <w:r w:rsidRPr="001518E1">
        <w:rPr>
          <w:rFonts w:cs="Arial"/>
        </w:rPr>
        <w:t>R.Behav.Clust.M</w:t>
      </w:r>
      <w:proofErr w:type="spellEnd"/>
      <w:r w:rsidRPr="001518E1">
        <w:rPr>
          <w:rFonts w:cs="Arial"/>
        </w:rPr>
        <w:t xml:space="preserve"> (</w:t>
      </w:r>
      <w:proofErr w:type="spellStart"/>
      <w:r w:rsidRPr="001518E1">
        <w:rPr>
          <w:rFonts w:cs="Arial"/>
        </w:rPr>
        <w:t>LR.Total</w:t>
      </w:r>
      <w:proofErr w:type="spellEnd"/>
      <w:r w:rsidRPr="001518E1">
        <w:rPr>
          <w:rFonts w:cs="Arial"/>
        </w:rPr>
        <w:t xml:space="preserve"> , p&lt;0.01) were observed (Fig. S2B).</w:t>
      </w:r>
    </w:p>
    <w:p w14:paraId="1D3011D0" w14:textId="77777777" w:rsidR="004360A2" w:rsidRPr="001518E1" w:rsidRDefault="004360A2" w:rsidP="004360A2">
      <w:pPr>
        <w:pStyle w:val="Heading4"/>
        <w:spacing w:line="360" w:lineRule="auto"/>
      </w:pPr>
      <w:r w:rsidRPr="001518E1">
        <w:t>Sex differences in Delay Discounting (DD)</w:t>
      </w:r>
    </w:p>
    <w:p w14:paraId="5828242A" w14:textId="3131B062" w:rsidR="004360A2" w:rsidRPr="001518E1" w:rsidRDefault="004360A2" w:rsidP="004360A2">
      <w:pPr>
        <w:spacing w:line="360" w:lineRule="auto"/>
        <w:rPr>
          <w:rFonts w:cs="Arial"/>
          <w:szCs w:val="24"/>
        </w:rPr>
      </w:pPr>
      <w:r w:rsidRPr="001518E1">
        <w:rPr>
          <w:rFonts w:cs="Arial"/>
          <w:szCs w:val="24"/>
        </w:rPr>
        <w:t>Females had significant increases in impulsivity measure of patch change rate area under the curve (</w:t>
      </w:r>
      <w:proofErr w:type="spellStart"/>
      <w:r w:rsidRPr="001518E1">
        <w:rPr>
          <w:rFonts w:cs="Arial"/>
          <w:szCs w:val="24"/>
        </w:rPr>
        <w:t>DD.PCRateAUC</w:t>
      </w:r>
      <w:proofErr w:type="spellEnd"/>
      <w:r w:rsidRPr="001518E1">
        <w:rPr>
          <w:rFonts w:cs="Arial"/>
          <w:szCs w:val="24"/>
        </w:rPr>
        <w:t xml:space="preserve">, p&lt;0.01). This was also seen in comparisons between </w:t>
      </w:r>
      <w:proofErr w:type="spellStart"/>
      <w:r w:rsidRPr="001518E1">
        <w:rPr>
          <w:rFonts w:cs="Arial"/>
          <w:szCs w:val="24"/>
        </w:rPr>
        <w:t>behavioral</w:t>
      </w:r>
      <w:proofErr w:type="spellEnd"/>
      <w:r w:rsidRPr="001518E1">
        <w:rPr>
          <w:rFonts w:cs="Arial"/>
          <w:szCs w:val="24"/>
        </w:rPr>
        <w:t xml:space="preserve"> cluster (p&lt;0.05). Primary measures of indifference point area under the curve </w:t>
      </w:r>
      <w:r w:rsidR="0010631E">
        <w:rPr>
          <w:rFonts w:cs="Arial"/>
          <w:szCs w:val="24"/>
        </w:rPr>
        <w:t xml:space="preserve">did </w:t>
      </w:r>
      <w:r w:rsidRPr="001518E1">
        <w:rPr>
          <w:rFonts w:cs="Arial"/>
          <w:szCs w:val="24"/>
        </w:rPr>
        <w:t xml:space="preserve">not </w:t>
      </w:r>
      <w:r w:rsidR="0010631E">
        <w:rPr>
          <w:rFonts w:cs="Arial"/>
          <w:szCs w:val="24"/>
        </w:rPr>
        <w:t xml:space="preserve">differ </w:t>
      </w:r>
      <w:r w:rsidRPr="001518E1">
        <w:rPr>
          <w:rFonts w:cs="Arial"/>
          <w:szCs w:val="24"/>
        </w:rPr>
        <w:t>significantly (</w:t>
      </w:r>
      <w:proofErr w:type="spellStart"/>
      <w:proofErr w:type="gramStart"/>
      <w:r w:rsidRPr="001518E1">
        <w:rPr>
          <w:rFonts w:cs="Arial"/>
          <w:szCs w:val="24"/>
        </w:rPr>
        <w:t>DD.IDPtAUC</w:t>
      </w:r>
      <w:proofErr w:type="spellEnd"/>
      <w:proofErr w:type="gramEnd"/>
      <w:r w:rsidRPr="001518E1">
        <w:rPr>
          <w:rFonts w:cs="Arial"/>
          <w:szCs w:val="24"/>
        </w:rPr>
        <w:t>, p&gt;0.05).</w:t>
      </w:r>
    </w:p>
    <w:p w14:paraId="170043AA" w14:textId="77777777" w:rsidR="004360A2" w:rsidRPr="001518E1" w:rsidRDefault="004360A2" w:rsidP="004360A2">
      <w:pPr>
        <w:spacing w:line="360" w:lineRule="auto"/>
        <w:rPr>
          <w:rFonts w:cs="Arial"/>
          <w:szCs w:val="24"/>
        </w:rPr>
      </w:pPr>
      <w:r w:rsidRPr="001518E1">
        <w:rPr>
          <w:rFonts w:cs="Arial"/>
          <w:szCs w:val="24"/>
        </w:rPr>
        <w:br w:type="page"/>
      </w:r>
      <w:r w:rsidRPr="001518E1">
        <w:rPr>
          <w:rFonts w:cs="Arial"/>
          <w:b/>
          <w:noProof/>
          <w:sz w:val="32"/>
        </w:rPr>
        <w:lastRenderedPageBreak/>
        <w:drawing>
          <wp:inline distT="0" distB="0" distL="0" distR="0" wp14:anchorId="7AB5528E" wp14:editId="192D0607">
            <wp:extent cx="5205730" cy="6677592"/>
            <wp:effectExtent l="0" t="0" r="0" b="9525"/>
            <wp:docPr id="7" name="Picture 7"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1 cop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05730" cy="6677592"/>
                    </a:xfrm>
                    <a:prstGeom prst="rect">
                      <a:avLst/>
                    </a:prstGeom>
                  </pic:spPr>
                </pic:pic>
              </a:graphicData>
            </a:graphic>
          </wp:inline>
        </w:drawing>
      </w:r>
    </w:p>
    <w:p w14:paraId="00309386" w14:textId="77777777" w:rsidR="004360A2" w:rsidRPr="001518E1" w:rsidRDefault="004360A2" w:rsidP="004360A2">
      <w:pPr>
        <w:spacing w:line="360" w:lineRule="auto"/>
        <w:rPr>
          <w:rFonts w:cs="Arial"/>
          <w:szCs w:val="24"/>
        </w:rPr>
      </w:pPr>
      <w:bookmarkStart w:id="8" w:name="_Hlk2436790"/>
      <w:r w:rsidRPr="001518E1">
        <w:rPr>
          <w:rFonts w:cs="Arial"/>
          <w:b/>
          <w:i/>
          <w:szCs w:val="24"/>
        </w:rPr>
        <w:t xml:space="preserve">Supplementary Figure 1 – </w:t>
      </w:r>
      <w:proofErr w:type="spellStart"/>
      <w:r w:rsidRPr="001518E1">
        <w:rPr>
          <w:rFonts w:cs="Arial"/>
          <w:b/>
          <w:i/>
          <w:szCs w:val="24"/>
        </w:rPr>
        <w:t>Behavioral</w:t>
      </w:r>
      <w:proofErr w:type="spellEnd"/>
      <w:r w:rsidRPr="001518E1">
        <w:rPr>
          <w:rFonts w:cs="Arial"/>
          <w:b/>
          <w:i/>
          <w:szCs w:val="24"/>
        </w:rPr>
        <w:t xml:space="preserve"> dissimilarity in Non-</w:t>
      </w:r>
      <w:proofErr w:type="spellStart"/>
      <w:r w:rsidRPr="001518E1">
        <w:rPr>
          <w:rFonts w:cs="Arial"/>
          <w:b/>
          <w:i/>
          <w:szCs w:val="24"/>
        </w:rPr>
        <w:t>PavCA</w:t>
      </w:r>
      <w:proofErr w:type="spellEnd"/>
      <w:r w:rsidRPr="001518E1">
        <w:rPr>
          <w:rFonts w:cs="Arial"/>
          <w:b/>
          <w:i/>
          <w:szCs w:val="24"/>
        </w:rPr>
        <w:t xml:space="preserve"> Measures - </w:t>
      </w:r>
      <w:r w:rsidRPr="001518E1">
        <w:rPr>
          <w:rFonts w:cs="Arial"/>
          <w:i/>
          <w:szCs w:val="24"/>
        </w:rPr>
        <w:t xml:space="preserve">A) in all samples, B) in male subjects, C) in female subject. Shapes on plot indicate tracker and sex designation, red </w:t>
      </w:r>
      <w:proofErr w:type="spellStart"/>
      <w:r w:rsidRPr="001518E1">
        <w:rPr>
          <w:rFonts w:cs="Arial"/>
          <w:i/>
          <w:szCs w:val="24"/>
        </w:rPr>
        <w:t>color</w:t>
      </w:r>
      <w:proofErr w:type="spellEnd"/>
      <w:r w:rsidRPr="001518E1">
        <w:rPr>
          <w:rFonts w:cs="Arial"/>
          <w:i/>
          <w:szCs w:val="24"/>
        </w:rPr>
        <w:t xml:space="preserve"> indicated Behav.Clust.1 (</w:t>
      </w:r>
      <w:proofErr w:type="spellStart"/>
      <w:r w:rsidRPr="001518E1">
        <w:rPr>
          <w:rFonts w:cs="Arial"/>
          <w:i/>
          <w:szCs w:val="24"/>
        </w:rPr>
        <w:t>L.Behav.Clust</w:t>
      </w:r>
      <w:proofErr w:type="spellEnd"/>
      <w:r w:rsidRPr="001518E1">
        <w:rPr>
          <w:rFonts w:cs="Arial"/>
          <w:i/>
          <w:szCs w:val="24"/>
        </w:rPr>
        <w:t xml:space="preserve">) and blue </w:t>
      </w:r>
      <w:proofErr w:type="spellStart"/>
      <w:r w:rsidRPr="001518E1">
        <w:rPr>
          <w:rFonts w:cs="Arial"/>
          <w:i/>
          <w:szCs w:val="24"/>
        </w:rPr>
        <w:t>color</w:t>
      </w:r>
      <w:proofErr w:type="spellEnd"/>
      <w:r w:rsidRPr="001518E1">
        <w:rPr>
          <w:rFonts w:cs="Arial"/>
          <w:i/>
          <w:szCs w:val="24"/>
        </w:rPr>
        <w:t xml:space="preserve"> Behav.Clust.1 (</w:t>
      </w:r>
      <w:proofErr w:type="spellStart"/>
      <w:r w:rsidRPr="001518E1">
        <w:rPr>
          <w:rFonts w:cs="Arial"/>
          <w:i/>
          <w:szCs w:val="24"/>
        </w:rPr>
        <w:t>R.Behav.Clust</w:t>
      </w:r>
      <w:proofErr w:type="spellEnd"/>
      <w:r w:rsidRPr="001518E1">
        <w:rPr>
          <w:rFonts w:cs="Arial"/>
          <w:i/>
          <w:szCs w:val="24"/>
        </w:rPr>
        <w:t>).</w:t>
      </w:r>
    </w:p>
    <w:bookmarkEnd w:id="8"/>
    <w:p w14:paraId="62982916" w14:textId="77777777" w:rsidR="004360A2" w:rsidRPr="001518E1" w:rsidRDefault="004360A2" w:rsidP="004360A2">
      <w:pPr>
        <w:spacing w:line="360" w:lineRule="auto"/>
        <w:rPr>
          <w:rFonts w:cs="Arial"/>
          <w:sz w:val="20"/>
          <w:szCs w:val="20"/>
        </w:rPr>
      </w:pPr>
      <w:r w:rsidRPr="001518E1">
        <w:rPr>
          <w:rFonts w:cs="Arial"/>
          <w:noProof/>
          <w:sz w:val="20"/>
          <w:szCs w:val="20"/>
        </w:rPr>
        <w:lastRenderedPageBreak/>
        <w:drawing>
          <wp:inline distT="0" distB="0" distL="0" distR="0" wp14:anchorId="6F4CF882" wp14:editId="76E67561">
            <wp:extent cx="4180115" cy="6636422"/>
            <wp:effectExtent l="0" t="0" r="0" b="0"/>
            <wp:docPr id="27" name="Picture 27"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1.behav.png"/>
                    <pic:cNvPicPr/>
                  </pic:nvPicPr>
                  <pic:blipFill>
                    <a:blip r:embed="rId6"/>
                    <a:stretch>
                      <a:fillRect/>
                    </a:stretch>
                  </pic:blipFill>
                  <pic:spPr>
                    <a:xfrm>
                      <a:off x="0" y="0"/>
                      <a:ext cx="4231016" cy="6717233"/>
                    </a:xfrm>
                    <a:prstGeom prst="rect">
                      <a:avLst/>
                    </a:prstGeom>
                  </pic:spPr>
                </pic:pic>
              </a:graphicData>
            </a:graphic>
          </wp:inline>
        </w:drawing>
      </w:r>
    </w:p>
    <w:p w14:paraId="026D0DAF" w14:textId="3B0B879B" w:rsidR="004360A2" w:rsidRPr="001518E1" w:rsidRDefault="004360A2" w:rsidP="004360A2">
      <w:pPr>
        <w:spacing w:line="360" w:lineRule="auto"/>
        <w:rPr>
          <w:rFonts w:cs="Arial"/>
          <w:i/>
          <w:szCs w:val="24"/>
        </w:rPr>
      </w:pPr>
      <w:r w:rsidRPr="001518E1">
        <w:rPr>
          <w:rFonts w:cs="Arial"/>
          <w:b/>
          <w:i/>
          <w:szCs w:val="24"/>
        </w:rPr>
        <w:t xml:space="preserve">Supplementary Figure 2– </w:t>
      </w:r>
      <w:proofErr w:type="spellStart"/>
      <w:r w:rsidRPr="001518E1">
        <w:rPr>
          <w:rFonts w:cs="Arial"/>
          <w:b/>
          <w:i/>
          <w:szCs w:val="24"/>
        </w:rPr>
        <w:t>Behavioral</w:t>
      </w:r>
      <w:proofErr w:type="spellEnd"/>
      <w:r w:rsidRPr="001518E1">
        <w:rPr>
          <w:rFonts w:cs="Arial"/>
          <w:b/>
          <w:i/>
          <w:szCs w:val="24"/>
        </w:rPr>
        <w:t xml:space="preserve"> differences</w:t>
      </w:r>
      <w:r w:rsidRPr="001518E1">
        <w:rPr>
          <w:rFonts w:cs="Arial"/>
          <w:i/>
          <w:szCs w:val="24"/>
        </w:rPr>
        <w:t xml:space="preserve"> – A) </w:t>
      </w:r>
      <w:proofErr w:type="spellStart"/>
      <w:r w:rsidRPr="001518E1">
        <w:rPr>
          <w:rFonts w:cs="Arial"/>
          <w:i/>
          <w:szCs w:val="24"/>
        </w:rPr>
        <w:t>Behavioral</w:t>
      </w:r>
      <w:proofErr w:type="spellEnd"/>
      <w:r w:rsidRPr="001518E1">
        <w:rPr>
          <w:rFonts w:cs="Arial"/>
          <w:i/>
          <w:szCs w:val="24"/>
        </w:rPr>
        <w:t xml:space="preserve"> Phenotype Cluster visualized in principal coordinate analysis (PCA) of PLS-DA clustered </w:t>
      </w:r>
      <w:proofErr w:type="spellStart"/>
      <w:r w:rsidRPr="001518E1">
        <w:rPr>
          <w:rFonts w:cs="Arial"/>
          <w:i/>
          <w:szCs w:val="24"/>
        </w:rPr>
        <w:t>behavioral</w:t>
      </w:r>
      <w:proofErr w:type="spellEnd"/>
      <w:r w:rsidRPr="001518E1">
        <w:rPr>
          <w:rFonts w:cs="Arial"/>
          <w:i/>
          <w:szCs w:val="24"/>
        </w:rPr>
        <w:t xml:space="preserve"> measures. Goal-trackers (GT) </w:t>
      </w:r>
      <w:proofErr w:type="spellStart"/>
      <w:r w:rsidRPr="001518E1">
        <w:rPr>
          <w:rFonts w:cs="Arial"/>
          <w:i/>
          <w:szCs w:val="24"/>
        </w:rPr>
        <w:t>colored</w:t>
      </w:r>
      <w:proofErr w:type="spellEnd"/>
      <w:r w:rsidRPr="001518E1">
        <w:rPr>
          <w:rFonts w:cs="Arial"/>
          <w:i/>
          <w:szCs w:val="24"/>
        </w:rPr>
        <w:t xml:space="preserve"> green, intermediate (IN) blue, sign-trackers (ST) red; females in dark </w:t>
      </w:r>
      <w:proofErr w:type="spellStart"/>
      <w:r w:rsidRPr="001518E1">
        <w:rPr>
          <w:rFonts w:cs="Arial"/>
          <w:i/>
          <w:szCs w:val="24"/>
        </w:rPr>
        <w:t>colors</w:t>
      </w:r>
      <w:proofErr w:type="spellEnd"/>
      <w:r w:rsidRPr="001518E1">
        <w:rPr>
          <w:rFonts w:cs="Arial"/>
          <w:i/>
          <w:szCs w:val="24"/>
        </w:rPr>
        <w:t xml:space="preserve">, and males light </w:t>
      </w:r>
      <w:proofErr w:type="spellStart"/>
      <w:r w:rsidRPr="001518E1">
        <w:rPr>
          <w:rFonts w:cs="Arial"/>
          <w:i/>
          <w:szCs w:val="24"/>
        </w:rPr>
        <w:t>colors</w:t>
      </w:r>
      <w:proofErr w:type="spellEnd"/>
      <w:r w:rsidRPr="001518E1">
        <w:rPr>
          <w:rFonts w:cs="Arial"/>
          <w:i/>
          <w:szCs w:val="24"/>
        </w:rPr>
        <w:t>. B) Z score indicate</w:t>
      </w:r>
      <w:r w:rsidR="00F33E78">
        <w:rPr>
          <w:rFonts w:cs="Arial"/>
          <w:i/>
          <w:szCs w:val="24"/>
        </w:rPr>
        <w:t>s</w:t>
      </w:r>
      <w:r w:rsidRPr="001518E1">
        <w:rPr>
          <w:rFonts w:cs="Arial"/>
          <w:i/>
          <w:szCs w:val="24"/>
        </w:rPr>
        <w:t xml:space="preserve"> increases (red) or decreases (blue) in </w:t>
      </w:r>
      <w:proofErr w:type="spellStart"/>
      <w:r w:rsidRPr="001518E1">
        <w:rPr>
          <w:rFonts w:cs="Arial"/>
          <w:i/>
          <w:szCs w:val="24"/>
        </w:rPr>
        <w:t>behavioral</w:t>
      </w:r>
      <w:proofErr w:type="spellEnd"/>
      <w:r w:rsidRPr="001518E1">
        <w:rPr>
          <w:rFonts w:cs="Arial"/>
          <w:i/>
          <w:szCs w:val="24"/>
        </w:rPr>
        <w:t xml:space="preserve"> measures compared to population.  </w:t>
      </w:r>
    </w:p>
    <w:p w14:paraId="2CB2A886" w14:textId="77777777" w:rsidR="004360A2" w:rsidRPr="001518E1" w:rsidRDefault="004360A2" w:rsidP="004360A2">
      <w:pPr>
        <w:pStyle w:val="Heading4"/>
        <w:spacing w:line="360" w:lineRule="auto"/>
      </w:pPr>
      <w:r w:rsidRPr="001518E1">
        <w:lastRenderedPageBreak/>
        <w:t>Microbiome diversity</w:t>
      </w:r>
    </w:p>
    <w:p w14:paraId="5CF7EE21" w14:textId="5A48631C" w:rsidR="004360A2" w:rsidRPr="001518E1" w:rsidRDefault="004360A2" w:rsidP="004360A2">
      <w:pPr>
        <w:spacing w:line="360" w:lineRule="auto"/>
        <w:rPr>
          <w:rFonts w:cs="Arial"/>
        </w:rPr>
      </w:pPr>
      <w:r w:rsidRPr="001518E1">
        <w:rPr>
          <w:rFonts w:cs="Arial"/>
        </w:rPr>
        <w:t xml:space="preserve">Microbiome beta diversity was significantly different by sex (R2=0.016, p=0.002) and generation (R2=0.032, p=0.0002) (Fig. S3A). Age was also a significant factor contributing to microbiome variance (R2=0.017, p=0.001). No significant differences were found for weight (R2=0.005, p=0.312) or sign/goal-tracker phenotype (R2=0.011, p=0.285). OTU assignments of sign/goal-tracker phenotype only clustered by sex in PLS-DA (Fig 3A). Alpha diversity analysis by sex revealed significant differences in Shannon (p=0.0001) and Simpson (p=0.001) index measures (Fig. S3B). There were no significant differences in alpha diversity measures between </w:t>
      </w:r>
      <w:proofErr w:type="spellStart"/>
      <w:r w:rsidRPr="001518E1">
        <w:rPr>
          <w:rFonts w:cs="Arial"/>
        </w:rPr>
        <w:t>behavioral</w:t>
      </w:r>
      <w:proofErr w:type="spellEnd"/>
      <w:r w:rsidRPr="001518E1">
        <w:rPr>
          <w:rFonts w:cs="Arial"/>
        </w:rPr>
        <w:t xml:space="preserve"> cluster within sex (p&gt;0.05).</w:t>
      </w:r>
    </w:p>
    <w:p w14:paraId="2E77437A" w14:textId="77777777" w:rsidR="004360A2" w:rsidRPr="001518E1" w:rsidRDefault="004360A2" w:rsidP="004360A2">
      <w:pPr>
        <w:spacing w:before="240" w:line="360" w:lineRule="auto"/>
        <w:rPr>
          <w:rFonts w:cs="Arial"/>
          <w:sz w:val="20"/>
          <w:szCs w:val="20"/>
        </w:rPr>
      </w:pPr>
      <w:r w:rsidRPr="001518E1">
        <w:rPr>
          <w:rFonts w:cs="Arial"/>
          <w:noProof/>
          <w:sz w:val="20"/>
          <w:szCs w:val="20"/>
        </w:rPr>
        <w:lastRenderedPageBreak/>
        <w:drawing>
          <wp:inline distT="0" distB="0" distL="0" distR="0" wp14:anchorId="023208A5" wp14:editId="548265E7">
            <wp:extent cx="3213876" cy="6299200"/>
            <wp:effectExtent l="0" t="0" r="5715" b="6350"/>
            <wp:docPr id="28" name="Picture 28" descr="A close up of a map&#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2.tracker.fc copy.png"/>
                    <pic:cNvPicPr/>
                  </pic:nvPicPr>
                  <pic:blipFill>
                    <a:blip r:embed="rId7"/>
                    <a:stretch>
                      <a:fillRect/>
                    </a:stretch>
                  </pic:blipFill>
                  <pic:spPr>
                    <a:xfrm>
                      <a:off x="0" y="0"/>
                      <a:ext cx="3250914" cy="6371794"/>
                    </a:xfrm>
                    <a:prstGeom prst="rect">
                      <a:avLst/>
                    </a:prstGeom>
                  </pic:spPr>
                </pic:pic>
              </a:graphicData>
            </a:graphic>
          </wp:inline>
        </w:drawing>
      </w:r>
    </w:p>
    <w:p w14:paraId="306470D8" w14:textId="2CBC102E" w:rsidR="004360A2" w:rsidRPr="001518E1" w:rsidRDefault="004360A2" w:rsidP="004360A2">
      <w:pPr>
        <w:spacing w:line="360" w:lineRule="auto"/>
        <w:rPr>
          <w:rFonts w:cs="Arial"/>
          <w:i/>
          <w:szCs w:val="24"/>
        </w:rPr>
      </w:pPr>
      <w:r w:rsidRPr="001518E1">
        <w:rPr>
          <w:rFonts w:cs="Arial"/>
          <w:b/>
          <w:i/>
          <w:szCs w:val="24"/>
        </w:rPr>
        <w:t xml:space="preserve">Supplementary Figure 3 – Genus Differences in Microbiome by Sex and </w:t>
      </w:r>
      <w:proofErr w:type="spellStart"/>
      <w:r w:rsidRPr="001518E1">
        <w:rPr>
          <w:rFonts w:cs="Arial"/>
          <w:b/>
          <w:i/>
          <w:szCs w:val="24"/>
        </w:rPr>
        <w:t>Behavioral</w:t>
      </w:r>
      <w:proofErr w:type="spellEnd"/>
      <w:r w:rsidRPr="001518E1">
        <w:rPr>
          <w:rFonts w:cs="Arial"/>
          <w:b/>
          <w:i/>
          <w:szCs w:val="24"/>
        </w:rPr>
        <w:t xml:space="preserve"> Phenotype</w:t>
      </w:r>
      <w:r w:rsidRPr="001518E1">
        <w:rPr>
          <w:rFonts w:cs="Arial"/>
          <w:i/>
          <w:szCs w:val="24"/>
        </w:rPr>
        <w:t xml:space="preserve"> – A) PCA beta diversity plot of PLS-DA clustered microbiome by sign/goal-tracker phenotype and sex (blue circle = female goal-tracker (F_GT), orange triangle = female intermediate (F_IN), grey plus = female sign-tracker (F_ST), green x = male goal-tracker (M_GT),purple diamond = male intermediate (M_IN), yellow triangle = male sign-tracker (M_ST). B) Log-fold change differences at genus level between females vs males and </w:t>
      </w:r>
      <w:proofErr w:type="spellStart"/>
      <w:r w:rsidRPr="001518E1">
        <w:rPr>
          <w:rFonts w:cs="Arial"/>
          <w:i/>
          <w:szCs w:val="24"/>
        </w:rPr>
        <w:t>behavioral</w:t>
      </w:r>
      <w:proofErr w:type="spellEnd"/>
      <w:r w:rsidRPr="001518E1">
        <w:rPr>
          <w:rFonts w:cs="Arial"/>
          <w:i/>
          <w:szCs w:val="24"/>
        </w:rPr>
        <w:t xml:space="preserve"> phenotype clusters (</w:t>
      </w:r>
      <w:proofErr w:type="spellStart"/>
      <w:proofErr w:type="gramStart"/>
      <w:r w:rsidRPr="001518E1">
        <w:rPr>
          <w:rFonts w:cs="Arial"/>
          <w:i/>
          <w:szCs w:val="24"/>
        </w:rPr>
        <w:t>R.Behav.Clust</w:t>
      </w:r>
      <w:proofErr w:type="spellEnd"/>
      <w:proofErr w:type="gramEnd"/>
      <w:r w:rsidRPr="001518E1">
        <w:rPr>
          <w:rFonts w:cs="Arial"/>
          <w:i/>
          <w:szCs w:val="24"/>
        </w:rPr>
        <w:t xml:space="preserve"> vs. </w:t>
      </w:r>
      <w:proofErr w:type="spellStart"/>
      <w:r w:rsidRPr="001518E1">
        <w:rPr>
          <w:rFonts w:cs="Arial"/>
          <w:i/>
          <w:szCs w:val="24"/>
        </w:rPr>
        <w:t>L.Behav.Clust</w:t>
      </w:r>
      <w:proofErr w:type="spellEnd"/>
      <w:r w:rsidRPr="001518E1">
        <w:rPr>
          <w:rFonts w:cs="Arial"/>
          <w:i/>
          <w:szCs w:val="24"/>
        </w:rPr>
        <w:t>); asterisks indicate significance after FDR corrections (p&gt;0.05)</w:t>
      </w:r>
    </w:p>
    <w:p w14:paraId="1849D9ED" w14:textId="77777777" w:rsidR="004360A2" w:rsidRPr="001518E1" w:rsidRDefault="004360A2" w:rsidP="004360A2">
      <w:pPr>
        <w:spacing w:line="360" w:lineRule="auto"/>
        <w:rPr>
          <w:rFonts w:cs="Arial"/>
          <w:sz w:val="20"/>
          <w:szCs w:val="20"/>
        </w:rPr>
      </w:pPr>
      <w:r w:rsidRPr="001518E1">
        <w:rPr>
          <w:rFonts w:cs="Arial"/>
          <w:noProof/>
          <w:sz w:val="20"/>
          <w:szCs w:val="20"/>
        </w:rPr>
        <w:lastRenderedPageBreak/>
        <w:drawing>
          <wp:inline distT="0" distB="0" distL="0" distR="0" wp14:anchorId="298C1F18" wp14:editId="7F91B3D5">
            <wp:extent cx="5996253" cy="2419350"/>
            <wp:effectExtent l="0" t="0" r="5080" b="0"/>
            <wp:docPr id="29" name="Picture 29" descr="A close up of a map&#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1.png"/>
                    <pic:cNvPicPr/>
                  </pic:nvPicPr>
                  <pic:blipFill>
                    <a:blip r:embed="rId8"/>
                    <a:stretch>
                      <a:fillRect/>
                    </a:stretch>
                  </pic:blipFill>
                  <pic:spPr>
                    <a:xfrm>
                      <a:off x="0" y="0"/>
                      <a:ext cx="6028829" cy="2432494"/>
                    </a:xfrm>
                    <a:prstGeom prst="rect">
                      <a:avLst/>
                    </a:prstGeom>
                  </pic:spPr>
                </pic:pic>
              </a:graphicData>
            </a:graphic>
          </wp:inline>
        </w:drawing>
      </w:r>
    </w:p>
    <w:p w14:paraId="643A0933" w14:textId="20677C80" w:rsidR="004360A2" w:rsidRPr="001518E1" w:rsidRDefault="004360A2" w:rsidP="004360A2">
      <w:pPr>
        <w:spacing w:line="360" w:lineRule="auto"/>
        <w:rPr>
          <w:rFonts w:cs="Arial"/>
          <w:i/>
          <w:szCs w:val="24"/>
        </w:rPr>
      </w:pPr>
      <w:r w:rsidRPr="001518E1">
        <w:rPr>
          <w:rFonts w:cs="Arial"/>
          <w:b/>
          <w:i/>
          <w:szCs w:val="24"/>
        </w:rPr>
        <w:t>Supplementary Figure 4 – Microbiome Diversity</w:t>
      </w:r>
      <w:r w:rsidRPr="001518E1">
        <w:rPr>
          <w:rFonts w:cs="Arial"/>
          <w:i/>
          <w:szCs w:val="24"/>
        </w:rPr>
        <w:t xml:space="preserve"> – A) NMDS plot of beta diversity by sex (Female = yellow, Male = blue) and by generation (circles = Batch02, and triangles = Batch03); stress value in lower left corner indicates how well the data is represent</w:t>
      </w:r>
      <w:r w:rsidR="007444B5">
        <w:rPr>
          <w:rFonts w:cs="Arial"/>
          <w:i/>
          <w:szCs w:val="24"/>
        </w:rPr>
        <w:t>ed</w:t>
      </w:r>
      <w:r w:rsidRPr="001518E1">
        <w:rPr>
          <w:rFonts w:cs="Arial"/>
          <w:i/>
          <w:szCs w:val="24"/>
        </w:rPr>
        <w:t xml:space="preserve"> in reduc</w:t>
      </w:r>
      <w:r w:rsidR="000029BF">
        <w:rPr>
          <w:rFonts w:cs="Arial"/>
          <w:i/>
          <w:szCs w:val="24"/>
        </w:rPr>
        <w:t>ing</w:t>
      </w:r>
      <w:r w:rsidRPr="001518E1">
        <w:rPr>
          <w:rFonts w:cs="Arial"/>
          <w:i/>
          <w:szCs w:val="24"/>
        </w:rPr>
        <w:t xml:space="preserve"> the dimensions. B &amp; C) Alpha diversity of B) Shannon and C) Simpson index measures between males (blue) and females (yellow); asterisks indicate significance p&gt;0.001. </w:t>
      </w:r>
    </w:p>
    <w:p w14:paraId="217FDAE5" w14:textId="77777777" w:rsidR="004360A2" w:rsidRPr="001518E1" w:rsidRDefault="004360A2" w:rsidP="004360A2">
      <w:pPr>
        <w:spacing w:line="360" w:lineRule="auto"/>
        <w:rPr>
          <w:rFonts w:cs="Arial"/>
        </w:rPr>
      </w:pPr>
    </w:p>
    <w:p w14:paraId="40FD5636" w14:textId="77777777" w:rsidR="004360A2" w:rsidRPr="001518E1" w:rsidRDefault="004360A2" w:rsidP="004360A2">
      <w:pPr>
        <w:pStyle w:val="Heading4"/>
        <w:spacing w:line="360" w:lineRule="auto"/>
      </w:pPr>
      <w:r w:rsidRPr="001518E1">
        <w:t>Taxonomic differences between sex</w:t>
      </w:r>
    </w:p>
    <w:p w14:paraId="51E13959" w14:textId="77777777" w:rsidR="004360A2" w:rsidRPr="001518E1" w:rsidRDefault="004360A2" w:rsidP="004360A2">
      <w:pPr>
        <w:spacing w:line="360" w:lineRule="auto"/>
        <w:rPr>
          <w:rFonts w:cs="Arial"/>
        </w:rPr>
      </w:pPr>
      <w:r w:rsidRPr="001518E1">
        <w:rPr>
          <w:rFonts w:cs="Arial"/>
        </w:rPr>
        <w:t xml:space="preserve">At the phylum level, </w:t>
      </w:r>
      <w:proofErr w:type="spellStart"/>
      <w:r w:rsidRPr="001518E1">
        <w:rPr>
          <w:rFonts w:cs="Arial"/>
        </w:rPr>
        <w:t>Tenericutes</w:t>
      </w:r>
      <w:proofErr w:type="spellEnd"/>
      <w:r w:rsidRPr="001518E1">
        <w:rPr>
          <w:rFonts w:cs="Arial"/>
        </w:rPr>
        <w:t xml:space="preserve"> was significantly greater in females compared to males and (p&lt;0.001) (Fig. S3B). Among females and </w:t>
      </w:r>
      <w:proofErr w:type="spellStart"/>
      <w:r w:rsidRPr="001518E1">
        <w:rPr>
          <w:rFonts w:cs="Arial"/>
        </w:rPr>
        <w:t>R.Behav.Clust</w:t>
      </w:r>
      <w:proofErr w:type="spellEnd"/>
      <w:r w:rsidRPr="001518E1">
        <w:rPr>
          <w:rFonts w:cs="Arial"/>
        </w:rPr>
        <w:t xml:space="preserve">, significantly greater proportions of </w:t>
      </w:r>
      <w:proofErr w:type="spellStart"/>
      <w:r w:rsidRPr="001518E1">
        <w:rPr>
          <w:rFonts w:cs="Arial"/>
        </w:rPr>
        <w:t>Peptococcaceae</w:t>
      </w:r>
      <w:proofErr w:type="spellEnd"/>
      <w:r w:rsidRPr="001518E1">
        <w:rPr>
          <w:rFonts w:cs="Arial"/>
        </w:rPr>
        <w:t xml:space="preserve"> (p&lt;0.001) and the corresponding genus </w:t>
      </w:r>
      <w:proofErr w:type="spellStart"/>
      <w:r w:rsidRPr="001518E1">
        <w:rPr>
          <w:rFonts w:cs="Arial"/>
          <w:i/>
        </w:rPr>
        <w:t>Peptococcus</w:t>
      </w:r>
      <w:proofErr w:type="spellEnd"/>
      <w:r w:rsidRPr="001518E1">
        <w:rPr>
          <w:rFonts w:cs="Arial"/>
          <w:i/>
        </w:rPr>
        <w:t xml:space="preserve"> </w:t>
      </w:r>
      <w:r w:rsidRPr="001518E1">
        <w:rPr>
          <w:rFonts w:cs="Arial"/>
        </w:rPr>
        <w:t xml:space="preserve">(p&lt;0.001), </w:t>
      </w:r>
      <w:proofErr w:type="spellStart"/>
      <w:r w:rsidRPr="001518E1">
        <w:rPr>
          <w:rFonts w:cs="Arial"/>
        </w:rPr>
        <w:t>Rikenellaceae</w:t>
      </w:r>
      <w:proofErr w:type="spellEnd"/>
      <w:r w:rsidRPr="001518E1">
        <w:rPr>
          <w:rFonts w:cs="Arial"/>
        </w:rPr>
        <w:t xml:space="preserve"> (p&lt;0.001) and the genera </w:t>
      </w:r>
      <w:r w:rsidRPr="001518E1">
        <w:rPr>
          <w:rFonts w:cs="Arial"/>
          <w:i/>
        </w:rPr>
        <w:t>Alistipes</w:t>
      </w:r>
      <w:r w:rsidRPr="001518E1">
        <w:rPr>
          <w:rFonts w:cs="Arial"/>
        </w:rPr>
        <w:t xml:space="preserve"> (p=0.01) and </w:t>
      </w:r>
      <w:proofErr w:type="spellStart"/>
      <w:r w:rsidRPr="001518E1">
        <w:rPr>
          <w:rFonts w:cs="Arial"/>
          <w:i/>
        </w:rPr>
        <w:t>Rikenella</w:t>
      </w:r>
      <w:proofErr w:type="spellEnd"/>
      <w:r w:rsidRPr="001518E1">
        <w:rPr>
          <w:rFonts w:cs="Arial"/>
        </w:rPr>
        <w:t xml:space="preserve"> (p&lt;0.001), </w:t>
      </w:r>
      <w:proofErr w:type="spellStart"/>
      <w:r w:rsidRPr="001518E1">
        <w:rPr>
          <w:rFonts w:cs="Arial"/>
        </w:rPr>
        <w:t>Desulfovibrionaceae</w:t>
      </w:r>
      <w:proofErr w:type="spellEnd"/>
      <w:r w:rsidRPr="001518E1">
        <w:rPr>
          <w:rFonts w:cs="Arial"/>
        </w:rPr>
        <w:t xml:space="preserve"> (p&lt;0.01) and the genus </w:t>
      </w:r>
      <w:r w:rsidRPr="001518E1">
        <w:rPr>
          <w:rFonts w:cs="Arial"/>
          <w:i/>
        </w:rPr>
        <w:t>Desulfovibrio</w:t>
      </w:r>
      <w:r w:rsidRPr="001518E1">
        <w:rPr>
          <w:rFonts w:cs="Arial"/>
        </w:rPr>
        <w:t xml:space="preserve"> (p&lt;0.01), and in family Erysipelotrichaceae (p&gt;0.05) genus </w:t>
      </w:r>
      <w:proofErr w:type="spellStart"/>
      <w:r w:rsidRPr="001518E1">
        <w:rPr>
          <w:rFonts w:cs="Arial"/>
          <w:i/>
        </w:rPr>
        <w:t>Allobaculum</w:t>
      </w:r>
      <w:proofErr w:type="spellEnd"/>
      <w:r w:rsidRPr="001518E1">
        <w:rPr>
          <w:rFonts w:cs="Arial"/>
        </w:rPr>
        <w:t xml:space="preserve"> (p&lt;0.01). In females compared to males, greater abundance of </w:t>
      </w:r>
      <w:proofErr w:type="spellStart"/>
      <w:r w:rsidRPr="001518E1">
        <w:rPr>
          <w:rFonts w:cs="Arial"/>
        </w:rPr>
        <w:t>Gracilibacteraceae</w:t>
      </w:r>
      <w:proofErr w:type="spellEnd"/>
      <w:r w:rsidRPr="001518E1">
        <w:rPr>
          <w:rFonts w:cs="Arial"/>
        </w:rPr>
        <w:t xml:space="preserve"> (p=1.24e-4) and the genus </w:t>
      </w:r>
      <w:proofErr w:type="spellStart"/>
      <w:r w:rsidRPr="001518E1">
        <w:rPr>
          <w:rFonts w:cs="Arial"/>
          <w:i/>
        </w:rPr>
        <w:t>Gracilibacter</w:t>
      </w:r>
      <w:proofErr w:type="spellEnd"/>
      <w:r w:rsidRPr="001518E1">
        <w:rPr>
          <w:rFonts w:cs="Arial"/>
        </w:rPr>
        <w:t xml:space="preserve"> (p=1.24e-4), as well as Enterobacteriaceae (p=0.002). Significantly lower </w:t>
      </w:r>
      <w:proofErr w:type="spellStart"/>
      <w:r w:rsidRPr="001518E1">
        <w:rPr>
          <w:rFonts w:cs="Arial"/>
        </w:rPr>
        <w:t>Streptococcaceae</w:t>
      </w:r>
      <w:proofErr w:type="spellEnd"/>
      <w:r w:rsidRPr="001518E1">
        <w:rPr>
          <w:rFonts w:cs="Arial"/>
        </w:rPr>
        <w:t xml:space="preserve"> (p=0.002) and the genus </w:t>
      </w:r>
      <w:r w:rsidRPr="001518E1">
        <w:rPr>
          <w:rFonts w:cs="Arial"/>
          <w:i/>
        </w:rPr>
        <w:t xml:space="preserve">Streptococcus </w:t>
      </w:r>
      <w:r w:rsidRPr="001518E1">
        <w:rPr>
          <w:rFonts w:cs="Arial"/>
        </w:rPr>
        <w:t>(p=0.004) were observed (Fig. S3B). Other significant differences were found at the genus level, including several genera from the families</w:t>
      </w:r>
      <w:r w:rsidRPr="001518E1">
        <w:t xml:space="preserve"> </w:t>
      </w:r>
      <w:proofErr w:type="spellStart"/>
      <w:r w:rsidRPr="001518E1">
        <w:rPr>
          <w:rFonts w:cs="Arial"/>
        </w:rPr>
        <w:t>Lachnospiracea</w:t>
      </w:r>
      <w:proofErr w:type="spellEnd"/>
      <w:r w:rsidRPr="001518E1">
        <w:rPr>
          <w:rFonts w:cs="Arial"/>
        </w:rPr>
        <w:t xml:space="preserve">, Ruminococcaceae, </w:t>
      </w:r>
      <w:proofErr w:type="spellStart"/>
      <w:r w:rsidRPr="001518E1">
        <w:rPr>
          <w:rFonts w:cs="Arial"/>
        </w:rPr>
        <w:t>Veillonellaceae</w:t>
      </w:r>
      <w:proofErr w:type="spellEnd"/>
      <w:r w:rsidRPr="001518E1">
        <w:rPr>
          <w:rFonts w:cs="Arial"/>
        </w:rPr>
        <w:t xml:space="preserve">, and </w:t>
      </w:r>
      <w:proofErr w:type="spellStart"/>
      <w:r w:rsidRPr="001518E1">
        <w:rPr>
          <w:rFonts w:cs="Arial"/>
        </w:rPr>
        <w:t>Anaeroplasmataceae</w:t>
      </w:r>
      <w:proofErr w:type="spellEnd"/>
      <w:r w:rsidRPr="001518E1">
        <w:rPr>
          <w:rFonts w:cs="Arial"/>
        </w:rPr>
        <w:t xml:space="preserve"> (Fig. S3B).</w:t>
      </w:r>
    </w:p>
    <w:p w14:paraId="4861DC1B" w14:textId="77777777" w:rsidR="004360A2" w:rsidRPr="001518E1" w:rsidRDefault="004360A2" w:rsidP="004360A2">
      <w:pPr>
        <w:spacing w:line="360" w:lineRule="auto"/>
        <w:rPr>
          <w:rFonts w:cs="Arial"/>
        </w:rPr>
      </w:pPr>
    </w:p>
    <w:p w14:paraId="6D45CA4D" w14:textId="77777777" w:rsidR="004360A2" w:rsidRPr="001518E1" w:rsidRDefault="004360A2" w:rsidP="004360A2">
      <w:pPr>
        <w:pStyle w:val="Heading4"/>
        <w:spacing w:line="360" w:lineRule="auto"/>
      </w:pPr>
      <w:r w:rsidRPr="001518E1">
        <w:lastRenderedPageBreak/>
        <w:t xml:space="preserve">Microbiome correlations to </w:t>
      </w:r>
      <w:proofErr w:type="spellStart"/>
      <w:r w:rsidRPr="001518E1">
        <w:t>Behavior</w:t>
      </w:r>
      <w:proofErr w:type="spellEnd"/>
    </w:p>
    <w:p w14:paraId="296EEBA7" w14:textId="77777777" w:rsidR="004360A2" w:rsidRPr="001518E1" w:rsidRDefault="004360A2" w:rsidP="004360A2">
      <w:pPr>
        <w:spacing w:line="360" w:lineRule="auto"/>
        <w:rPr>
          <w:rFonts w:cs="Arial"/>
        </w:rPr>
      </w:pPr>
      <w:r w:rsidRPr="001518E1">
        <w:rPr>
          <w:rFonts w:cs="Arial"/>
        </w:rPr>
        <w:t xml:space="preserve">Spearman correlations were performed on all 54 </w:t>
      </w:r>
      <w:proofErr w:type="spellStart"/>
      <w:r w:rsidRPr="001518E1">
        <w:rPr>
          <w:rFonts w:cs="Arial"/>
        </w:rPr>
        <w:t>behavioral</w:t>
      </w:r>
      <w:proofErr w:type="spellEnd"/>
      <w:r w:rsidRPr="001518E1">
        <w:rPr>
          <w:rFonts w:cs="Arial"/>
        </w:rPr>
        <w:t xml:space="preserve"> measures and OTU-level bacterial abundance filtered at &gt;0.01% median abundance, presence greater &gt;50% all samples. For all samples </w:t>
      </w:r>
      <w:proofErr w:type="spellStart"/>
      <w:r w:rsidRPr="001518E1">
        <w:rPr>
          <w:rFonts w:cs="Arial"/>
        </w:rPr>
        <w:t>qvalue</w:t>
      </w:r>
      <w:proofErr w:type="spellEnd"/>
      <w:r w:rsidRPr="001518E1">
        <w:rPr>
          <w:rFonts w:cs="Arial"/>
        </w:rPr>
        <w:t xml:space="preserve">=0.05, within sex </w:t>
      </w:r>
      <w:proofErr w:type="spellStart"/>
      <w:r w:rsidRPr="001518E1">
        <w:rPr>
          <w:rFonts w:cs="Arial"/>
        </w:rPr>
        <w:t>qvalue</w:t>
      </w:r>
      <w:proofErr w:type="spellEnd"/>
      <w:r w:rsidRPr="001518E1">
        <w:rPr>
          <w:rFonts w:cs="Arial"/>
        </w:rPr>
        <w:t xml:space="preserve">=0.15. </w:t>
      </w:r>
    </w:p>
    <w:p w14:paraId="54EF4FF8" w14:textId="77777777" w:rsidR="004360A2" w:rsidRPr="001518E1" w:rsidRDefault="004360A2" w:rsidP="004360A2">
      <w:pPr>
        <w:pStyle w:val="Heading5"/>
        <w:spacing w:line="360" w:lineRule="auto"/>
      </w:pPr>
      <w:r w:rsidRPr="001518E1">
        <w:t xml:space="preserve">Correlations to </w:t>
      </w:r>
      <w:proofErr w:type="spellStart"/>
      <w:r w:rsidRPr="001518E1">
        <w:t>Behavioral</w:t>
      </w:r>
      <w:proofErr w:type="spellEnd"/>
      <w:r w:rsidRPr="001518E1">
        <w:t xml:space="preserve"> Measures in All Samples</w:t>
      </w:r>
    </w:p>
    <w:p w14:paraId="7BDBCF0E" w14:textId="6FF5C15A" w:rsidR="004360A2" w:rsidRPr="001518E1" w:rsidRDefault="004360A2" w:rsidP="004360A2">
      <w:pPr>
        <w:spacing w:line="360" w:lineRule="auto"/>
        <w:rPr>
          <w:rFonts w:cs="Arial"/>
        </w:rPr>
      </w:pPr>
      <w:r w:rsidRPr="001518E1">
        <w:rPr>
          <w:rFonts w:cs="Arial"/>
        </w:rPr>
        <w:t xml:space="preserve">Spearman correlations were performed between </w:t>
      </w:r>
      <w:proofErr w:type="spellStart"/>
      <w:r w:rsidRPr="001518E1">
        <w:rPr>
          <w:rFonts w:cs="Arial"/>
        </w:rPr>
        <w:t>behaviors</w:t>
      </w:r>
      <w:proofErr w:type="spellEnd"/>
      <w:r w:rsidRPr="001518E1">
        <w:rPr>
          <w:rFonts w:cs="Arial"/>
        </w:rPr>
        <w:t xml:space="preserve"> and OTU-level bacteria for all samples (N=202) (Fig. S4A). In all samples, significant correlations were positively correlated to </w:t>
      </w:r>
      <w:proofErr w:type="spellStart"/>
      <w:r w:rsidRPr="001518E1">
        <w:rPr>
          <w:rFonts w:cs="Arial"/>
          <w:i/>
        </w:rPr>
        <w:t>Anaeroplasma</w:t>
      </w:r>
      <w:proofErr w:type="spellEnd"/>
      <w:r w:rsidRPr="001518E1">
        <w:rPr>
          <w:rFonts w:cs="Arial"/>
          <w:i/>
        </w:rPr>
        <w:t xml:space="preserve"> </w:t>
      </w:r>
      <w:r w:rsidRPr="001518E1">
        <w:rPr>
          <w:rFonts w:cs="Arial"/>
        </w:rPr>
        <w:t>OTU_55</w:t>
      </w:r>
      <w:r w:rsidRPr="001518E1">
        <w:rPr>
          <w:rFonts w:cs="Arial"/>
          <w:i/>
        </w:rPr>
        <w:t xml:space="preserve">, </w:t>
      </w:r>
      <w:proofErr w:type="spellStart"/>
      <w:r w:rsidRPr="001518E1">
        <w:rPr>
          <w:rFonts w:cs="Arial"/>
          <w:i/>
        </w:rPr>
        <w:t>Peptococcus</w:t>
      </w:r>
      <w:proofErr w:type="spellEnd"/>
      <w:r w:rsidRPr="001518E1">
        <w:rPr>
          <w:rFonts w:cs="Arial"/>
          <w:i/>
        </w:rPr>
        <w:t xml:space="preserve"> </w:t>
      </w:r>
      <w:r w:rsidRPr="001518E1">
        <w:rPr>
          <w:rFonts w:cs="Arial"/>
        </w:rPr>
        <w:t>OTU_80</w:t>
      </w:r>
      <w:r w:rsidRPr="001518E1">
        <w:rPr>
          <w:rFonts w:cs="Arial"/>
          <w:i/>
        </w:rPr>
        <w:t>,</w:t>
      </w:r>
      <w:r w:rsidRPr="001518E1">
        <w:rPr>
          <w:rFonts w:cs="Arial"/>
        </w:rPr>
        <w:t xml:space="preserve"> </w:t>
      </w:r>
      <w:proofErr w:type="spellStart"/>
      <w:r w:rsidRPr="001518E1">
        <w:rPr>
          <w:rFonts w:cs="Arial"/>
          <w:i/>
        </w:rPr>
        <w:t>Allobaculum</w:t>
      </w:r>
      <w:proofErr w:type="spellEnd"/>
      <w:r w:rsidRPr="001518E1">
        <w:rPr>
          <w:rFonts w:cs="Arial"/>
          <w:i/>
        </w:rPr>
        <w:t xml:space="preserve"> </w:t>
      </w:r>
      <w:r w:rsidRPr="001518E1">
        <w:rPr>
          <w:rFonts w:cs="Arial"/>
        </w:rPr>
        <w:t xml:space="preserve">OTU_60 and OTU_129, and </w:t>
      </w:r>
      <w:proofErr w:type="spellStart"/>
      <w:r w:rsidRPr="001518E1">
        <w:rPr>
          <w:rFonts w:cs="Arial"/>
          <w:i/>
        </w:rPr>
        <w:t>Lachnospiraceae_incertae_sedis</w:t>
      </w:r>
      <w:proofErr w:type="spellEnd"/>
      <w:r w:rsidRPr="001518E1">
        <w:rPr>
          <w:rFonts w:cs="Arial"/>
          <w:i/>
        </w:rPr>
        <w:t xml:space="preserve"> </w:t>
      </w:r>
      <w:r w:rsidRPr="001518E1">
        <w:rPr>
          <w:rFonts w:cs="Arial"/>
        </w:rPr>
        <w:t xml:space="preserve">OTU_117, </w:t>
      </w:r>
      <w:proofErr w:type="spellStart"/>
      <w:r w:rsidRPr="001518E1">
        <w:rPr>
          <w:rFonts w:cs="Arial"/>
          <w:i/>
        </w:rPr>
        <w:t>Allobaculum</w:t>
      </w:r>
      <w:proofErr w:type="spellEnd"/>
      <w:r w:rsidRPr="001518E1">
        <w:rPr>
          <w:rFonts w:cs="Arial"/>
          <w:i/>
        </w:rPr>
        <w:t xml:space="preserve"> </w:t>
      </w:r>
      <w:r w:rsidRPr="001518E1">
        <w:rPr>
          <w:rFonts w:cs="Arial"/>
        </w:rPr>
        <w:t xml:space="preserve">OTU_129 were positively correlated to goal tracking </w:t>
      </w:r>
      <w:proofErr w:type="spellStart"/>
      <w:r w:rsidRPr="001518E1">
        <w:rPr>
          <w:rFonts w:cs="Arial"/>
        </w:rPr>
        <w:t>behavior</w:t>
      </w:r>
      <w:proofErr w:type="spellEnd"/>
      <w:r w:rsidRPr="001518E1">
        <w:rPr>
          <w:rFonts w:cs="Arial"/>
        </w:rPr>
        <w:t xml:space="preserve"> on day 1 (Reward.Learning.PavCA.D1.Magazine_CS, rho&gt;0.262, p&lt;0.001);  </w:t>
      </w:r>
      <w:proofErr w:type="spellStart"/>
      <w:r w:rsidRPr="001518E1">
        <w:rPr>
          <w:rFonts w:cs="Arial"/>
          <w:i/>
        </w:rPr>
        <w:t>Anaerovirbrio</w:t>
      </w:r>
      <w:proofErr w:type="spellEnd"/>
      <w:r w:rsidRPr="001518E1">
        <w:rPr>
          <w:rFonts w:cs="Arial"/>
          <w:i/>
        </w:rPr>
        <w:t xml:space="preserve"> </w:t>
      </w:r>
      <w:r w:rsidRPr="001518E1">
        <w:rPr>
          <w:rFonts w:cs="Arial"/>
        </w:rPr>
        <w:t xml:space="preserve">OTU_89, </w:t>
      </w:r>
      <w:r w:rsidRPr="001518E1">
        <w:rPr>
          <w:rFonts w:cs="Arial"/>
          <w:i/>
        </w:rPr>
        <w:t xml:space="preserve">Oscillibacter </w:t>
      </w:r>
      <w:r w:rsidRPr="001518E1">
        <w:rPr>
          <w:rFonts w:cs="Arial"/>
        </w:rPr>
        <w:t xml:space="preserve">OTU_185, and </w:t>
      </w:r>
      <w:r w:rsidRPr="001518E1">
        <w:rPr>
          <w:rFonts w:cs="Arial"/>
          <w:i/>
        </w:rPr>
        <w:t xml:space="preserve">Prevotella </w:t>
      </w:r>
      <w:r w:rsidRPr="001518E1">
        <w:rPr>
          <w:rFonts w:cs="Arial"/>
        </w:rPr>
        <w:t>OTU_327 and OTU_27 were negatively correlated to in</w:t>
      </w:r>
      <w:r w:rsidR="0023462B">
        <w:rPr>
          <w:rFonts w:cs="Arial"/>
        </w:rPr>
        <w:t>-</w:t>
      </w:r>
      <w:r w:rsidRPr="001518E1">
        <w:rPr>
          <w:rFonts w:cs="Arial"/>
        </w:rPr>
        <w:t xml:space="preserve">goal tracking </w:t>
      </w:r>
      <w:proofErr w:type="spellStart"/>
      <w:r w:rsidRPr="001518E1">
        <w:rPr>
          <w:rFonts w:cs="Arial"/>
        </w:rPr>
        <w:t>behavior</w:t>
      </w:r>
      <w:proofErr w:type="spellEnd"/>
      <w:r w:rsidRPr="001518E1">
        <w:rPr>
          <w:rFonts w:cs="Arial"/>
        </w:rPr>
        <w:t xml:space="preserve"> on day 1 (Reward.Learning.PavCA.D1.Magazine_CS, rho&lt;-0.254, p&lt;0.001). Distance travelled following cocaine administration during trial 1 and 4 was positively correlated to </w:t>
      </w:r>
      <w:proofErr w:type="spellStart"/>
      <w:r w:rsidRPr="001518E1">
        <w:rPr>
          <w:rFonts w:cs="Arial"/>
          <w:i/>
        </w:rPr>
        <w:t>Allobaculum</w:t>
      </w:r>
      <w:proofErr w:type="spellEnd"/>
      <w:r w:rsidRPr="001518E1">
        <w:rPr>
          <w:rFonts w:cs="Arial"/>
          <w:i/>
        </w:rPr>
        <w:t xml:space="preserve"> </w:t>
      </w:r>
      <w:r w:rsidRPr="001518E1">
        <w:rPr>
          <w:rFonts w:cs="Arial"/>
        </w:rPr>
        <w:t xml:space="preserve">OTU_129, </w:t>
      </w:r>
      <w:proofErr w:type="spellStart"/>
      <w:r w:rsidRPr="001518E1">
        <w:rPr>
          <w:rFonts w:cs="Arial"/>
          <w:i/>
        </w:rPr>
        <w:t>Anaeroplasma</w:t>
      </w:r>
      <w:proofErr w:type="spellEnd"/>
      <w:r w:rsidRPr="001518E1">
        <w:rPr>
          <w:rFonts w:cs="Arial"/>
          <w:i/>
        </w:rPr>
        <w:t xml:space="preserve"> </w:t>
      </w:r>
      <w:r w:rsidRPr="001518E1">
        <w:rPr>
          <w:rFonts w:cs="Arial"/>
        </w:rPr>
        <w:t xml:space="preserve">OTU_55, </w:t>
      </w:r>
      <w:proofErr w:type="spellStart"/>
      <w:r w:rsidRPr="001518E1">
        <w:rPr>
          <w:rFonts w:cs="Arial"/>
          <w:i/>
        </w:rPr>
        <w:t>Peptococcus</w:t>
      </w:r>
      <w:proofErr w:type="spellEnd"/>
      <w:r w:rsidRPr="001518E1">
        <w:rPr>
          <w:rFonts w:cs="Arial"/>
          <w:i/>
        </w:rPr>
        <w:t xml:space="preserve"> </w:t>
      </w:r>
      <w:r w:rsidRPr="001518E1">
        <w:rPr>
          <w:rFonts w:cs="Arial"/>
        </w:rPr>
        <w:t xml:space="preserve">OTU_80, </w:t>
      </w:r>
      <w:r w:rsidRPr="001518E1">
        <w:rPr>
          <w:rFonts w:cs="Arial"/>
          <w:i/>
        </w:rPr>
        <w:t xml:space="preserve">Clostridium </w:t>
      </w:r>
      <w:proofErr w:type="spellStart"/>
      <w:r w:rsidRPr="001518E1">
        <w:rPr>
          <w:rFonts w:cs="Arial"/>
          <w:i/>
        </w:rPr>
        <w:t>XIVa</w:t>
      </w:r>
      <w:proofErr w:type="spellEnd"/>
      <w:r w:rsidRPr="001518E1">
        <w:rPr>
          <w:rFonts w:cs="Arial"/>
          <w:i/>
        </w:rPr>
        <w:t xml:space="preserve"> </w:t>
      </w:r>
      <w:r w:rsidRPr="001518E1">
        <w:rPr>
          <w:rFonts w:cs="Arial"/>
        </w:rPr>
        <w:t>OTU_983, among others (</w:t>
      </w:r>
      <w:proofErr w:type="spellStart"/>
      <w:r w:rsidRPr="001518E1">
        <w:rPr>
          <w:rFonts w:cs="Arial"/>
        </w:rPr>
        <w:t>Loco.CCP.T</w:t>
      </w:r>
      <w:proofErr w:type="spellEnd"/>
      <w:r w:rsidRPr="001518E1">
        <w:rPr>
          <w:rFonts w:cs="Arial"/>
        </w:rPr>
        <w:t xml:space="preserve">[1or4]. </w:t>
      </w:r>
      <w:proofErr w:type="spellStart"/>
      <w:r w:rsidRPr="001518E1">
        <w:rPr>
          <w:rFonts w:cs="Arial"/>
        </w:rPr>
        <w:t>CocaineDist</w:t>
      </w:r>
      <w:proofErr w:type="spellEnd"/>
      <w:r w:rsidRPr="001518E1">
        <w:rPr>
          <w:rFonts w:cs="Arial"/>
        </w:rPr>
        <w:t>, rho&gt;0.2.55, p&lt;0.001). Total number of presentations of lever (</w:t>
      </w:r>
      <w:proofErr w:type="spellStart"/>
      <w:r w:rsidRPr="001518E1">
        <w:rPr>
          <w:rFonts w:cs="Arial"/>
        </w:rPr>
        <w:t>Reward.Learning.CRF.Number.of.Reinforcers</w:t>
      </w:r>
      <w:proofErr w:type="spellEnd"/>
      <w:r w:rsidRPr="001518E1">
        <w:rPr>
          <w:rFonts w:cs="Arial"/>
        </w:rPr>
        <w:t>, rho&gt;0.280, p&lt;0.001), and maximum exploratory rears per epoch (</w:t>
      </w:r>
      <w:proofErr w:type="spellStart"/>
      <w:r w:rsidRPr="001518E1">
        <w:rPr>
          <w:rFonts w:cs="Arial"/>
        </w:rPr>
        <w:t>Loco.MaxRear</w:t>
      </w:r>
      <w:proofErr w:type="spellEnd"/>
      <w:r w:rsidRPr="001518E1">
        <w:rPr>
          <w:rFonts w:cs="Arial"/>
        </w:rPr>
        <w:t xml:space="preserve">, rho&gt;0.282, p&lt;0.0001) were positively correlated to </w:t>
      </w:r>
      <w:proofErr w:type="spellStart"/>
      <w:r w:rsidRPr="001518E1">
        <w:rPr>
          <w:rFonts w:cs="Arial"/>
          <w:i/>
        </w:rPr>
        <w:t>Anaeroplasma</w:t>
      </w:r>
      <w:proofErr w:type="spellEnd"/>
      <w:r w:rsidRPr="001518E1">
        <w:rPr>
          <w:rFonts w:cs="Arial"/>
          <w:i/>
        </w:rPr>
        <w:t xml:space="preserve"> </w:t>
      </w:r>
      <w:r w:rsidRPr="001518E1">
        <w:rPr>
          <w:rFonts w:cs="Arial"/>
        </w:rPr>
        <w:t xml:space="preserve">OTU_55, </w:t>
      </w:r>
      <w:proofErr w:type="spellStart"/>
      <w:r w:rsidRPr="001518E1">
        <w:rPr>
          <w:rFonts w:cs="Arial"/>
          <w:i/>
        </w:rPr>
        <w:t>Peptococcus</w:t>
      </w:r>
      <w:proofErr w:type="spellEnd"/>
      <w:r w:rsidRPr="001518E1">
        <w:rPr>
          <w:rFonts w:cs="Arial"/>
          <w:i/>
        </w:rPr>
        <w:t xml:space="preserve"> </w:t>
      </w:r>
      <w:r w:rsidRPr="001518E1">
        <w:rPr>
          <w:rFonts w:cs="Arial"/>
        </w:rPr>
        <w:t>OTU_80</w:t>
      </w:r>
      <w:r w:rsidRPr="001518E1">
        <w:rPr>
          <w:rFonts w:cs="Arial"/>
          <w:i/>
        </w:rPr>
        <w:t xml:space="preserve">, </w:t>
      </w:r>
      <w:r w:rsidRPr="001518E1">
        <w:rPr>
          <w:rFonts w:cs="Arial"/>
        </w:rPr>
        <w:t xml:space="preserve">and </w:t>
      </w:r>
      <w:proofErr w:type="spellStart"/>
      <w:r w:rsidRPr="001518E1">
        <w:rPr>
          <w:rFonts w:cs="Arial"/>
          <w:i/>
        </w:rPr>
        <w:t>Lachnospiracea_incertae_sedis</w:t>
      </w:r>
      <w:proofErr w:type="spellEnd"/>
      <w:r w:rsidRPr="001518E1">
        <w:rPr>
          <w:rFonts w:cs="Arial"/>
          <w:i/>
        </w:rPr>
        <w:t xml:space="preserve"> </w:t>
      </w:r>
      <w:r w:rsidRPr="001518E1">
        <w:rPr>
          <w:rFonts w:cs="Arial"/>
        </w:rPr>
        <w:t>OTU_389. Significant negative correlations to impulsivity measures of indifference point area under the curve and patch change rate area under the curve (</w:t>
      </w:r>
      <w:proofErr w:type="spellStart"/>
      <w:r w:rsidRPr="001518E1">
        <w:rPr>
          <w:rFonts w:cs="Arial"/>
        </w:rPr>
        <w:t>Impulsivity.DD.IDPtAUC</w:t>
      </w:r>
      <w:proofErr w:type="spellEnd"/>
      <w:r w:rsidRPr="001518E1">
        <w:rPr>
          <w:rFonts w:cs="Arial"/>
        </w:rPr>
        <w:t xml:space="preserve"> and </w:t>
      </w:r>
      <w:proofErr w:type="spellStart"/>
      <w:r w:rsidRPr="001518E1">
        <w:rPr>
          <w:rFonts w:cs="Arial"/>
        </w:rPr>
        <w:t>Impulsivity.DD.PCRateAUC</w:t>
      </w:r>
      <w:proofErr w:type="spellEnd"/>
      <w:r w:rsidRPr="001518E1">
        <w:rPr>
          <w:rFonts w:cs="Arial"/>
        </w:rPr>
        <w:t xml:space="preserve">, rho&lt;-0.303, p&lt;0.001) was observed with </w:t>
      </w:r>
      <w:proofErr w:type="spellStart"/>
      <w:r w:rsidRPr="001518E1">
        <w:rPr>
          <w:rFonts w:cs="Arial"/>
          <w:i/>
        </w:rPr>
        <w:t>Lachnospiracea_incertae_sedis</w:t>
      </w:r>
      <w:proofErr w:type="spellEnd"/>
      <w:r w:rsidRPr="001518E1">
        <w:rPr>
          <w:rFonts w:cs="Arial"/>
          <w:i/>
        </w:rPr>
        <w:t xml:space="preserve"> </w:t>
      </w:r>
      <w:r w:rsidRPr="001518E1">
        <w:rPr>
          <w:rFonts w:cs="Arial"/>
        </w:rPr>
        <w:t>OTU_3469. Correlations to locomotor activity (</w:t>
      </w:r>
      <w:proofErr w:type="spellStart"/>
      <w:r w:rsidRPr="001518E1">
        <w:rPr>
          <w:rFonts w:cs="Arial"/>
        </w:rPr>
        <w:t>Loco.Activity</w:t>
      </w:r>
      <w:proofErr w:type="spellEnd"/>
      <w:r w:rsidRPr="001518E1">
        <w:rPr>
          <w:rFonts w:cs="Arial"/>
        </w:rPr>
        <w:t>) and other locomotor response</w:t>
      </w:r>
      <w:r w:rsidR="00224AD8">
        <w:rPr>
          <w:rFonts w:cs="Arial"/>
        </w:rPr>
        <w:t>s</w:t>
      </w:r>
      <w:r w:rsidRPr="001518E1">
        <w:rPr>
          <w:rFonts w:cs="Arial"/>
        </w:rPr>
        <w:t xml:space="preserve"> to novelty measures were significantly (p&lt;0.05) associated to </w:t>
      </w:r>
      <w:proofErr w:type="spellStart"/>
      <w:r w:rsidRPr="001518E1">
        <w:rPr>
          <w:rFonts w:cs="Arial"/>
          <w:i/>
        </w:rPr>
        <w:t>Peptococcus</w:t>
      </w:r>
      <w:proofErr w:type="spellEnd"/>
      <w:r w:rsidRPr="001518E1">
        <w:rPr>
          <w:rFonts w:cs="Arial"/>
          <w:i/>
        </w:rPr>
        <w:t xml:space="preserve"> </w:t>
      </w:r>
      <w:r w:rsidRPr="001518E1">
        <w:rPr>
          <w:rFonts w:cs="Arial"/>
        </w:rPr>
        <w:t xml:space="preserve">OTU_80, </w:t>
      </w:r>
      <w:proofErr w:type="spellStart"/>
      <w:r w:rsidRPr="001518E1">
        <w:rPr>
          <w:rFonts w:cs="Arial"/>
          <w:i/>
        </w:rPr>
        <w:t>Lachnospiracaea_incertae_sedis</w:t>
      </w:r>
      <w:proofErr w:type="spellEnd"/>
      <w:r w:rsidRPr="001518E1">
        <w:rPr>
          <w:rFonts w:cs="Arial"/>
          <w:i/>
        </w:rPr>
        <w:t xml:space="preserve"> </w:t>
      </w:r>
      <w:r w:rsidRPr="001518E1">
        <w:rPr>
          <w:rFonts w:cs="Arial"/>
        </w:rPr>
        <w:t>OTU_389, and</w:t>
      </w:r>
      <w:r w:rsidRPr="001518E1">
        <w:rPr>
          <w:rFonts w:cs="Arial"/>
          <w:i/>
        </w:rPr>
        <w:t xml:space="preserve"> </w:t>
      </w:r>
      <w:proofErr w:type="spellStart"/>
      <w:r w:rsidRPr="001518E1">
        <w:rPr>
          <w:rFonts w:cs="Arial"/>
          <w:i/>
        </w:rPr>
        <w:t>Allobaculum</w:t>
      </w:r>
      <w:proofErr w:type="spellEnd"/>
      <w:r w:rsidRPr="001518E1">
        <w:rPr>
          <w:rFonts w:cs="Arial"/>
          <w:i/>
        </w:rPr>
        <w:t xml:space="preserve"> </w:t>
      </w:r>
      <w:r w:rsidRPr="001518E1">
        <w:rPr>
          <w:rFonts w:cs="Arial"/>
        </w:rPr>
        <w:t xml:space="preserve">OTU_129. </w:t>
      </w:r>
    </w:p>
    <w:p w14:paraId="3AA356DB" w14:textId="77777777" w:rsidR="004360A2" w:rsidRPr="001518E1" w:rsidRDefault="004360A2" w:rsidP="004360A2">
      <w:pPr>
        <w:spacing w:line="360" w:lineRule="auto"/>
        <w:rPr>
          <w:rFonts w:cs="Arial"/>
        </w:rPr>
      </w:pPr>
    </w:p>
    <w:p w14:paraId="2747D252" w14:textId="77777777" w:rsidR="004360A2" w:rsidRPr="001518E1" w:rsidRDefault="004360A2" w:rsidP="004360A2">
      <w:pPr>
        <w:pStyle w:val="Heading5"/>
        <w:spacing w:line="360" w:lineRule="auto"/>
      </w:pPr>
      <w:bookmarkStart w:id="9" w:name="_Hlk518435291"/>
      <w:r w:rsidRPr="001518E1">
        <w:lastRenderedPageBreak/>
        <w:t xml:space="preserve">Correlations to </w:t>
      </w:r>
      <w:proofErr w:type="spellStart"/>
      <w:r w:rsidRPr="001518E1">
        <w:t>Behavioral</w:t>
      </w:r>
      <w:proofErr w:type="spellEnd"/>
      <w:r w:rsidRPr="001518E1">
        <w:t xml:space="preserve"> Measures within Sex</w:t>
      </w:r>
    </w:p>
    <w:bookmarkEnd w:id="9"/>
    <w:p w14:paraId="095C6790" w14:textId="5997C750" w:rsidR="004360A2" w:rsidRPr="001518E1" w:rsidRDefault="004360A2" w:rsidP="004360A2">
      <w:pPr>
        <w:spacing w:line="360" w:lineRule="auto"/>
        <w:rPr>
          <w:rFonts w:cs="Arial"/>
        </w:rPr>
      </w:pPr>
      <w:r w:rsidRPr="001518E1">
        <w:rPr>
          <w:rFonts w:cs="Arial"/>
        </w:rPr>
        <w:t xml:space="preserve">Spearman correlations were performed between </w:t>
      </w:r>
      <w:proofErr w:type="spellStart"/>
      <w:r w:rsidRPr="001518E1">
        <w:rPr>
          <w:rFonts w:cs="Arial"/>
        </w:rPr>
        <w:t>behaviors</w:t>
      </w:r>
      <w:proofErr w:type="spellEnd"/>
      <w:r w:rsidRPr="001518E1">
        <w:rPr>
          <w:rFonts w:cs="Arial"/>
        </w:rPr>
        <w:t xml:space="preserve"> and OTU-level bacteria within sex (N=101, Males and Females) (Fig. S5B). Impulsivity measures of indifference point area under the curve and patch change rate area under the curve was significantly correlated to </w:t>
      </w:r>
      <w:proofErr w:type="spellStart"/>
      <w:r w:rsidRPr="001518E1">
        <w:rPr>
          <w:rFonts w:cs="Arial"/>
          <w:i/>
        </w:rPr>
        <w:t>Lachnospiracaea_incertae_sedis</w:t>
      </w:r>
      <w:proofErr w:type="spellEnd"/>
      <w:r w:rsidRPr="001518E1">
        <w:rPr>
          <w:rFonts w:cs="Arial"/>
          <w:i/>
        </w:rPr>
        <w:t xml:space="preserve"> </w:t>
      </w:r>
      <w:r w:rsidRPr="001518E1">
        <w:rPr>
          <w:rFonts w:cs="Arial"/>
        </w:rPr>
        <w:t>OTU_3469 (</w:t>
      </w:r>
      <w:proofErr w:type="spellStart"/>
      <w:r w:rsidRPr="001518E1">
        <w:rPr>
          <w:rFonts w:cs="Arial"/>
        </w:rPr>
        <w:t>Impulsivity.DD.IDPtAUC</w:t>
      </w:r>
      <w:proofErr w:type="spellEnd"/>
      <w:r w:rsidRPr="001518E1">
        <w:rPr>
          <w:rFonts w:cs="Arial"/>
        </w:rPr>
        <w:t xml:space="preserve"> and </w:t>
      </w:r>
      <w:proofErr w:type="spellStart"/>
      <w:r w:rsidRPr="001518E1">
        <w:rPr>
          <w:rFonts w:cs="Arial"/>
        </w:rPr>
        <w:t>Impulsivity.DD.PCRateAUC</w:t>
      </w:r>
      <w:proofErr w:type="spellEnd"/>
      <w:r w:rsidRPr="001518E1">
        <w:rPr>
          <w:rFonts w:cs="Arial"/>
        </w:rPr>
        <w:t xml:space="preserve">, rho&lt;-0.393, p&lt;0.001) in males. In females, indifference point area under the curve and locomotor activity were negatively correlated to </w:t>
      </w:r>
      <w:proofErr w:type="spellStart"/>
      <w:r w:rsidRPr="001518E1">
        <w:rPr>
          <w:rFonts w:cs="Arial"/>
          <w:i/>
        </w:rPr>
        <w:t>Barnesiella</w:t>
      </w:r>
      <w:proofErr w:type="spellEnd"/>
      <w:r w:rsidRPr="001518E1">
        <w:rPr>
          <w:rFonts w:cs="Arial"/>
        </w:rPr>
        <w:t xml:space="preserve"> OTU_114 (</w:t>
      </w:r>
      <w:proofErr w:type="spellStart"/>
      <w:r w:rsidRPr="001518E1">
        <w:rPr>
          <w:rFonts w:cs="Arial"/>
        </w:rPr>
        <w:t>Impulsivity.DD.IDPtAUC</w:t>
      </w:r>
      <w:proofErr w:type="spellEnd"/>
      <w:r w:rsidRPr="001518E1">
        <w:rPr>
          <w:rFonts w:cs="Arial"/>
        </w:rPr>
        <w:t xml:space="preserve"> and </w:t>
      </w:r>
      <w:proofErr w:type="spellStart"/>
      <w:r w:rsidRPr="001518E1">
        <w:rPr>
          <w:rFonts w:cs="Arial"/>
        </w:rPr>
        <w:t>Loco.Activity</w:t>
      </w:r>
      <w:proofErr w:type="spellEnd"/>
      <w:r w:rsidRPr="001518E1">
        <w:rPr>
          <w:rFonts w:cs="Arial"/>
        </w:rPr>
        <w:t xml:space="preserve">, rho&lt;-0.407, p&lt;0.001). In males, exploratory rearing was positively correlated to </w:t>
      </w:r>
      <w:r w:rsidRPr="001518E1">
        <w:rPr>
          <w:rFonts w:cs="Arial"/>
          <w:i/>
        </w:rPr>
        <w:t xml:space="preserve">Clostridium </w:t>
      </w:r>
      <w:proofErr w:type="spellStart"/>
      <w:r w:rsidRPr="001518E1">
        <w:rPr>
          <w:rFonts w:cs="Arial"/>
        </w:rPr>
        <w:t>XlVa</w:t>
      </w:r>
      <w:proofErr w:type="spellEnd"/>
      <w:r w:rsidRPr="001518E1">
        <w:rPr>
          <w:rFonts w:cs="Arial"/>
        </w:rPr>
        <w:t xml:space="preserve"> OTU_3855; additionally, males had many OTU correlations to sensory preference for CPP floor before testing</w:t>
      </w:r>
      <w:r w:rsidR="00794459">
        <w:rPr>
          <w:rFonts w:cs="Arial"/>
        </w:rPr>
        <w:t>.</w:t>
      </w:r>
      <w:r w:rsidRPr="001518E1">
        <w:rPr>
          <w:rFonts w:cs="Arial"/>
        </w:rPr>
        <w:t xml:space="preserve"> A positive correlation between reward learning and </w:t>
      </w:r>
      <w:proofErr w:type="spellStart"/>
      <w:r w:rsidRPr="001518E1">
        <w:rPr>
          <w:rFonts w:cs="Arial"/>
          <w:i/>
        </w:rPr>
        <w:t>Lachnospiracea</w:t>
      </w:r>
      <w:proofErr w:type="spellEnd"/>
      <w:r w:rsidRPr="001518E1">
        <w:rPr>
          <w:rFonts w:cs="Arial"/>
          <w:i/>
        </w:rPr>
        <w:t xml:space="preserve"> </w:t>
      </w:r>
      <w:proofErr w:type="spellStart"/>
      <w:r w:rsidRPr="001518E1">
        <w:rPr>
          <w:rFonts w:cs="Arial"/>
          <w:i/>
        </w:rPr>
        <w:t>incertae</w:t>
      </w:r>
      <w:proofErr w:type="spellEnd"/>
      <w:r w:rsidRPr="001518E1">
        <w:rPr>
          <w:rFonts w:cs="Arial"/>
          <w:i/>
        </w:rPr>
        <w:t xml:space="preserve"> </w:t>
      </w:r>
      <w:proofErr w:type="spellStart"/>
      <w:r w:rsidRPr="001518E1">
        <w:rPr>
          <w:rFonts w:cs="Arial"/>
          <w:i/>
        </w:rPr>
        <w:t>sedis</w:t>
      </w:r>
      <w:proofErr w:type="spellEnd"/>
      <w:r w:rsidRPr="001518E1">
        <w:rPr>
          <w:rFonts w:cs="Arial"/>
        </w:rPr>
        <w:t xml:space="preserve"> OTU_152 was seen in females (</w:t>
      </w:r>
      <w:proofErr w:type="spellStart"/>
      <w:r w:rsidRPr="001518E1">
        <w:rPr>
          <w:rFonts w:cs="Arial"/>
        </w:rPr>
        <w:t>Reward.Learning.LR.Active</w:t>
      </w:r>
      <w:proofErr w:type="spellEnd"/>
      <w:r w:rsidRPr="001518E1">
        <w:rPr>
          <w:rFonts w:cs="Arial"/>
        </w:rPr>
        <w:t>, rho=0.407, p=2.44e-05) (Fig. S5B).</w:t>
      </w:r>
    </w:p>
    <w:p w14:paraId="38FDB5A3" w14:textId="77777777" w:rsidR="004360A2" w:rsidRPr="001518E1" w:rsidRDefault="004360A2" w:rsidP="004360A2">
      <w:pPr>
        <w:spacing w:line="360" w:lineRule="auto"/>
        <w:rPr>
          <w:rFonts w:cs="Arial"/>
        </w:rPr>
      </w:pPr>
      <w:r w:rsidRPr="001518E1">
        <w:rPr>
          <w:rFonts w:cs="Arial"/>
        </w:rPr>
        <w:br w:type="page"/>
      </w:r>
    </w:p>
    <w:p w14:paraId="782DFC23" w14:textId="77777777" w:rsidR="004360A2" w:rsidRPr="001518E1" w:rsidRDefault="004360A2" w:rsidP="004360A2">
      <w:pPr>
        <w:spacing w:line="360" w:lineRule="auto"/>
        <w:rPr>
          <w:rFonts w:cs="Arial"/>
          <w:sz w:val="20"/>
          <w:szCs w:val="20"/>
        </w:rPr>
      </w:pPr>
      <w:r w:rsidRPr="001518E1">
        <w:rPr>
          <w:rFonts w:cs="Arial"/>
          <w:noProof/>
          <w:sz w:val="20"/>
          <w:szCs w:val="20"/>
        </w:rPr>
        <w:lastRenderedPageBreak/>
        <w:drawing>
          <wp:inline distT="0" distB="0" distL="0" distR="0" wp14:anchorId="13ACE399" wp14:editId="6AA429BD">
            <wp:extent cx="4891315" cy="6922003"/>
            <wp:effectExtent l="0" t="0" r="5080" b="0"/>
            <wp:docPr id="30" name="Picture 30"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4.OTUcorr copy.png"/>
                    <pic:cNvPicPr/>
                  </pic:nvPicPr>
                  <pic:blipFill>
                    <a:blip r:embed="rId9"/>
                    <a:stretch>
                      <a:fillRect/>
                    </a:stretch>
                  </pic:blipFill>
                  <pic:spPr>
                    <a:xfrm>
                      <a:off x="0" y="0"/>
                      <a:ext cx="4895370" cy="6927742"/>
                    </a:xfrm>
                    <a:prstGeom prst="rect">
                      <a:avLst/>
                    </a:prstGeom>
                  </pic:spPr>
                </pic:pic>
              </a:graphicData>
            </a:graphic>
          </wp:inline>
        </w:drawing>
      </w:r>
    </w:p>
    <w:p w14:paraId="172EC753" w14:textId="367197DB" w:rsidR="004360A2" w:rsidRPr="001518E1" w:rsidRDefault="004360A2" w:rsidP="004360A2">
      <w:pPr>
        <w:spacing w:line="360" w:lineRule="auto"/>
        <w:rPr>
          <w:rFonts w:cs="Arial"/>
          <w:i/>
          <w:szCs w:val="24"/>
        </w:rPr>
      </w:pPr>
      <w:r w:rsidRPr="001518E1">
        <w:rPr>
          <w:rFonts w:cs="Arial"/>
          <w:b/>
          <w:i/>
          <w:szCs w:val="24"/>
        </w:rPr>
        <w:t>Supplementary Figure 5 – Correlation Analysis</w:t>
      </w:r>
      <w:r w:rsidRPr="001518E1">
        <w:rPr>
          <w:rFonts w:cs="Arial"/>
          <w:i/>
          <w:szCs w:val="24"/>
        </w:rPr>
        <w:t xml:space="preserve">. A) Correlations between OUT-level bacteria and </w:t>
      </w:r>
      <w:proofErr w:type="spellStart"/>
      <w:r w:rsidRPr="001518E1">
        <w:rPr>
          <w:rFonts w:cs="Arial"/>
          <w:i/>
          <w:szCs w:val="24"/>
        </w:rPr>
        <w:t>behavior</w:t>
      </w:r>
      <w:proofErr w:type="spellEnd"/>
      <w:r w:rsidRPr="001518E1">
        <w:rPr>
          <w:rFonts w:cs="Arial"/>
          <w:i/>
          <w:szCs w:val="24"/>
        </w:rPr>
        <w:t xml:space="preserve"> in all subjects. Significance that passes FDR indicate</w:t>
      </w:r>
      <w:r w:rsidR="00794459">
        <w:rPr>
          <w:rFonts w:cs="Arial"/>
          <w:i/>
          <w:szCs w:val="24"/>
        </w:rPr>
        <w:t>d</w:t>
      </w:r>
      <w:r w:rsidRPr="001518E1">
        <w:rPr>
          <w:rFonts w:cs="Arial"/>
          <w:i/>
          <w:szCs w:val="24"/>
        </w:rPr>
        <w:t xml:space="preserve"> by </w:t>
      </w:r>
      <w:r w:rsidR="00794459">
        <w:rPr>
          <w:rFonts w:cs="Arial"/>
          <w:i/>
          <w:szCs w:val="24"/>
        </w:rPr>
        <w:t xml:space="preserve">an </w:t>
      </w:r>
      <w:r w:rsidRPr="001518E1">
        <w:rPr>
          <w:rFonts w:cs="Arial"/>
          <w:i/>
          <w:szCs w:val="24"/>
        </w:rPr>
        <w:t>asterisk (q&lt;0.05)</w:t>
      </w:r>
      <w:r w:rsidR="00794459">
        <w:rPr>
          <w:rFonts w:cs="Arial"/>
          <w:i/>
          <w:szCs w:val="24"/>
        </w:rPr>
        <w:t>.</w:t>
      </w:r>
      <w:r w:rsidRPr="001518E1">
        <w:rPr>
          <w:rFonts w:cs="Arial"/>
          <w:i/>
          <w:szCs w:val="24"/>
        </w:rPr>
        <w:t xml:space="preserve"> B) Correlation between OTU-level bacteria within sex and </w:t>
      </w:r>
      <w:proofErr w:type="spellStart"/>
      <w:r w:rsidRPr="001518E1">
        <w:rPr>
          <w:rFonts w:cs="Arial"/>
          <w:i/>
          <w:szCs w:val="24"/>
        </w:rPr>
        <w:t>behavior</w:t>
      </w:r>
      <w:proofErr w:type="spellEnd"/>
      <w:r w:rsidRPr="001518E1">
        <w:rPr>
          <w:rFonts w:cs="Arial"/>
          <w:i/>
          <w:szCs w:val="24"/>
        </w:rPr>
        <w:t>. Significance that passes FDR indicate</w:t>
      </w:r>
      <w:r w:rsidR="00956BC8">
        <w:rPr>
          <w:rFonts w:cs="Arial"/>
          <w:i/>
          <w:szCs w:val="24"/>
        </w:rPr>
        <w:t>d</w:t>
      </w:r>
      <w:r w:rsidRPr="001518E1">
        <w:rPr>
          <w:rFonts w:cs="Arial"/>
          <w:i/>
          <w:szCs w:val="24"/>
        </w:rPr>
        <w:t xml:space="preserve"> by </w:t>
      </w:r>
      <w:r w:rsidR="00956BC8">
        <w:rPr>
          <w:rFonts w:cs="Arial"/>
          <w:i/>
          <w:szCs w:val="24"/>
        </w:rPr>
        <w:t xml:space="preserve">an </w:t>
      </w:r>
      <w:r w:rsidRPr="001518E1">
        <w:rPr>
          <w:rFonts w:cs="Arial"/>
          <w:i/>
          <w:szCs w:val="24"/>
        </w:rPr>
        <w:t>asterisk (q&lt;0.15). Positive correlations indicated in red, negative correlations indicated in blue.</w:t>
      </w:r>
    </w:p>
    <w:p w14:paraId="72095734" w14:textId="6B636963" w:rsidR="00791738" w:rsidRPr="001518E1" w:rsidRDefault="00791738" w:rsidP="004360A2">
      <w:pPr>
        <w:spacing w:line="360" w:lineRule="auto"/>
        <w:rPr>
          <w:rFonts w:cs="Arial"/>
          <w:i/>
          <w:szCs w:val="24"/>
        </w:rPr>
      </w:pPr>
    </w:p>
    <w:p w14:paraId="5FCEF2C6" w14:textId="7CDEFC55" w:rsidR="00791738" w:rsidRPr="001518E1" w:rsidRDefault="00791738" w:rsidP="004360A2">
      <w:pPr>
        <w:spacing w:line="360" w:lineRule="auto"/>
        <w:rPr>
          <w:rFonts w:cs="Arial"/>
          <w:b/>
          <w:i/>
          <w:szCs w:val="24"/>
        </w:rPr>
      </w:pPr>
      <w:r w:rsidRPr="001518E1">
        <w:rPr>
          <w:rFonts w:cs="Arial"/>
          <w:b/>
          <w:i/>
          <w:noProof/>
          <w:szCs w:val="24"/>
        </w:rPr>
        <w:lastRenderedPageBreak/>
        <w:drawing>
          <wp:inline distT="0" distB="0" distL="0" distR="0" wp14:anchorId="6EC60E9E" wp14:editId="2BDED4BF">
            <wp:extent cx="7448868" cy="5615948"/>
            <wp:effectExtent l="1905" t="0" r="1905" b="1905"/>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male.RF copy.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7475192" cy="5635795"/>
                    </a:xfrm>
                    <a:prstGeom prst="rect">
                      <a:avLst/>
                    </a:prstGeom>
                  </pic:spPr>
                </pic:pic>
              </a:graphicData>
            </a:graphic>
          </wp:inline>
        </w:drawing>
      </w:r>
    </w:p>
    <w:p w14:paraId="118346EA" w14:textId="21EA7E4A" w:rsidR="00791738" w:rsidRPr="001518E1" w:rsidRDefault="00791738" w:rsidP="004360A2">
      <w:pPr>
        <w:spacing w:line="360" w:lineRule="auto"/>
        <w:rPr>
          <w:rFonts w:cs="Arial"/>
          <w:i/>
          <w:szCs w:val="24"/>
        </w:rPr>
      </w:pPr>
      <w:r w:rsidRPr="001518E1">
        <w:rPr>
          <w:rFonts w:cs="Arial"/>
          <w:b/>
          <w:i/>
          <w:szCs w:val="24"/>
        </w:rPr>
        <w:t xml:space="preserve">Supplementary Figure </w:t>
      </w:r>
      <w:r w:rsidR="004B2A33" w:rsidRPr="001518E1">
        <w:rPr>
          <w:rFonts w:cs="Arial"/>
          <w:b/>
          <w:i/>
          <w:szCs w:val="24"/>
        </w:rPr>
        <w:t>6</w:t>
      </w:r>
      <w:r w:rsidRPr="001518E1">
        <w:rPr>
          <w:rFonts w:cs="Arial"/>
          <w:b/>
          <w:i/>
          <w:szCs w:val="24"/>
        </w:rPr>
        <w:t xml:space="preserve"> – </w:t>
      </w:r>
      <w:r w:rsidR="004B2A33" w:rsidRPr="001518E1">
        <w:rPr>
          <w:rFonts w:cs="Arial"/>
          <w:b/>
          <w:i/>
          <w:szCs w:val="24"/>
        </w:rPr>
        <w:t xml:space="preserve"> Random Forest Analysis in Females. </w:t>
      </w:r>
      <w:r w:rsidRPr="001518E1">
        <w:rPr>
          <w:rFonts w:cs="Arial"/>
          <w:i/>
          <w:szCs w:val="24"/>
        </w:rPr>
        <w:t xml:space="preserve">A) </w:t>
      </w:r>
      <w:r w:rsidR="004B2A33" w:rsidRPr="001518E1">
        <w:rPr>
          <w:rFonts w:cs="Arial"/>
          <w:i/>
          <w:szCs w:val="24"/>
        </w:rPr>
        <w:t xml:space="preserve">Shows important OTUs associated to variance in </w:t>
      </w:r>
      <w:proofErr w:type="spellStart"/>
      <w:r w:rsidR="004B2A33" w:rsidRPr="001518E1">
        <w:rPr>
          <w:rFonts w:cs="Arial"/>
          <w:i/>
          <w:szCs w:val="24"/>
        </w:rPr>
        <w:t>PavCA</w:t>
      </w:r>
      <w:proofErr w:type="spellEnd"/>
      <w:r w:rsidR="004B2A33" w:rsidRPr="001518E1">
        <w:rPr>
          <w:rFonts w:cs="Arial"/>
          <w:i/>
          <w:szCs w:val="24"/>
        </w:rPr>
        <w:t xml:space="preserve"> Index Score, used for GT/ST grouping. B) Shows important OTUs associated to variance in </w:t>
      </w:r>
      <w:proofErr w:type="spellStart"/>
      <w:r w:rsidR="004B2A33" w:rsidRPr="001518E1">
        <w:rPr>
          <w:rFonts w:cs="Arial"/>
          <w:i/>
          <w:szCs w:val="24"/>
        </w:rPr>
        <w:t>behavior</w:t>
      </w:r>
      <w:proofErr w:type="spellEnd"/>
      <w:r w:rsidR="004B2A33" w:rsidRPr="001518E1">
        <w:rPr>
          <w:rFonts w:cs="Arial"/>
          <w:i/>
          <w:szCs w:val="24"/>
        </w:rPr>
        <w:t xml:space="preserve"> NMDS x-axis values taken from Supplementary Figure 1C.</w:t>
      </w:r>
    </w:p>
    <w:p w14:paraId="3BFBA6EA" w14:textId="403F242B" w:rsidR="004B2A33" w:rsidRPr="001518E1" w:rsidRDefault="004B2A33" w:rsidP="004360A2">
      <w:pPr>
        <w:spacing w:line="360" w:lineRule="auto"/>
        <w:rPr>
          <w:rFonts w:cs="Arial"/>
          <w:i/>
          <w:szCs w:val="24"/>
        </w:rPr>
      </w:pPr>
    </w:p>
    <w:p w14:paraId="376D3A6E" w14:textId="583F9EF8" w:rsidR="004B2A33" w:rsidRPr="001518E1" w:rsidRDefault="004B2A33" w:rsidP="004B2A33">
      <w:pPr>
        <w:spacing w:line="360" w:lineRule="auto"/>
        <w:rPr>
          <w:rFonts w:cs="Arial"/>
          <w:b/>
          <w:i/>
          <w:szCs w:val="24"/>
        </w:rPr>
      </w:pPr>
      <w:r w:rsidRPr="001518E1">
        <w:rPr>
          <w:rFonts w:cs="Arial"/>
          <w:b/>
          <w:i/>
          <w:noProof/>
          <w:szCs w:val="24"/>
        </w:rPr>
        <w:drawing>
          <wp:inline distT="0" distB="0" distL="0" distR="0" wp14:anchorId="1BC286B5" wp14:editId="6EAF82CC">
            <wp:extent cx="7275195" cy="5568031"/>
            <wp:effectExtent l="0" t="3492" r="0" b="0"/>
            <wp:docPr id="3" name="Picture 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le.RF copy.jp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7301454" cy="5588128"/>
                    </a:xfrm>
                    <a:prstGeom prst="rect">
                      <a:avLst/>
                    </a:prstGeom>
                  </pic:spPr>
                </pic:pic>
              </a:graphicData>
            </a:graphic>
          </wp:inline>
        </w:drawing>
      </w:r>
    </w:p>
    <w:p w14:paraId="746767DF" w14:textId="216175A3" w:rsidR="004B2A33" w:rsidRPr="001518E1" w:rsidRDefault="004B2A33" w:rsidP="004B2A33">
      <w:pPr>
        <w:spacing w:line="360" w:lineRule="auto"/>
        <w:rPr>
          <w:rFonts w:cs="Arial"/>
          <w:i/>
          <w:szCs w:val="24"/>
        </w:rPr>
      </w:pPr>
      <w:r w:rsidRPr="001518E1">
        <w:rPr>
          <w:rFonts w:cs="Arial"/>
          <w:b/>
          <w:i/>
          <w:szCs w:val="24"/>
        </w:rPr>
        <w:t xml:space="preserve">Supplementary Figure 7 –  Random Forest Analysis in Males. </w:t>
      </w:r>
      <w:r w:rsidRPr="001518E1">
        <w:rPr>
          <w:rFonts w:cs="Arial"/>
          <w:i/>
          <w:szCs w:val="24"/>
        </w:rPr>
        <w:t xml:space="preserve">A) Shows important OTUs associated to variance in </w:t>
      </w:r>
      <w:proofErr w:type="spellStart"/>
      <w:r w:rsidRPr="001518E1">
        <w:rPr>
          <w:rFonts w:cs="Arial"/>
          <w:i/>
          <w:szCs w:val="24"/>
        </w:rPr>
        <w:t>PavCA</w:t>
      </w:r>
      <w:proofErr w:type="spellEnd"/>
      <w:r w:rsidRPr="001518E1">
        <w:rPr>
          <w:rFonts w:cs="Arial"/>
          <w:i/>
          <w:szCs w:val="24"/>
        </w:rPr>
        <w:t xml:space="preserve"> Index Score, used for GT/ST grouping. B) Shows important OTUs associated to variance in </w:t>
      </w:r>
      <w:proofErr w:type="spellStart"/>
      <w:r w:rsidRPr="001518E1">
        <w:rPr>
          <w:rFonts w:cs="Arial"/>
          <w:i/>
          <w:szCs w:val="24"/>
        </w:rPr>
        <w:t>behavior</w:t>
      </w:r>
      <w:proofErr w:type="spellEnd"/>
      <w:r w:rsidRPr="001518E1">
        <w:rPr>
          <w:rFonts w:cs="Arial"/>
          <w:i/>
          <w:szCs w:val="24"/>
        </w:rPr>
        <w:t xml:space="preserve"> NMDS x-axis values taken from Supplementary Figure 1B.</w:t>
      </w:r>
    </w:p>
    <w:p w14:paraId="78A17153" w14:textId="77777777" w:rsidR="004360A2" w:rsidRPr="001518E1" w:rsidRDefault="004360A2" w:rsidP="004360A2">
      <w:pPr>
        <w:pStyle w:val="Heading5"/>
        <w:spacing w:line="360" w:lineRule="auto"/>
      </w:pPr>
      <w:r w:rsidRPr="001518E1">
        <w:lastRenderedPageBreak/>
        <w:t xml:space="preserve">Correlations to </w:t>
      </w:r>
      <w:proofErr w:type="spellStart"/>
      <w:r w:rsidRPr="001518E1">
        <w:t>Behavioral</w:t>
      </w:r>
      <w:proofErr w:type="spellEnd"/>
      <w:r w:rsidRPr="001518E1">
        <w:t xml:space="preserve"> Phenotype Cluster X-axis and OTUs</w:t>
      </w:r>
    </w:p>
    <w:p w14:paraId="64856381" w14:textId="77777777" w:rsidR="004360A2" w:rsidRPr="001518E1" w:rsidRDefault="004360A2" w:rsidP="004360A2">
      <w:pPr>
        <w:spacing w:line="360" w:lineRule="auto"/>
        <w:rPr>
          <w:rFonts w:cs="Arial"/>
        </w:rPr>
      </w:pPr>
      <w:proofErr w:type="spellStart"/>
      <w:r w:rsidRPr="001518E1">
        <w:rPr>
          <w:rFonts w:cs="Arial"/>
        </w:rPr>
        <w:t>Behavioral</w:t>
      </w:r>
      <w:proofErr w:type="spellEnd"/>
      <w:r w:rsidRPr="001518E1">
        <w:rPr>
          <w:rFonts w:cs="Arial"/>
        </w:rPr>
        <w:t xml:space="preserve"> Phenotype Cluster (Fig. S2A) separated into two clusters along the X-axis. These X-axis values were correlated to OTU abundance. For all samples </w:t>
      </w:r>
      <w:proofErr w:type="spellStart"/>
      <w:r w:rsidRPr="001518E1">
        <w:rPr>
          <w:rFonts w:cs="Arial"/>
        </w:rPr>
        <w:t>qvalue</w:t>
      </w:r>
      <w:proofErr w:type="spellEnd"/>
      <w:r w:rsidRPr="001518E1">
        <w:rPr>
          <w:rFonts w:cs="Arial"/>
        </w:rPr>
        <w:t xml:space="preserve">=0.05, within sex </w:t>
      </w:r>
      <w:proofErr w:type="spellStart"/>
      <w:r w:rsidRPr="001518E1">
        <w:rPr>
          <w:rFonts w:cs="Arial"/>
        </w:rPr>
        <w:t>qvalue</w:t>
      </w:r>
      <w:proofErr w:type="spellEnd"/>
      <w:r w:rsidRPr="001518E1">
        <w:rPr>
          <w:rFonts w:cs="Arial"/>
        </w:rPr>
        <w:t xml:space="preserve">=0.15. </w:t>
      </w:r>
    </w:p>
    <w:p w14:paraId="013633CA" w14:textId="77777777" w:rsidR="004360A2" w:rsidRPr="001518E1" w:rsidRDefault="004360A2" w:rsidP="004360A2">
      <w:pPr>
        <w:pStyle w:val="Heading5"/>
        <w:spacing w:line="360" w:lineRule="auto"/>
      </w:pPr>
      <w:bookmarkStart w:id="10" w:name="_Hlk518435079"/>
      <w:r w:rsidRPr="001518E1">
        <w:t xml:space="preserve">Correlations to </w:t>
      </w:r>
      <w:proofErr w:type="spellStart"/>
      <w:r w:rsidRPr="001518E1">
        <w:t>Behavioral</w:t>
      </w:r>
      <w:proofErr w:type="spellEnd"/>
      <w:r w:rsidRPr="001518E1">
        <w:t xml:space="preserve"> Phenotype Cluster X-axis and OTUs in All </w:t>
      </w:r>
      <w:bookmarkEnd w:id="10"/>
      <w:r w:rsidRPr="001518E1">
        <w:t>samples</w:t>
      </w:r>
    </w:p>
    <w:p w14:paraId="176D845B" w14:textId="77777777" w:rsidR="004360A2" w:rsidRPr="001518E1" w:rsidRDefault="004360A2" w:rsidP="004360A2">
      <w:pPr>
        <w:spacing w:line="360" w:lineRule="auto"/>
        <w:rPr>
          <w:rFonts w:cs="Arial"/>
          <w:i/>
        </w:rPr>
      </w:pPr>
      <w:r w:rsidRPr="001518E1">
        <w:rPr>
          <w:rFonts w:cs="Arial"/>
        </w:rPr>
        <w:t xml:space="preserve">In all samples, X-axis </w:t>
      </w:r>
      <w:proofErr w:type="spellStart"/>
      <w:r w:rsidRPr="001518E1">
        <w:rPr>
          <w:rFonts w:cs="Arial"/>
        </w:rPr>
        <w:t>behavioral</w:t>
      </w:r>
      <w:proofErr w:type="spellEnd"/>
      <w:r w:rsidRPr="001518E1">
        <w:rPr>
          <w:rFonts w:cs="Arial"/>
        </w:rPr>
        <w:t xml:space="preserve"> phenotype cluster values positively correlated to </w:t>
      </w:r>
      <w:proofErr w:type="spellStart"/>
      <w:r w:rsidRPr="001518E1">
        <w:rPr>
          <w:rFonts w:cs="Arial"/>
          <w:i/>
        </w:rPr>
        <w:t>Peptococcus</w:t>
      </w:r>
      <w:proofErr w:type="spellEnd"/>
      <w:r w:rsidRPr="001518E1">
        <w:rPr>
          <w:rFonts w:cs="Arial"/>
          <w:i/>
        </w:rPr>
        <w:t xml:space="preserve"> </w:t>
      </w:r>
      <w:r w:rsidRPr="001518E1">
        <w:rPr>
          <w:rFonts w:cs="Arial"/>
        </w:rPr>
        <w:t xml:space="preserve">OTU_80, </w:t>
      </w:r>
      <w:proofErr w:type="spellStart"/>
      <w:r w:rsidRPr="001518E1">
        <w:rPr>
          <w:rFonts w:cs="Arial"/>
          <w:i/>
        </w:rPr>
        <w:t>Anaeroplasma</w:t>
      </w:r>
      <w:proofErr w:type="spellEnd"/>
      <w:r w:rsidRPr="001518E1">
        <w:rPr>
          <w:rFonts w:cs="Arial"/>
          <w:i/>
        </w:rPr>
        <w:t xml:space="preserve"> </w:t>
      </w:r>
      <w:r w:rsidRPr="001518E1">
        <w:rPr>
          <w:rFonts w:cs="Arial"/>
        </w:rPr>
        <w:t xml:space="preserve">OTU_55, </w:t>
      </w:r>
      <w:proofErr w:type="spellStart"/>
      <w:r w:rsidRPr="001518E1">
        <w:rPr>
          <w:rFonts w:cs="Arial"/>
          <w:i/>
        </w:rPr>
        <w:t>Allobaculum</w:t>
      </w:r>
      <w:proofErr w:type="spellEnd"/>
      <w:r w:rsidRPr="001518E1">
        <w:rPr>
          <w:rFonts w:cs="Arial"/>
          <w:i/>
        </w:rPr>
        <w:t xml:space="preserve"> </w:t>
      </w:r>
      <w:r w:rsidRPr="001518E1">
        <w:rPr>
          <w:rFonts w:cs="Arial"/>
        </w:rPr>
        <w:t xml:space="preserve">OTU_33 and OTU_129, </w:t>
      </w:r>
      <w:proofErr w:type="spellStart"/>
      <w:r w:rsidRPr="001518E1">
        <w:rPr>
          <w:rFonts w:cs="Arial"/>
          <w:i/>
        </w:rPr>
        <w:t>Lachnospiracaeae_incertae_sedis</w:t>
      </w:r>
      <w:proofErr w:type="spellEnd"/>
      <w:r w:rsidRPr="001518E1">
        <w:rPr>
          <w:rFonts w:cs="Arial"/>
          <w:i/>
        </w:rPr>
        <w:t xml:space="preserve"> </w:t>
      </w:r>
      <w:r w:rsidRPr="001518E1">
        <w:rPr>
          <w:rFonts w:cs="Arial"/>
        </w:rPr>
        <w:t xml:space="preserve">OTU_389, </w:t>
      </w:r>
      <w:proofErr w:type="spellStart"/>
      <w:r w:rsidRPr="001518E1">
        <w:rPr>
          <w:rFonts w:cs="Arial"/>
          <w:i/>
        </w:rPr>
        <w:t>Dorea</w:t>
      </w:r>
      <w:proofErr w:type="spellEnd"/>
      <w:r w:rsidRPr="001518E1">
        <w:rPr>
          <w:rFonts w:cs="Arial"/>
        </w:rPr>
        <w:t xml:space="preserve"> OTU_2348, and </w:t>
      </w:r>
      <w:proofErr w:type="spellStart"/>
      <w:r w:rsidRPr="001518E1">
        <w:rPr>
          <w:rFonts w:cs="Arial"/>
          <w:i/>
        </w:rPr>
        <w:t>Acetivibrio</w:t>
      </w:r>
      <w:proofErr w:type="spellEnd"/>
      <w:r w:rsidRPr="001518E1">
        <w:rPr>
          <w:rFonts w:cs="Arial"/>
        </w:rPr>
        <w:t xml:space="preserve"> OTU_586 (rho&gt;0.241, p&lt;0.001) (Table S1). X-axis phenotype cluster was negatively correlated to </w:t>
      </w:r>
      <w:proofErr w:type="spellStart"/>
      <w:r w:rsidRPr="001518E1">
        <w:rPr>
          <w:rFonts w:cs="Arial"/>
          <w:i/>
        </w:rPr>
        <w:t>Anaerostipes</w:t>
      </w:r>
      <w:proofErr w:type="spellEnd"/>
      <w:r w:rsidRPr="001518E1">
        <w:rPr>
          <w:rFonts w:cs="Arial"/>
        </w:rPr>
        <w:t xml:space="preserve"> OTU_5419, </w:t>
      </w:r>
      <w:proofErr w:type="spellStart"/>
      <w:r w:rsidRPr="001518E1">
        <w:rPr>
          <w:rFonts w:cs="Arial"/>
          <w:i/>
        </w:rPr>
        <w:t>Tannerella</w:t>
      </w:r>
      <w:proofErr w:type="spellEnd"/>
      <w:r w:rsidRPr="001518E1">
        <w:rPr>
          <w:rFonts w:cs="Arial"/>
        </w:rPr>
        <w:t xml:space="preserve"> OTU_1263, </w:t>
      </w:r>
      <w:proofErr w:type="spellStart"/>
      <w:r w:rsidRPr="001518E1">
        <w:rPr>
          <w:rFonts w:cs="Arial"/>
          <w:i/>
        </w:rPr>
        <w:t>Barnesiella</w:t>
      </w:r>
      <w:proofErr w:type="spellEnd"/>
      <w:r w:rsidRPr="001518E1">
        <w:rPr>
          <w:rFonts w:cs="Arial"/>
        </w:rPr>
        <w:t xml:space="preserve"> OTU_871 and OTU_726, and </w:t>
      </w:r>
      <w:proofErr w:type="spellStart"/>
      <w:r w:rsidRPr="001518E1">
        <w:rPr>
          <w:rFonts w:cs="Arial"/>
          <w:i/>
        </w:rPr>
        <w:t>Lachnospiracea</w:t>
      </w:r>
      <w:proofErr w:type="spellEnd"/>
      <w:r w:rsidRPr="001518E1">
        <w:rPr>
          <w:rFonts w:cs="Arial"/>
          <w:i/>
        </w:rPr>
        <w:t xml:space="preserve"> </w:t>
      </w:r>
      <w:proofErr w:type="spellStart"/>
      <w:r w:rsidRPr="001518E1">
        <w:rPr>
          <w:rFonts w:cs="Arial"/>
          <w:i/>
        </w:rPr>
        <w:t>incertae</w:t>
      </w:r>
      <w:proofErr w:type="spellEnd"/>
      <w:r w:rsidRPr="001518E1">
        <w:rPr>
          <w:rFonts w:cs="Arial"/>
          <w:i/>
        </w:rPr>
        <w:t xml:space="preserve"> </w:t>
      </w:r>
      <w:proofErr w:type="spellStart"/>
      <w:r w:rsidRPr="001518E1">
        <w:rPr>
          <w:rFonts w:cs="Arial"/>
          <w:i/>
        </w:rPr>
        <w:t>sedis</w:t>
      </w:r>
      <w:proofErr w:type="spellEnd"/>
      <w:r w:rsidRPr="001518E1">
        <w:rPr>
          <w:rFonts w:cs="Arial"/>
        </w:rPr>
        <w:t xml:space="preserve"> OTU_3 (rho&lt;-0.240, p&lt;0.001) (Table S1).</w:t>
      </w:r>
    </w:p>
    <w:p w14:paraId="1BD8398D" w14:textId="77777777" w:rsidR="004360A2" w:rsidRPr="001518E1" w:rsidRDefault="004360A2" w:rsidP="004360A2">
      <w:pPr>
        <w:pStyle w:val="Heading5"/>
        <w:spacing w:line="360" w:lineRule="auto"/>
      </w:pPr>
      <w:r w:rsidRPr="001518E1">
        <w:t xml:space="preserve">Correlations to </w:t>
      </w:r>
      <w:proofErr w:type="spellStart"/>
      <w:r w:rsidRPr="001518E1">
        <w:t>Behavioral</w:t>
      </w:r>
      <w:proofErr w:type="spellEnd"/>
      <w:r w:rsidRPr="001518E1">
        <w:t xml:space="preserve"> Phenotype Cluster X-axis and OTUs within Sex</w:t>
      </w:r>
    </w:p>
    <w:p w14:paraId="5124A340" w14:textId="77777777" w:rsidR="004360A2" w:rsidRPr="001518E1" w:rsidRDefault="004360A2" w:rsidP="004360A2">
      <w:pPr>
        <w:spacing w:line="360" w:lineRule="auto"/>
        <w:rPr>
          <w:rFonts w:cs="Arial"/>
        </w:rPr>
      </w:pPr>
      <w:r w:rsidRPr="001518E1">
        <w:rPr>
          <w:rFonts w:cs="Arial"/>
        </w:rPr>
        <w:t xml:space="preserve">In males, X-axis </w:t>
      </w:r>
      <w:proofErr w:type="spellStart"/>
      <w:r w:rsidRPr="001518E1">
        <w:rPr>
          <w:rFonts w:cs="Arial"/>
        </w:rPr>
        <w:t>behavioral</w:t>
      </w:r>
      <w:proofErr w:type="spellEnd"/>
      <w:r w:rsidRPr="001518E1">
        <w:rPr>
          <w:rFonts w:cs="Arial"/>
        </w:rPr>
        <w:t xml:space="preserve"> phenotype cluster values positively correlated to alpha diversity measures (Observed and Chao1, rho=0.236, p&lt;0.5). In females, X-axis values </w:t>
      </w:r>
      <w:proofErr w:type="spellStart"/>
      <w:r w:rsidRPr="001518E1">
        <w:rPr>
          <w:rFonts w:cs="Arial"/>
        </w:rPr>
        <w:t>behavioral</w:t>
      </w:r>
      <w:proofErr w:type="spellEnd"/>
      <w:r w:rsidRPr="001518E1">
        <w:rPr>
          <w:rFonts w:cs="Arial"/>
        </w:rPr>
        <w:t xml:space="preserve"> phenotype cluster (Fig. S2A) negatively correlated to Shannon index alpha diversity measure and </w:t>
      </w:r>
      <w:proofErr w:type="spellStart"/>
      <w:r w:rsidRPr="001518E1">
        <w:rPr>
          <w:rFonts w:cs="Arial"/>
          <w:i/>
        </w:rPr>
        <w:t>Barnesiella</w:t>
      </w:r>
      <w:proofErr w:type="spellEnd"/>
      <w:r w:rsidRPr="001518E1">
        <w:rPr>
          <w:rFonts w:cs="Arial"/>
        </w:rPr>
        <w:t xml:space="preserve"> OTU_253 (rho&lt;-0.231, p&lt;0.05). </w:t>
      </w:r>
    </w:p>
    <w:p w14:paraId="05979D9A" w14:textId="77777777" w:rsidR="004360A2" w:rsidRPr="001518E1" w:rsidRDefault="004360A2" w:rsidP="004360A2">
      <w:pPr>
        <w:spacing w:line="360" w:lineRule="auto"/>
        <w:rPr>
          <w:rFonts w:cs="Arial"/>
        </w:rPr>
      </w:pPr>
      <w:r w:rsidRPr="001518E1">
        <w:rPr>
          <w:rFonts w:cs="Arial"/>
        </w:rPr>
        <w:br w:type="page"/>
      </w:r>
    </w:p>
    <w:tbl>
      <w:tblPr>
        <w:tblW w:w="8580" w:type="dxa"/>
        <w:tblCellMar>
          <w:left w:w="0" w:type="dxa"/>
          <w:right w:w="0" w:type="dxa"/>
        </w:tblCellMar>
        <w:tblLook w:val="0600" w:firstRow="0" w:lastRow="0" w:firstColumn="0" w:lastColumn="0" w:noHBand="1" w:noVBand="1"/>
      </w:tblPr>
      <w:tblGrid>
        <w:gridCol w:w="6660"/>
        <w:gridCol w:w="960"/>
        <w:gridCol w:w="960"/>
      </w:tblGrid>
      <w:tr w:rsidR="004360A2" w:rsidRPr="001518E1" w14:paraId="4C3002D1" w14:textId="77777777" w:rsidTr="00401237">
        <w:trPr>
          <w:trHeight w:val="300"/>
        </w:trPr>
        <w:tc>
          <w:tcPr>
            <w:tcW w:w="6660" w:type="dxa"/>
            <w:tcBorders>
              <w:top w:val="single" w:sz="18" w:space="0" w:color="000000"/>
              <w:left w:val="nil"/>
              <w:bottom w:val="nil"/>
              <w:right w:val="nil"/>
            </w:tcBorders>
            <w:shd w:val="clear" w:color="auto" w:fill="FFFFFF"/>
            <w:tcMar>
              <w:top w:w="15" w:type="dxa"/>
              <w:left w:w="15" w:type="dxa"/>
              <w:bottom w:w="0" w:type="dxa"/>
              <w:right w:w="15" w:type="dxa"/>
            </w:tcMar>
            <w:vAlign w:val="center"/>
            <w:hideMark/>
          </w:tcPr>
          <w:p w14:paraId="2485DE23" w14:textId="77777777" w:rsidR="004360A2" w:rsidRPr="001518E1" w:rsidRDefault="004360A2" w:rsidP="004360A2">
            <w:pPr>
              <w:spacing w:line="360" w:lineRule="auto"/>
              <w:rPr>
                <w:rFonts w:cs="Arial"/>
                <w:sz w:val="20"/>
                <w:szCs w:val="20"/>
              </w:rPr>
            </w:pPr>
            <w:r w:rsidRPr="001518E1">
              <w:rPr>
                <w:rFonts w:cs="Arial"/>
                <w:b/>
                <w:bCs/>
                <w:sz w:val="20"/>
                <w:szCs w:val="20"/>
              </w:rPr>
              <w:lastRenderedPageBreak/>
              <w:t>OTU</w:t>
            </w:r>
          </w:p>
        </w:tc>
        <w:tc>
          <w:tcPr>
            <w:tcW w:w="960" w:type="dxa"/>
            <w:tcBorders>
              <w:top w:val="single" w:sz="18" w:space="0" w:color="000000"/>
              <w:left w:val="nil"/>
              <w:bottom w:val="nil"/>
              <w:right w:val="nil"/>
            </w:tcBorders>
            <w:shd w:val="clear" w:color="auto" w:fill="FFFFFF"/>
            <w:tcMar>
              <w:top w:w="15" w:type="dxa"/>
              <w:left w:w="15" w:type="dxa"/>
              <w:bottom w:w="0" w:type="dxa"/>
              <w:right w:w="15" w:type="dxa"/>
            </w:tcMar>
            <w:vAlign w:val="center"/>
            <w:hideMark/>
          </w:tcPr>
          <w:p w14:paraId="3EA7993D" w14:textId="77777777" w:rsidR="004360A2" w:rsidRPr="001518E1" w:rsidRDefault="004360A2" w:rsidP="004360A2">
            <w:pPr>
              <w:spacing w:line="360" w:lineRule="auto"/>
              <w:rPr>
                <w:rFonts w:cs="Arial"/>
                <w:sz w:val="20"/>
                <w:szCs w:val="20"/>
              </w:rPr>
            </w:pPr>
            <w:r w:rsidRPr="001518E1">
              <w:rPr>
                <w:rFonts w:cs="Arial"/>
                <w:b/>
                <w:bCs/>
                <w:sz w:val="20"/>
                <w:szCs w:val="20"/>
              </w:rPr>
              <w:t>rho</w:t>
            </w:r>
          </w:p>
        </w:tc>
        <w:tc>
          <w:tcPr>
            <w:tcW w:w="960" w:type="dxa"/>
            <w:tcBorders>
              <w:top w:val="single" w:sz="18" w:space="0" w:color="000000"/>
              <w:left w:val="nil"/>
              <w:bottom w:val="nil"/>
              <w:right w:val="nil"/>
            </w:tcBorders>
            <w:shd w:val="clear" w:color="auto" w:fill="FFFFFF"/>
            <w:tcMar>
              <w:top w:w="15" w:type="dxa"/>
              <w:left w:w="15" w:type="dxa"/>
              <w:bottom w:w="0" w:type="dxa"/>
              <w:right w:w="15" w:type="dxa"/>
            </w:tcMar>
            <w:vAlign w:val="center"/>
            <w:hideMark/>
          </w:tcPr>
          <w:p w14:paraId="3EAE9FAA" w14:textId="77777777" w:rsidR="004360A2" w:rsidRPr="001518E1" w:rsidRDefault="004360A2" w:rsidP="004360A2">
            <w:pPr>
              <w:spacing w:line="360" w:lineRule="auto"/>
              <w:rPr>
                <w:rFonts w:cs="Arial"/>
                <w:sz w:val="20"/>
                <w:szCs w:val="20"/>
              </w:rPr>
            </w:pPr>
            <w:proofErr w:type="spellStart"/>
            <w:r w:rsidRPr="001518E1">
              <w:rPr>
                <w:rFonts w:cs="Arial"/>
                <w:b/>
                <w:bCs/>
                <w:sz w:val="20"/>
                <w:szCs w:val="20"/>
              </w:rPr>
              <w:t>Pvalue</w:t>
            </w:r>
            <w:proofErr w:type="spellEnd"/>
          </w:p>
        </w:tc>
      </w:tr>
      <w:tr w:rsidR="004360A2" w:rsidRPr="001518E1" w14:paraId="4E703731"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68E8DF65" w14:textId="77777777" w:rsidR="004360A2" w:rsidRPr="001518E1" w:rsidRDefault="004360A2" w:rsidP="004360A2">
            <w:pPr>
              <w:spacing w:line="360" w:lineRule="auto"/>
              <w:rPr>
                <w:rFonts w:cs="Arial"/>
                <w:sz w:val="20"/>
                <w:szCs w:val="20"/>
              </w:rPr>
            </w:pPr>
            <w:proofErr w:type="spellStart"/>
            <w:r w:rsidRPr="001518E1">
              <w:rPr>
                <w:rFonts w:cs="Arial"/>
                <w:sz w:val="20"/>
                <w:szCs w:val="20"/>
              </w:rPr>
              <w:t>Firmicutes.Peptococcaceae</w:t>
            </w:r>
            <w:proofErr w:type="spellEnd"/>
            <w:r w:rsidRPr="001518E1">
              <w:rPr>
                <w:rFonts w:cs="Arial"/>
                <w:sz w:val="20"/>
                <w:szCs w:val="20"/>
              </w:rPr>
              <w:t xml:space="preserve"> 1.Peptococcus.OTU_80</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48CF0CDE" w14:textId="77777777" w:rsidR="004360A2" w:rsidRPr="001518E1" w:rsidRDefault="004360A2" w:rsidP="004360A2">
            <w:pPr>
              <w:spacing w:line="360" w:lineRule="auto"/>
              <w:rPr>
                <w:rFonts w:cs="Arial"/>
                <w:sz w:val="20"/>
                <w:szCs w:val="20"/>
              </w:rPr>
            </w:pPr>
            <w:r w:rsidRPr="001518E1">
              <w:rPr>
                <w:rFonts w:cs="Arial"/>
                <w:sz w:val="20"/>
                <w:szCs w:val="20"/>
              </w:rPr>
              <w:t>0.34596</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4A2D7F0F" w14:textId="77777777" w:rsidR="004360A2" w:rsidRPr="001518E1" w:rsidRDefault="004360A2" w:rsidP="004360A2">
            <w:pPr>
              <w:spacing w:line="360" w:lineRule="auto"/>
              <w:rPr>
                <w:rFonts w:cs="Arial"/>
                <w:sz w:val="20"/>
                <w:szCs w:val="20"/>
              </w:rPr>
            </w:pPr>
            <w:r w:rsidRPr="001518E1">
              <w:rPr>
                <w:rFonts w:cs="Arial"/>
                <w:sz w:val="20"/>
                <w:szCs w:val="20"/>
              </w:rPr>
              <w:t>4.58E-07</w:t>
            </w:r>
          </w:p>
        </w:tc>
      </w:tr>
      <w:tr w:rsidR="004360A2" w:rsidRPr="001518E1" w14:paraId="2DBE1806"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42023D59" w14:textId="77777777" w:rsidR="004360A2" w:rsidRPr="001518E1" w:rsidRDefault="004360A2" w:rsidP="004360A2">
            <w:pPr>
              <w:spacing w:line="360" w:lineRule="auto"/>
              <w:rPr>
                <w:rFonts w:cs="Arial"/>
                <w:sz w:val="20"/>
                <w:szCs w:val="20"/>
              </w:rPr>
            </w:pPr>
            <w:r w:rsidRPr="001518E1">
              <w:rPr>
                <w:rFonts w:cs="Arial"/>
                <w:sz w:val="20"/>
                <w:szCs w:val="20"/>
              </w:rPr>
              <w:t>Tenericutes.Anaeroplasmataceae.Anaeroplasma.OTU_55</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6AF86468" w14:textId="77777777" w:rsidR="004360A2" w:rsidRPr="001518E1" w:rsidRDefault="004360A2" w:rsidP="004360A2">
            <w:pPr>
              <w:spacing w:line="360" w:lineRule="auto"/>
              <w:rPr>
                <w:rFonts w:cs="Arial"/>
                <w:sz w:val="20"/>
                <w:szCs w:val="20"/>
              </w:rPr>
            </w:pPr>
            <w:r w:rsidRPr="001518E1">
              <w:rPr>
                <w:rFonts w:cs="Arial"/>
                <w:sz w:val="20"/>
                <w:szCs w:val="20"/>
              </w:rPr>
              <w:t>0.324795</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5630EB42" w14:textId="77777777" w:rsidR="004360A2" w:rsidRPr="001518E1" w:rsidRDefault="004360A2" w:rsidP="004360A2">
            <w:pPr>
              <w:spacing w:line="360" w:lineRule="auto"/>
              <w:rPr>
                <w:rFonts w:cs="Arial"/>
                <w:sz w:val="20"/>
                <w:szCs w:val="20"/>
              </w:rPr>
            </w:pPr>
            <w:r w:rsidRPr="001518E1">
              <w:rPr>
                <w:rFonts w:cs="Arial"/>
                <w:sz w:val="20"/>
                <w:szCs w:val="20"/>
              </w:rPr>
              <w:t>2.40E-06</w:t>
            </w:r>
          </w:p>
        </w:tc>
      </w:tr>
      <w:tr w:rsidR="004360A2" w:rsidRPr="001518E1" w14:paraId="688EF494"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70AC57DF" w14:textId="77777777" w:rsidR="004360A2" w:rsidRPr="001518E1" w:rsidRDefault="004360A2" w:rsidP="004360A2">
            <w:pPr>
              <w:spacing w:line="360" w:lineRule="auto"/>
              <w:rPr>
                <w:rFonts w:cs="Arial"/>
                <w:sz w:val="20"/>
                <w:szCs w:val="20"/>
              </w:rPr>
            </w:pPr>
            <w:r w:rsidRPr="001518E1">
              <w:rPr>
                <w:rFonts w:cs="Arial"/>
                <w:sz w:val="20"/>
                <w:szCs w:val="20"/>
              </w:rPr>
              <w:t>Firmicutes.Erysipelotrichaceae.Allobaculum.OTU_33</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1EB400F9" w14:textId="77777777" w:rsidR="004360A2" w:rsidRPr="001518E1" w:rsidRDefault="004360A2" w:rsidP="004360A2">
            <w:pPr>
              <w:spacing w:line="360" w:lineRule="auto"/>
              <w:rPr>
                <w:rFonts w:cs="Arial"/>
                <w:sz w:val="20"/>
                <w:szCs w:val="20"/>
              </w:rPr>
            </w:pPr>
            <w:r w:rsidRPr="001518E1">
              <w:rPr>
                <w:rFonts w:cs="Arial"/>
                <w:sz w:val="20"/>
                <w:szCs w:val="20"/>
              </w:rPr>
              <w:t>0.308244</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7A9606C7" w14:textId="77777777" w:rsidR="004360A2" w:rsidRPr="001518E1" w:rsidRDefault="004360A2" w:rsidP="004360A2">
            <w:pPr>
              <w:spacing w:line="360" w:lineRule="auto"/>
              <w:rPr>
                <w:rFonts w:cs="Arial"/>
                <w:sz w:val="20"/>
                <w:szCs w:val="20"/>
              </w:rPr>
            </w:pPr>
            <w:r w:rsidRPr="001518E1">
              <w:rPr>
                <w:rFonts w:cs="Arial"/>
                <w:sz w:val="20"/>
                <w:szCs w:val="20"/>
              </w:rPr>
              <w:t>8.08E-06</w:t>
            </w:r>
          </w:p>
        </w:tc>
      </w:tr>
      <w:tr w:rsidR="004360A2" w:rsidRPr="001518E1" w14:paraId="1FC10BB7"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4F49CE5F" w14:textId="77777777" w:rsidR="004360A2" w:rsidRPr="001518E1" w:rsidRDefault="004360A2" w:rsidP="004360A2">
            <w:pPr>
              <w:spacing w:line="360" w:lineRule="auto"/>
              <w:rPr>
                <w:rFonts w:cs="Arial"/>
                <w:sz w:val="20"/>
                <w:szCs w:val="20"/>
              </w:rPr>
            </w:pPr>
            <w:r w:rsidRPr="001518E1">
              <w:rPr>
                <w:rFonts w:cs="Arial"/>
                <w:sz w:val="20"/>
                <w:szCs w:val="20"/>
              </w:rPr>
              <w:t>Firmicutes.Lachnospiraceae.Lachnospiracea_incertae_sedis.OTU_389</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5D7EEEF9" w14:textId="77777777" w:rsidR="004360A2" w:rsidRPr="001518E1" w:rsidRDefault="004360A2" w:rsidP="004360A2">
            <w:pPr>
              <w:spacing w:line="360" w:lineRule="auto"/>
              <w:rPr>
                <w:rFonts w:cs="Arial"/>
                <w:sz w:val="20"/>
                <w:szCs w:val="20"/>
              </w:rPr>
            </w:pPr>
            <w:r w:rsidRPr="001518E1">
              <w:rPr>
                <w:rFonts w:cs="Arial"/>
                <w:sz w:val="20"/>
                <w:szCs w:val="20"/>
              </w:rPr>
              <w:t>0.276757</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69A2A5D7" w14:textId="77777777" w:rsidR="004360A2" w:rsidRPr="001518E1" w:rsidRDefault="004360A2" w:rsidP="004360A2">
            <w:pPr>
              <w:spacing w:line="360" w:lineRule="auto"/>
              <w:rPr>
                <w:rFonts w:cs="Arial"/>
                <w:sz w:val="20"/>
                <w:szCs w:val="20"/>
              </w:rPr>
            </w:pPr>
            <w:r w:rsidRPr="001518E1">
              <w:rPr>
                <w:rFonts w:cs="Arial"/>
                <w:sz w:val="20"/>
                <w:szCs w:val="20"/>
              </w:rPr>
              <w:t>6.69E-05</w:t>
            </w:r>
          </w:p>
        </w:tc>
      </w:tr>
      <w:tr w:rsidR="004360A2" w:rsidRPr="001518E1" w14:paraId="43D98271"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4BEB2074" w14:textId="77777777" w:rsidR="004360A2" w:rsidRPr="001518E1" w:rsidRDefault="004360A2" w:rsidP="004360A2">
            <w:pPr>
              <w:spacing w:line="360" w:lineRule="auto"/>
              <w:rPr>
                <w:rFonts w:cs="Arial"/>
                <w:sz w:val="20"/>
                <w:szCs w:val="20"/>
              </w:rPr>
            </w:pPr>
            <w:r w:rsidRPr="001518E1">
              <w:rPr>
                <w:rFonts w:cs="Arial"/>
                <w:sz w:val="20"/>
                <w:szCs w:val="20"/>
              </w:rPr>
              <w:t>Firmicutes.Erysipelotrichaceae.Allobaculum.OTU_129</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1648EC18" w14:textId="77777777" w:rsidR="004360A2" w:rsidRPr="001518E1" w:rsidRDefault="004360A2" w:rsidP="004360A2">
            <w:pPr>
              <w:spacing w:line="360" w:lineRule="auto"/>
              <w:rPr>
                <w:rFonts w:cs="Arial"/>
                <w:sz w:val="20"/>
                <w:szCs w:val="20"/>
              </w:rPr>
            </w:pPr>
            <w:r w:rsidRPr="001518E1">
              <w:rPr>
                <w:rFonts w:cs="Arial"/>
                <w:sz w:val="20"/>
                <w:szCs w:val="20"/>
              </w:rPr>
              <w:t>0.265397</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0696020E" w14:textId="77777777" w:rsidR="004360A2" w:rsidRPr="001518E1" w:rsidRDefault="004360A2" w:rsidP="004360A2">
            <w:pPr>
              <w:spacing w:line="360" w:lineRule="auto"/>
              <w:rPr>
                <w:rFonts w:cs="Arial"/>
                <w:sz w:val="20"/>
                <w:szCs w:val="20"/>
              </w:rPr>
            </w:pPr>
            <w:r w:rsidRPr="001518E1">
              <w:rPr>
                <w:rFonts w:cs="Arial"/>
                <w:sz w:val="20"/>
                <w:szCs w:val="20"/>
              </w:rPr>
              <w:t>0.000135</w:t>
            </w:r>
          </w:p>
        </w:tc>
      </w:tr>
      <w:tr w:rsidR="004360A2" w:rsidRPr="001518E1" w14:paraId="3780D4F7"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0A6DFB1A" w14:textId="77777777" w:rsidR="004360A2" w:rsidRPr="001518E1" w:rsidRDefault="004360A2" w:rsidP="004360A2">
            <w:pPr>
              <w:spacing w:line="360" w:lineRule="auto"/>
              <w:rPr>
                <w:rFonts w:cs="Arial"/>
                <w:sz w:val="20"/>
                <w:szCs w:val="20"/>
              </w:rPr>
            </w:pPr>
            <w:r w:rsidRPr="001518E1">
              <w:rPr>
                <w:rFonts w:cs="Arial"/>
                <w:sz w:val="20"/>
                <w:szCs w:val="20"/>
              </w:rPr>
              <w:t>Firmicutes.Lachnospiraceae.Anaerostipes.OTU_5419</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3846C3F3" w14:textId="77777777" w:rsidR="004360A2" w:rsidRPr="001518E1" w:rsidRDefault="004360A2" w:rsidP="004360A2">
            <w:pPr>
              <w:spacing w:line="360" w:lineRule="auto"/>
              <w:rPr>
                <w:rFonts w:cs="Arial"/>
                <w:sz w:val="20"/>
                <w:szCs w:val="20"/>
              </w:rPr>
            </w:pPr>
            <w:r w:rsidRPr="001518E1">
              <w:rPr>
                <w:rFonts w:cs="Arial"/>
                <w:sz w:val="20"/>
                <w:szCs w:val="20"/>
              </w:rPr>
              <w:t>-0.25981</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0DD82144" w14:textId="77777777" w:rsidR="004360A2" w:rsidRPr="001518E1" w:rsidRDefault="004360A2" w:rsidP="004360A2">
            <w:pPr>
              <w:spacing w:line="360" w:lineRule="auto"/>
              <w:rPr>
                <w:rFonts w:cs="Arial"/>
                <w:sz w:val="20"/>
                <w:szCs w:val="20"/>
              </w:rPr>
            </w:pPr>
            <w:r w:rsidRPr="001518E1">
              <w:rPr>
                <w:rFonts w:cs="Arial"/>
                <w:sz w:val="20"/>
                <w:szCs w:val="20"/>
              </w:rPr>
              <w:t>0.000188</w:t>
            </w:r>
          </w:p>
        </w:tc>
      </w:tr>
      <w:tr w:rsidR="004360A2" w:rsidRPr="001518E1" w14:paraId="1F7C861C"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6476E876" w14:textId="77777777" w:rsidR="004360A2" w:rsidRPr="001518E1" w:rsidRDefault="004360A2" w:rsidP="004360A2">
            <w:pPr>
              <w:spacing w:line="360" w:lineRule="auto"/>
              <w:rPr>
                <w:rFonts w:cs="Arial"/>
                <w:sz w:val="20"/>
                <w:szCs w:val="20"/>
              </w:rPr>
            </w:pPr>
            <w:r w:rsidRPr="001518E1">
              <w:rPr>
                <w:rFonts w:cs="Arial"/>
                <w:sz w:val="20"/>
                <w:szCs w:val="20"/>
              </w:rPr>
              <w:t>Bacteroidetes.Porphyromonadaceae.Tannerella.OTU_1263</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40C0E3D0" w14:textId="77777777" w:rsidR="004360A2" w:rsidRPr="001518E1" w:rsidRDefault="004360A2" w:rsidP="004360A2">
            <w:pPr>
              <w:spacing w:line="360" w:lineRule="auto"/>
              <w:rPr>
                <w:rFonts w:cs="Arial"/>
                <w:sz w:val="20"/>
                <w:szCs w:val="20"/>
              </w:rPr>
            </w:pPr>
            <w:r w:rsidRPr="001518E1">
              <w:rPr>
                <w:rFonts w:cs="Arial"/>
                <w:sz w:val="20"/>
                <w:szCs w:val="20"/>
              </w:rPr>
              <w:t>-0.25524</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42F08073" w14:textId="77777777" w:rsidR="004360A2" w:rsidRPr="001518E1" w:rsidRDefault="004360A2" w:rsidP="004360A2">
            <w:pPr>
              <w:spacing w:line="360" w:lineRule="auto"/>
              <w:rPr>
                <w:rFonts w:cs="Arial"/>
                <w:sz w:val="20"/>
                <w:szCs w:val="20"/>
              </w:rPr>
            </w:pPr>
            <w:r w:rsidRPr="001518E1">
              <w:rPr>
                <w:rFonts w:cs="Arial"/>
                <w:sz w:val="20"/>
                <w:szCs w:val="20"/>
              </w:rPr>
              <w:t>0.000246</w:t>
            </w:r>
          </w:p>
        </w:tc>
      </w:tr>
      <w:tr w:rsidR="004360A2" w:rsidRPr="001518E1" w14:paraId="6BEEE14E"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07319AD8" w14:textId="77777777" w:rsidR="004360A2" w:rsidRPr="001518E1" w:rsidRDefault="004360A2" w:rsidP="004360A2">
            <w:pPr>
              <w:spacing w:line="360" w:lineRule="auto"/>
              <w:rPr>
                <w:rFonts w:cs="Arial"/>
                <w:sz w:val="20"/>
                <w:szCs w:val="20"/>
              </w:rPr>
            </w:pPr>
            <w:r w:rsidRPr="001518E1">
              <w:rPr>
                <w:rFonts w:cs="Arial"/>
                <w:sz w:val="20"/>
                <w:szCs w:val="20"/>
              </w:rPr>
              <w:t>Bacteroidetes.Porphyromonadaceae.Barnesiella.OTU_871</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150E0C90" w14:textId="77777777" w:rsidR="004360A2" w:rsidRPr="001518E1" w:rsidRDefault="004360A2" w:rsidP="004360A2">
            <w:pPr>
              <w:spacing w:line="360" w:lineRule="auto"/>
              <w:rPr>
                <w:rFonts w:cs="Arial"/>
                <w:sz w:val="20"/>
                <w:szCs w:val="20"/>
              </w:rPr>
            </w:pPr>
            <w:r w:rsidRPr="001518E1">
              <w:rPr>
                <w:rFonts w:cs="Arial"/>
                <w:sz w:val="20"/>
                <w:szCs w:val="20"/>
              </w:rPr>
              <w:t>-0.2534</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5704BDB6" w14:textId="77777777" w:rsidR="004360A2" w:rsidRPr="001518E1" w:rsidRDefault="004360A2" w:rsidP="004360A2">
            <w:pPr>
              <w:spacing w:line="360" w:lineRule="auto"/>
              <w:rPr>
                <w:rFonts w:cs="Arial"/>
                <w:sz w:val="20"/>
                <w:szCs w:val="20"/>
              </w:rPr>
            </w:pPr>
            <w:r w:rsidRPr="001518E1">
              <w:rPr>
                <w:rFonts w:cs="Arial"/>
                <w:sz w:val="20"/>
                <w:szCs w:val="20"/>
              </w:rPr>
              <w:t>0.000274</w:t>
            </w:r>
          </w:p>
        </w:tc>
      </w:tr>
      <w:tr w:rsidR="004360A2" w:rsidRPr="001518E1" w14:paraId="3AB8C688"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464666A5" w14:textId="77777777" w:rsidR="004360A2" w:rsidRPr="001518E1" w:rsidRDefault="004360A2" w:rsidP="004360A2">
            <w:pPr>
              <w:spacing w:line="360" w:lineRule="auto"/>
              <w:rPr>
                <w:rFonts w:cs="Arial"/>
                <w:sz w:val="20"/>
                <w:szCs w:val="20"/>
              </w:rPr>
            </w:pPr>
            <w:r w:rsidRPr="001518E1">
              <w:rPr>
                <w:rFonts w:cs="Arial"/>
                <w:sz w:val="20"/>
                <w:szCs w:val="20"/>
              </w:rPr>
              <w:t>Firmicutes.Lachnospiraceae.Dorea.OTU_2348</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15DCA4C8" w14:textId="77777777" w:rsidR="004360A2" w:rsidRPr="001518E1" w:rsidRDefault="004360A2" w:rsidP="004360A2">
            <w:pPr>
              <w:spacing w:line="360" w:lineRule="auto"/>
              <w:rPr>
                <w:rFonts w:cs="Arial"/>
                <w:sz w:val="20"/>
                <w:szCs w:val="20"/>
              </w:rPr>
            </w:pPr>
            <w:r w:rsidRPr="001518E1">
              <w:rPr>
                <w:rFonts w:cs="Arial"/>
                <w:sz w:val="20"/>
                <w:szCs w:val="20"/>
              </w:rPr>
              <w:t>0.247933</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4CAA4228" w14:textId="77777777" w:rsidR="004360A2" w:rsidRPr="001518E1" w:rsidRDefault="004360A2" w:rsidP="004360A2">
            <w:pPr>
              <w:spacing w:line="360" w:lineRule="auto"/>
              <w:rPr>
                <w:rFonts w:cs="Arial"/>
                <w:sz w:val="20"/>
                <w:szCs w:val="20"/>
              </w:rPr>
            </w:pPr>
            <w:r w:rsidRPr="001518E1">
              <w:rPr>
                <w:rFonts w:cs="Arial"/>
                <w:sz w:val="20"/>
                <w:szCs w:val="20"/>
              </w:rPr>
              <w:t>0.000374</w:t>
            </w:r>
          </w:p>
        </w:tc>
      </w:tr>
      <w:tr w:rsidR="004360A2" w:rsidRPr="001518E1" w14:paraId="39F75AF5"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5DA52C9E" w14:textId="77777777" w:rsidR="004360A2" w:rsidRPr="001518E1" w:rsidRDefault="004360A2" w:rsidP="004360A2">
            <w:pPr>
              <w:spacing w:line="360" w:lineRule="auto"/>
              <w:rPr>
                <w:rFonts w:cs="Arial"/>
                <w:sz w:val="20"/>
                <w:szCs w:val="20"/>
              </w:rPr>
            </w:pPr>
            <w:r w:rsidRPr="001518E1">
              <w:rPr>
                <w:rFonts w:cs="Arial"/>
                <w:sz w:val="20"/>
                <w:szCs w:val="20"/>
              </w:rPr>
              <w:t>Firmicutes.Lachnospiraceae.Lachnospiracea_incertae_sedis.OTU_3</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24AD81BE" w14:textId="77777777" w:rsidR="004360A2" w:rsidRPr="001518E1" w:rsidRDefault="004360A2" w:rsidP="004360A2">
            <w:pPr>
              <w:spacing w:line="360" w:lineRule="auto"/>
              <w:rPr>
                <w:rFonts w:cs="Arial"/>
                <w:sz w:val="20"/>
                <w:szCs w:val="20"/>
              </w:rPr>
            </w:pPr>
            <w:r w:rsidRPr="001518E1">
              <w:rPr>
                <w:rFonts w:cs="Arial"/>
                <w:sz w:val="20"/>
                <w:szCs w:val="20"/>
              </w:rPr>
              <w:t>-0.24325</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2F570F6B" w14:textId="77777777" w:rsidR="004360A2" w:rsidRPr="001518E1" w:rsidRDefault="004360A2" w:rsidP="004360A2">
            <w:pPr>
              <w:spacing w:line="360" w:lineRule="auto"/>
              <w:rPr>
                <w:rFonts w:cs="Arial"/>
                <w:sz w:val="20"/>
                <w:szCs w:val="20"/>
              </w:rPr>
            </w:pPr>
            <w:r w:rsidRPr="001518E1">
              <w:rPr>
                <w:rFonts w:cs="Arial"/>
                <w:sz w:val="20"/>
                <w:szCs w:val="20"/>
              </w:rPr>
              <w:t>0.000486</w:t>
            </w:r>
          </w:p>
        </w:tc>
      </w:tr>
      <w:tr w:rsidR="004360A2" w:rsidRPr="001518E1" w14:paraId="6878661C" w14:textId="77777777" w:rsidTr="00401237">
        <w:trPr>
          <w:trHeight w:val="300"/>
        </w:trPr>
        <w:tc>
          <w:tcPr>
            <w:tcW w:w="6660" w:type="dxa"/>
            <w:tcBorders>
              <w:top w:val="nil"/>
              <w:left w:val="nil"/>
              <w:bottom w:val="nil"/>
              <w:right w:val="nil"/>
            </w:tcBorders>
            <w:shd w:val="clear" w:color="auto" w:fill="FFFFFF"/>
            <w:tcMar>
              <w:top w:w="15" w:type="dxa"/>
              <w:left w:w="15" w:type="dxa"/>
              <w:bottom w:w="0" w:type="dxa"/>
              <w:right w:w="15" w:type="dxa"/>
            </w:tcMar>
            <w:vAlign w:val="center"/>
            <w:hideMark/>
          </w:tcPr>
          <w:p w14:paraId="61692FBC" w14:textId="77777777" w:rsidR="004360A2" w:rsidRPr="001518E1" w:rsidRDefault="004360A2" w:rsidP="004360A2">
            <w:pPr>
              <w:spacing w:line="360" w:lineRule="auto"/>
              <w:rPr>
                <w:rFonts w:cs="Arial"/>
                <w:sz w:val="20"/>
                <w:szCs w:val="20"/>
              </w:rPr>
            </w:pPr>
            <w:r w:rsidRPr="001518E1">
              <w:rPr>
                <w:rFonts w:cs="Arial"/>
                <w:sz w:val="20"/>
                <w:szCs w:val="20"/>
              </w:rPr>
              <w:t>Firmicutes.Ruminococcaceae.Acetivibrio.OTU_586</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1B592B1F" w14:textId="77777777" w:rsidR="004360A2" w:rsidRPr="001518E1" w:rsidRDefault="004360A2" w:rsidP="004360A2">
            <w:pPr>
              <w:spacing w:line="360" w:lineRule="auto"/>
              <w:rPr>
                <w:rFonts w:cs="Arial"/>
                <w:sz w:val="20"/>
                <w:szCs w:val="20"/>
              </w:rPr>
            </w:pPr>
            <w:r w:rsidRPr="001518E1">
              <w:rPr>
                <w:rFonts w:cs="Arial"/>
                <w:sz w:val="20"/>
                <w:szCs w:val="20"/>
              </w:rPr>
              <w:t>0.241062</w:t>
            </w:r>
          </w:p>
        </w:tc>
        <w:tc>
          <w:tcPr>
            <w:tcW w:w="960" w:type="dxa"/>
            <w:tcBorders>
              <w:top w:val="nil"/>
              <w:left w:val="nil"/>
              <w:bottom w:val="nil"/>
              <w:right w:val="nil"/>
            </w:tcBorders>
            <w:shd w:val="clear" w:color="auto" w:fill="FFFFFF"/>
            <w:tcMar>
              <w:top w:w="15" w:type="dxa"/>
              <w:left w:w="15" w:type="dxa"/>
              <w:bottom w:w="0" w:type="dxa"/>
              <w:right w:w="15" w:type="dxa"/>
            </w:tcMar>
            <w:vAlign w:val="center"/>
            <w:hideMark/>
          </w:tcPr>
          <w:p w14:paraId="46D80659" w14:textId="77777777" w:rsidR="004360A2" w:rsidRPr="001518E1" w:rsidRDefault="004360A2" w:rsidP="004360A2">
            <w:pPr>
              <w:spacing w:line="360" w:lineRule="auto"/>
              <w:rPr>
                <w:rFonts w:cs="Arial"/>
                <w:sz w:val="20"/>
                <w:szCs w:val="20"/>
              </w:rPr>
            </w:pPr>
            <w:r w:rsidRPr="001518E1">
              <w:rPr>
                <w:rFonts w:cs="Arial"/>
                <w:sz w:val="20"/>
                <w:szCs w:val="20"/>
              </w:rPr>
              <w:t>0.000548</w:t>
            </w:r>
          </w:p>
        </w:tc>
      </w:tr>
      <w:tr w:rsidR="004360A2" w:rsidRPr="001518E1" w14:paraId="1298F19C" w14:textId="77777777" w:rsidTr="00401237">
        <w:trPr>
          <w:trHeight w:val="300"/>
        </w:trPr>
        <w:tc>
          <w:tcPr>
            <w:tcW w:w="6660" w:type="dxa"/>
            <w:tcBorders>
              <w:top w:val="nil"/>
              <w:left w:val="nil"/>
              <w:bottom w:val="single" w:sz="18" w:space="0" w:color="000000"/>
              <w:right w:val="nil"/>
            </w:tcBorders>
            <w:shd w:val="clear" w:color="auto" w:fill="FFFFFF"/>
            <w:tcMar>
              <w:top w:w="15" w:type="dxa"/>
              <w:left w:w="15" w:type="dxa"/>
              <w:bottom w:w="0" w:type="dxa"/>
              <w:right w:w="15" w:type="dxa"/>
            </w:tcMar>
            <w:vAlign w:val="center"/>
            <w:hideMark/>
          </w:tcPr>
          <w:p w14:paraId="6DF241F2" w14:textId="77777777" w:rsidR="004360A2" w:rsidRPr="001518E1" w:rsidRDefault="004360A2" w:rsidP="004360A2">
            <w:pPr>
              <w:spacing w:line="360" w:lineRule="auto"/>
              <w:rPr>
                <w:rFonts w:cs="Arial"/>
                <w:sz w:val="20"/>
                <w:szCs w:val="20"/>
              </w:rPr>
            </w:pPr>
            <w:r w:rsidRPr="001518E1">
              <w:rPr>
                <w:rFonts w:cs="Arial"/>
                <w:sz w:val="20"/>
                <w:szCs w:val="20"/>
              </w:rPr>
              <w:t>Bacteroidetes.Porphyromonadaceae.Barnesiella.OTU_726</w:t>
            </w:r>
          </w:p>
        </w:tc>
        <w:tc>
          <w:tcPr>
            <w:tcW w:w="960" w:type="dxa"/>
            <w:tcBorders>
              <w:top w:val="nil"/>
              <w:left w:val="nil"/>
              <w:bottom w:val="single" w:sz="18" w:space="0" w:color="000000"/>
              <w:right w:val="nil"/>
            </w:tcBorders>
            <w:shd w:val="clear" w:color="auto" w:fill="FFFFFF"/>
            <w:tcMar>
              <w:top w:w="15" w:type="dxa"/>
              <w:left w:w="15" w:type="dxa"/>
              <w:bottom w:w="0" w:type="dxa"/>
              <w:right w:w="15" w:type="dxa"/>
            </w:tcMar>
            <w:vAlign w:val="center"/>
            <w:hideMark/>
          </w:tcPr>
          <w:p w14:paraId="01D8D1D6" w14:textId="77777777" w:rsidR="004360A2" w:rsidRPr="001518E1" w:rsidRDefault="004360A2" w:rsidP="004360A2">
            <w:pPr>
              <w:spacing w:line="360" w:lineRule="auto"/>
              <w:rPr>
                <w:rFonts w:cs="Arial"/>
                <w:sz w:val="20"/>
                <w:szCs w:val="20"/>
              </w:rPr>
            </w:pPr>
            <w:r w:rsidRPr="001518E1">
              <w:rPr>
                <w:rFonts w:cs="Arial"/>
                <w:sz w:val="20"/>
                <w:szCs w:val="20"/>
              </w:rPr>
              <w:t>-0.24049</w:t>
            </w:r>
          </w:p>
        </w:tc>
        <w:tc>
          <w:tcPr>
            <w:tcW w:w="960" w:type="dxa"/>
            <w:tcBorders>
              <w:top w:val="nil"/>
              <w:left w:val="nil"/>
              <w:bottom w:val="single" w:sz="18" w:space="0" w:color="000000"/>
              <w:right w:val="nil"/>
            </w:tcBorders>
            <w:shd w:val="clear" w:color="auto" w:fill="FFFFFF"/>
            <w:tcMar>
              <w:top w:w="15" w:type="dxa"/>
              <w:left w:w="15" w:type="dxa"/>
              <w:bottom w:w="0" w:type="dxa"/>
              <w:right w:w="15" w:type="dxa"/>
            </w:tcMar>
            <w:vAlign w:val="center"/>
            <w:hideMark/>
          </w:tcPr>
          <w:p w14:paraId="75F6A806" w14:textId="77777777" w:rsidR="004360A2" w:rsidRPr="001518E1" w:rsidRDefault="004360A2" w:rsidP="004360A2">
            <w:pPr>
              <w:spacing w:line="360" w:lineRule="auto"/>
              <w:rPr>
                <w:rFonts w:cs="Arial"/>
                <w:sz w:val="20"/>
                <w:szCs w:val="20"/>
              </w:rPr>
            </w:pPr>
            <w:r w:rsidRPr="001518E1">
              <w:rPr>
                <w:rFonts w:cs="Arial"/>
                <w:sz w:val="20"/>
                <w:szCs w:val="20"/>
              </w:rPr>
              <w:t>0.000566</w:t>
            </w:r>
          </w:p>
        </w:tc>
      </w:tr>
    </w:tbl>
    <w:p w14:paraId="1079A8CB" w14:textId="77777777" w:rsidR="004360A2" w:rsidRPr="001518E1" w:rsidRDefault="004360A2" w:rsidP="004360A2">
      <w:pPr>
        <w:spacing w:line="360" w:lineRule="auto"/>
        <w:rPr>
          <w:rFonts w:cs="Arial"/>
          <w:i/>
          <w:szCs w:val="20"/>
        </w:rPr>
      </w:pPr>
    </w:p>
    <w:p w14:paraId="264D334A" w14:textId="77777777" w:rsidR="004360A2" w:rsidRPr="00530042" w:rsidRDefault="004360A2" w:rsidP="004360A2">
      <w:pPr>
        <w:spacing w:line="360" w:lineRule="auto"/>
        <w:jc w:val="both"/>
        <w:rPr>
          <w:rFonts w:cs="Arial"/>
          <w:i/>
          <w:szCs w:val="20"/>
        </w:rPr>
      </w:pPr>
      <w:r w:rsidRPr="001518E1">
        <w:rPr>
          <w:rFonts w:cs="Arial"/>
          <w:b/>
          <w:i/>
          <w:szCs w:val="20"/>
        </w:rPr>
        <w:t xml:space="preserve">Supplementary Table 1: OTU Correlations to </w:t>
      </w:r>
      <w:proofErr w:type="spellStart"/>
      <w:r w:rsidRPr="001518E1">
        <w:rPr>
          <w:rFonts w:cs="Arial"/>
          <w:b/>
          <w:i/>
          <w:szCs w:val="20"/>
        </w:rPr>
        <w:t>Behavioral</w:t>
      </w:r>
      <w:proofErr w:type="spellEnd"/>
      <w:r w:rsidRPr="001518E1">
        <w:rPr>
          <w:rFonts w:cs="Arial"/>
          <w:b/>
          <w:i/>
          <w:szCs w:val="20"/>
        </w:rPr>
        <w:t xml:space="preserve"> Cluster x-axis in all samples </w:t>
      </w:r>
      <w:r w:rsidRPr="001518E1">
        <w:rPr>
          <w:rFonts w:cs="Arial"/>
          <w:i/>
          <w:szCs w:val="20"/>
        </w:rPr>
        <w:t xml:space="preserve">– OTU correlations to x-axis correlations in </w:t>
      </w:r>
      <w:proofErr w:type="spellStart"/>
      <w:r w:rsidRPr="001518E1">
        <w:rPr>
          <w:rFonts w:cs="Arial"/>
          <w:i/>
          <w:szCs w:val="20"/>
        </w:rPr>
        <w:t>behavioral</w:t>
      </w:r>
      <w:proofErr w:type="spellEnd"/>
      <w:r w:rsidRPr="001518E1">
        <w:rPr>
          <w:rFonts w:cs="Arial"/>
          <w:i/>
          <w:szCs w:val="20"/>
        </w:rPr>
        <w:t xml:space="preserve"> cluster that pass FDR corrections (Q&lt;0.05). OUT (first column), rho value (Spearman, second column), </w:t>
      </w:r>
      <w:proofErr w:type="spellStart"/>
      <w:r w:rsidRPr="001518E1">
        <w:rPr>
          <w:rFonts w:cs="Arial"/>
          <w:i/>
          <w:szCs w:val="20"/>
        </w:rPr>
        <w:t>Pvalue</w:t>
      </w:r>
      <w:proofErr w:type="spellEnd"/>
      <w:r w:rsidRPr="001518E1">
        <w:rPr>
          <w:rFonts w:cs="Arial"/>
          <w:i/>
          <w:szCs w:val="20"/>
        </w:rPr>
        <w:t xml:space="preserve"> (raw, third column)</w:t>
      </w:r>
    </w:p>
    <w:p w14:paraId="376B86CF" w14:textId="351CC8E6" w:rsidR="006252CA" w:rsidRDefault="006252CA" w:rsidP="004360A2">
      <w:pPr>
        <w:spacing w:line="360" w:lineRule="auto"/>
      </w:pPr>
    </w:p>
    <w:p w14:paraId="2C53F580" w14:textId="77777777" w:rsidR="006252CA" w:rsidRDefault="006252CA">
      <w:pPr>
        <w:spacing w:line="259" w:lineRule="auto"/>
      </w:pPr>
      <w:r>
        <w:br w:type="page"/>
      </w:r>
    </w:p>
    <w:p w14:paraId="2BFDFE7A" w14:textId="50512DE7" w:rsidR="006252CA" w:rsidRPr="00C35193" w:rsidRDefault="006252CA" w:rsidP="006252CA">
      <w:pPr>
        <w:pStyle w:val="Heading4"/>
        <w:spacing w:line="360" w:lineRule="auto"/>
      </w:pPr>
      <w:r w:rsidRPr="00C35193">
        <w:lastRenderedPageBreak/>
        <w:t xml:space="preserve">Cage-Effect Analysis </w:t>
      </w:r>
    </w:p>
    <w:p w14:paraId="58DB57DF" w14:textId="6D84BFCC" w:rsidR="003E19CE" w:rsidRDefault="007E6DE3" w:rsidP="003E19CE">
      <w:pPr>
        <w:spacing w:line="360" w:lineRule="auto"/>
        <w:rPr>
          <w:rFonts w:cs="Arial"/>
        </w:rPr>
      </w:pPr>
      <w:r w:rsidRPr="00A60EB0">
        <w:rPr>
          <w:rFonts w:cs="Arial"/>
          <w:szCs w:val="24"/>
        </w:rPr>
        <w:t xml:space="preserve">To assess </w:t>
      </w:r>
      <w:r>
        <w:rPr>
          <w:rFonts w:cs="Arial"/>
          <w:szCs w:val="24"/>
        </w:rPr>
        <w:t xml:space="preserve">the </w:t>
      </w:r>
      <w:r w:rsidRPr="00A60EB0">
        <w:rPr>
          <w:rFonts w:cs="Arial"/>
          <w:szCs w:val="24"/>
        </w:rPr>
        <w:t xml:space="preserve">potential influence of cohousing and </w:t>
      </w:r>
      <w:r w:rsidR="007112ED" w:rsidRPr="00A60EB0">
        <w:rPr>
          <w:rFonts w:cs="Arial"/>
          <w:szCs w:val="24"/>
        </w:rPr>
        <w:t>coprophagy</w:t>
      </w:r>
      <w:r w:rsidRPr="00A60EB0">
        <w:rPr>
          <w:rFonts w:cs="Arial"/>
          <w:szCs w:val="24"/>
        </w:rPr>
        <w:t xml:space="preserve"> on the microbiome composition and th</w:t>
      </w:r>
      <w:r w:rsidR="00194E66">
        <w:rPr>
          <w:rFonts w:cs="Arial"/>
          <w:szCs w:val="24"/>
        </w:rPr>
        <w:t>e</w:t>
      </w:r>
      <w:r w:rsidRPr="00A60EB0">
        <w:rPr>
          <w:rFonts w:cs="Arial"/>
          <w:szCs w:val="24"/>
        </w:rPr>
        <w:t xml:space="preserve"> housing effect on GT/IN/ST </w:t>
      </w:r>
      <w:proofErr w:type="spellStart"/>
      <w:r w:rsidRPr="00A60EB0">
        <w:rPr>
          <w:rFonts w:cs="Arial"/>
          <w:szCs w:val="24"/>
        </w:rPr>
        <w:t>behavioral</w:t>
      </w:r>
      <w:proofErr w:type="spellEnd"/>
      <w:r w:rsidRPr="00A60EB0">
        <w:rPr>
          <w:rFonts w:cs="Arial"/>
          <w:szCs w:val="24"/>
        </w:rPr>
        <w:t xml:space="preserve"> phenotype, the following analysis was performed. Microbiome data was assessed by grouping factor “Co-housed” (N=196) and “Single-housed” (N=6). Total OTU counts for each sample were normalized to relative abundance. In R version 3.5.2, the </w:t>
      </w:r>
      <w:proofErr w:type="spellStart"/>
      <w:r w:rsidRPr="00A60EB0">
        <w:rPr>
          <w:rFonts w:cs="Arial"/>
          <w:szCs w:val="24"/>
        </w:rPr>
        <w:t>betadisper</w:t>
      </w:r>
      <w:proofErr w:type="spellEnd"/>
      <w:r w:rsidRPr="00A60EB0">
        <w:rPr>
          <w:rFonts w:cs="Arial"/>
          <w:szCs w:val="24"/>
        </w:rPr>
        <w:t xml:space="preserve"> function from the vegan package (version 2.5-4) was used to calculate homogeneity of variance between the two groups. Average distance from the median (homogeneity of variance) was not significantly different by housing group (Permutation, df = 1, F=1.0309, p=0.23). </w:t>
      </w:r>
      <w:r>
        <w:rPr>
          <w:rFonts w:cs="Arial"/>
          <w:szCs w:val="24"/>
        </w:rPr>
        <w:t>Since</w:t>
      </w:r>
      <w:r w:rsidRPr="00A60EB0">
        <w:rPr>
          <w:rFonts w:cs="Arial"/>
          <w:szCs w:val="24"/>
        </w:rPr>
        <w:t xml:space="preserve"> no significant difference was observed in variance by group, the analysis proceeded to test beta-diversity separation by housing group. ADONIS test from the vegan package revealed no significant separation in microbiome composition between animals co-housed vs. </w:t>
      </w:r>
      <w:r w:rsidR="00194E66" w:rsidRPr="00A60EB0">
        <w:rPr>
          <w:rFonts w:cs="Arial"/>
          <w:szCs w:val="24"/>
        </w:rPr>
        <w:t>singly housed</w:t>
      </w:r>
      <w:r w:rsidRPr="00A60EB0">
        <w:rPr>
          <w:rFonts w:cs="Arial"/>
          <w:szCs w:val="24"/>
        </w:rPr>
        <w:t xml:space="preserve"> (PERMANOVA, perm=999, R2=0.00391, p=0.74).</w:t>
      </w:r>
    </w:p>
    <w:p w14:paraId="118B6EED" w14:textId="77777777" w:rsidR="007E6DE3" w:rsidRDefault="007E6DE3" w:rsidP="003E19CE">
      <w:pPr>
        <w:spacing w:line="360" w:lineRule="auto"/>
        <w:rPr>
          <w:rFonts w:cs="Arial"/>
        </w:rPr>
      </w:pPr>
    </w:p>
    <w:tbl>
      <w:tblPr>
        <w:tblStyle w:val="GridTable5Dark-Accent3"/>
        <w:tblW w:w="0" w:type="auto"/>
        <w:jc w:val="center"/>
        <w:tblLook w:val="04A0" w:firstRow="1" w:lastRow="0" w:firstColumn="1" w:lastColumn="0" w:noHBand="0" w:noVBand="1"/>
      </w:tblPr>
      <w:tblGrid>
        <w:gridCol w:w="1980"/>
        <w:gridCol w:w="2835"/>
        <w:gridCol w:w="3118"/>
      </w:tblGrid>
      <w:tr w:rsidR="002E1424" w:rsidRPr="002E1424" w14:paraId="6056BEA4" w14:textId="77777777" w:rsidTr="001943D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14:paraId="7879C5A7" w14:textId="77777777" w:rsidR="002E1424" w:rsidRPr="002E1424" w:rsidRDefault="002E1424" w:rsidP="00AB75F6">
            <w:pPr>
              <w:spacing w:line="360" w:lineRule="auto"/>
              <w:jc w:val="center"/>
              <w:rPr>
                <w:rFonts w:cs="Arial"/>
                <w:b w:val="0"/>
                <w:bCs w:val="0"/>
              </w:rPr>
            </w:pPr>
            <w:r w:rsidRPr="002E1424">
              <w:rPr>
                <w:rFonts w:cs="Arial"/>
              </w:rPr>
              <w:t>Co-housed</w:t>
            </w:r>
          </w:p>
          <w:p w14:paraId="72A08D74" w14:textId="77777777" w:rsidR="002E1424" w:rsidRPr="002E1424" w:rsidRDefault="002E1424" w:rsidP="00AB75F6">
            <w:pPr>
              <w:spacing w:line="360" w:lineRule="auto"/>
              <w:jc w:val="center"/>
              <w:rPr>
                <w:rFonts w:cs="Arial"/>
              </w:rPr>
            </w:pPr>
            <w:r w:rsidRPr="002E1424">
              <w:rPr>
                <w:rFonts w:cs="Arial"/>
              </w:rPr>
              <w:t>subjects</w:t>
            </w:r>
          </w:p>
        </w:tc>
        <w:tc>
          <w:tcPr>
            <w:tcW w:w="2835" w:type="dxa"/>
          </w:tcPr>
          <w:p w14:paraId="145F89AA" w14:textId="77777777" w:rsidR="002E1424" w:rsidRPr="002E1424" w:rsidRDefault="002E1424" w:rsidP="00AB75F6">
            <w:pPr>
              <w:spacing w:line="360" w:lineRule="auto"/>
              <w:jc w:val="center"/>
              <w:cnfStyle w:val="100000000000" w:firstRow="1" w:lastRow="0" w:firstColumn="0" w:lastColumn="0" w:oddVBand="0" w:evenVBand="0" w:oddHBand="0" w:evenHBand="0" w:firstRowFirstColumn="0" w:firstRowLastColumn="0" w:lastRowFirstColumn="0" w:lastRowLastColumn="0"/>
              <w:rPr>
                <w:rFonts w:cs="Arial"/>
              </w:rPr>
            </w:pPr>
            <w:r w:rsidRPr="002E1424">
              <w:rPr>
                <w:rFonts w:cs="Arial"/>
              </w:rPr>
              <w:t>Rate of all co-occurring phenotypes (GT/IN/ST)</w:t>
            </w:r>
          </w:p>
        </w:tc>
        <w:tc>
          <w:tcPr>
            <w:tcW w:w="3118" w:type="dxa"/>
          </w:tcPr>
          <w:p w14:paraId="3030EF3D" w14:textId="77777777" w:rsidR="002E1424" w:rsidRPr="002E1424" w:rsidRDefault="002E1424" w:rsidP="00AB75F6">
            <w:pPr>
              <w:spacing w:line="360" w:lineRule="auto"/>
              <w:jc w:val="center"/>
              <w:cnfStyle w:val="100000000000" w:firstRow="1" w:lastRow="0" w:firstColumn="0" w:lastColumn="0" w:oddVBand="0" w:evenVBand="0" w:oddHBand="0" w:evenHBand="0" w:firstRowFirstColumn="0" w:firstRowLastColumn="0" w:lastRowFirstColumn="0" w:lastRowLastColumn="0"/>
              <w:rPr>
                <w:rFonts w:cs="Arial"/>
              </w:rPr>
            </w:pPr>
            <w:r w:rsidRPr="002E1424">
              <w:rPr>
                <w:rFonts w:cs="Arial"/>
              </w:rPr>
              <w:t>Rate of co-occurring ST phenotype only</w:t>
            </w:r>
          </w:p>
        </w:tc>
      </w:tr>
      <w:tr w:rsidR="002E1424" w:rsidRPr="002E1424" w14:paraId="7D5DD25E" w14:textId="77777777" w:rsidTr="001943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14:paraId="7ADC7E5A" w14:textId="77777777" w:rsidR="002E1424" w:rsidRPr="002E1424" w:rsidRDefault="002E1424" w:rsidP="00AB75F6">
            <w:pPr>
              <w:spacing w:line="360" w:lineRule="auto"/>
              <w:rPr>
                <w:rFonts w:cs="Arial"/>
              </w:rPr>
            </w:pPr>
            <w:r w:rsidRPr="002E1424">
              <w:rPr>
                <w:rFonts w:cs="Arial"/>
              </w:rPr>
              <w:t>Males (M)</w:t>
            </w:r>
          </w:p>
        </w:tc>
        <w:tc>
          <w:tcPr>
            <w:tcW w:w="2835" w:type="dxa"/>
          </w:tcPr>
          <w:p w14:paraId="77E84EA9" w14:textId="77777777" w:rsidR="002E1424" w:rsidRPr="002E1424" w:rsidRDefault="002E1424" w:rsidP="00AB75F6">
            <w:pPr>
              <w:spacing w:line="360" w:lineRule="auto"/>
              <w:jc w:val="center"/>
              <w:cnfStyle w:val="000000100000" w:firstRow="0" w:lastRow="0" w:firstColumn="0" w:lastColumn="0" w:oddVBand="0" w:evenVBand="0" w:oddHBand="1" w:evenHBand="0" w:firstRowFirstColumn="0" w:firstRowLastColumn="0" w:lastRowFirstColumn="0" w:lastRowLastColumn="0"/>
              <w:rPr>
                <w:rFonts w:cs="Arial"/>
                <w:b/>
                <w:bCs/>
              </w:rPr>
            </w:pPr>
            <w:r w:rsidRPr="002E1424">
              <w:rPr>
                <w:rFonts w:cs="Arial"/>
                <w:b/>
                <w:bCs/>
              </w:rPr>
              <w:t>55.1%</w:t>
            </w:r>
          </w:p>
        </w:tc>
        <w:tc>
          <w:tcPr>
            <w:tcW w:w="3118" w:type="dxa"/>
          </w:tcPr>
          <w:p w14:paraId="261E8EED" w14:textId="77777777" w:rsidR="002E1424" w:rsidRPr="002E1424" w:rsidRDefault="002E1424" w:rsidP="00AB75F6">
            <w:pPr>
              <w:spacing w:line="360" w:lineRule="auto"/>
              <w:jc w:val="center"/>
              <w:cnfStyle w:val="000000100000" w:firstRow="0" w:lastRow="0" w:firstColumn="0" w:lastColumn="0" w:oddVBand="0" w:evenVBand="0" w:oddHBand="1" w:evenHBand="0" w:firstRowFirstColumn="0" w:firstRowLastColumn="0" w:lastRowFirstColumn="0" w:lastRowLastColumn="0"/>
              <w:rPr>
                <w:rFonts w:cs="Arial"/>
                <w:b/>
                <w:bCs/>
              </w:rPr>
            </w:pPr>
            <w:r w:rsidRPr="002E1424">
              <w:rPr>
                <w:rFonts w:cs="Arial"/>
                <w:b/>
                <w:bCs/>
              </w:rPr>
              <w:t>12.5%</w:t>
            </w:r>
          </w:p>
        </w:tc>
      </w:tr>
      <w:tr w:rsidR="002E1424" w:rsidRPr="002E1424" w14:paraId="0041F41C" w14:textId="77777777" w:rsidTr="001943DE">
        <w:trPr>
          <w:jc w:val="center"/>
        </w:trPr>
        <w:tc>
          <w:tcPr>
            <w:cnfStyle w:val="001000000000" w:firstRow="0" w:lastRow="0" w:firstColumn="1" w:lastColumn="0" w:oddVBand="0" w:evenVBand="0" w:oddHBand="0" w:evenHBand="0" w:firstRowFirstColumn="0" w:firstRowLastColumn="0" w:lastRowFirstColumn="0" w:lastRowLastColumn="0"/>
            <w:tcW w:w="1980" w:type="dxa"/>
          </w:tcPr>
          <w:p w14:paraId="135C49CD" w14:textId="77777777" w:rsidR="002E1424" w:rsidRPr="002E1424" w:rsidRDefault="002E1424" w:rsidP="00AB75F6">
            <w:pPr>
              <w:spacing w:line="360" w:lineRule="auto"/>
              <w:rPr>
                <w:rFonts w:cs="Arial"/>
              </w:rPr>
            </w:pPr>
            <w:r w:rsidRPr="002E1424">
              <w:rPr>
                <w:rFonts w:cs="Arial"/>
              </w:rPr>
              <w:t>Females (F)</w:t>
            </w:r>
          </w:p>
        </w:tc>
        <w:tc>
          <w:tcPr>
            <w:tcW w:w="2835" w:type="dxa"/>
          </w:tcPr>
          <w:p w14:paraId="5687F571" w14:textId="77777777" w:rsidR="002E1424" w:rsidRPr="002E1424" w:rsidRDefault="002E1424" w:rsidP="00AB75F6">
            <w:pPr>
              <w:spacing w:line="360" w:lineRule="auto"/>
              <w:jc w:val="center"/>
              <w:cnfStyle w:val="000000000000" w:firstRow="0" w:lastRow="0" w:firstColumn="0" w:lastColumn="0" w:oddVBand="0" w:evenVBand="0" w:oddHBand="0" w:evenHBand="0" w:firstRowFirstColumn="0" w:firstRowLastColumn="0" w:lastRowFirstColumn="0" w:lastRowLastColumn="0"/>
              <w:rPr>
                <w:rFonts w:cs="Arial"/>
                <w:b/>
                <w:bCs/>
              </w:rPr>
            </w:pPr>
            <w:r w:rsidRPr="002E1424">
              <w:rPr>
                <w:rFonts w:cs="Arial"/>
                <w:b/>
                <w:bCs/>
              </w:rPr>
              <w:t>30.6%</w:t>
            </w:r>
          </w:p>
        </w:tc>
        <w:tc>
          <w:tcPr>
            <w:tcW w:w="3118" w:type="dxa"/>
          </w:tcPr>
          <w:p w14:paraId="38DFE431" w14:textId="77777777" w:rsidR="002E1424" w:rsidRPr="002E1424" w:rsidRDefault="002E1424" w:rsidP="00AB75F6">
            <w:pPr>
              <w:spacing w:line="360" w:lineRule="auto"/>
              <w:jc w:val="center"/>
              <w:cnfStyle w:val="000000000000" w:firstRow="0" w:lastRow="0" w:firstColumn="0" w:lastColumn="0" w:oddVBand="0" w:evenVBand="0" w:oddHBand="0" w:evenHBand="0" w:firstRowFirstColumn="0" w:firstRowLastColumn="0" w:lastRowFirstColumn="0" w:lastRowLastColumn="0"/>
              <w:rPr>
                <w:rFonts w:cs="Arial"/>
                <w:b/>
                <w:bCs/>
              </w:rPr>
            </w:pPr>
            <w:r w:rsidRPr="002E1424">
              <w:rPr>
                <w:rFonts w:cs="Arial"/>
                <w:b/>
                <w:bCs/>
              </w:rPr>
              <w:t>29.2%</w:t>
            </w:r>
          </w:p>
        </w:tc>
      </w:tr>
      <w:tr w:rsidR="002E1424" w:rsidRPr="002E1424" w14:paraId="4025D049" w14:textId="77777777" w:rsidTr="001943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14:paraId="7D3E9482" w14:textId="25245C74" w:rsidR="002E1424" w:rsidRPr="002E1424" w:rsidRDefault="002E1424" w:rsidP="00AB75F6">
            <w:pPr>
              <w:spacing w:line="360" w:lineRule="auto"/>
              <w:rPr>
                <w:rFonts w:cs="Arial"/>
              </w:rPr>
            </w:pPr>
            <w:r w:rsidRPr="002E1424">
              <w:rPr>
                <w:rFonts w:cs="Arial"/>
              </w:rPr>
              <w:t xml:space="preserve">Average </w:t>
            </w:r>
            <w:r w:rsidR="001943DE">
              <w:rPr>
                <w:rFonts w:cs="Arial"/>
              </w:rPr>
              <w:t>(</w:t>
            </w:r>
            <w:r w:rsidRPr="002E1424">
              <w:rPr>
                <w:rFonts w:cs="Arial"/>
              </w:rPr>
              <w:t>M+F</w:t>
            </w:r>
            <w:r w:rsidR="001943DE">
              <w:rPr>
                <w:rFonts w:cs="Arial"/>
              </w:rPr>
              <w:t>)</w:t>
            </w:r>
          </w:p>
        </w:tc>
        <w:tc>
          <w:tcPr>
            <w:tcW w:w="2835" w:type="dxa"/>
          </w:tcPr>
          <w:p w14:paraId="64D44439" w14:textId="77777777" w:rsidR="002E1424" w:rsidRPr="002E1424" w:rsidRDefault="002E1424" w:rsidP="00AB75F6">
            <w:pPr>
              <w:spacing w:line="360" w:lineRule="auto"/>
              <w:jc w:val="center"/>
              <w:cnfStyle w:val="000000100000" w:firstRow="0" w:lastRow="0" w:firstColumn="0" w:lastColumn="0" w:oddVBand="0" w:evenVBand="0" w:oddHBand="1" w:evenHBand="0" w:firstRowFirstColumn="0" w:firstRowLastColumn="0" w:lastRowFirstColumn="0" w:lastRowLastColumn="0"/>
              <w:rPr>
                <w:rFonts w:cs="Arial"/>
                <w:b/>
                <w:bCs/>
              </w:rPr>
            </w:pPr>
            <w:r w:rsidRPr="002E1424">
              <w:rPr>
                <w:rFonts w:cs="Arial"/>
                <w:b/>
                <w:bCs/>
              </w:rPr>
              <w:t>42.9%</w:t>
            </w:r>
          </w:p>
        </w:tc>
        <w:tc>
          <w:tcPr>
            <w:tcW w:w="3118" w:type="dxa"/>
          </w:tcPr>
          <w:p w14:paraId="3E4A36D1" w14:textId="77777777" w:rsidR="002E1424" w:rsidRPr="002E1424" w:rsidRDefault="002E1424" w:rsidP="00AB75F6">
            <w:pPr>
              <w:spacing w:line="360" w:lineRule="auto"/>
              <w:jc w:val="center"/>
              <w:cnfStyle w:val="000000100000" w:firstRow="0" w:lastRow="0" w:firstColumn="0" w:lastColumn="0" w:oddVBand="0" w:evenVBand="0" w:oddHBand="1" w:evenHBand="0" w:firstRowFirstColumn="0" w:firstRowLastColumn="0" w:lastRowFirstColumn="0" w:lastRowLastColumn="0"/>
              <w:rPr>
                <w:rFonts w:cs="Arial"/>
                <w:b/>
                <w:bCs/>
              </w:rPr>
            </w:pPr>
            <w:r w:rsidRPr="002E1424">
              <w:rPr>
                <w:rFonts w:cs="Arial"/>
                <w:b/>
                <w:bCs/>
              </w:rPr>
              <w:t>20.9%</w:t>
            </w:r>
          </w:p>
        </w:tc>
      </w:tr>
    </w:tbl>
    <w:p w14:paraId="05B44AA1" w14:textId="77777777" w:rsidR="002E1424" w:rsidRPr="002E1424" w:rsidRDefault="002E1424" w:rsidP="002E1424">
      <w:pPr>
        <w:spacing w:line="360" w:lineRule="auto"/>
        <w:rPr>
          <w:rFonts w:cs="Arial"/>
          <w:highlight w:val="yellow"/>
        </w:rPr>
      </w:pPr>
    </w:p>
    <w:p w14:paraId="58B13C79" w14:textId="158B909A" w:rsidR="004F721A" w:rsidRPr="00C35193" w:rsidRDefault="004F721A" w:rsidP="004F721A">
      <w:pPr>
        <w:shd w:val="clear" w:color="auto" w:fill="FFFFFF"/>
        <w:spacing w:after="100" w:line="240" w:lineRule="auto"/>
        <w:rPr>
          <w:rFonts w:cs="Arial"/>
          <w:i/>
          <w:szCs w:val="20"/>
        </w:rPr>
      </w:pPr>
      <w:r w:rsidRPr="00C35193">
        <w:rPr>
          <w:rFonts w:cs="Arial"/>
          <w:b/>
          <w:i/>
          <w:szCs w:val="20"/>
        </w:rPr>
        <w:t xml:space="preserve">Supplementary Table 2: Co-occurrence rate of same </w:t>
      </w:r>
      <w:proofErr w:type="spellStart"/>
      <w:r w:rsidRPr="00C35193">
        <w:rPr>
          <w:rFonts w:cs="Arial"/>
          <w:b/>
          <w:i/>
          <w:szCs w:val="20"/>
        </w:rPr>
        <w:t>behavioral</w:t>
      </w:r>
      <w:proofErr w:type="spellEnd"/>
      <w:r w:rsidRPr="00C35193">
        <w:rPr>
          <w:rFonts w:cs="Arial"/>
          <w:b/>
          <w:i/>
          <w:szCs w:val="20"/>
        </w:rPr>
        <w:t xml:space="preserve"> phenotype in co-housed subjects </w:t>
      </w:r>
      <w:r w:rsidRPr="00C35193">
        <w:rPr>
          <w:rFonts w:cs="Arial"/>
          <w:i/>
          <w:szCs w:val="20"/>
        </w:rPr>
        <w:t xml:space="preserve">– In Male paired rats, 55.1% share the same </w:t>
      </w:r>
      <w:proofErr w:type="spellStart"/>
      <w:r w:rsidRPr="00C35193">
        <w:rPr>
          <w:rFonts w:cs="Arial"/>
          <w:i/>
          <w:szCs w:val="20"/>
        </w:rPr>
        <w:t>behavioral</w:t>
      </w:r>
      <w:proofErr w:type="spellEnd"/>
      <w:r w:rsidRPr="00C35193">
        <w:rPr>
          <w:rFonts w:cs="Arial"/>
          <w:i/>
          <w:szCs w:val="20"/>
        </w:rPr>
        <w:t xml:space="preserve"> phenotype (GT/IN/ST). Female paired rats, 30.6% share the same </w:t>
      </w:r>
      <w:proofErr w:type="spellStart"/>
      <w:r w:rsidRPr="00C35193">
        <w:rPr>
          <w:rFonts w:cs="Arial"/>
          <w:i/>
          <w:szCs w:val="20"/>
        </w:rPr>
        <w:t>behavioral</w:t>
      </w:r>
      <w:proofErr w:type="spellEnd"/>
      <w:r w:rsidRPr="00C35193">
        <w:rPr>
          <w:rFonts w:cs="Arial"/>
          <w:i/>
          <w:szCs w:val="20"/>
        </w:rPr>
        <w:t xml:space="preserve"> phenotype (GT/IN/ST). In this research, focus was placed on the ST phenotype which is associated to addiction. The rate of shared ST phenotype was </w:t>
      </w:r>
      <w:r w:rsidRPr="00C35193">
        <w:rPr>
          <w:rFonts w:cs="Arial"/>
          <w:i/>
          <w:szCs w:val="24"/>
        </w:rPr>
        <w:t>1</w:t>
      </w:r>
      <w:r w:rsidRPr="00C35193">
        <w:rPr>
          <w:rFonts w:cs="Arial"/>
          <w:i/>
          <w:szCs w:val="20"/>
        </w:rPr>
        <w:t>2.5% in Males and 29.2% in Females.</w:t>
      </w:r>
    </w:p>
    <w:p w14:paraId="437D289C" w14:textId="77777777" w:rsidR="003E19CE" w:rsidRPr="00C35193" w:rsidRDefault="003E19CE" w:rsidP="006252CA">
      <w:pPr>
        <w:spacing w:line="360" w:lineRule="auto"/>
        <w:rPr>
          <w:rFonts w:cs="Arial"/>
          <w:szCs w:val="24"/>
        </w:rPr>
      </w:pPr>
      <w:bookmarkStart w:id="11" w:name="_Hlk16763576"/>
    </w:p>
    <w:p w14:paraId="5285D693" w14:textId="708BD96B" w:rsidR="003E19CE" w:rsidRPr="00C35193" w:rsidRDefault="003E19CE" w:rsidP="003E19CE">
      <w:pPr>
        <w:pStyle w:val="Heading4"/>
        <w:spacing w:line="360" w:lineRule="auto"/>
        <w:rPr>
          <w:rFonts w:cs="Arial"/>
          <w:szCs w:val="24"/>
        </w:rPr>
      </w:pPr>
      <w:r w:rsidRPr="00C35193">
        <w:rPr>
          <w:rFonts w:cs="Arial"/>
          <w:szCs w:val="24"/>
        </w:rPr>
        <w:t>Assessment of potential contaminant by factors</w:t>
      </w:r>
    </w:p>
    <w:p w14:paraId="016E999F" w14:textId="77DD2266" w:rsidR="00A47329" w:rsidRPr="0013373A" w:rsidRDefault="00A47329" w:rsidP="00A47329">
      <w:pPr>
        <w:spacing w:line="360" w:lineRule="auto"/>
        <w:rPr>
          <w:rFonts w:cs="Arial"/>
          <w:szCs w:val="24"/>
        </w:rPr>
      </w:pPr>
      <w:r w:rsidRPr="001F306F">
        <w:rPr>
          <w:rFonts w:cs="Arial"/>
          <w:szCs w:val="24"/>
        </w:rPr>
        <w:t xml:space="preserve">One limitation of this study was the lack of negative controls for DNA extraction, library preparation, and sequencing. As no negative controls were implemented in this study, post-hoc analysis of factors that could illuminate sources of contamination were assessed. The focus of this analysis was on OTU_250 assigned to genera </w:t>
      </w:r>
      <w:proofErr w:type="spellStart"/>
      <w:r w:rsidRPr="001F306F">
        <w:rPr>
          <w:rFonts w:cs="Arial"/>
          <w:i/>
          <w:iCs/>
          <w:szCs w:val="24"/>
        </w:rPr>
        <w:lastRenderedPageBreak/>
        <w:t>Thermofilum</w:t>
      </w:r>
      <w:proofErr w:type="spellEnd"/>
      <w:r w:rsidRPr="001F306F">
        <w:rPr>
          <w:rFonts w:cs="Arial"/>
          <w:i/>
          <w:iCs/>
          <w:szCs w:val="24"/>
        </w:rPr>
        <w:t xml:space="preserve"> </w:t>
      </w:r>
      <w:r w:rsidRPr="001F306F">
        <w:rPr>
          <w:rFonts w:cs="Arial"/>
          <w:szCs w:val="24"/>
        </w:rPr>
        <w:t xml:space="preserve">(Silva reference database), this low-abundance extremophile bacteria showed significant correlations </w:t>
      </w:r>
      <w:r w:rsidR="009F6B7F">
        <w:rPr>
          <w:rFonts w:cs="Arial"/>
          <w:szCs w:val="24"/>
        </w:rPr>
        <w:t>with</w:t>
      </w:r>
      <w:r w:rsidRPr="001F306F">
        <w:rPr>
          <w:rFonts w:cs="Arial"/>
          <w:szCs w:val="24"/>
        </w:rPr>
        <w:t xml:space="preserve"> impulsivity </w:t>
      </w:r>
      <w:proofErr w:type="spellStart"/>
      <w:r w:rsidRPr="001F306F">
        <w:rPr>
          <w:rFonts w:cs="Arial"/>
          <w:szCs w:val="24"/>
        </w:rPr>
        <w:t>behavior</w:t>
      </w:r>
      <w:proofErr w:type="spellEnd"/>
      <w:r w:rsidRPr="001F306F">
        <w:rPr>
          <w:rFonts w:cs="Arial"/>
          <w:szCs w:val="24"/>
        </w:rPr>
        <w:t xml:space="preserve"> in male IN phenotype.  </w:t>
      </w:r>
      <w:r w:rsidRPr="0013373A">
        <w:rPr>
          <w:rFonts w:cs="Arial"/>
          <w:szCs w:val="24"/>
        </w:rPr>
        <w:t xml:space="preserve">Assessment of significant differences in OTU_250 were carried out by sequencing run (P1, P2, P3, P4), Batch (breeding generation, Batch02 &amp; Batch03), and </w:t>
      </w:r>
      <w:r w:rsidR="00F44996">
        <w:rPr>
          <w:rFonts w:cs="Arial"/>
          <w:szCs w:val="24"/>
        </w:rPr>
        <w:t xml:space="preserve">the </w:t>
      </w:r>
      <w:r w:rsidRPr="0013373A">
        <w:rPr>
          <w:rFonts w:cs="Arial"/>
          <w:szCs w:val="24"/>
        </w:rPr>
        <w:t xml:space="preserve">box </w:t>
      </w:r>
      <w:r w:rsidR="00F44996">
        <w:rPr>
          <w:rFonts w:cs="Arial"/>
          <w:szCs w:val="24"/>
        </w:rPr>
        <w:t xml:space="preserve">that the </w:t>
      </w:r>
      <w:r w:rsidRPr="0013373A">
        <w:rPr>
          <w:rFonts w:cs="Arial"/>
          <w:szCs w:val="24"/>
        </w:rPr>
        <w:t>samples were delivered in</w:t>
      </w:r>
      <w:r w:rsidR="00F44996">
        <w:rPr>
          <w:rFonts w:cs="Arial"/>
          <w:szCs w:val="24"/>
        </w:rPr>
        <w:t>,</w:t>
      </w:r>
      <w:r w:rsidRPr="0013373A">
        <w:rPr>
          <w:rFonts w:cs="Arial"/>
          <w:szCs w:val="24"/>
        </w:rPr>
        <w:t xml:space="preserve"> and DNA was subsequently extracted from. Significant differences were observed in OTU_250 when tested by sequencing run (Kruskal-Wallis, p=8.5e-5) (Supp. Fig. 8). Batch grouping also showed differences in OTU_250, however</w:t>
      </w:r>
      <w:r w:rsidR="002C5792">
        <w:rPr>
          <w:rFonts w:cs="Arial"/>
          <w:szCs w:val="24"/>
        </w:rPr>
        <w:t>,</w:t>
      </w:r>
      <w:r w:rsidRPr="0013373A">
        <w:rPr>
          <w:rFonts w:cs="Arial"/>
          <w:szCs w:val="24"/>
        </w:rPr>
        <w:t xml:space="preserve"> this observation may be confounded by uneven distributions in the four sequencing runs (Supp. Fig. 9). Sample box also showed significant differences in OTU_250 (Kruskal-Wallis, p=2.1e-4) (Supp. Fig. 10), yet this observation could also be confounded by uneven distribution between the four sequencing runs. Male and female samples were evenly distributed throughout these different factors (batch, sequence run, and box). To ensure this potential contaminant did not influence the main finding of sex-differences, OTU_250 was tested by sex. No significant differences were observed in OTU_250 when tested by sex (Wilcoxson, p=0.955).</w:t>
      </w:r>
    </w:p>
    <w:p w14:paraId="0CA9B87D" w14:textId="6346CBB6" w:rsidR="00184E5C" w:rsidRPr="00C35193" w:rsidRDefault="00207C07" w:rsidP="003E19CE">
      <w:pPr>
        <w:spacing w:line="360" w:lineRule="auto"/>
        <w:rPr>
          <w:rFonts w:cs="Arial"/>
          <w:szCs w:val="24"/>
        </w:rPr>
      </w:pPr>
      <w:r w:rsidRPr="00C35193">
        <w:rPr>
          <w:rFonts w:cs="Arial"/>
          <w:szCs w:val="24"/>
        </w:rPr>
        <w:t>T</w:t>
      </w:r>
      <w:r w:rsidR="00184E5C" w:rsidRPr="00C35193">
        <w:rPr>
          <w:rFonts w:cs="Arial"/>
          <w:szCs w:val="24"/>
        </w:rPr>
        <w:t xml:space="preserve">he following </w:t>
      </w:r>
      <w:r w:rsidR="004C7038" w:rsidRPr="00C35193">
        <w:rPr>
          <w:rFonts w:cs="Arial"/>
          <w:szCs w:val="24"/>
        </w:rPr>
        <w:t xml:space="preserve">16S </w:t>
      </w:r>
      <w:r w:rsidR="00184E5C" w:rsidRPr="00C35193">
        <w:rPr>
          <w:rFonts w:cs="Arial"/>
          <w:szCs w:val="24"/>
        </w:rPr>
        <w:t>sequence for OTU_250</w:t>
      </w:r>
      <w:r w:rsidR="004C7038" w:rsidRPr="00C35193">
        <w:rPr>
          <w:rFonts w:cs="Arial"/>
          <w:szCs w:val="24"/>
        </w:rPr>
        <w:t xml:space="preserve"> was aligned against </w:t>
      </w:r>
      <w:r w:rsidR="00747700" w:rsidRPr="00C35193">
        <w:rPr>
          <w:rFonts w:cs="Arial"/>
          <w:szCs w:val="24"/>
        </w:rPr>
        <w:t xml:space="preserve">other </w:t>
      </w:r>
      <w:r w:rsidR="004C7038" w:rsidRPr="00C35193">
        <w:rPr>
          <w:rFonts w:cs="Arial"/>
          <w:szCs w:val="24"/>
        </w:rPr>
        <w:t>microbial reference databases (RDP,</w:t>
      </w:r>
      <w:r w:rsidR="003E2CBA" w:rsidRPr="00C35193">
        <w:rPr>
          <w:rFonts w:cs="Arial"/>
          <w:szCs w:val="24"/>
        </w:rPr>
        <w:t xml:space="preserve"> NCBI, and</w:t>
      </w:r>
      <w:r w:rsidR="004C7038" w:rsidRPr="00C35193">
        <w:rPr>
          <w:rFonts w:cs="Arial"/>
          <w:szCs w:val="24"/>
        </w:rPr>
        <w:t xml:space="preserve"> </w:t>
      </w:r>
      <w:proofErr w:type="spellStart"/>
      <w:r w:rsidR="004C7038" w:rsidRPr="00C35193">
        <w:rPr>
          <w:rFonts w:cs="Arial"/>
          <w:szCs w:val="24"/>
        </w:rPr>
        <w:t>EZBioCloud</w:t>
      </w:r>
      <w:proofErr w:type="spellEnd"/>
      <w:r w:rsidR="004C7038" w:rsidRPr="00C35193">
        <w:rPr>
          <w:rFonts w:cs="Arial"/>
          <w:szCs w:val="24"/>
        </w:rPr>
        <w:t xml:space="preserve">) to </w:t>
      </w:r>
      <w:r w:rsidR="003E2CBA" w:rsidRPr="00C35193">
        <w:rPr>
          <w:rFonts w:cs="Arial"/>
          <w:szCs w:val="24"/>
        </w:rPr>
        <w:t>assess</w:t>
      </w:r>
      <w:r w:rsidR="004C7038" w:rsidRPr="00C35193">
        <w:rPr>
          <w:rFonts w:cs="Arial"/>
          <w:szCs w:val="24"/>
        </w:rPr>
        <w:t xml:space="preserve"> taxonomic assignment. </w:t>
      </w:r>
    </w:p>
    <w:p w14:paraId="5C92C279" w14:textId="77777777" w:rsidR="004C7038" w:rsidRPr="00C35193" w:rsidRDefault="004C7038" w:rsidP="004C7038">
      <w:pPr>
        <w:spacing w:line="360" w:lineRule="auto"/>
        <w:rPr>
          <w:rFonts w:cs="Arial"/>
          <w:szCs w:val="24"/>
        </w:rPr>
      </w:pPr>
      <w:r w:rsidRPr="00C35193">
        <w:rPr>
          <w:rFonts w:cs="Arial"/>
          <w:szCs w:val="24"/>
        </w:rPr>
        <w:t>&gt;OTU_250</w:t>
      </w:r>
    </w:p>
    <w:p w14:paraId="5DE1EBE6" w14:textId="46343DFF" w:rsidR="004C7038" w:rsidRPr="00C35193" w:rsidRDefault="004C7038" w:rsidP="004C7038">
      <w:pPr>
        <w:spacing w:line="360" w:lineRule="auto"/>
        <w:rPr>
          <w:rFonts w:cs="Arial"/>
          <w:szCs w:val="24"/>
        </w:rPr>
      </w:pPr>
      <w:r w:rsidRPr="00C35193">
        <w:rPr>
          <w:rFonts w:cs="Arial"/>
          <w:szCs w:val="24"/>
        </w:rPr>
        <w:t>CCTACGGGTGGATCAATGACGAGTACTACGGCAAAGGTCTGTACGAGCTGACGGAGGAAGCGGTGGACGAGCTGCTGGAAaaaaGCCGTATGCGGCAGCGGGTCTTTCCGGTGAAGGTCTCCAAATCAGAAGAAaaaGGGAACCAACCGGACACCGCTAAaaaaTGATTGCGGCCCGGTGGAGATTGTGGTATATTAAACATAAAGAAGGGCATCTGCACAAACAGACGCCCTCCGGGAGTTACCGATAGACGGTTAGCCCGATTAGTGAATTACAGCTATAGCCGCATCCTTTGGTCGGggggCGGCTATTTCTGTGTCTTGCTATTATCTTTACCTATAGAATATCCATTGGCTCAGCCCTCCCTTCCCAGATTCCCTTGCGGGTTTCTATGTAAACGGAGGGTCACAGTCCCTCCGAAGAGGGCTAACCGCCTGCCATCCTGGTAGTC</w:t>
      </w:r>
    </w:p>
    <w:p w14:paraId="504D90B8" w14:textId="77777777" w:rsidR="00A47329" w:rsidRPr="001F306F" w:rsidRDefault="00A47329" w:rsidP="00A47329">
      <w:pPr>
        <w:spacing w:line="360" w:lineRule="auto"/>
        <w:rPr>
          <w:rFonts w:cs="Arial"/>
          <w:szCs w:val="24"/>
        </w:rPr>
      </w:pPr>
      <w:r w:rsidRPr="001F306F">
        <w:rPr>
          <w:rFonts w:cs="Arial"/>
          <w:szCs w:val="24"/>
        </w:rPr>
        <w:t xml:space="preserve">RDP results classified the OTU_250 sequence in the Fungi domain with top hits to phylum Ascomycota. NCBI blast to the 16S rRNA database of OTU_250 resulted in no reliable alignments, with top hit to genera </w:t>
      </w:r>
      <w:proofErr w:type="spellStart"/>
      <w:r w:rsidRPr="001F306F">
        <w:rPr>
          <w:rFonts w:cs="Arial"/>
          <w:i/>
          <w:iCs/>
          <w:szCs w:val="24"/>
        </w:rPr>
        <w:t>Tetragenococcous</w:t>
      </w:r>
      <w:proofErr w:type="spellEnd"/>
      <w:r w:rsidRPr="001F306F">
        <w:rPr>
          <w:rFonts w:cs="Arial"/>
          <w:szCs w:val="24"/>
        </w:rPr>
        <w:t xml:space="preserve"> (E value=3.1, Query </w:t>
      </w:r>
      <w:r w:rsidRPr="001F306F">
        <w:rPr>
          <w:rFonts w:cs="Arial"/>
          <w:szCs w:val="24"/>
        </w:rPr>
        <w:lastRenderedPageBreak/>
        <w:t xml:space="preserve">coverage=4%). </w:t>
      </w:r>
      <w:proofErr w:type="spellStart"/>
      <w:r w:rsidRPr="001F306F">
        <w:rPr>
          <w:rFonts w:cs="Arial"/>
          <w:szCs w:val="24"/>
        </w:rPr>
        <w:t>EZBioCloud</w:t>
      </w:r>
      <w:proofErr w:type="spellEnd"/>
      <w:r w:rsidRPr="001F306F">
        <w:rPr>
          <w:rFonts w:cs="Arial"/>
          <w:szCs w:val="24"/>
        </w:rPr>
        <w:t xml:space="preserve"> 16S-based ID of OTU_250 sequence resulted in no hits. These findings indicate that this OTU, originally interpreted as an extremophile exceptional in the dataset may belong to another uncharacterized </w:t>
      </w:r>
      <w:r w:rsidRPr="00A47329">
        <w:rPr>
          <w:rFonts w:cs="Arial"/>
          <w:szCs w:val="24"/>
        </w:rPr>
        <w:t>taxon</w:t>
      </w:r>
      <w:r w:rsidRPr="001F306F">
        <w:rPr>
          <w:rFonts w:cs="Arial"/>
          <w:szCs w:val="24"/>
        </w:rPr>
        <w:t xml:space="preserve">. </w:t>
      </w:r>
    </w:p>
    <w:p w14:paraId="3D19A8C6" w14:textId="7455CF18" w:rsidR="00C82D8E" w:rsidRPr="00C35193" w:rsidRDefault="00C82D8E" w:rsidP="003E19CE">
      <w:pPr>
        <w:spacing w:line="360" w:lineRule="auto"/>
        <w:rPr>
          <w:rFonts w:cs="Arial"/>
          <w:szCs w:val="24"/>
        </w:rPr>
      </w:pPr>
      <w:r w:rsidRPr="00C35193">
        <w:rPr>
          <w:rFonts w:cs="Arial"/>
          <w:noProof/>
          <w:szCs w:val="24"/>
        </w:rPr>
        <w:drawing>
          <wp:inline distT="0" distB="0" distL="0" distR="0" wp14:anchorId="1AF6D00B" wp14:editId="577A80AD">
            <wp:extent cx="5731510" cy="4230370"/>
            <wp:effectExtent l="0" t="0" r="254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tu250.Pool.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4230370"/>
                    </a:xfrm>
                    <a:prstGeom prst="rect">
                      <a:avLst/>
                    </a:prstGeom>
                  </pic:spPr>
                </pic:pic>
              </a:graphicData>
            </a:graphic>
          </wp:inline>
        </w:drawing>
      </w:r>
    </w:p>
    <w:bookmarkEnd w:id="1"/>
    <w:p w14:paraId="7737DFBC" w14:textId="0B5BB378" w:rsidR="00C82D8E" w:rsidRPr="00C35193" w:rsidRDefault="00C82D8E" w:rsidP="00C82D8E">
      <w:pPr>
        <w:spacing w:line="360" w:lineRule="auto"/>
        <w:rPr>
          <w:rFonts w:cs="Arial"/>
          <w:i/>
          <w:szCs w:val="24"/>
        </w:rPr>
      </w:pPr>
      <w:r w:rsidRPr="00C35193">
        <w:rPr>
          <w:rFonts w:cs="Arial"/>
          <w:b/>
          <w:i/>
          <w:szCs w:val="24"/>
        </w:rPr>
        <w:t xml:space="preserve">Supplementary Figure 8 –  Differences in OTU_250 by sequencing run. </w:t>
      </w:r>
      <w:r w:rsidRPr="00C35193">
        <w:rPr>
          <w:rFonts w:cs="Arial"/>
          <w:i/>
          <w:szCs w:val="24"/>
        </w:rPr>
        <w:t>Pool 1-4 indicates separate sequencing run, all pools contained 50 or 51 samples</w:t>
      </w:r>
      <w:r w:rsidR="007671BE" w:rsidRPr="00C35193">
        <w:rPr>
          <w:rFonts w:cs="Arial"/>
          <w:i/>
          <w:szCs w:val="24"/>
        </w:rPr>
        <w:t xml:space="preserve"> with even ratios of Males to Females</w:t>
      </w:r>
      <w:r w:rsidRPr="00C35193">
        <w:rPr>
          <w:rFonts w:cs="Arial"/>
          <w:i/>
          <w:szCs w:val="24"/>
        </w:rPr>
        <w:t xml:space="preserve">. </w:t>
      </w:r>
    </w:p>
    <w:p w14:paraId="6BF19404" w14:textId="0C0E97A8" w:rsidR="00E82318" w:rsidRPr="00C35193" w:rsidRDefault="00E82318" w:rsidP="00C82D8E">
      <w:pPr>
        <w:spacing w:line="360" w:lineRule="auto"/>
        <w:rPr>
          <w:rFonts w:cs="Arial"/>
          <w:i/>
          <w:szCs w:val="24"/>
        </w:rPr>
      </w:pPr>
      <w:r w:rsidRPr="00C35193">
        <w:rPr>
          <w:rFonts w:cs="Arial"/>
          <w:i/>
          <w:noProof/>
          <w:szCs w:val="24"/>
        </w:rPr>
        <w:lastRenderedPageBreak/>
        <w:drawing>
          <wp:inline distT="0" distB="0" distL="0" distR="0" wp14:anchorId="26DCC028" wp14:editId="12E11B7C">
            <wp:extent cx="5731510" cy="4230370"/>
            <wp:effectExtent l="0" t="0" r="254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tu250.Batch.png"/>
                    <pic:cNvPicPr/>
                  </pic:nvPicPr>
                  <pic:blipFill>
                    <a:blip r:embed="rId13">
                      <a:extLst>
                        <a:ext uri="{28A0092B-C50C-407E-A947-70E740481C1C}">
                          <a14:useLocalDpi xmlns:a14="http://schemas.microsoft.com/office/drawing/2010/main" val="0"/>
                        </a:ext>
                      </a:extLst>
                    </a:blip>
                    <a:stretch>
                      <a:fillRect/>
                    </a:stretch>
                  </pic:blipFill>
                  <pic:spPr>
                    <a:xfrm>
                      <a:off x="0" y="0"/>
                      <a:ext cx="5731510" cy="4230370"/>
                    </a:xfrm>
                    <a:prstGeom prst="rect">
                      <a:avLst/>
                    </a:prstGeom>
                  </pic:spPr>
                </pic:pic>
              </a:graphicData>
            </a:graphic>
          </wp:inline>
        </w:drawing>
      </w:r>
    </w:p>
    <w:p w14:paraId="56664870" w14:textId="59CD287C" w:rsidR="00E82318" w:rsidRPr="00C35193" w:rsidRDefault="00E82318" w:rsidP="00E82318">
      <w:pPr>
        <w:spacing w:line="360" w:lineRule="auto"/>
        <w:rPr>
          <w:rFonts w:cs="Arial"/>
          <w:i/>
          <w:szCs w:val="24"/>
        </w:rPr>
      </w:pPr>
      <w:r w:rsidRPr="00C35193">
        <w:rPr>
          <w:rFonts w:cs="Arial"/>
          <w:b/>
          <w:i/>
          <w:szCs w:val="24"/>
        </w:rPr>
        <w:t xml:space="preserve">Supplementary Figure 9 –  Differences in OTU_250 by Batch (generation). </w:t>
      </w:r>
      <w:r w:rsidRPr="00C35193">
        <w:rPr>
          <w:rFonts w:cs="Arial"/>
          <w:i/>
          <w:szCs w:val="24"/>
        </w:rPr>
        <w:t xml:space="preserve">Batch02-03 indicates subjects from two separate breeding generations, each batch contained 101 samples with even amounts of Males and Females. </w:t>
      </w:r>
    </w:p>
    <w:p w14:paraId="00256192" w14:textId="28424FFB" w:rsidR="00675A97" w:rsidRPr="00C35193" w:rsidRDefault="00A56E33" w:rsidP="004360A2">
      <w:pPr>
        <w:spacing w:line="360" w:lineRule="auto"/>
        <w:rPr>
          <w:rFonts w:cs="Arial"/>
          <w:szCs w:val="24"/>
        </w:rPr>
      </w:pPr>
      <w:r w:rsidRPr="00C35193">
        <w:rPr>
          <w:rFonts w:cs="Arial"/>
          <w:noProof/>
          <w:szCs w:val="24"/>
        </w:rPr>
        <w:lastRenderedPageBreak/>
        <w:drawing>
          <wp:inline distT="0" distB="0" distL="0" distR="0" wp14:anchorId="130306F6" wp14:editId="260874A4">
            <wp:extent cx="5731510" cy="4116070"/>
            <wp:effectExtent l="0" t="0" r="2540" b="0"/>
            <wp:docPr id="5" name="Picture 5"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TU250.box.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4116070"/>
                    </a:xfrm>
                    <a:prstGeom prst="rect">
                      <a:avLst/>
                    </a:prstGeom>
                  </pic:spPr>
                </pic:pic>
              </a:graphicData>
            </a:graphic>
          </wp:inline>
        </w:drawing>
      </w:r>
    </w:p>
    <w:p w14:paraId="347737D0" w14:textId="55554258" w:rsidR="000F52A3" w:rsidRPr="00743291" w:rsidRDefault="00A56E33" w:rsidP="004360A2">
      <w:pPr>
        <w:spacing w:line="360" w:lineRule="auto"/>
        <w:rPr>
          <w:rFonts w:cs="Arial"/>
          <w:bCs/>
          <w:szCs w:val="24"/>
        </w:rPr>
      </w:pPr>
      <w:r w:rsidRPr="00C35193">
        <w:rPr>
          <w:rFonts w:cs="Arial"/>
          <w:b/>
          <w:i/>
          <w:szCs w:val="24"/>
        </w:rPr>
        <w:t xml:space="preserve">Supplementary Figure 10 –  Differences in OTU_250 by Sample Box. </w:t>
      </w:r>
      <w:r w:rsidRPr="00C35193">
        <w:rPr>
          <w:rFonts w:cs="Arial"/>
          <w:bCs/>
          <w:i/>
          <w:szCs w:val="24"/>
        </w:rPr>
        <w:t>Sample boxes contained both female and male samples in relatively eq</w:t>
      </w:r>
      <w:r w:rsidR="00121878" w:rsidRPr="00C35193">
        <w:rPr>
          <w:rFonts w:cs="Arial"/>
          <w:bCs/>
          <w:i/>
          <w:szCs w:val="24"/>
        </w:rPr>
        <w:t xml:space="preserve">ual </w:t>
      </w:r>
      <w:r w:rsidR="00747700" w:rsidRPr="00C35193">
        <w:rPr>
          <w:rFonts w:cs="Arial"/>
          <w:bCs/>
          <w:i/>
          <w:szCs w:val="24"/>
        </w:rPr>
        <w:t>proportions</w:t>
      </w:r>
      <w:r w:rsidR="00121878" w:rsidRPr="00C35193">
        <w:rPr>
          <w:rFonts w:cs="Arial"/>
          <w:bCs/>
          <w:i/>
          <w:szCs w:val="24"/>
        </w:rPr>
        <w:t>.</w:t>
      </w:r>
      <w:r w:rsidR="00121878" w:rsidRPr="00743291">
        <w:rPr>
          <w:rFonts w:cs="Arial"/>
          <w:bCs/>
          <w:i/>
          <w:szCs w:val="24"/>
        </w:rPr>
        <w:t xml:space="preserve"> </w:t>
      </w:r>
      <w:bookmarkEnd w:id="11"/>
    </w:p>
    <w:sectPr w:rsidR="000F52A3" w:rsidRPr="007432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86FDB"/>
    <w:multiLevelType w:val="multilevel"/>
    <w:tmpl w:val="2008211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color w:val="FFFFFF" w:themeColor="background1"/>
      </w:rPr>
    </w:lvl>
    <w:lvl w:ilvl="3">
      <w:start w:val="1"/>
      <w:numFmt w:val="decimal"/>
      <w:pStyle w:val="Heading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5A496DD4"/>
    <w:multiLevelType w:val="hybridMultilevel"/>
    <w:tmpl w:val="E0B29C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EB62461"/>
    <w:multiLevelType w:val="hybridMultilevel"/>
    <w:tmpl w:val="78A497A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AEA"/>
    <w:rsid w:val="0000107C"/>
    <w:rsid w:val="000029BF"/>
    <w:rsid w:val="000052D9"/>
    <w:rsid w:val="00040458"/>
    <w:rsid w:val="0004460A"/>
    <w:rsid w:val="0005524F"/>
    <w:rsid w:val="0009760D"/>
    <w:rsid w:val="000C03EF"/>
    <w:rsid w:val="000E3F46"/>
    <w:rsid w:val="000F52A3"/>
    <w:rsid w:val="0010631E"/>
    <w:rsid w:val="00121878"/>
    <w:rsid w:val="00131DDA"/>
    <w:rsid w:val="001518E1"/>
    <w:rsid w:val="00163B74"/>
    <w:rsid w:val="00184E5C"/>
    <w:rsid w:val="00190EE0"/>
    <w:rsid w:val="001943DE"/>
    <w:rsid w:val="00194E66"/>
    <w:rsid w:val="001D2325"/>
    <w:rsid w:val="001F2CB6"/>
    <w:rsid w:val="0020679F"/>
    <w:rsid w:val="00207C07"/>
    <w:rsid w:val="00224AD8"/>
    <w:rsid w:val="0023462B"/>
    <w:rsid w:val="00242635"/>
    <w:rsid w:val="0024793C"/>
    <w:rsid w:val="00264AE8"/>
    <w:rsid w:val="00273855"/>
    <w:rsid w:val="00281207"/>
    <w:rsid w:val="002B1EC6"/>
    <w:rsid w:val="002C5792"/>
    <w:rsid w:val="002D7410"/>
    <w:rsid w:val="002E1424"/>
    <w:rsid w:val="002E6498"/>
    <w:rsid w:val="002F287D"/>
    <w:rsid w:val="003025E3"/>
    <w:rsid w:val="0031334A"/>
    <w:rsid w:val="00324BB3"/>
    <w:rsid w:val="003402DD"/>
    <w:rsid w:val="00350FFA"/>
    <w:rsid w:val="0035126B"/>
    <w:rsid w:val="00376A57"/>
    <w:rsid w:val="00396476"/>
    <w:rsid w:val="00396945"/>
    <w:rsid w:val="003C39E4"/>
    <w:rsid w:val="003D357E"/>
    <w:rsid w:val="003D68B8"/>
    <w:rsid w:val="003E19CE"/>
    <w:rsid w:val="003E2CBA"/>
    <w:rsid w:val="003F52FE"/>
    <w:rsid w:val="003F73D6"/>
    <w:rsid w:val="00401237"/>
    <w:rsid w:val="00414E91"/>
    <w:rsid w:val="00424BE6"/>
    <w:rsid w:val="004343D3"/>
    <w:rsid w:val="004360A2"/>
    <w:rsid w:val="00437324"/>
    <w:rsid w:val="00450A35"/>
    <w:rsid w:val="00473CC7"/>
    <w:rsid w:val="004845B2"/>
    <w:rsid w:val="004A02D6"/>
    <w:rsid w:val="004A0E15"/>
    <w:rsid w:val="004B2A33"/>
    <w:rsid w:val="004C397E"/>
    <w:rsid w:val="004C7038"/>
    <w:rsid w:val="004D552B"/>
    <w:rsid w:val="004F721A"/>
    <w:rsid w:val="004F77FD"/>
    <w:rsid w:val="00526B45"/>
    <w:rsid w:val="00554663"/>
    <w:rsid w:val="00555E89"/>
    <w:rsid w:val="0057555D"/>
    <w:rsid w:val="006018FF"/>
    <w:rsid w:val="00606C86"/>
    <w:rsid w:val="006252CA"/>
    <w:rsid w:val="006330AB"/>
    <w:rsid w:val="00675483"/>
    <w:rsid w:val="00675A97"/>
    <w:rsid w:val="00694BBA"/>
    <w:rsid w:val="006A7744"/>
    <w:rsid w:val="006C429A"/>
    <w:rsid w:val="006D571B"/>
    <w:rsid w:val="006F17D1"/>
    <w:rsid w:val="00705847"/>
    <w:rsid w:val="007112ED"/>
    <w:rsid w:val="0071331C"/>
    <w:rsid w:val="007162AC"/>
    <w:rsid w:val="00734985"/>
    <w:rsid w:val="00740DBE"/>
    <w:rsid w:val="00743291"/>
    <w:rsid w:val="007444B5"/>
    <w:rsid w:val="00746EE9"/>
    <w:rsid w:val="00747700"/>
    <w:rsid w:val="00754384"/>
    <w:rsid w:val="00755EE7"/>
    <w:rsid w:val="00763A2E"/>
    <w:rsid w:val="007671BE"/>
    <w:rsid w:val="00777B77"/>
    <w:rsid w:val="007805B9"/>
    <w:rsid w:val="00791738"/>
    <w:rsid w:val="00794459"/>
    <w:rsid w:val="007A4E74"/>
    <w:rsid w:val="007C0DDC"/>
    <w:rsid w:val="007C5EDA"/>
    <w:rsid w:val="007D4105"/>
    <w:rsid w:val="007D72C5"/>
    <w:rsid w:val="007E6541"/>
    <w:rsid w:val="007E6DE3"/>
    <w:rsid w:val="00802E4A"/>
    <w:rsid w:val="00837249"/>
    <w:rsid w:val="00844C29"/>
    <w:rsid w:val="00847A9F"/>
    <w:rsid w:val="00847B6F"/>
    <w:rsid w:val="0085792D"/>
    <w:rsid w:val="008A4E5C"/>
    <w:rsid w:val="008E0EA7"/>
    <w:rsid w:val="008E19E3"/>
    <w:rsid w:val="008E2248"/>
    <w:rsid w:val="008F1F90"/>
    <w:rsid w:val="008F207D"/>
    <w:rsid w:val="008F43B8"/>
    <w:rsid w:val="009009AD"/>
    <w:rsid w:val="0091002C"/>
    <w:rsid w:val="00923016"/>
    <w:rsid w:val="00956BC8"/>
    <w:rsid w:val="00957067"/>
    <w:rsid w:val="0097639A"/>
    <w:rsid w:val="00981B58"/>
    <w:rsid w:val="009832C0"/>
    <w:rsid w:val="0098639D"/>
    <w:rsid w:val="009A3D4B"/>
    <w:rsid w:val="009C4165"/>
    <w:rsid w:val="009C7AEA"/>
    <w:rsid w:val="009C7E83"/>
    <w:rsid w:val="009F6B7F"/>
    <w:rsid w:val="00A21B79"/>
    <w:rsid w:val="00A3495F"/>
    <w:rsid w:val="00A362EA"/>
    <w:rsid w:val="00A4688E"/>
    <w:rsid w:val="00A47329"/>
    <w:rsid w:val="00A56E33"/>
    <w:rsid w:val="00A632F0"/>
    <w:rsid w:val="00A814A7"/>
    <w:rsid w:val="00A83234"/>
    <w:rsid w:val="00A86748"/>
    <w:rsid w:val="00AB2397"/>
    <w:rsid w:val="00AC18A7"/>
    <w:rsid w:val="00AD38CA"/>
    <w:rsid w:val="00AF42BE"/>
    <w:rsid w:val="00B07C94"/>
    <w:rsid w:val="00B216C0"/>
    <w:rsid w:val="00B2257C"/>
    <w:rsid w:val="00B33705"/>
    <w:rsid w:val="00B47FC8"/>
    <w:rsid w:val="00B711AF"/>
    <w:rsid w:val="00B83E10"/>
    <w:rsid w:val="00B96001"/>
    <w:rsid w:val="00BC18EC"/>
    <w:rsid w:val="00BC2214"/>
    <w:rsid w:val="00BD0F1A"/>
    <w:rsid w:val="00BD5BEB"/>
    <w:rsid w:val="00BD7452"/>
    <w:rsid w:val="00BE60D8"/>
    <w:rsid w:val="00C004C3"/>
    <w:rsid w:val="00C04E1D"/>
    <w:rsid w:val="00C21B4C"/>
    <w:rsid w:val="00C35193"/>
    <w:rsid w:val="00C43CAA"/>
    <w:rsid w:val="00C46195"/>
    <w:rsid w:val="00C66FEA"/>
    <w:rsid w:val="00C711EE"/>
    <w:rsid w:val="00C813B8"/>
    <w:rsid w:val="00C82D8E"/>
    <w:rsid w:val="00C90B7F"/>
    <w:rsid w:val="00CA17C7"/>
    <w:rsid w:val="00CE69F0"/>
    <w:rsid w:val="00CE709F"/>
    <w:rsid w:val="00D117E6"/>
    <w:rsid w:val="00D1648B"/>
    <w:rsid w:val="00D318BE"/>
    <w:rsid w:val="00D46EB7"/>
    <w:rsid w:val="00D538D0"/>
    <w:rsid w:val="00D85B01"/>
    <w:rsid w:val="00DA5007"/>
    <w:rsid w:val="00DB2E3F"/>
    <w:rsid w:val="00DB64FD"/>
    <w:rsid w:val="00DC6CB6"/>
    <w:rsid w:val="00DD575E"/>
    <w:rsid w:val="00E024F8"/>
    <w:rsid w:val="00E14B29"/>
    <w:rsid w:val="00E20DEC"/>
    <w:rsid w:val="00E21F87"/>
    <w:rsid w:val="00E563DE"/>
    <w:rsid w:val="00E623BE"/>
    <w:rsid w:val="00E67B2C"/>
    <w:rsid w:val="00E73340"/>
    <w:rsid w:val="00E736B0"/>
    <w:rsid w:val="00E82318"/>
    <w:rsid w:val="00E9189F"/>
    <w:rsid w:val="00EA28A2"/>
    <w:rsid w:val="00ED4094"/>
    <w:rsid w:val="00F0009E"/>
    <w:rsid w:val="00F00AA2"/>
    <w:rsid w:val="00F23B97"/>
    <w:rsid w:val="00F33E78"/>
    <w:rsid w:val="00F44996"/>
    <w:rsid w:val="00F46F18"/>
    <w:rsid w:val="00F503FF"/>
    <w:rsid w:val="00F5407E"/>
    <w:rsid w:val="00F55845"/>
    <w:rsid w:val="00FC31AD"/>
    <w:rsid w:val="00FD62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A275A"/>
  <w15:chartTrackingRefBased/>
  <w15:docId w15:val="{514A6933-026D-4A22-BA83-C79C9D70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0A2"/>
    <w:pPr>
      <w:spacing w:line="480" w:lineRule="auto"/>
    </w:pPr>
    <w:rPr>
      <w:rFonts w:ascii="Arial" w:hAnsi="Arial"/>
      <w:sz w:val="24"/>
    </w:rPr>
  </w:style>
  <w:style w:type="paragraph" w:styleId="Heading1">
    <w:name w:val="heading 1"/>
    <w:basedOn w:val="Normal"/>
    <w:link w:val="Heading1Char"/>
    <w:autoRedefine/>
    <w:uiPriority w:val="9"/>
    <w:qFormat/>
    <w:rsid w:val="004360A2"/>
    <w:pPr>
      <w:numPr>
        <w:numId w:val="3"/>
      </w:numPr>
      <w:spacing w:before="100" w:beforeAutospacing="1" w:after="100" w:afterAutospacing="1" w:line="240" w:lineRule="auto"/>
      <w:ind w:left="0" w:firstLine="0"/>
      <w:contextualSpacing/>
      <w:outlineLvl w:val="0"/>
    </w:pPr>
    <w:rPr>
      <w:rFonts w:cs="Arial"/>
      <w:b/>
      <w:bCs/>
      <w:kern w:val="36"/>
      <w:sz w:val="40"/>
      <w:szCs w:val="24"/>
      <w:lang w:eastAsia="en-IE"/>
    </w:rPr>
  </w:style>
  <w:style w:type="paragraph" w:styleId="Heading2">
    <w:name w:val="heading 2"/>
    <w:basedOn w:val="Normal"/>
    <w:next w:val="Normal"/>
    <w:link w:val="Heading2Char"/>
    <w:uiPriority w:val="9"/>
    <w:unhideWhenUsed/>
    <w:qFormat/>
    <w:rsid w:val="004360A2"/>
    <w:pPr>
      <w:keepNext/>
      <w:keepLines/>
      <w:numPr>
        <w:ilvl w:val="1"/>
        <w:numId w:val="3"/>
      </w:numPr>
      <w:spacing w:before="40" w:after="0" w:line="360" w:lineRule="auto"/>
      <w:ind w:left="0" w:firstLine="0"/>
      <w:outlineLvl w:val="1"/>
    </w:pPr>
    <w:rPr>
      <w:rFonts w:eastAsiaTheme="majorEastAsia" w:cstheme="majorBidi"/>
      <w:b/>
      <w:sz w:val="36"/>
      <w:szCs w:val="26"/>
    </w:rPr>
  </w:style>
  <w:style w:type="paragraph" w:styleId="Heading3">
    <w:name w:val="heading 3"/>
    <w:basedOn w:val="Normal"/>
    <w:next w:val="Normal"/>
    <w:link w:val="Heading3Char"/>
    <w:autoRedefine/>
    <w:uiPriority w:val="9"/>
    <w:unhideWhenUsed/>
    <w:qFormat/>
    <w:rsid w:val="004360A2"/>
    <w:pPr>
      <w:keepNext/>
      <w:keepLines/>
      <w:framePr w:wrap="notBeside" w:vAnchor="text" w:hAnchor="text" w:y="1"/>
      <w:spacing w:before="40" w:after="0"/>
      <w:outlineLvl w:val="2"/>
    </w:pPr>
    <w:rPr>
      <w:rFonts w:eastAsiaTheme="majorEastAsia" w:cstheme="majorBidi"/>
      <w:b/>
      <w:color w:val="000000" w:themeColor="text1"/>
      <w:sz w:val="28"/>
      <w:szCs w:val="24"/>
    </w:rPr>
  </w:style>
  <w:style w:type="paragraph" w:styleId="Heading4">
    <w:name w:val="heading 4"/>
    <w:basedOn w:val="Normal"/>
    <w:next w:val="Normal"/>
    <w:link w:val="Heading4Char"/>
    <w:uiPriority w:val="9"/>
    <w:unhideWhenUsed/>
    <w:qFormat/>
    <w:rsid w:val="004360A2"/>
    <w:pPr>
      <w:keepNext/>
      <w:keepLines/>
      <w:numPr>
        <w:ilvl w:val="3"/>
        <w:numId w:val="3"/>
      </w:numPr>
      <w:spacing w:before="40" w:after="0"/>
      <w:ind w:left="0" w:firstLine="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4360A2"/>
    <w:pPr>
      <w:keepNext/>
      <w:keepLines/>
      <w:numPr>
        <w:ilvl w:val="4"/>
        <w:numId w:val="3"/>
      </w:numPr>
      <w:spacing w:before="40" w:after="0"/>
      <w:ind w:left="0" w:firstLine="0"/>
      <w:outlineLvl w:val="4"/>
    </w:pPr>
    <w:rPr>
      <w:rFonts w:eastAsiaTheme="majorEastAsia" w:cstheme="majorBidi"/>
      <w:i/>
    </w:rPr>
  </w:style>
  <w:style w:type="paragraph" w:styleId="Heading6">
    <w:name w:val="heading 6"/>
    <w:basedOn w:val="Normal"/>
    <w:next w:val="Normal"/>
    <w:link w:val="Heading6Char"/>
    <w:uiPriority w:val="9"/>
    <w:semiHidden/>
    <w:unhideWhenUsed/>
    <w:qFormat/>
    <w:rsid w:val="004360A2"/>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360A2"/>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360A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60A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AEA"/>
    <w:pPr>
      <w:spacing w:after="0" w:line="240" w:lineRule="auto"/>
      <w:ind w:left="720"/>
      <w:contextualSpacing/>
    </w:pPr>
    <w:rPr>
      <w:rFonts w:eastAsiaTheme="minorEastAsia"/>
      <w:szCs w:val="24"/>
      <w:lang w:val="en-US"/>
    </w:rPr>
  </w:style>
  <w:style w:type="paragraph" w:styleId="NormalWeb">
    <w:name w:val="Normal (Web)"/>
    <w:basedOn w:val="Normal"/>
    <w:uiPriority w:val="99"/>
    <w:semiHidden/>
    <w:unhideWhenUsed/>
    <w:rsid w:val="00163B74"/>
    <w:pPr>
      <w:spacing w:before="100" w:beforeAutospacing="1" w:after="100" w:afterAutospacing="1" w:line="240" w:lineRule="auto"/>
    </w:pPr>
    <w:rPr>
      <w:rFonts w:ascii="Times New Roman" w:eastAsia="Times New Roman" w:hAnsi="Times New Roman" w:cs="Times New Roman"/>
      <w:szCs w:val="24"/>
      <w:lang w:eastAsia="en-IE"/>
    </w:rPr>
  </w:style>
  <w:style w:type="paragraph" w:styleId="HTMLPreformatted">
    <w:name w:val="HTML Preformatted"/>
    <w:basedOn w:val="Normal"/>
    <w:link w:val="HTMLPreformattedChar"/>
    <w:uiPriority w:val="99"/>
    <w:unhideWhenUsed/>
    <w:rsid w:val="00A8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rsid w:val="00A86748"/>
    <w:rPr>
      <w:rFonts w:ascii="Courier New" w:eastAsia="Times New Roman" w:hAnsi="Courier New" w:cs="Courier New"/>
      <w:sz w:val="20"/>
      <w:szCs w:val="20"/>
      <w:lang w:eastAsia="en-IE"/>
    </w:rPr>
  </w:style>
  <w:style w:type="character" w:styleId="Strong">
    <w:name w:val="Strong"/>
    <w:basedOn w:val="DefaultParagraphFont"/>
    <w:uiPriority w:val="22"/>
    <w:qFormat/>
    <w:rsid w:val="00E73340"/>
    <w:rPr>
      <w:b/>
      <w:bCs/>
    </w:rPr>
  </w:style>
  <w:style w:type="paragraph" w:styleId="Title">
    <w:name w:val="Title"/>
    <w:basedOn w:val="Normal"/>
    <w:next w:val="Normal"/>
    <w:link w:val="TitleChar"/>
    <w:uiPriority w:val="10"/>
    <w:qFormat/>
    <w:rsid w:val="00473C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CC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360A2"/>
    <w:rPr>
      <w:rFonts w:ascii="Arial" w:hAnsi="Arial" w:cs="Arial"/>
      <w:b/>
      <w:bCs/>
      <w:kern w:val="36"/>
      <w:sz w:val="40"/>
      <w:szCs w:val="24"/>
      <w:lang w:eastAsia="en-IE"/>
    </w:rPr>
  </w:style>
  <w:style w:type="character" w:customStyle="1" w:styleId="Heading2Char">
    <w:name w:val="Heading 2 Char"/>
    <w:basedOn w:val="DefaultParagraphFont"/>
    <w:link w:val="Heading2"/>
    <w:uiPriority w:val="9"/>
    <w:rsid w:val="004360A2"/>
    <w:rPr>
      <w:rFonts w:ascii="Arial" w:eastAsiaTheme="majorEastAsia" w:hAnsi="Arial" w:cstheme="majorBidi"/>
      <w:b/>
      <w:sz w:val="36"/>
      <w:szCs w:val="26"/>
    </w:rPr>
  </w:style>
  <w:style w:type="character" w:customStyle="1" w:styleId="Heading3Char">
    <w:name w:val="Heading 3 Char"/>
    <w:basedOn w:val="DefaultParagraphFont"/>
    <w:link w:val="Heading3"/>
    <w:uiPriority w:val="9"/>
    <w:rsid w:val="004360A2"/>
    <w:rPr>
      <w:rFonts w:ascii="Arial" w:eastAsiaTheme="majorEastAsia" w:hAnsi="Arial" w:cstheme="majorBidi"/>
      <w:b/>
      <w:color w:val="000000" w:themeColor="text1"/>
      <w:sz w:val="28"/>
      <w:szCs w:val="24"/>
    </w:rPr>
  </w:style>
  <w:style w:type="character" w:customStyle="1" w:styleId="Heading4Char">
    <w:name w:val="Heading 4 Char"/>
    <w:basedOn w:val="DefaultParagraphFont"/>
    <w:link w:val="Heading4"/>
    <w:uiPriority w:val="9"/>
    <w:rsid w:val="004360A2"/>
    <w:rPr>
      <w:rFonts w:ascii="Arial" w:eastAsiaTheme="majorEastAsia" w:hAnsi="Arial" w:cstheme="majorBidi"/>
      <w:b/>
      <w:iCs/>
      <w:color w:val="000000" w:themeColor="text1"/>
      <w:sz w:val="24"/>
    </w:rPr>
  </w:style>
  <w:style w:type="character" w:customStyle="1" w:styleId="Heading5Char">
    <w:name w:val="Heading 5 Char"/>
    <w:basedOn w:val="DefaultParagraphFont"/>
    <w:link w:val="Heading5"/>
    <w:uiPriority w:val="9"/>
    <w:rsid w:val="004360A2"/>
    <w:rPr>
      <w:rFonts w:ascii="Arial" w:eastAsiaTheme="majorEastAsia" w:hAnsi="Arial" w:cstheme="majorBidi"/>
      <w:i/>
      <w:sz w:val="24"/>
    </w:rPr>
  </w:style>
  <w:style w:type="character" w:customStyle="1" w:styleId="Heading6Char">
    <w:name w:val="Heading 6 Char"/>
    <w:basedOn w:val="DefaultParagraphFont"/>
    <w:link w:val="Heading6"/>
    <w:uiPriority w:val="9"/>
    <w:semiHidden/>
    <w:rsid w:val="004360A2"/>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4360A2"/>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4360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60A2"/>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C21B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1B4C"/>
    <w:rPr>
      <w:rFonts w:ascii="Segoe UI" w:hAnsi="Segoe UI" w:cs="Segoe UI"/>
      <w:sz w:val="18"/>
      <w:szCs w:val="18"/>
    </w:rPr>
  </w:style>
  <w:style w:type="table" w:styleId="GridTable5Dark-Accent3">
    <w:name w:val="Grid Table 5 Dark Accent 3"/>
    <w:basedOn w:val="TableNormal"/>
    <w:uiPriority w:val="50"/>
    <w:rsid w:val="002E14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10606">
      <w:bodyDiv w:val="1"/>
      <w:marLeft w:val="0"/>
      <w:marRight w:val="0"/>
      <w:marTop w:val="0"/>
      <w:marBottom w:val="0"/>
      <w:divBdr>
        <w:top w:val="none" w:sz="0" w:space="0" w:color="auto"/>
        <w:left w:val="none" w:sz="0" w:space="0" w:color="auto"/>
        <w:bottom w:val="none" w:sz="0" w:space="0" w:color="auto"/>
        <w:right w:val="none" w:sz="0" w:space="0" w:color="auto"/>
      </w:divBdr>
    </w:div>
    <w:div w:id="174004579">
      <w:bodyDiv w:val="1"/>
      <w:marLeft w:val="0"/>
      <w:marRight w:val="0"/>
      <w:marTop w:val="0"/>
      <w:marBottom w:val="0"/>
      <w:divBdr>
        <w:top w:val="none" w:sz="0" w:space="0" w:color="auto"/>
        <w:left w:val="none" w:sz="0" w:space="0" w:color="auto"/>
        <w:bottom w:val="none" w:sz="0" w:space="0" w:color="auto"/>
        <w:right w:val="none" w:sz="0" w:space="0" w:color="auto"/>
      </w:divBdr>
    </w:div>
    <w:div w:id="198518273">
      <w:bodyDiv w:val="1"/>
      <w:marLeft w:val="0"/>
      <w:marRight w:val="0"/>
      <w:marTop w:val="0"/>
      <w:marBottom w:val="0"/>
      <w:divBdr>
        <w:top w:val="none" w:sz="0" w:space="0" w:color="auto"/>
        <w:left w:val="none" w:sz="0" w:space="0" w:color="auto"/>
        <w:bottom w:val="none" w:sz="0" w:space="0" w:color="auto"/>
        <w:right w:val="none" w:sz="0" w:space="0" w:color="auto"/>
      </w:divBdr>
    </w:div>
    <w:div w:id="262760033">
      <w:bodyDiv w:val="1"/>
      <w:marLeft w:val="0"/>
      <w:marRight w:val="0"/>
      <w:marTop w:val="0"/>
      <w:marBottom w:val="0"/>
      <w:divBdr>
        <w:top w:val="none" w:sz="0" w:space="0" w:color="auto"/>
        <w:left w:val="none" w:sz="0" w:space="0" w:color="auto"/>
        <w:bottom w:val="none" w:sz="0" w:space="0" w:color="auto"/>
        <w:right w:val="none" w:sz="0" w:space="0" w:color="auto"/>
      </w:divBdr>
    </w:div>
    <w:div w:id="266619203">
      <w:bodyDiv w:val="1"/>
      <w:marLeft w:val="0"/>
      <w:marRight w:val="0"/>
      <w:marTop w:val="0"/>
      <w:marBottom w:val="0"/>
      <w:divBdr>
        <w:top w:val="none" w:sz="0" w:space="0" w:color="auto"/>
        <w:left w:val="none" w:sz="0" w:space="0" w:color="auto"/>
        <w:bottom w:val="none" w:sz="0" w:space="0" w:color="auto"/>
        <w:right w:val="none" w:sz="0" w:space="0" w:color="auto"/>
      </w:divBdr>
    </w:div>
    <w:div w:id="294146541">
      <w:bodyDiv w:val="1"/>
      <w:marLeft w:val="0"/>
      <w:marRight w:val="0"/>
      <w:marTop w:val="0"/>
      <w:marBottom w:val="0"/>
      <w:divBdr>
        <w:top w:val="none" w:sz="0" w:space="0" w:color="auto"/>
        <w:left w:val="none" w:sz="0" w:space="0" w:color="auto"/>
        <w:bottom w:val="none" w:sz="0" w:space="0" w:color="auto"/>
        <w:right w:val="none" w:sz="0" w:space="0" w:color="auto"/>
      </w:divBdr>
    </w:div>
    <w:div w:id="419567261">
      <w:bodyDiv w:val="1"/>
      <w:marLeft w:val="0"/>
      <w:marRight w:val="0"/>
      <w:marTop w:val="0"/>
      <w:marBottom w:val="0"/>
      <w:divBdr>
        <w:top w:val="none" w:sz="0" w:space="0" w:color="auto"/>
        <w:left w:val="none" w:sz="0" w:space="0" w:color="auto"/>
        <w:bottom w:val="none" w:sz="0" w:space="0" w:color="auto"/>
        <w:right w:val="none" w:sz="0" w:space="0" w:color="auto"/>
      </w:divBdr>
    </w:div>
    <w:div w:id="474836666">
      <w:bodyDiv w:val="1"/>
      <w:marLeft w:val="0"/>
      <w:marRight w:val="0"/>
      <w:marTop w:val="0"/>
      <w:marBottom w:val="0"/>
      <w:divBdr>
        <w:top w:val="none" w:sz="0" w:space="0" w:color="auto"/>
        <w:left w:val="none" w:sz="0" w:space="0" w:color="auto"/>
        <w:bottom w:val="none" w:sz="0" w:space="0" w:color="auto"/>
        <w:right w:val="none" w:sz="0" w:space="0" w:color="auto"/>
      </w:divBdr>
    </w:div>
    <w:div w:id="487940046">
      <w:bodyDiv w:val="1"/>
      <w:marLeft w:val="0"/>
      <w:marRight w:val="0"/>
      <w:marTop w:val="0"/>
      <w:marBottom w:val="0"/>
      <w:divBdr>
        <w:top w:val="none" w:sz="0" w:space="0" w:color="auto"/>
        <w:left w:val="none" w:sz="0" w:space="0" w:color="auto"/>
        <w:bottom w:val="none" w:sz="0" w:space="0" w:color="auto"/>
        <w:right w:val="none" w:sz="0" w:space="0" w:color="auto"/>
      </w:divBdr>
    </w:div>
    <w:div w:id="494220704">
      <w:bodyDiv w:val="1"/>
      <w:marLeft w:val="0"/>
      <w:marRight w:val="0"/>
      <w:marTop w:val="0"/>
      <w:marBottom w:val="0"/>
      <w:divBdr>
        <w:top w:val="none" w:sz="0" w:space="0" w:color="auto"/>
        <w:left w:val="none" w:sz="0" w:space="0" w:color="auto"/>
        <w:bottom w:val="none" w:sz="0" w:space="0" w:color="auto"/>
        <w:right w:val="none" w:sz="0" w:space="0" w:color="auto"/>
      </w:divBdr>
    </w:div>
    <w:div w:id="509100802">
      <w:bodyDiv w:val="1"/>
      <w:marLeft w:val="0"/>
      <w:marRight w:val="0"/>
      <w:marTop w:val="0"/>
      <w:marBottom w:val="0"/>
      <w:divBdr>
        <w:top w:val="none" w:sz="0" w:space="0" w:color="auto"/>
        <w:left w:val="none" w:sz="0" w:space="0" w:color="auto"/>
        <w:bottom w:val="none" w:sz="0" w:space="0" w:color="auto"/>
        <w:right w:val="none" w:sz="0" w:space="0" w:color="auto"/>
      </w:divBdr>
    </w:div>
    <w:div w:id="534731998">
      <w:bodyDiv w:val="1"/>
      <w:marLeft w:val="0"/>
      <w:marRight w:val="0"/>
      <w:marTop w:val="0"/>
      <w:marBottom w:val="0"/>
      <w:divBdr>
        <w:top w:val="none" w:sz="0" w:space="0" w:color="auto"/>
        <w:left w:val="none" w:sz="0" w:space="0" w:color="auto"/>
        <w:bottom w:val="none" w:sz="0" w:space="0" w:color="auto"/>
        <w:right w:val="none" w:sz="0" w:space="0" w:color="auto"/>
      </w:divBdr>
    </w:div>
    <w:div w:id="565260942">
      <w:bodyDiv w:val="1"/>
      <w:marLeft w:val="0"/>
      <w:marRight w:val="0"/>
      <w:marTop w:val="0"/>
      <w:marBottom w:val="0"/>
      <w:divBdr>
        <w:top w:val="none" w:sz="0" w:space="0" w:color="auto"/>
        <w:left w:val="none" w:sz="0" w:space="0" w:color="auto"/>
        <w:bottom w:val="none" w:sz="0" w:space="0" w:color="auto"/>
        <w:right w:val="none" w:sz="0" w:space="0" w:color="auto"/>
      </w:divBdr>
    </w:div>
    <w:div w:id="709720345">
      <w:bodyDiv w:val="1"/>
      <w:marLeft w:val="0"/>
      <w:marRight w:val="0"/>
      <w:marTop w:val="0"/>
      <w:marBottom w:val="0"/>
      <w:divBdr>
        <w:top w:val="none" w:sz="0" w:space="0" w:color="auto"/>
        <w:left w:val="none" w:sz="0" w:space="0" w:color="auto"/>
        <w:bottom w:val="none" w:sz="0" w:space="0" w:color="auto"/>
        <w:right w:val="none" w:sz="0" w:space="0" w:color="auto"/>
      </w:divBdr>
    </w:div>
    <w:div w:id="747925743">
      <w:bodyDiv w:val="1"/>
      <w:marLeft w:val="0"/>
      <w:marRight w:val="0"/>
      <w:marTop w:val="0"/>
      <w:marBottom w:val="0"/>
      <w:divBdr>
        <w:top w:val="none" w:sz="0" w:space="0" w:color="auto"/>
        <w:left w:val="none" w:sz="0" w:space="0" w:color="auto"/>
        <w:bottom w:val="none" w:sz="0" w:space="0" w:color="auto"/>
        <w:right w:val="none" w:sz="0" w:space="0" w:color="auto"/>
      </w:divBdr>
    </w:div>
    <w:div w:id="808548180">
      <w:bodyDiv w:val="1"/>
      <w:marLeft w:val="0"/>
      <w:marRight w:val="0"/>
      <w:marTop w:val="0"/>
      <w:marBottom w:val="0"/>
      <w:divBdr>
        <w:top w:val="none" w:sz="0" w:space="0" w:color="auto"/>
        <w:left w:val="none" w:sz="0" w:space="0" w:color="auto"/>
        <w:bottom w:val="none" w:sz="0" w:space="0" w:color="auto"/>
        <w:right w:val="none" w:sz="0" w:space="0" w:color="auto"/>
      </w:divBdr>
    </w:div>
    <w:div w:id="821192244">
      <w:bodyDiv w:val="1"/>
      <w:marLeft w:val="0"/>
      <w:marRight w:val="0"/>
      <w:marTop w:val="0"/>
      <w:marBottom w:val="0"/>
      <w:divBdr>
        <w:top w:val="none" w:sz="0" w:space="0" w:color="auto"/>
        <w:left w:val="none" w:sz="0" w:space="0" w:color="auto"/>
        <w:bottom w:val="none" w:sz="0" w:space="0" w:color="auto"/>
        <w:right w:val="none" w:sz="0" w:space="0" w:color="auto"/>
      </w:divBdr>
    </w:div>
    <w:div w:id="850069839">
      <w:bodyDiv w:val="1"/>
      <w:marLeft w:val="0"/>
      <w:marRight w:val="0"/>
      <w:marTop w:val="0"/>
      <w:marBottom w:val="0"/>
      <w:divBdr>
        <w:top w:val="none" w:sz="0" w:space="0" w:color="auto"/>
        <w:left w:val="none" w:sz="0" w:space="0" w:color="auto"/>
        <w:bottom w:val="none" w:sz="0" w:space="0" w:color="auto"/>
        <w:right w:val="none" w:sz="0" w:space="0" w:color="auto"/>
      </w:divBdr>
    </w:div>
    <w:div w:id="891186854">
      <w:bodyDiv w:val="1"/>
      <w:marLeft w:val="0"/>
      <w:marRight w:val="0"/>
      <w:marTop w:val="0"/>
      <w:marBottom w:val="0"/>
      <w:divBdr>
        <w:top w:val="none" w:sz="0" w:space="0" w:color="auto"/>
        <w:left w:val="none" w:sz="0" w:space="0" w:color="auto"/>
        <w:bottom w:val="none" w:sz="0" w:space="0" w:color="auto"/>
        <w:right w:val="none" w:sz="0" w:space="0" w:color="auto"/>
      </w:divBdr>
    </w:div>
    <w:div w:id="1071731648">
      <w:bodyDiv w:val="1"/>
      <w:marLeft w:val="0"/>
      <w:marRight w:val="0"/>
      <w:marTop w:val="0"/>
      <w:marBottom w:val="0"/>
      <w:divBdr>
        <w:top w:val="none" w:sz="0" w:space="0" w:color="auto"/>
        <w:left w:val="none" w:sz="0" w:space="0" w:color="auto"/>
        <w:bottom w:val="none" w:sz="0" w:space="0" w:color="auto"/>
        <w:right w:val="none" w:sz="0" w:space="0" w:color="auto"/>
      </w:divBdr>
    </w:div>
    <w:div w:id="1105270044">
      <w:bodyDiv w:val="1"/>
      <w:marLeft w:val="0"/>
      <w:marRight w:val="0"/>
      <w:marTop w:val="0"/>
      <w:marBottom w:val="0"/>
      <w:divBdr>
        <w:top w:val="none" w:sz="0" w:space="0" w:color="auto"/>
        <w:left w:val="none" w:sz="0" w:space="0" w:color="auto"/>
        <w:bottom w:val="none" w:sz="0" w:space="0" w:color="auto"/>
        <w:right w:val="none" w:sz="0" w:space="0" w:color="auto"/>
      </w:divBdr>
    </w:div>
    <w:div w:id="1263101680">
      <w:bodyDiv w:val="1"/>
      <w:marLeft w:val="0"/>
      <w:marRight w:val="0"/>
      <w:marTop w:val="0"/>
      <w:marBottom w:val="0"/>
      <w:divBdr>
        <w:top w:val="none" w:sz="0" w:space="0" w:color="auto"/>
        <w:left w:val="none" w:sz="0" w:space="0" w:color="auto"/>
        <w:bottom w:val="none" w:sz="0" w:space="0" w:color="auto"/>
        <w:right w:val="none" w:sz="0" w:space="0" w:color="auto"/>
      </w:divBdr>
    </w:div>
    <w:div w:id="1298490726">
      <w:bodyDiv w:val="1"/>
      <w:marLeft w:val="0"/>
      <w:marRight w:val="0"/>
      <w:marTop w:val="0"/>
      <w:marBottom w:val="0"/>
      <w:divBdr>
        <w:top w:val="none" w:sz="0" w:space="0" w:color="auto"/>
        <w:left w:val="none" w:sz="0" w:space="0" w:color="auto"/>
        <w:bottom w:val="none" w:sz="0" w:space="0" w:color="auto"/>
        <w:right w:val="none" w:sz="0" w:space="0" w:color="auto"/>
      </w:divBdr>
    </w:div>
    <w:div w:id="1319189183">
      <w:bodyDiv w:val="1"/>
      <w:marLeft w:val="0"/>
      <w:marRight w:val="0"/>
      <w:marTop w:val="0"/>
      <w:marBottom w:val="0"/>
      <w:divBdr>
        <w:top w:val="none" w:sz="0" w:space="0" w:color="auto"/>
        <w:left w:val="none" w:sz="0" w:space="0" w:color="auto"/>
        <w:bottom w:val="none" w:sz="0" w:space="0" w:color="auto"/>
        <w:right w:val="none" w:sz="0" w:space="0" w:color="auto"/>
      </w:divBdr>
    </w:div>
    <w:div w:id="1380470200">
      <w:bodyDiv w:val="1"/>
      <w:marLeft w:val="0"/>
      <w:marRight w:val="0"/>
      <w:marTop w:val="0"/>
      <w:marBottom w:val="0"/>
      <w:divBdr>
        <w:top w:val="none" w:sz="0" w:space="0" w:color="auto"/>
        <w:left w:val="none" w:sz="0" w:space="0" w:color="auto"/>
        <w:bottom w:val="none" w:sz="0" w:space="0" w:color="auto"/>
        <w:right w:val="none" w:sz="0" w:space="0" w:color="auto"/>
      </w:divBdr>
    </w:div>
    <w:div w:id="1402606177">
      <w:bodyDiv w:val="1"/>
      <w:marLeft w:val="0"/>
      <w:marRight w:val="0"/>
      <w:marTop w:val="0"/>
      <w:marBottom w:val="0"/>
      <w:divBdr>
        <w:top w:val="none" w:sz="0" w:space="0" w:color="auto"/>
        <w:left w:val="none" w:sz="0" w:space="0" w:color="auto"/>
        <w:bottom w:val="none" w:sz="0" w:space="0" w:color="auto"/>
        <w:right w:val="none" w:sz="0" w:space="0" w:color="auto"/>
      </w:divBdr>
    </w:div>
    <w:div w:id="1481654865">
      <w:bodyDiv w:val="1"/>
      <w:marLeft w:val="0"/>
      <w:marRight w:val="0"/>
      <w:marTop w:val="0"/>
      <w:marBottom w:val="0"/>
      <w:divBdr>
        <w:top w:val="none" w:sz="0" w:space="0" w:color="auto"/>
        <w:left w:val="none" w:sz="0" w:space="0" w:color="auto"/>
        <w:bottom w:val="none" w:sz="0" w:space="0" w:color="auto"/>
        <w:right w:val="none" w:sz="0" w:space="0" w:color="auto"/>
      </w:divBdr>
    </w:div>
    <w:div w:id="1679229088">
      <w:bodyDiv w:val="1"/>
      <w:marLeft w:val="0"/>
      <w:marRight w:val="0"/>
      <w:marTop w:val="0"/>
      <w:marBottom w:val="0"/>
      <w:divBdr>
        <w:top w:val="none" w:sz="0" w:space="0" w:color="auto"/>
        <w:left w:val="none" w:sz="0" w:space="0" w:color="auto"/>
        <w:bottom w:val="none" w:sz="0" w:space="0" w:color="auto"/>
        <w:right w:val="none" w:sz="0" w:space="0" w:color="auto"/>
      </w:divBdr>
    </w:div>
    <w:div w:id="1754010005">
      <w:bodyDiv w:val="1"/>
      <w:marLeft w:val="0"/>
      <w:marRight w:val="0"/>
      <w:marTop w:val="0"/>
      <w:marBottom w:val="0"/>
      <w:divBdr>
        <w:top w:val="none" w:sz="0" w:space="0" w:color="auto"/>
        <w:left w:val="none" w:sz="0" w:space="0" w:color="auto"/>
        <w:bottom w:val="none" w:sz="0" w:space="0" w:color="auto"/>
        <w:right w:val="none" w:sz="0" w:space="0" w:color="auto"/>
      </w:divBdr>
    </w:div>
    <w:div w:id="1805150338">
      <w:bodyDiv w:val="1"/>
      <w:marLeft w:val="0"/>
      <w:marRight w:val="0"/>
      <w:marTop w:val="0"/>
      <w:marBottom w:val="0"/>
      <w:divBdr>
        <w:top w:val="none" w:sz="0" w:space="0" w:color="auto"/>
        <w:left w:val="none" w:sz="0" w:space="0" w:color="auto"/>
        <w:bottom w:val="none" w:sz="0" w:space="0" w:color="auto"/>
        <w:right w:val="none" w:sz="0" w:space="0" w:color="auto"/>
      </w:divBdr>
    </w:div>
    <w:div w:id="1885864700">
      <w:bodyDiv w:val="1"/>
      <w:marLeft w:val="0"/>
      <w:marRight w:val="0"/>
      <w:marTop w:val="0"/>
      <w:marBottom w:val="0"/>
      <w:divBdr>
        <w:top w:val="none" w:sz="0" w:space="0" w:color="auto"/>
        <w:left w:val="none" w:sz="0" w:space="0" w:color="auto"/>
        <w:bottom w:val="none" w:sz="0" w:space="0" w:color="auto"/>
        <w:right w:val="none" w:sz="0" w:space="0" w:color="auto"/>
      </w:divBdr>
    </w:div>
    <w:div w:id="1937515289">
      <w:bodyDiv w:val="1"/>
      <w:marLeft w:val="0"/>
      <w:marRight w:val="0"/>
      <w:marTop w:val="0"/>
      <w:marBottom w:val="0"/>
      <w:divBdr>
        <w:top w:val="none" w:sz="0" w:space="0" w:color="auto"/>
        <w:left w:val="none" w:sz="0" w:space="0" w:color="auto"/>
        <w:bottom w:val="none" w:sz="0" w:space="0" w:color="auto"/>
        <w:right w:val="none" w:sz="0" w:space="0" w:color="auto"/>
      </w:divBdr>
    </w:div>
    <w:div w:id="1953702622">
      <w:bodyDiv w:val="1"/>
      <w:marLeft w:val="0"/>
      <w:marRight w:val="0"/>
      <w:marTop w:val="0"/>
      <w:marBottom w:val="0"/>
      <w:divBdr>
        <w:top w:val="none" w:sz="0" w:space="0" w:color="auto"/>
        <w:left w:val="none" w:sz="0" w:space="0" w:color="auto"/>
        <w:bottom w:val="none" w:sz="0" w:space="0" w:color="auto"/>
        <w:right w:val="none" w:sz="0" w:space="0" w:color="auto"/>
      </w:divBdr>
    </w:div>
    <w:div w:id="2052924890">
      <w:bodyDiv w:val="1"/>
      <w:marLeft w:val="0"/>
      <w:marRight w:val="0"/>
      <w:marTop w:val="0"/>
      <w:marBottom w:val="0"/>
      <w:divBdr>
        <w:top w:val="none" w:sz="0" w:space="0" w:color="auto"/>
        <w:left w:val="none" w:sz="0" w:space="0" w:color="auto"/>
        <w:bottom w:val="none" w:sz="0" w:space="0" w:color="auto"/>
        <w:right w:val="none" w:sz="0" w:space="0" w:color="auto"/>
      </w:divBdr>
    </w:div>
    <w:div w:id="2060277418">
      <w:bodyDiv w:val="1"/>
      <w:marLeft w:val="0"/>
      <w:marRight w:val="0"/>
      <w:marTop w:val="0"/>
      <w:marBottom w:val="0"/>
      <w:divBdr>
        <w:top w:val="none" w:sz="0" w:space="0" w:color="auto"/>
        <w:left w:val="none" w:sz="0" w:space="0" w:color="auto"/>
        <w:bottom w:val="none" w:sz="0" w:space="0" w:color="auto"/>
        <w:right w:val="none" w:sz="0" w:space="0" w:color="auto"/>
      </w:divBdr>
    </w:div>
    <w:div w:id="207154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3046</Words>
  <Characters>19557</Characters>
  <Application>Microsoft Office Word</Application>
  <DocSecurity>0</DocSecurity>
  <Lines>488</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Peterson</dc:creator>
  <cp:keywords/>
  <dc:description/>
  <cp:lastModifiedBy>O'Riordan, Ken</cp:lastModifiedBy>
  <cp:revision>2</cp:revision>
  <dcterms:created xsi:type="dcterms:W3CDTF">2020-04-06T09:03:00Z</dcterms:created>
  <dcterms:modified xsi:type="dcterms:W3CDTF">2020-04-06T09:03:00Z</dcterms:modified>
</cp:coreProperties>
</file>