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A33C1" w14:textId="5B3E097A" w:rsidR="00111973" w:rsidRDefault="00396A12">
      <w:pPr>
        <w:rPr>
          <w:b/>
          <w:bCs/>
          <w:color w:val="000000"/>
          <w:sz w:val="20"/>
          <w:szCs w:val="20"/>
          <w:lang w:val="en"/>
        </w:rPr>
      </w:pPr>
      <w:r>
        <w:rPr>
          <w:b/>
          <w:bCs/>
          <w:color w:val="000000"/>
          <w:sz w:val="20"/>
          <w:szCs w:val="20"/>
          <w:lang w:val="en"/>
        </w:rPr>
        <w:t xml:space="preserve">Table </w:t>
      </w:r>
      <w:r w:rsidR="00D103AD">
        <w:rPr>
          <w:b/>
          <w:bCs/>
          <w:color w:val="000000"/>
          <w:sz w:val="20"/>
          <w:szCs w:val="20"/>
          <w:lang w:val="en"/>
        </w:rPr>
        <w:t xml:space="preserve">S1: The EAACI Guidelines for Biologicals in Severe asthma </w:t>
      </w:r>
      <w:r w:rsidR="00111973">
        <w:rPr>
          <w:b/>
          <w:bCs/>
          <w:color w:val="000000"/>
          <w:sz w:val="20"/>
          <w:szCs w:val="20"/>
          <w:lang w:val="en"/>
        </w:rPr>
        <w:t>– Guideline Development group</w:t>
      </w:r>
    </w:p>
    <w:p w14:paraId="7E17E895" w14:textId="77777777" w:rsidR="00111973" w:rsidRDefault="00111973">
      <w:pPr>
        <w:rPr>
          <w:bCs/>
          <w:color w:val="000000"/>
          <w:sz w:val="20"/>
          <w:szCs w:val="20"/>
          <w:lang w:val="en"/>
        </w:rPr>
      </w:pPr>
    </w:p>
    <w:p w14:paraId="7C4A6F75" w14:textId="3023BF83" w:rsidR="00396A12" w:rsidRPr="00FD3FC4" w:rsidRDefault="006144E8">
      <w:pPr>
        <w:rPr>
          <w:bCs/>
          <w:color w:val="000000"/>
          <w:sz w:val="20"/>
          <w:szCs w:val="20"/>
          <w:lang w:val="en"/>
        </w:rPr>
      </w:pPr>
      <w:r w:rsidRPr="00FD3FC4">
        <w:rPr>
          <w:bCs/>
          <w:color w:val="000000"/>
          <w:sz w:val="20"/>
          <w:szCs w:val="20"/>
          <w:lang w:val="en"/>
        </w:rPr>
        <w:t>The Guideline Development Group is composed of the Core Leadership Team and the Voting Panel</w:t>
      </w:r>
      <w:r w:rsidR="00111973" w:rsidRPr="00FD3FC4">
        <w:rPr>
          <w:bCs/>
          <w:color w:val="000000"/>
          <w:sz w:val="20"/>
          <w:szCs w:val="20"/>
          <w:lang w:val="en"/>
        </w:rPr>
        <w:t xml:space="preserve">. The Methodology team </w:t>
      </w:r>
      <w:r w:rsidR="00111973">
        <w:rPr>
          <w:bCs/>
          <w:color w:val="000000"/>
          <w:sz w:val="20"/>
          <w:szCs w:val="20"/>
          <w:lang w:val="en"/>
        </w:rPr>
        <w:t>provided support for the systematic reviews</w:t>
      </w:r>
    </w:p>
    <w:p w14:paraId="5CA1BB18" w14:textId="42957C92" w:rsidR="00D103AD" w:rsidRDefault="00D103AD">
      <w:pPr>
        <w:rPr>
          <w:b/>
          <w:bCs/>
          <w:color w:val="000000"/>
          <w:sz w:val="20"/>
          <w:szCs w:val="20"/>
          <w:lang w:val="en"/>
        </w:rPr>
      </w:pPr>
    </w:p>
    <w:tbl>
      <w:tblPr>
        <w:tblStyle w:val="TableGrid"/>
        <w:tblW w:w="0" w:type="auto"/>
        <w:tblLook w:val="04A0" w:firstRow="1" w:lastRow="0" w:firstColumn="1" w:lastColumn="0" w:noHBand="0" w:noVBand="1"/>
      </w:tblPr>
      <w:tblGrid>
        <w:gridCol w:w="3681"/>
        <w:gridCol w:w="3505"/>
        <w:gridCol w:w="3500"/>
      </w:tblGrid>
      <w:tr w:rsidR="0000755C" w14:paraId="6372D573" w14:textId="6AF8E259" w:rsidTr="00FD3FC4">
        <w:tc>
          <w:tcPr>
            <w:tcW w:w="3681" w:type="dxa"/>
          </w:tcPr>
          <w:p w14:paraId="33C0A295" w14:textId="1066BF8B" w:rsidR="0000755C" w:rsidRDefault="0000755C">
            <w:pPr>
              <w:rPr>
                <w:b/>
                <w:bCs/>
                <w:color w:val="000000"/>
                <w:sz w:val="20"/>
                <w:szCs w:val="20"/>
                <w:lang w:val="en"/>
              </w:rPr>
            </w:pPr>
            <w:r>
              <w:rPr>
                <w:b/>
                <w:bCs/>
                <w:color w:val="000000"/>
                <w:sz w:val="20"/>
                <w:szCs w:val="20"/>
                <w:lang w:val="en"/>
              </w:rPr>
              <w:t>Core Leadership Team</w:t>
            </w:r>
          </w:p>
        </w:tc>
        <w:tc>
          <w:tcPr>
            <w:tcW w:w="3505" w:type="dxa"/>
          </w:tcPr>
          <w:p w14:paraId="0029ECEC" w14:textId="7253F60B" w:rsidR="0000755C" w:rsidRDefault="0000755C">
            <w:pPr>
              <w:rPr>
                <w:b/>
                <w:bCs/>
                <w:color w:val="000000"/>
                <w:sz w:val="20"/>
                <w:szCs w:val="20"/>
                <w:lang w:val="en"/>
              </w:rPr>
            </w:pPr>
            <w:r>
              <w:rPr>
                <w:b/>
                <w:bCs/>
                <w:color w:val="000000"/>
                <w:sz w:val="20"/>
                <w:szCs w:val="20"/>
                <w:lang w:val="en"/>
              </w:rPr>
              <w:t>Voting Panel</w:t>
            </w:r>
          </w:p>
        </w:tc>
        <w:tc>
          <w:tcPr>
            <w:tcW w:w="3500" w:type="dxa"/>
          </w:tcPr>
          <w:p w14:paraId="7F20CE31" w14:textId="5156E5B9" w:rsidR="0000755C" w:rsidRDefault="0000755C">
            <w:pPr>
              <w:rPr>
                <w:b/>
                <w:bCs/>
                <w:color w:val="000000"/>
                <w:sz w:val="20"/>
                <w:szCs w:val="20"/>
                <w:lang w:val="en"/>
              </w:rPr>
            </w:pPr>
            <w:r>
              <w:rPr>
                <w:b/>
                <w:bCs/>
                <w:color w:val="000000"/>
                <w:sz w:val="20"/>
                <w:szCs w:val="20"/>
                <w:lang w:val="en"/>
              </w:rPr>
              <w:t>Oversight Committee managing COI</w:t>
            </w:r>
          </w:p>
        </w:tc>
      </w:tr>
      <w:tr w:rsidR="0000755C" w14:paraId="1031CB22" w14:textId="3408288E" w:rsidTr="00FD3FC4">
        <w:tc>
          <w:tcPr>
            <w:tcW w:w="3681" w:type="dxa"/>
          </w:tcPr>
          <w:p w14:paraId="13962A9B" w14:textId="388DB81F" w:rsidR="0000755C" w:rsidRPr="00D103AD" w:rsidRDefault="0000755C">
            <w:pPr>
              <w:rPr>
                <w:bCs/>
                <w:color w:val="000000"/>
                <w:sz w:val="20"/>
                <w:szCs w:val="20"/>
                <w:lang w:val="en"/>
              </w:rPr>
            </w:pPr>
            <w:r w:rsidRPr="00875189">
              <w:rPr>
                <w:b/>
                <w:bCs/>
                <w:color w:val="000000"/>
                <w:sz w:val="20"/>
                <w:szCs w:val="20"/>
                <w:lang w:val="en"/>
              </w:rPr>
              <w:t>Chairs:</w:t>
            </w:r>
            <w:r>
              <w:rPr>
                <w:bCs/>
                <w:color w:val="000000"/>
                <w:sz w:val="20"/>
                <w:szCs w:val="20"/>
                <w:lang w:val="en"/>
              </w:rPr>
              <w:t xml:space="preserve"> </w:t>
            </w:r>
            <w:r w:rsidRPr="00D103AD">
              <w:rPr>
                <w:bCs/>
                <w:color w:val="000000"/>
                <w:sz w:val="20"/>
                <w:szCs w:val="20"/>
                <w:lang w:val="en"/>
              </w:rPr>
              <w:t>Ioana Agache</w:t>
            </w:r>
            <w:r>
              <w:rPr>
                <w:bCs/>
                <w:color w:val="000000"/>
                <w:sz w:val="20"/>
                <w:szCs w:val="20"/>
                <w:lang w:val="en"/>
              </w:rPr>
              <w:t xml:space="preserve"> (Romania),</w:t>
            </w:r>
            <w:r w:rsidRPr="00D103AD">
              <w:rPr>
                <w:bCs/>
                <w:color w:val="000000"/>
                <w:sz w:val="20"/>
                <w:szCs w:val="20"/>
                <w:lang w:val="en"/>
              </w:rPr>
              <w:t xml:space="preserve"> Oscar Palomares</w:t>
            </w:r>
            <w:r>
              <w:rPr>
                <w:bCs/>
                <w:color w:val="000000"/>
                <w:sz w:val="20"/>
                <w:szCs w:val="20"/>
                <w:lang w:val="en"/>
              </w:rPr>
              <w:t xml:space="preserve"> (Spain),</w:t>
            </w:r>
            <w:r w:rsidRPr="00D103AD">
              <w:rPr>
                <w:bCs/>
                <w:color w:val="000000"/>
                <w:sz w:val="20"/>
                <w:szCs w:val="20"/>
                <w:lang w:val="en"/>
              </w:rPr>
              <w:t xml:space="preserve"> Marek Jutel</w:t>
            </w:r>
            <w:r>
              <w:rPr>
                <w:bCs/>
                <w:color w:val="000000"/>
                <w:sz w:val="20"/>
                <w:szCs w:val="20"/>
                <w:lang w:val="en"/>
              </w:rPr>
              <w:t xml:space="preserve"> (Poland)</w:t>
            </w:r>
          </w:p>
          <w:p w14:paraId="185E8891" w14:textId="77777777" w:rsidR="0000755C" w:rsidRDefault="0000755C">
            <w:pPr>
              <w:rPr>
                <w:bCs/>
                <w:color w:val="000000"/>
                <w:sz w:val="20"/>
                <w:szCs w:val="20"/>
                <w:lang w:val="en"/>
              </w:rPr>
            </w:pPr>
          </w:p>
          <w:p w14:paraId="32E450B0" w14:textId="6AB76304" w:rsidR="0000755C" w:rsidRDefault="0000755C">
            <w:pPr>
              <w:rPr>
                <w:bCs/>
                <w:color w:val="000000"/>
                <w:sz w:val="20"/>
                <w:szCs w:val="20"/>
                <w:lang w:val="en"/>
              </w:rPr>
            </w:pPr>
            <w:r w:rsidRPr="00D103AD">
              <w:rPr>
                <w:bCs/>
                <w:color w:val="000000"/>
                <w:sz w:val="20"/>
                <w:szCs w:val="20"/>
                <w:lang w:val="en"/>
              </w:rPr>
              <w:t xml:space="preserve">Cezmi </w:t>
            </w:r>
            <w:r>
              <w:rPr>
                <w:bCs/>
                <w:color w:val="000000"/>
                <w:sz w:val="20"/>
                <w:szCs w:val="20"/>
                <w:lang w:val="en"/>
              </w:rPr>
              <w:t>Ak</w:t>
            </w:r>
            <w:r w:rsidRPr="00D103AD">
              <w:rPr>
                <w:bCs/>
                <w:color w:val="000000"/>
                <w:sz w:val="20"/>
                <w:szCs w:val="20"/>
                <w:lang w:val="en"/>
              </w:rPr>
              <w:t>dis</w:t>
            </w:r>
            <w:r>
              <w:rPr>
                <w:bCs/>
                <w:color w:val="000000"/>
                <w:sz w:val="20"/>
                <w:szCs w:val="20"/>
                <w:lang w:val="en"/>
              </w:rPr>
              <w:t xml:space="preserve"> (Switzerland)</w:t>
            </w:r>
          </w:p>
          <w:p w14:paraId="1A1DDA5D" w14:textId="52F3A576" w:rsidR="0000755C" w:rsidRDefault="0000755C">
            <w:pPr>
              <w:rPr>
                <w:bCs/>
                <w:color w:val="000000"/>
                <w:sz w:val="20"/>
                <w:szCs w:val="20"/>
                <w:lang w:val="en"/>
              </w:rPr>
            </w:pPr>
            <w:r>
              <w:rPr>
                <w:bCs/>
                <w:color w:val="000000"/>
                <w:sz w:val="20"/>
                <w:szCs w:val="20"/>
                <w:lang w:val="en"/>
              </w:rPr>
              <w:t>T</w:t>
            </w:r>
            <w:r w:rsidRPr="00D103AD">
              <w:rPr>
                <w:bCs/>
                <w:color w:val="000000"/>
                <w:sz w:val="20"/>
                <w:szCs w:val="20"/>
                <w:lang w:val="en"/>
              </w:rPr>
              <w:t>omas Chivato</w:t>
            </w:r>
            <w:r>
              <w:rPr>
                <w:bCs/>
                <w:color w:val="000000"/>
                <w:sz w:val="20"/>
                <w:szCs w:val="20"/>
                <w:lang w:val="en"/>
              </w:rPr>
              <w:t xml:space="preserve"> (Spain)</w:t>
            </w:r>
          </w:p>
          <w:p w14:paraId="7B080C5F" w14:textId="1437CB1B" w:rsidR="0000755C" w:rsidRDefault="0000755C">
            <w:pPr>
              <w:rPr>
                <w:bCs/>
                <w:color w:val="000000"/>
                <w:sz w:val="20"/>
                <w:szCs w:val="20"/>
                <w:lang w:val="en"/>
              </w:rPr>
            </w:pPr>
            <w:r w:rsidRPr="00D103AD">
              <w:rPr>
                <w:bCs/>
                <w:color w:val="000000"/>
                <w:sz w:val="20"/>
                <w:szCs w:val="20"/>
                <w:lang w:val="en"/>
              </w:rPr>
              <w:t>Stefano Del Giacc</w:t>
            </w:r>
            <w:r>
              <w:rPr>
                <w:bCs/>
                <w:color w:val="000000"/>
                <w:sz w:val="20"/>
                <w:szCs w:val="20"/>
                <w:lang w:val="en"/>
              </w:rPr>
              <w:t>o (Italy)</w:t>
            </w:r>
          </w:p>
          <w:p w14:paraId="4DD6FB96" w14:textId="3700282F" w:rsidR="0000755C" w:rsidRDefault="0000755C">
            <w:pPr>
              <w:rPr>
                <w:bCs/>
                <w:color w:val="000000"/>
                <w:sz w:val="20"/>
                <w:szCs w:val="20"/>
                <w:lang w:val="en"/>
              </w:rPr>
            </w:pPr>
            <w:r w:rsidRPr="00D103AD">
              <w:rPr>
                <w:bCs/>
                <w:color w:val="000000"/>
                <w:sz w:val="20"/>
                <w:szCs w:val="20"/>
                <w:lang w:val="en"/>
              </w:rPr>
              <w:t>Thomas Eiwegger</w:t>
            </w:r>
            <w:r>
              <w:rPr>
                <w:bCs/>
                <w:color w:val="000000"/>
                <w:sz w:val="20"/>
                <w:szCs w:val="20"/>
                <w:lang w:val="en"/>
              </w:rPr>
              <w:t xml:space="preserve"> (Canada)</w:t>
            </w:r>
          </w:p>
          <w:p w14:paraId="77D51577" w14:textId="25788F7E" w:rsidR="0000755C" w:rsidRDefault="0000755C">
            <w:pPr>
              <w:rPr>
                <w:bCs/>
                <w:color w:val="000000"/>
                <w:sz w:val="20"/>
                <w:szCs w:val="20"/>
                <w:lang w:val="en"/>
              </w:rPr>
            </w:pPr>
            <w:r w:rsidRPr="00D103AD">
              <w:rPr>
                <w:bCs/>
                <w:color w:val="000000"/>
                <w:sz w:val="20"/>
                <w:szCs w:val="20"/>
                <w:lang w:val="en"/>
              </w:rPr>
              <w:t xml:space="preserve"> Liam O’Mahony</w:t>
            </w:r>
            <w:r>
              <w:rPr>
                <w:bCs/>
                <w:color w:val="000000"/>
                <w:sz w:val="20"/>
                <w:szCs w:val="20"/>
                <w:lang w:val="en"/>
              </w:rPr>
              <w:t xml:space="preserve"> (Ireland)</w:t>
            </w:r>
          </w:p>
          <w:p w14:paraId="4D726743" w14:textId="11BF06AF" w:rsidR="0000755C" w:rsidRDefault="0000755C">
            <w:pPr>
              <w:rPr>
                <w:bCs/>
                <w:color w:val="000000"/>
                <w:sz w:val="20"/>
                <w:szCs w:val="20"/>
                <w:lang w:val="en"/>
              </w:rPr>
            </w:pPr>
            <w:r w:rsidRPr="00D103AD">
              <w:rPr>
                <w:bCs/>
                <w:color w:val="000000"/>
                <w:sz w:val="20"/>
                <w:szCs w:val="20"/>
                <w:lang w:val="en"/>
              </w:rPr>
              <w:t>Jurgen Schwarze</w:t>
            </w:r>
            <w:r>
              <w:rPr>
                <w:bCs/>
                <w:color w:val="000000"/>
                <w:sz w:val="20"/>
                <w:szCs w:val="20"/>
                <w:lang w:val="en"/>
              </w:rPr>
              <w:t xml:space="preserve"> (UK)</w:t>
            </w:r>
          </w:p>
          <w:p w14:paraId="47739411" w14:textId="645CEA6A" w:rsidR="0000755C" w:rsidRPr="00D103AD" w:rsidRDefault="0000755C">
            <w:pPr>
              <w:rPr>
                <w:bCs/>
                <w:color w:val="000000"/>
                <w:sz w:val="20"/>
                <w:szCs w:val="20"/>
                <w:lang w:val="en"/>
              </w:rPr>
            </w:pPr>
          </w:p>
        </w:tc>
        <w:tc>
          <w:tcPr>
            <w:tcW w:w="3505" w:type="dxa"/>
          </w:tcPr>
          <w:p w14:paraId="74B5CB3F" w14:textId="0E4457F6" w:rsidR="0000755C" w:rsidRDefault="0000755C">
            <w:pPr>
              <w:rPr>
                <w:bCs/>
                <w:color w:val="000000"/>
                <w:sz w:val="20"/>
                <w:szCs w:val="20"/>
                <w:lang w:val="en"/>
              </w:rPr>
            </w:pPr>
            <w:r w:rsidRPr="00D103AD">
              <w:rPr>
                <w:bCs/>
                <w:color w:val="000000"/>
                <w:sz w:val="20"/>
                <w:szCs w:val="20"/>
                <w:lang w:val="en"/>
              </w:rPr>
              <w:t>Mubeccel Akdis</w:t>
            </w:r>
            <w:r>
              <w:rPr>
                <w:bCs/>
                <w:color w:val="000000"/>
                <w:sz w:val="20"/>
                <w:szCs w:val="20"/>
                <w:lang w:val="en"/>
              </w:rPr>
              <w:t xml:space="preserve"> (Switzerland)</w:t>
            </w:r>
          </w:p>
          <w:p w14:paraId="5A59CDE2" w14:textId="18D0106A" w:rsidR="0000755C" w:rsidRDefault="0000755C">
            <w:pPr>
              <w:rPr>
                <w:bCs/>
                <w:color w:val="000000"/>
                <w:sz w:val="20"/>
                <w:szCs w:val="20"/>
                <w:lang w:val="en"/>
              </w:rPr>
            </w:pPr>
            <w:r w:rsidRPr="00D103AD">
              <w:rPr>
                <w:bCs/>
                <w:color w:val="000000"/>
                <w:sz w:val="20"/>
                <w:szCs w:val="20"/>
                <w:lang w:val="en"/>
              </w:rPr>
              <w:t>Giorgio Walter Canonica</w:t>
            </w:r>
            <w:r>
              <w:rPr>
                <w:bCs/>
                <w:color w:val="000000"/>
                <w:sz w:val="20"/>
                <w:szCs w:val="20"/>
                <w:lang w:val="en"/>
              </w:rPr>
              <w:t xml:space="preserve"> (Italy)</w:t>
            </w:r>
          </w:p>
          <w:p w14:paraId="7EF45F33" w14:textId="5A0F2241" w:rsidR="0000755C" w:rsidRDefault="0000755C">
            <w:pPr>
              <w:rPr>
                <w:bCs/>
                <w:color w:val="000000"/>
                <w:sz w:val="20"/>
                <w:szCs w:val="20"/>
                <w:lang w:val="en"/>
              </w:rPr>
            </w:pPr>
            <w:r w:rsidRPr="00D103AD">
              <w:rPr>
                <w:bCs/>
                <w:color w:val="000000"/>
                <w:sz w:val="20"/>
                <w:szCs w:val="20"/>
                <w:lang w:val="en"/>
              </w:rPr>
              <w:t xml:space="preserve">Thomas Casale </w:t>
            </w:r>
            <w:r>
              <w:rPr>
                <w:bCs/>
                <w:color w:val="000000"/>
                <w:sz w:val="20"/>
                <w:szCs w:val="20"/>
                <w:lang w:val="en"/>
              </w:rPr>
              <w:t>(USA)</w:t>
            </w:r>
          </w:p>
          <w:p w14:paraId="12F19B58" w14:textId="11A1F4E7" w:rsidR="0000755C" w:rsidRDefault="0000755C">
            <w:pPr>
              <w:rPr>
                <w:bCs/>
                <w:color w:val="000000"/>
                <w:sz w:val="20"/>
                <w:szCs w:val="20"/>
                <w:lang w:val="en"/>
              </w:rPr>
            </w:pPr>
            <w:r w:rsidRPr="00D103AD">
              <w:rPr>
                <w:bCs/>
                <w:color w:val="000000"/>
                <w:sz w:val="20"/>
                <w:szCs w:val="20"/>
                <w:lang w:val="en"/>
              </w:rPr>
              <w:t xml:space="preserve">Jonathan Corren </w:t>
            </w:r>
            <w:r>
              <w:rPr>
                <w:bCs/>
                <w:color w:val="000000"/>
                <w:sz w:val="20"/>
                <w:szCs w:val="20"/>
                <w:lang w:val="en"/>
              </w:rPr>
              <w:t>(USA)</w:t>
            </w:r>
          </w:p>
          <w:p w14:paraId="7AF803A0" w14:textId="7EA3CBA0" w:rsidR="0000755C" w:rsidRDefault="0000755C">
            <w:pPr>
              <w:rPr>
                <w:bCs/>
                <w:color w:val="000000"/>
                <w:sz w:val="20"/>
                <w:szCs w:val="20"/>
                <w:lang w:val="en"/>
              </w:rPr>
            </w:pPr>
            <w:r w:rsidRPr="00D103AD">
              <w:rPr>
                <w:bCs/>
                <w:color w:val="000000"/>
                <w:sz w:val="20"/>
                <w:szCs w:val="20"/>
                <w:lang w:val="en"/>
              </w:rPr>
              <w:t xml:space="preserve">Derek Chu </w:t>
            </w:r>
            <w:r>
              <w:rPr>
                <w:bCs/>
                <w:color w:val="000000"/>
                <w:sz w:val="20"/>
                <w:szCs w:val="20"/>
                <w:lang w:val="en"/>
              </w:rPr>
              <w:t>(Canada)</w:t>
            </w:r>
          </w:p>
          <w:p w14:paraId="4B7B984D" w14:textId="07E664B6" w:rsidR="0000755C" w:rsidRDefault="0000755C">
            <w:pPr>
              <w:rPr>
                <w:bCs/>
                <w:color w:val="000000"/>
                <w:sz w:val="20"/>
                <w:szCs w:val="20"/>
                <w:lang w:val="en"/>
              </w:rPr>
            </w:pPr>
            <w:r w:rsidRPr="00D103AD">
              <w:rPr>
                <w:bCs/>
                <w:color w:val="000000"/>
                <w:sz w:val="20"/>
                <w:szCs w:val="20"/>
                <w:lang w:val="en"/>
              </w:rPr>
              <w:t>Breda Flood</w:t>
            </w:r>
            <w:r>
              <w:rPr>
                <w:bCs/>
                <w:color w:val="000000"/>
                <w:sz w:val="20"/>
                <w:szCs w:val="20"/>
                <w:lang w:val="en"/>
              </w:rPr>
              <w:t xml:space="preserve"> (Ireland)</w:t>
            </w:r>
          </w:p>
          <w:p w14:paraId="05D4D133" w14:textId="1EDDB064" w:rsidR="0000755C" w:rsidRDefault="0000755C">
            <w:pPr>
              <w:rPr>
                <w:bCs/>
                <w:color w:val="000000"/>
                <w:sz w:val="20"/>
                <w:szCs w:val="20"/>
                <w:lang w:val="en"/>
              </w:rPr>
            </w:pPr>
            <w:r w:rsidRPr="00D103AD">
              <w:rPr>
                <w:bCs/>
                <w:color w:val="000000"/>
                <w:sz w:val="20"/>
                <w:szCs w:val="20"/>
                <w:lang w:val="en"/>
              </w:rPr>
              <w:t>Davide Firinu</w:t>
            </w:r>
            <w:r>
              <w:rPr>
                <w:bCs/>
                <w:color w:val="000000"/>
                <w:sz w:val="20"/>
                <w:szCs w:val="20"/>
                <w:lang w:val="en"/>
              </w:rPr>
              <w:t xml:space="preserve"> (Italy)</w:t>
            </w:r>
          </w:p>
          <w:p w14:paraId="77D328AB" w14:textId="22068B39" w:rsidR="0000755C" w:rsidRDefault="0000755C">
            <w:pPr>
              <w:rPr>
                <w:bCs/>
                <w:color w:val="000000"/>
                <w:sz w:val="20"/>
                <w:szCs w:val="20"/>
                <w:lang w:val="en"/>
              </w:rPr>
            </w:pPr>
            <w:r w:rsidRPr="00D103AD">
              <w:rPr>
                <w:bCs/>
                <w:color w:val="000000"/>
                <w:sz w:val="20"/>
                <w:szCs w:val="20"/>
                <w:lang w:val="en"/>
              </w:rPr>
              <w:t>James E. Gern</w:t>
            </w:r>
            <w:r>
              <w:rPr>
                <w:bCs/>
                <w:color w:val="000000"/>
                <w:sz w:val="20"/>
                <w:szCs w:val="20"/>
                <w:lang w:val="en"/>
              </w:rPr>
              <w:t xml:space="preserve"> (USA)</w:t>
            </w:r>
          </w:p>
          <w:p w14:paraId="4A7DF69B" w14:textId="1A40AA38" w:rsidR="0000755C" w:rsidRDefault="0000755C">
            <w:pPr>
              <w:rPr>
                <w:bCs/>
                <w:color w:val="000000"/>
                <w:sz w:val="20"/>
                <w:szCs w:val="20"/>
                <w:lang w:val="en"/>
              </w:rPr>
            </w:pPr>
            <w:r w:rsidRPr="00D103AD">
              <w:rPr>
                <w:bCs/>
                <w:color w:val="000000"/>
                <w:sz w:val="20"/>
                <w:szCs w:val="20"/>
                <w:lang w:val="en"/>
              </w:rPr>
              <w:t>Eckard Hamelmann</w:t>
            </w:r>
            <w:r>
              <w:rPr>
                <w:bCs/>
                <w:color w:val="000000"/>
                <w:sz w:val="20"/>
                <w:szCs w:val="20"/>
                <w:lang w:val="en"/>
              </w:rPr>
              <w:t xml:space="preserve"> (Germany)</w:t>
            </w:r>
          </w:p>
          <w:p w14:paraId="637C6E01" w14:textId="7770CBEB" w:rsidR="0000755C" w:rsidRDefault="0000755C">
            <w:pPr>
              <w:rPr>
                <w:bCs/>
                <w:color w:val="000000"/>
                <w:sz w:val="20"/>
                <w:szCs w:val="20"/>
                <w:lang w:val="en"/>
              </w:rPr>
            </w:pPr>
            <w:r w:rsidRPr="00D103AD">
              <w:rPr>
                <w:bCs/>
                <w:color w:val="000000"/>
                <w:sz w:val="20"/>
                <w:szCs w:val="20"/>
                <w:lang w:val="en"/>
              </w:rPr>
              <w:t>Nicola Hanania</w:t>
            </w:r>
            <w:r>
              <w:rPr>
                <w:bCs/>
                <w:color w:val="000000"/>
                <w:sz w:val="20"/>
                <w:szCs w:val="20"/>
                <w:lang w:val="en"/>
              </w:rPr>
              <w:t xml:space="preserve"> (USA)</w:t>
            </w:r>
          </w:p>
          <w:p w14:paraId="1137646E" w14:textId="44F14506" w:rsidR="0000755C" w:rsidRDefault="0000755C">
            <w:pPr>
              <w:rPr>
                <w:bCs/>
                <w:color w:val="000000"/>
                <w:sz w:val="20"/>
                <w:szCs w:val="20"/>
                <w:lang w:val="en"/>
              </w:rPr>
            </w:pPr>
            <w:r w:rsidRPr="00D103AD">
              <w:rPr>
                <w:bCs/>
                <w:color w:val="000000"/>
                <w:sz w:val="20"/>
                <w:szCs w:val="20"/>
                <w:lang w:val="en"/>
              </w:rPr>
              <w:t>Rebeca Knibb</w:t>
            </w:r>
            <w:r>
              <w:rPr>
                <w:bCs/>
                <w:color w:val="000000"/>
                <w:sz w:val="20"/>
                <w:szCs w:val="20"/>
                <w:lang w:val="en"/>
              </w:rPr>
              <w:t xml:space="preserve"> (UK)</w:t>
            </w:r>
          </w:p>
          <w:p w14:paraId="7ECD4B6C" w14:textId="51235B55" w:rsidR="0000755C" w:rsidRDefault="0000755C">
            <w:pPr>
              <w:rPr>
                <w:bCs/>
                <w:color w:val="000000"/>
                <w:sz w:val="20"/>
                <w:szCs w:val="20"/>
                <w:lang w:val="en"/>
              </w:rPr>
            </w:pPr>
            <w:r w:rsidRPr="00D103AD">
              <w:rPr>
                <w:bCs/>
                <w:color w:val="000000"/>
                <w:sz w:val="20"/>
                <w:szCs w:val="20"/>
                <w:lang w:val="en"/>
              </w:rPr>
              <w:t xml:space="preserve">Mika Mäkelä </w:t>
            </w:r>
            <w:r>
              <w:rPr>
                <w:bCs/>
                <w:color w:val="000000"/>
                <w:sz w:val="20"/>
                <w:szCs w:val="20"/>
                <w:lang w:val="en"/>
              </w:rPr>
              <w:t>(Finland)</w:t>
            </w:r>
          </w:p>
          <w:p w14:paraId="1E5F4C07" w14:textId="7DA9DCAB" w:rsidR="0000755C" w:rsidRDefault="0000755C">
            <w:pPr>
              <w:rPr>
                <w:bCs/>
                <w:color w:val="000000"/>
                <w:sz w:val="20"/>
                <w:szCs w:val="20"/>
                <w:lang w:val="en"/>
              </w:rPr>
            </w:pPr>
            <w:r w:rsidRPr="00D103AD">
              <w:rPr>
                <w:bCs/>
                <w:color w:val="000000"/>
                <w:sz w:val="20"/>
                <w:szCs w:val="20"/>
                <w:lang w:val="en"/>
              </w:rPr>
              <w:t>Irene Hernández Martín</w:t>
            </w:r>
            <w:r>
              <w:rPr>
                <w:bCs/>
                <w:color w:val="000000"/>
                <w:sz w:val="20"/>
                <w:szCs w:val="20"/>
                <w:lang w:val="en"/>
              </w:rPr>
              <w:t xml:space="preserve"> (Spain)</w:t>
            </w:r>
          </w:p>
          <w:p w14:paraId="10964EBD" w14:textId="6CC7C2D7" w:rsidR="0000755C" w:rsidRDefault="0000755C">
            <w:pPr>
              <w:rPr>
                <w:bCs/>
                <w:color w:val="000000"/>
                <w:sz w:val="20"/>
                <w:szCs w:val="20"/>
                <w:lang w:val="en"/>
              </w:rPr>
            </w:pPr>
            <w:r w:rsidRPr="00D103AD">
              <w:rPr>
                <w:bCs/>
                <w:color w:val="000000"/>
                <w:sz w:val="20"/>
                <w:szCs w:val="20"/>
                <w:lang w:val="en"/>
              </w:rPr>
              <w:t xml:space="preserve">Parameswaran Nair </w:t>
            </w:r>
            <w:r>
              <w:rPr>
                <w:bCs/>
                <w:color w:val="000000"/>
                <w:sz w:val="20"/>
                <w:szCs w:val="20"/>
                <w:lang w:val="en"/>
              </w:rPr>
              <w:t>(Canada)</w:t>
            </w:r>
          </w:p>
          <w:p w14:paraId="439CC5FD" w14:textId="60D683A7" w:rsidR="0000755C" w:rsidRDefault="0000755C">
            <w:pPr>
              <w:rPr>
                <w:bCs/>
                <w:color w:val="000000"/>
                <w:sz w:val="20"/>
                <w:szCs w:val="20"/>
                <w:lang w:val="en"/>
              </w:rPr>
            </w:pPr>
            <w:r w:rsidRPr="00D103AD">
              <w:rPr>
                <w:bCs/>
                <w:color w:val="000000"/>
                <w:sz w:val="20"/>
                <w:szCs w:val="20"/>
                <w:lang w:val="en"/>
              </w:rPr>
              <w:t>Nikolaos G. Papadopoulos</w:t>
            </w:r>
            <w:r>
              <w:rPr>
                <w:bCs/>
                <w:color w:val="000000"/>
                <w:sz w:val="20"/>
                <w:szCs w:val="20"/>
                <w:lang w:val="en"/>
              </w:rPr>
              <w:t xml:space="preserve"> (Greece, UK)</w:t>
            </w:r>
          </w:p>
          <w:p w14:paraId="299996E7" w14:textId="50744C69" w:rsidR="0000755C" w:rsidRDefault="0000755C">
            <w:pPr>
              <w:rPr>
                <w:bCs/>
                <w:color w:val="000000"/>
                <w:sz w:val="20"/>
                <w:szCs w:val="20"/>
                <w:lang w:val="en"/>
              </w:rPr>
            </w:pPr>
            <w:r w:rsidRPr="00D103AD">
              <w:rPr>
                <w:bCs/>
                <w:color w:val="000000"/>
                <w:sz w:val="20"/>
                <w:szCs w:val="20"/>
                <w:lang w:val="en"/>
              </w:rPr>
              <w:t>Alberto Papi</w:t>
            </w:r>
            <w:r>
              <w:rPr>
                <w:bCs/>
                <w:color w:val="000000"/>
                <w:sz w:val="20"/>
                <w:szCs w:val="20"/>
                <w:lang w:val="en"/>
              </w:rPr>
              <w:t xml:space="preserve"> (Italy)</w:t>
            </w:r>
          </w:p>
          <w:p w14:paraId="0BD8A141" w14:textId="1885A5D4" w:rsidR="0000755C" w:rsidRDefault="0000755C">
            <w:pPr>
              <w:rPr>
                <w:bCs/>
                <w:color w:val="000000"/>
                <w:sz w:val="20"/>
                <w:szCs w:val="20"/>
                <w:lang w:val="en"/>
              </w:rPr>
            </w:pPr>
            <w:r w:rsidRPr="00D103AD">
              <w:rPr>
                <w:bCs/>
                <w:color w:val="000000"/>
                <w:sz w:val="20"/>
                <w:szCs w:val="20"/>
                <w:lang w:val="en"/>
              </w:rPr>
              <w:t>Hae-Sim Park</w:t>
            </w:r>
            <w:r>
              <w:rPr>
                <w:bCs/>
                <w:color w:val="000000"/>
                <w:sz w:val="20"/>
                <w:szCs w:val="20"/>
                <w:lang w:val="en"/>
              </w:rPr>
              <w:t xml:space="preserve"> (South Korea) </w:t>
            </w:r>
          </w:p>
          <w:p w14:paraId="5C765573" w14:textId="51F82A4E" w:rsidR="0000755C" w:rsidRDefault="0000755C">
            <w:pPr>
              <w:rPr>
                <w:bCs/>
                <w:color w:val="000000"/>
                <w:sz w:val="20"/>
                <w:szCs w:val="20"/>
                <w:lang w:val="en"/>
              </w:rPr>
            </w:pPr>
            <w:r w:rsidRPr="00D103AD">
              <w:rPr>
                <w:bCs/>
                <w:color w:val="000000"/>
                <w:sz w:val="20"/>
                <w:szCs w:val="20"/>
                <w:lang w:val="en"/>
              </w:rPr>
              <w:t>Luis Pérez de Llano</w:t>
            </w:r>
            <w:r>
              <w:rPr>
                <w:bCs/>
                <w:color w:val="000000"/>
                <w:sz w:val="20"/>
                <w:szCs w:val="20"/>
                <w:lang w:val="en"/>
              </w:rPr>
              <w:t xml:space="preserve"> (Spain)</w:t>
            </w:r>
          </w:p>
          <w:p w14:paraId="08A2CA15" w14:textId="009ADCC6" w:rsidR="0000755C" w:rsidRDefault="0000755C">
            <w:pPr>
              <w:rPr>
                <w:bCs/>
                <w:color w:val="000000"/>
                <w:sz w:val="20"/>
                <w:szCs w:val="20"/>
                <w:lang w:val="en"/>
              </w:rPr>
            </w:pPr>
            <w:r w:rsidRPr="00D103AD">
              <w:rPr>
                <w:bCs/>
                <w:color w:val="000000"/>
                <w:sz w:val="20"/>
                <w:szCs w:val="20"/>
                <w:lang w:val="en"/>
              </w:rPr>
              <w:t>Oliver Pfaar</w:t>
            </w:r>
            <w:r>
              <w:rPr>
                <w:bCs/>
                <w:color w:val="000000"/>
                <w:sz w:val="20"/>
                <w:szCs w:val="20"/>
                <w:lang w:val="en"/>
              </w:rPr>
              <w:t xml:space="preserve"> (Germany)</w:t>
            </w:r>
          </w:p>
          <w:p w14:paraId="474D31C5" w14:textId="4CA1EF2A" w:rsidR="0000755C" w:rsidRDefault="0000755C">
            <w:pPr>
              <w:rPr>
                <w:bCs/>
                <w:color w:val="000000"/>
                <w:sz w:val="20"/>
                <w:szCs w:val="20"/>
                <w:lang w:val="en"/>
              </w:rPr>
            </w:pPr>
            <w:r w:rsidRPr="00D103AD">
              <w:rPr>
                <w:bCs/>
                <w:color w:val="000000"/>
                <w:sz w:val="20"/>
                <w:szCs w:val="20"/>
                <w:lang w:val="en"/>
              </w:rPr>
              <w:t>Santiago Quirce</w:t>
            </w:r>
            <w:r>
              <w:rPr>
                <w:bCs/>
                <w:color w:val="000000"/>
                <w:sz w:val="20"/>
                <w:szCs w:val="20"/>
                <w:lang w:val="en"/>
              </w:rPr>
              <w:t xml:space="preserve"> (Spain)</w:t>
            </w:r>
          </w:p>
          <w:p w14:paraId="3D8A4500" w14:textId="495D7B0D" w:rsidR="0000755C" w:rsidRDefault="0000755C">
            <w:pPr>
              <w:rPr>
                <w:bCs/>
                <w:color w:val="000000"/>
                <w:sz w:val="20"/>
                <w:szCs w:val="20"/>
                <w:lang w:val="en"/>
              </w:rPr>
            </w:pPr>
            <w:r w:rsidRPr="00D103AD">
              <w:rPr>
                <w:bCs/>
                <w:color w:val="000000"/>
                <w:sz w:val="20"/>
                <w:szCs w:val="20"/>
                <w:lang w:val="en"/>
              </w:rPr>
              <w:t>Joaquin Sastre</w:t>
            </w:r>
            <w:r>
              <w:rPr>
                <w:bCs/>
                <w:color w:val="000000"/>
                <w:sz w:val="20"/>
                <w:szCs w:val="20"/>
                <w:lang w:val="en"/>
              </w:rPr>
              <w:t xml:space="preserve"> (Spain)</w:t>
            </w:r>
          </w:p>
          <w:p w14:paraId="380418A2" w14:textId="5A8AD28F" w:rsidR="0000755C" w:rsidRPr="00D103AD" w:rsidRDefault="0000755C">
            <w:pPr>
              <w:rPr>
                <w:bCs/>
                <w:color w:val="000000"/>
                <w:sz w:val="20"/>
                <w:szCs w:val="20"/>
                <w:lang w:val="en"/>
              </w:rPr>
            </w:pPr>
            <w:r w:rsidRPr="00D103AD">
              <w:rPr>
                <w:bCs/>
                <w:color w:val="000000"/>
                <w:sz w:val="20"/>
                <w:szCs w:val="20"/>
                <w:lang w:val="en"/>
              </w:rPr>
              <w:t>Mohamed Shamji</w:t>
            </w:r>
            <w:r>
              <w:rPr>
                <w:bCs/>
                <w:color w:val="000000"/>
                <w:sz w:val="20"/>
                <w:szCs w:val="20"/>
                <w:lang w:val="en"/>
              </w:rPr>
              <w:t xml:space="preserve"> (UK)</w:t>
            </w:r>
          </w:p>
        </w:tc>
        <w:tc>
          <w:tcPr>
            <w:tcW w:w="3500" w:type="dxa"/>
          </w:tcPr>
          <w:p w14:paraId="19D8C32D" w14:textId="6887C549" w:rsidR="0000755C" w:rsidRDefault="0000755C">
            <w:pPr>
              <w:rPr>
                <w:bCs/>
                <w:color w:val="000000"/>
                <w:sz w:val="20"/>
                <w:szCs w:val="20"/>
                <w:lang w:val="en"/>
              </w:rPr>
            </w:pPr>
            <w:r>
              <w:rPr>
                <w:bCs/>
                <w:color w:val="000000"/>
                <w:sz w:val="20"/>
                <w:szCs w:val="20"/>
                <w:lang w:val="en"/>
              </w:rPr>
              <w:t>Chair: Barbara Rogala, Poland</w:t>
            </w:r>
          </w:p>
          <w:p w14:paraId="3BA87C7A" w14:textId="49BC30EE" w:rsidR="0000755C" w:rsidRDefault="0000755C">
            <w:pPr>
              <w:rPr>
                <w:bCs/>
                <w:color w:val="000000"/>
                <w:sz w:val="20"/>
                <w:szCs w:val="20"/>
                <w:lang w:val="en"/>
              </w:rPr>
            </w:pPr>
          </w:p>
          <w:p w14:paraId="53AE07C8" w14:textId="50F21FA7" w:rsidR="0000755C" w:rsidRDefault="0000755C">
            <w:pPr>
              <w:rPr>
                <w:bCs/>
                <w:color w:val="000000"/>
                <w:sz w:val="20"/>
                <w:szCs w:val="20"/>
                <w:lang w:val="en"/>
              </w:rPr>
            </w:pPr>
            <w:r>
              <w:rPr>
                <w:bCs/>
                <w:color w:val="000000"/>
                <w:sz w:val="20"/>
                <w:szCs w:val="20"/>
                <w:lang w:val="en"/>
              </w:rPr>
              <w:t>Joanna Gluck, Poland</w:t>
            </w:r>
          </w:p>
          <w:p w14:paraId="73B51857" w14:textId="7DB1E862" w:rsidR="0000755C" w:rsidRDefault="0000755C">
            <w:pPr>
              <w:rPr>
                <w:bCs/>
                <w:color w:val="000000"/>
                <w:sz w:val="20"/>
                <w:szCs w:val="20"/>
                <w:lang w:val="en"/>
              </w:rPr>
            </w:pPr>
            <w:r>
              <w:rPr>
                <w:bCs/>
                <w:color w:val="000000"/>
                <w:sz w:val="20"/>
                <w:szCs w:val="20"/>
                <w:lang w:val="en"/>
              </w:rPr>
              <w:t>Maria Beatrice Bilo, Italy</w:t>
            </w:r>
          </w:p>
          <w:p w14:paraId="17E442A2" w14:textId="20766FAA" w:rsidR="0000755C" w:rsidRDefault="0000755C">
            <w:pPr>
              <w:rPr>
                <w:bCs/>
                <w:color w:val="000000"/>
                <w:sz w:val="20"/>
                <w:szCs w:val="20"/>
                <w:lang w:val="en"/>
              </w:rPr>
            </w:pPr>
            <w:r>
              <w:rPr>
                <w:bCs/>
                <w:color w:val="000000"/>
                <w:sz w:val="20"/>
                <w:szCs w:val="20"/>
                <w:lang w:val="en"/>
              </w:rPr>
              <w:t>Glenis Scadding, UK</w:t>
            </w:r>
          </w:p>
          <w:p w14:paraId="7AA68626" w14:textId="7CAB33E4" w:rsidR="0000755C" w:rsidRDefault="0000755C">
            <w:pPr>
              <w:rPr>
                <w:bCs/>
                <w:color w:val="000000"/>
                <w:sz w:val="20"/>
                <w:szCs w:val="20"/>
                <w:lang w:val="en"/>
              </w:rPr>
            </w:pPr>
            <w:r>
              <w:rPr>
                <w:bCs/>
                <w:color w:val="000000"/>
                <w:sz w:val="20"/>
                <w:szCs w:val="20"/>
                <w:lang w:val="en"/>
              </w:rPr>
              <w:t>Johannes Ring, Germany</w:t>
            </w:r>
          </w:p>
          <w:p w14:paraId="4EF2BAB9" w14:textId="77777777" w:rsidR="0000755C" w:rsidRDefault="0000755C">
            <w:pPr>
              <w:rPr>
                <w:bCs/>
                <w:color w:val="000000"/>
                <w:sz w:val="20"/>
                <w:szCs w:val="20"/>
                <w:lang w:val="en"/>
              </w:rPr>
            </w:pPr>
          </w:p>
          <w:p w14:paraId="2E17139E" w14:textId="6970722B" w:rsidR="0000755C" w:rsidRPr="00D103AD" w:rsidRDefault="0000755C">
            <w:pPr>
              <w:rPr>
                <w:bCs/>
                <w:color w:val="000000"/>
                <w:sz w:val="20"/>
                <w:szCs w:val="20"/>
                <w:lang w:val="en"/>
              </w:rPr>
            </w:pPr>
          </w:p>
        </w:tc>
      </w:tr>
    </w:tbl>
    <w:p w14:paraId="44B4D54B" w14:textId="7BCC4AA8" w:rsidR="006B3C10" w:rsidRDefault="006B3C10">
      <w:pPr>
        <w:rPr>
          <w:b/>
          <w:bCs/>
          <w:color w:val="000000"/>
          <w:sz w:val="20"/>
          <w:szCs w:val="20"/>
          <w:lang w:val="en"/>
        </w:rPr>
      </w:pPr>
    </w:p>
    <w:p w14:paraId="6758FC80" w14:textId="5BDBA2E0" w:rsidR="00C718C3" w:rsidRDefault="00C718C3">
      <w:pPr>
        <w:rPr>
          <w:b/>
          <w:bCs/>
          <w:color w:val="000000"/>
          <w:sz w:val="20"/>
          <w:szCs w:val="20"/>
          <w:lang w:val="en"/>
        </w:rPr>
      </w:pPr>
    </w:p>
    <w:p w14:paraId="14044631" w14:textId="53E5A0C6" w:rsidR="00C718C3" w:rsidRDefault="00C718C3">
      <w:pPr>
        <w:rPr>
          <w:b/>
          <w:bCs/>
          <w:color w:val="000000"/>
          <w:sz w:val="20"/>
          <w:szCs w:val="20"/>
          <w:lang w:val="en"/>
        </w:rPr>
      </w:pPr>
      <w:r>
        <w:rPr>
          <w:b/>
          <w:bCs/>
          <w:color w:val="000000"/>
          <w:sz w:val="20"/>
          <w:szCs w:val="20"/>
          <w:lang w:val="en"/>
        </w:rPr>
        <w:t>Table S2: Additional evidence supporting recommendations not covered by the SR</w:t>
      </w:r>
    </w:p>
    <w:tbl>
      <w:tblPr>
        <w:tblStyle w:val="TableGrid"/>
        <w:tblW w:w="11902" w:type="dxa"/>
        <w:tblLayout w:type="fixed"/>
        <w:tblLook w:val="04A0" w:firstRow="1" w:lastRow="0" w:firstColumn="1" w:lastColumn="0" w:noHBand="0" w:noVBand="1"/>
      </w:tblPr>
      <w:tblGrid>
        <w:gridCol w:w="1296"/>
        <w:gridCol w:w="1818"/>
        <w:gridCol w:w="1701"/>
        <w:gridCol w:w="1417"/>
        <w:gridCol w:w="2552"/>
        <w:gridCol w:w="3118"/>
      </w:tblGrid>
      <w:tr w:rsidR="00827A2F" w:rsidRPr="00F22C2E" w14:paraId="7EF89CCB" w14:textId="77777777" w:rsidTr="00827A2F">
        <w:tc>
          <w:tcPr>
            <w:tcW w:w="1296" w:type="dxa"/>
            <w:shd w:val="clear" w:color="auto" w:fill="FFC000"/>
          </w:tcPr>
          <w:p w14:paraId="7DC3CDF9" w14:textId="77777777" w:rsidR="00827A2F" w:rsidRPr="00F22C2E" w:rsidRDefault="00827A2F" w:rsidP="00827A2F">
            <w:pPr>
              <w:rPr>
                <w:sz w:val="18"/>
                <w:szCs w:val="18"/>
                <w:lang w:val="en-US"/>
              </w:rPr>
            </w:pPr>
          </w:p>
        </w:tc>
        <w:tc>
          <w:tcPr>
            <w:tcW w:w="1818" w:type="dxa"/>
            <w:shd w:val="clear" w:color="auto" w:fill="FFC000"/>
          </w:tcPr>
          <w:p w14:paraId="2D5E0CBB" w14:textId="1B541844" w:rsidR="00827A2F" w:rsidRPr="00F22C2E" w:rsidRDefault="00827A2F" w:rsidP="00827A2F">
            <w:pPr>
              <w:rPr>
                <w:sz w:val="18"/>
                <w:szCs w:val="18"/>
                <w:lang w:val="en-US"/>
              </w:rPr>
            </w:pPr>
            <w:r w:rsidRPr="00F22C2E">
              <w:rPr>
                <w:sz w:val="18"/>
                <w:szCs w:val="18"/>
                <w:lang w:val="en-US"/>
              </w:rPr>
              <w:t>Benralizumab</w:t>
            </w:r>
          </w:p>
        </w:tc>
        <w:tc>
          <w:tcPr>
            <w:tcW w:w="1701" w:type="dxa"/>
            <w:shd w:val="clear" w:color="auto" w:fill="FFC000"/>
          </w:tcPr>
          <w:p w14:paraId="1E3EABF7" w14:textId="55922D7A" w:rsidR="00827A2F" w:rsidRPr="00F22C2E" w:rsidRDefault="00827A2F" w:rsidP="00827A2F">
            <w:pPr>
              <w:rPr>
                <w:sz w:val="18"/>
                <w:szCs w:val="18"/>
                <w:lang w:val="en-US"/>
              </w:rPr>
            </w:pPr>
            <w:r w:rsidRPr="00F22C2E">
              <w:rPr>
                <w:sz w:val="18"/>
                <w:szCs w:val="18"/>
                <w:lang w:val="en-US"/>
              </w:rPr>
              <w:t>Dupilumab</w:t>
            </w:r>
          </w:p>
        </w:tc>
        <w:tc>
          <w:tcPr>
            <w:tcW w:w="1417" w:type="dxa"/>
            <w:shd w:val="clear" w:color="auto" w:fill="FFC000"/>
          </w:tcPr>
          <w:p w14:paraId="7AC71694" w14:textId="4C0E0E9E" w:rsidR="00827A2F" w:rsidRPr="00F22C2E" w:rsidRDefault="00827A2F" w:rsidP="00827A2F">
            <w:pPr>
              <w:rPr>
                <w:sz w:val="18"/>
                <w:szCs w:val="18"/>
                <w:lang w:val="en-US"/>
              </w:rPr>
            </w:pPr>
            <w:r w:rsidRPr="00F22C2E">
              <w:rPr>
                <w:sz w:val="18"/>
                <w:szCs w:val="18"/>
                <w:lang w:val="en-US"/>
              </w:rPr>
              <w:t>Omalizumab</w:t>
            </w:r>
          </w:p>
        </w:tc>
        <w:tc>
          <w:tcPr>
            <w:tcW w:w="2552" w:type="dxa"/>
            <w:shd w:val="clear" w:color="auto" w:fill="FFC000"/>
          </w:tcPr>
          <w:p w14:paraId="5C571A45" w14:textId="440FC69B" w:rsidR="00827A2F" w:rsidRPr="00F22C2E" w:rsidRDefault="00827A2F" w:rsidP="00827A2F">
            <w:pPr>
              <w:rPr>
                <w:sz w:val="18"/>
                <w:szCs w:val="18"/>
                <w:lang w:val="en-US"/>
              </w:rPr>
            </w:pPr>
            <w:r w:rsidRPr="00F22C2E">
              <w:rPr>
                <w:sz w:val="18"/>
                <w:szCs w:val="18"/>
                <w:lang w:val="en-US"/>
              </w:rPr>
              <w:t>Mepolizumab</w:t>
            </w:r>
          </w:p>
        </w:tc>
        <w:tc>
          <w:tcPr>
            <w:tcW w:w="3118" w:type="dxa"/>
            <w:shd w:val="clear" w:color="auto" w:fill="FFC000"/>
          </w:tcPr>
          <w:p w14:paraId="004B7E03" w14:textId="7B889766" w:rsidR="00827A2F" w:rsidRPr="00F22C2E" w:rsidRDefault="00827A2F" w:rsidP="00827A2F">
            <w:pPr>
              <w:rPr>
                <w:sz w:val="18"/>
                <w:szCs w:val="18"/>
                <w:lang w:val="en-US"/>
              </w:rPr>
            </w:pPr>
            <w:r w:rsidRPr="00F22C2E">
              <w:rPr>
                <w:sz w:val="18"/>
                <w:szCs w:val="18"/>
                <w:lang w:val="en-US"/>
              </w:rPr>
              <w:t>Reslizumab</w:t>
            </w:r>
          </w:p>
        </w:tc>
      </w:tr>
      <w:tr w:rsidR="00827A2F" w:rsidRPr="00F22C2E" w14:paraId="56A44082" w14:textId="77777777" w:rsidTr="00827A2F">
        <w:tc>
          <w:tcPr>
            <w:tcW w:w="1296" w:type="dxa"/>
          </w:tcPr>
          <w:p w14:paraId="22A4243D" w14:textId="77777777" w:rsidR="00827A2F" w:rsidRPr="00F22C2E" w:rsidRDefault="00827A2F" w:rsidP="00827A2F">
            <w:pPr>
              <w:rPr>
                <w:sz w:val="18"/>
                <w:szCs w:val="18"/>
                <w:lang w:val="en-US"/>
              </w:rPr>
            </w:pPr>
          </w:p>
        </w:tc>
        <w:tc>
          <w:tcPr>
            <w:tcW w:w="1818" w:type="dxa"/>
          </w:tcPr>
          <w:p w14:paraId="07AC3C54" w14:textId="0433A639" w:rsidR="00827A2F" w:rsidRPr="00F22C2E" w:rsidRDefault="00827A2F" w:rsidP="00827A2F">
            <w:pPr>
              <w:rPr>
                <w:sz w:val="18"/>
                <w:szCs w:val="18"/>
                <w:lang w:val="en-US"/>
              </w:rPr>
            </w:pPr>
            <w:r w:rsidRPr="00F22C2E">
              <w:rPr>
                <w:sz w:val="18"/>
                <w:szCs w:val="18"/>
                <w:lang w:val="en-US"/>
              </w:rPr>
              <w:t xml:space="preserve">References </w:t>
            </w:r>
          </w:p>
        </w:tc>
        <w:tc>
          <w:tcPr>
            <w:tcW w:w="1701" w:type="dxa"/>
          </w:tcPr>
          <w:p w14:paraId="77B5AA6C" w14:textId="63E774CA" w:rsidR="00827A2F" w:rsidRPr="00F22C2E" w:rsidRDefault="00827A2F" w:rsidP="00827A2F">
            <w:pPr>
              <w:rPr>
                <w:sz w:val="18"/>
                <w:szCs w:val="18"/>
                <w:lang w:val="en-US"/>
              </w:rPr>
            </w:pPr>
            <w:r w:rsidRPr="00F22C2E">
              <w:rPr>
                <w:sz w:val="18"/>
                <w:szCs w:val="18"/>
                <w:lang w:val="en-US"/>
              </w:rPr>
              <w:t xml:space="preserve">References </w:t>
            </w:r>
          </w:p>
        </w:tc>
        <w:tc>
          <w:tcPr>
            <w:tcW w:w="1417" w:type="dxa"/>
          </w:tcPr>
          <w:p w14:paraId="7927926E" w14:textId="52539961" w:rsidR="00827A2F" w:rsidRPr="00F22C2E" w:rsidRDefault="00827A2F" w:rsidP="00827A2F">
            <w:pPr>
              <w:rPr>
                <w:sz w:val="18"/>
                <w:szCs w:val="18"/>
                <w:lang w:val="en-US"/>
              </w:rPr>
            </w:pPr>
            <w:r w:rsidRPr="00F22C2E">
              <w:rPr>
                <w:sz w:val="18"/>
                <w:szCs w:val="18"/>
                <w:lang w:val="en-US"/>
              </w:rPr>
              <w:t xml:space="preserve">References </w:t>
            </w:r>
          </w:p>
        </w:tc>
        <w:tc>
          <w:tcPr>
            <w:tcW w:w="2552" w:type="dxa"/>
          </w:tcPr>
          <w:p w14:paraId="18BEAB0B" w14:textId="2C4306F2" w:rsidR="00827A2F" w:rsidRPr="00F22C2E" w:rsidRDefault="00827A2F" w:rsidP="00827A2F">
            <w:pPr>
              <w:rPr>
                <w:sz w:val="18"/>
                <w:szCs w:val="18"/>
                <w:lang w:val="en-US"/>
              </w:rPr>
            </w:pPr>
            <w:r w:rsidRPr="00F22C2E">
              <w:rPr>
                <w:sz w:val="18"/>
                <w:szCs w:val="18"/>
                <w:lang w:val="en-US"/>
              </w:rPr>
              <w:t xml:space="preserve">References </w:t>
            </w:r>
          </w:p>
        </w:tc>
        <w:tc>
          <w:tcPr>
            <w:tcW w:w="3118" w:type="dxa"/>
          </w:tcPr>
          <w:p w14:paraId="5BA2AACE" w14:textId="422516C5" w:rsidR="00827A2F" w:rsidRPr="00F22C2E" w:rsidRDefault="00827A2F" w:rsidP="00827A2F">
            <w:pPr>
              <w:rPr>
                <w:sz w:val="18"/>
                <w:szCs w:val="18"/>
                <w:lang w:val="en-US"/>
              </w:rPr>
            </w:pPr>
            <w:r w:rsidRPr="00F22C2E">
              <w:rPr>
                <w:sz w:val="18"/>
                <w:szCs w:val="18"/>
                <w:lang w:val="en-US"/>
              </w:rPr>
              <w:t xml:space="preserve">References </w:t>
            </w:r>
          </w:p>
        </w:tc>
      </w:tr>
      <w:tr w:rsidR="00827A2F" w:rsidRPr="00F22C2E" w14:paraId="6E9AEF4F" w14:textId="77777777" w:rsidTr="00827A2F">
        <w:tc>
          <w:tcPr>
            <w:tcW w:w="1296" w:type="dxa"/>
          </w:tcPr>
          <w:p w14:paraId="764B9690" w14:textId="77777777" w:rsidR="00827A2F" w:rsidRPr="00AD4F98" w:rsidRDefault="00827A2F" w:rsidP="00827A2F">
            <w:pPr>
              <w:rPr>
                <w:sz w:val="18"/>
                <w:szCs w:val="18"/>
                <w:lang w:val="en-US"/>
              </w:rPr>
            </w:pPr>
            <w:r w:rsidRPr="00AD4F98">
              <w:rPr>
                <w:sz w:val="18"/>
                <w:szCs w:val="18"/>
                <w:lang w:val="en-US"/>
              </w:rPr>
              <w:t>Relevance of clinical trial population for real-world</w:t>
            </w:r>
          </w:p>
        </w:tc>
        <w:tc>
          <w:tcPr>
            <w:tcW w:w="1818" w:type="dxa"/>
          </w:tcPr>
          <w:p w14:paraId="249A7BA6" w14:textId="4C7C910D" w:rsidR="00827A2F" w:rsidRDefault="00827A2F" w:rsidP="00827A2F">
            <w:pPr>
              <w:rPr>
                <w:sz w:val="18"/>
                <w:szCs w:val="18"/>
                <w:lang w:val="en-US"/>
              </w:rPr>
            </w:pPr>
            <w:r>
              <w:rPr>
                <w:sz w:val="18"/>
                <w:szCs w:val="18"/>
                <w:lang w:val="en-US"/>
              </w:rPr>
              <w:t>No data</w:t>
            </w:r>
          </w:p>
        </w:tc>
        <w:tc>
          <w:tcPr>
            <w:tcW w:w="1701" w:type="dxa"/>
          </w:tcPr>
          <w:p w14:paraId="37CB55FE" w14:textId="4178508F" w:rsidR="00827A2F" w:rsidRDefault="00827A2F" w:rsidP="00827A2F">
            <w:pPr>
              <w:rPr>
                <w:sz w:val="18"/>
                <w:szCs w:val="18"/>
                <w:lang w:val="en-US"/>
              </w:rPr>
            </w:pPr>
            <w:r>
              <w:rPr>
                <w:sz w:val="18"/>
                <w:szCs w:val="18"/>
                <w:lang w:val="en-US"/>
              </w:rPr>
              <w:t>No data</w:t>
            </w:r>
          </w:p>
        </w:tc>
        <w:tc>
          <w:tcPr>
            <w:tcW w:w="1417" w:type="dxa"/>
          </w:tcPr>
          <w:p w14:paraId="30CC967B" w14:textId="77777777" w:rsidR="00827A2F" w:rsidRDefault="00827A2F" w:rsidP="00827A2F">
            <w:pPr>
              <w:rPr>
                <w:sz w:val="18"/>
                <w:szCs w:val="18"/>
                <w:lang w:val="en-US"/>
              </w:rPr>
            </w:pPr>
            <w:r>
              <w:rPr>
                <w:sz w:val="18"/>
                <w:szCs w:val="18"/>
                <w:lang w:val="en-US"/>
              </w:rPr>
              <w:t>See IDEAL study</w:t>
            </w:r>
          </w:p>
          <w:p w14:paraId="5D1850AC" w14:textId="77777777" w:rsidR="00700318" w:rsidRDefault="00700318" w:rsidP="00827A2F">
            <w:pPr>
              <w:rPr>
                <w:sz w:val="18"/>
                <w:szCs w:val="18"/>
                <w:lang w:val="en-US"/>
              </w:rPr>
            </w:pPr>
          </w:p>
          <w:p w14:paraId="1804827E" w14:textId="44E69CD2" w:rsidR="00700318" w:rsidRDefault="00700318" w:rsidP="00827A2F">
            <w:pPr>
              <w:rPr>
                <w:sz w:val="18"/>
                <w:szCs w:val="18"/>
                <w:lang w:val="en-US"/>
              </w:rPr>
            </w:pPr>
            <w:r w:rsidRPr="00700318">
              <w:rPr>
                <w:sz w:val="18"/>
                <w:szCs w:val="18"/>
                <w:lang w:val="en-US"/>
              </w:rPr>
              <w:t xml:space="preserve">Busse NEJM 2011. The ICATA study screened 996 minority children in US urban centers and randomized </w:t>
            </w:r>
            <w:r w:rsidRPr="00700318">
              <w:rPr>
                <w:sz w:val="18"/>
                <w:szCs w:val="18"/>
                <w:lang w:val="en-US"/>
              </w:rPr>
              <w:lastRenderedPageBreak/>
              <w:t>419. The most common reason for exclusion was falling outside the omalizumab dosing table either due to excessive weight or serum IgE.</w:t>
            </w:r>
          </w:p>
        </w:tc>
        <w:tc>
          <w:tcPr>
            <w:tcW w:w="2552" w:type="dxa"/>
          </w:tcPr>
          <w:p w14:paraId="226E3534" w14:textId="77777777" w:rsidR="00827A2F" w:rsidRDefault="00827A2F" w:rsidP="00827A2F">
            <w:pPr>
              <w:rPr>
                <w:sz w:val="18"/>
                <w:szCs w:val="18"/>
                <w:lang w:val="en-US"/>
              </w:rPr>
            </w:pPr>
            <w:r>
              <w:rPr>
                <w:sz w:val="18"/>
                <w:szCs w:val="18"/>
                <w:lang w:val="en-US"/>
              </w:rPr>
              <w:lastRenderedPageBreak/>
              <w:t>Bagnasco 2018</w:t>
            </w:r>
          </w:p>
          <w:p w14:paraId="78FBC3B6" w14:textId="77777777" w:rsidR="00827A2F" w:rsidRDefault="00827A2F" w:rsidP="00827A2F">
            <w:pPr>
              <w:rPr>
                <w:sz w:val="18"/>
                <w:szCs w:val="18"/>
                <w:lang w:val="en-US"/>
              </w:rPr>
            </w:pPr>
            <w:r>
              <w:rPr>
                <w:sz w:val="18"/>
                <w:szCs w:val="18"/>
                <w:lang w:val="en-US"/>
              </w:rPr>
              <w:t>RWE population Older, less females, higher FEV1, NP, higher OCS and eos</w:t>
            </w:r>
          </w:p>
          <w:p w14:paraId="6D900351" w14:textId="77777777" w:rsidR="00827A2F" w:rsidRDefault="00827A2F" w:rsidP="00827A2F">
            <w:pPr>
              <w:rPr>
                <w:sz w:val="18"/>
                <w:szCs w:val="18"/>
                <w:lang w:val="en-US"/>
              </w:rPr>
            </w:pPr>
          </w:p>
          <w:p w14:paraId="48DC3156" w14:textId="77777777" w:rsidR="00827A2F" w:rsidRDefault="00827A2F" w:rsidP="00827A2F">
            <w:pPr>
              <w:rPr>
                <w:sz w:val="18"/>
                <w:szCs w:val="18"/>
                <w:lang w:val="en-US"/>
              </w:rPr>
            </w:pPr>
            <w:r>
              <w:rPr>
                <w:sz w:val="18"/>
                <w:szCs w:val="18"/>
                <w:lang w:val="en-US"/>
              </w:rPr>
              <w:t>Plus see IDEAL study</w:t>
            </w:r>
          </w:p>
          <w:p w14:paraId="425D9446" w14:textId="77777777" w:rsidR="00827A2F" w:rsidRDefault="00827A2F" w:rsidP="00827A2F">
            <w:pPr>
              <w:rPr>
                <w:sz w:val="18"/>
                <w:szCs w:val="18"/>
                <w:lang w:val="en-US"/>
              </w:rPr>
            </w:pPr>
          </w:p>
          <w:p w14:paraId="1B0E07B7" w14:textId="77777777" w:rsidR="00827A2F" w:rsidRDefault="00827A2F" w:rsidP="00827A2F">
            <w:pPr>
              <w:rPr>
                <w:sz w:val="18"/>
                <w:szCs w:val="18"/>
                <w:lang w:val="en-US"/>
              </w:rPr>
            </w:pPr>
            <w:r>
              <w:rPr>
                <w:sz w:val="18"/>
                <w:szCs w:val="18"/>
                <w:lang w:val="en-US"/>
              </w:rPr>
              <w:t xml:space="preserve">Llanos, </w:t>
            </w:r>
            <w:r w:rsidRPr="00E21E96">
              <w:rPr>
                <w:sz w:val="18"/>
                <w:szCs w:val="18"/>
                <w:lang w:val="en-US"/>
              </w:rPr>
              <w:t xml:space="preserve">J Asthma Allergy. </w:t>
            </w:r>
            <w:proofErr w:type="gramStart"/>
            <w:r w:rsidRPr="00E21E96">
              <w:rPr>
                <w:sz w:val="18"/>
                <w:szCs w:val="18"/>
                <w:lang w:val="en-US"/>
              </w:rPr>
              <w:t>2019;12:43</w:t>
            </w:r>
            <w:proofErr w:type="gramEnd"/>
            <w:r w:rsidRPr="00E21E96">
              <w:rPr>
                <w:sz w:val="18"/>
                <w:szCs w:val="18"/>
                <w:lang w:val="en-US"/>
              </w:rPr>
              <w:t>-58.</w:t>
            </w:r>
          </w:p>
          <w:p w14:paraId="044AB97F" w14:textId="77777777" w:rsidR="00827A2F" w:rsidRDefault="00827A2F" w:rsidP="00827A2F">
            <w:pPr>
              <w:rPr>
                <w:sz w:val="18"/>
                <w:szCs w:val="18"/>
                <w:lang w:val="en-US"/>
              </w:rPr>
            </w:pPr>
            <w:r w:rsidRPr="00E21E96">
              <w:rPr>
                <w:sz w:val="18"/>
                <w:szCs w:val="18"/>
                <w:lang w:val="en-US"/>
              </w:rPr>
              <w:t xml:space="preserve">In the 12 months prior to initiation of asthma-specific </w:t>
            </w:r>
            <w:r w:rsidRPr="00E21E96">
              <w:rPr>
                <w:sz w:val="18"/>
                <w:szCs w:val="18"/>
                <w:lang w:val="en-US"/>
              </w:rPr>
              <w:lastRenderedPageBreak/>
              <w:t>biologics, patients prescribed mepolizumab had a different prevalence of certain comorbidities, higher disease burden, higher HCRU, and higher healthcare costs compared with patients prescribed omalizumab.</w:t>
            </w:r>
          </w:p>
          <w:p w14:paraId="41BAF196" w14:textId="77777777" w:rsidR="00827A2F" w:rsidRDefault="00827A2F" w:rsidP="00827A2F">
            <w:pPr>
              <w:rPr>
                <w:sz w:val="18"/>
                <w:szCs w:val="18"/>
                <w:lang w:val="en-US"/>
              </w:rPr>
            </w:pPr>
          </w:p>
          <w:p w14:paraId="3BD2E707" w14:textId="77777777" w:rsidR="00827A2F" w:rsidRDefault="00827A2F" w:rsidP="00827A2F">
            <w:pPr>
              <w:rPr>
                <w:sz w:val="18"/>
                <w:szCs w:val="18"/>
                <w:lang w:val="en-US"/>
              </w:rPr>
            </w:pPr>
            <w:r>
              <w:rPr>
                <w:sz w:val="18"/>
                <w:szCs w:val="18"/>
                <w:lang w:val="en-US"/>
              </w:rPr>
              <w:t xml:space="preserve">Jeimy, </w:t>
            </w:r>
            <w:r w:rsidRPr="00AD4F98">
              <w:rPr>
                <w:sz w:val="18"/>
                <w:szCs w:val="18"/>
                <w:lang w:val="en-US"/>
              </w:rPr>
              <w:t xml:space="preserve">Allergy Asthma Clin Immunol. 2018 Nov </w:t>
            </w:r>
            <w:proofErr w:type="gramStart"/>
            <w:r w:rsidRPr="00AD4F98">
              <w:rPr>
                <w:sz w:val="18"/>
                <w:szCs w:val="18"/>
                <w:lang w:val="en-US"/>
              </w:rPr>
              <w:t>22;14:68</w:t>
            </w:r>
            <w:proofErr w:type="gramEnd"/>
            <w:r w:rsidRPr="00AD4F98">
              <w:rPr>
                <w:sz w:val="18"/>
                <w:szCs w:val="18"/>
                <w:lang w:val="en-US"/>
              </w:rPr>
              <w:t>.</w:t>
            </w:r>
          </w:p>
          <w:p w14:paraId="24F5C1B9" w14:textId="77777777" w:rsidR="00827A2F" w:rsidRDefault="00827A2F" w:rsidP="00827A2F">
            <w:pPr>
              <w:rPr>
                <w:sz w:val="18"/>
                <w:szCs w:val="18"/>
                <w:lang w:val="en-US"/>
              </w:rPr>
            </w:pPr>
            <w:r>
              <w:rPr>
                <w:sz w:val="18"/>
                <w:szCs w:val="18"/>
                <w:lang w:val="en-US"/>
              </w:rPr>
              <w:t>128 patients with s</w:t>
            </w:r>
            <w:r w:rsidRPr="00AD4F98">
              <w:rPr>
                <w:sz w:val="18"/>
                <w:szCs w:val="18"/>
                <w:lang w:val="en-US"/>
              </w:rPr>
              <w:t xml:space="preserve">evere asthma </w:t>
            </w:r>
            <w:proofErr w:type="gramStart"/>
            <w:r w:rsidRPr="00AD4F98">
              <w:rPr>
                <w:sz w:val="18"/>
                <w:szCs w:val="18"/>
                <w:lang w:val="en-US"/>
              </w:rPr>
              <w:t>from  Canadian</w:t>
            </w:r>
            <w:proofErr w:type="gramEnd"/>
            <w:r w:rsidRPr="00AD4F98">
              <w:rPr>
                <w:sz w:val="18"/>
                <w:szCs w:val="18"/>
                <w:lang w:val="en-US"/>
              </w:rPr>
              <w:t xml:space="preserve"> Allergist's practice</w:t>
            </w:r>
            <w:r>
              <w:rPr>
                <w:sz w:val="18"/>
                <w:szCs w:val="18"/>
                <w:lang w:val="en-US"/>
              </w:rPr>
              <w:t xml:space="preserve"> :</w:t>
            </w:r>
            <w:r w:rsidRPr="00AD4F98">
              <w:rPr>
                <w:sz w:val="18"/>
                <w:szCs w:val="18"/>
                <w:lang w:val="en-US"/>
              </w:rPr>
              <w:t xml:space="preserve"> </w:t>
            </w:r>
            <w:r>
              <w:rPr>
                <w:sz w:val="18"/>
                <w:szCs w:val="18"/>
                <w:lang w:val="en-US"/>
              </w:rPr>
              <w:t>1/3</w:t>
            </w:r>
            <w:r w:rsidRPr="00AD4F98">
              <w:rPr>
                <w:sz w:val="18"/>
                <w:szCs w:val="18"/>
                <w:lang w:val="en-US"/>
              </w:rPr>
              <w:t xml:space="preserve"> qualified for all currently available biologics. 41-78% were eligible for at least one mAb. </w:t>
            </w:r>
          </w:p>
          <w:p w14:paraId="56F491D6" w14:textId="0315A94E" w:rsidR="00827A2F" w:rsidRDefault="00827A2F" w:rsidP="00827A2F">
            <w:pPr>
              <w:rPr>
                <w:sz w:val="18"/>
                <w:szCs w:val="18"/>
                <w:lang w:val="en-US"/>
              </w:rPr>
            </w:pPr>
            <w:r w:rsidRPr="00AD4F98">
              <w:rPr>
                <w:sz w:val="18"/>
                <w:szCs w:val="18"/>
                <w:lang w:val="en-US"/>
              </w:rPr>
              <w:t>Patients were most likely to be eligible for mepolizumab.</w:t>
            </w:r>
          </w:p>
        </w:tc>
        <w:tc>
          <w:tcPr>
            <w:tcW w:w="3118" w:type="dxa"/>
          </w:tcPr>
          <w:p w14:paraId="23E76101" w14:textId="77777777" w:rsidR="00827A2F" w:rsidRDefault="00827A2F" w:rsidP="00827A2F">
            <w:pPr>
              <w:rPr>
                <w:sz w:val="18"/>
                <w:szCs w:val="18"/>
                <w:lang w:val="en-US"/>
              </w:rPr>
            </w:pPr>
            <w:r>
              <w:rPr>
                <w:sz w:val="18"/>
                <w:szCs w:val="18"/>
                <w:lang w:val="en-US"/>
              </w:rPr>
              <w:lastRenderedPageBreak/>
              <w:t xml:space="preserve">Albers, </w:t>
            </w:r>
            <w:r w:rsidRPr="00167E21">
              <w:rPr>
                <w:sz w:val="18"/>
                <w:szCs w:val="18"/>
                <w:lang w:val="en-US"/>
              </w:rPr>
              <w:t>J Asthma. 2018;55(2):152-160</w:t>
            </w:r>
          </w:p>
          <w:p w14:paraId="7E812A3E" w14:textId="77777777" w:rsidR="00827A2F" w:rsidRDefault="00827A2F" w:rsidP="00827A2F">
            <w:pPr>
              <w:rPr>
                <w:sz w:val="18"/>
                <w:szCs w:val="18"/>
                <w:lang w:val="en-US"/>
              </w:rPr>
            </w:pPr>
            <w:r>
              <w:rPr>
                <w:sz w:val="18"/>
                <w:szCs w:val="18"/>
                <w:lang w:val="en-US"/>
              </w:rPr>
              <w:t>The IDEAL study (</w:t>
            </w:r>
            <w:r w:rsidRPr="00167E21">
              <w:rPr>
                <w:sz w:val="18"/>
                <w:szCs w:val="18"/>
                <w:lang w:val="en-US"/>
              </w:rPr>
              <w:t>cross-sectional, single-visit, observational study in six countries</w:t>
            </w:r>
            <w:r>
              <w:rPr>
                <w:sz w:val="18"/>
                <w:szCs w:val="18"/>
                <w:lang w:val="en-US"/>
              </w:rPr>
              <w:t xml:space="preserve">; 670 </w:t>
            </w:r>
            <w:r w:rsidRPr="00167E21">
              <w:rPr>
                <w:sz w:val="18"/>
                <w:szCs w:val="18"/>
                <w:lang w:val="en-US"/>
              </w:rPr>
              <w:t>patients with severe asthma</w:t>
            </w:r>
            <w:r>
              <w:rPr>
                <w:sz w:val="18"/>
                <w:szCs w:val="18"/>
                <w:lang w:val="en-US"/>
              </w:rPr>
              <w:t>)</w:t>
            </w:r>
          </w:p>
          <w:p w14:paraId="3C3E8648" w14:textId="77777777" w:rsidR="00827A2F" w:rsidRDefault="00827A2F" w:rsidP="00827A2F">
            <w:pPr>
              <w:rPr>
                <w:sz w:val="18"/>
                <w:szCs w:val="18"/>
                <w:lang w:val="en-US"/>
              </w:rPr>
            </w:pPr>
            <w:r w:rsidRPr="00167E21">
              <w:rPr>
                <w:sz w:val="18"/>
                <w:szCs w:val="18"/>
                <w:lang w:val="en-US"/>
              </w:rPr>
              <w:t>Treatment eligibility defined according to the local prescribing information or protocol-defined inclusion/</w:t>
            </w:r>
          </w:p>
          <w:p w14:paraId="45B25870" w14:textId="77777777" w:rsidR="00827A2F" w:rsidRDefault="00827A2F" w:rsidP="00827A2F">
            <w:pPr>
              <w:rPr>
                <w:sz w:val="18"/>
                <w:szCs w:val="18"/>
                <w:lang w:val="en-US"/>
              </w:rPr>
            </w:pPr>
            <w:r w:rsidRPr="00167E21">
              <w:rPr>
                <w:sz w:val="18"/>
                <w:szCs w:val="18"/>
                <w:lang w:val="en-US"/>
              </w:rPr>
              <w:t>exclusion criteria.</w:t>
            </w:r>
          </w:p>
          <w:p w14:paraId="65F7AA2F" w14:textId="77777777" w:rsidR="00827A2F" w:rsidRDefault="00827A2F" w:rsidP="00827A2F">
            <w:pPr>
              <w:rPr>
                <w:sz w:val="18"/>
                <w:szCs w:val="18"/>
                <w:lang w:val="en-US"/>
              </w:rPr>
            </w:pPr>
            <w:r w:rsidRPr="00167E21">
              <w:rPr>
                <w:sz w:val="18"/>
                <w:szCs w:val="18"/>
                <w:lang w:val="en-US"/>
              </w:rPr>
              <w:lastRenderedPageBreak/>
              <w:t>Treatment eligibility for mepolizumab and omalizumab was higher than that for reslizumab.</w:t>
            </w:r>
          </w:p>
          <w:p w14:paraId="59E7F59E" w14:textId="6948C3AF" w:rsidR="00827A2F" w:rsidRDefault="00827A2F" w:rsidP="00827A2F">
            <w:pPr>
              <w:rPr>
                <w:sz w:val="18"/>
                <w:szCs w:val="18"/>
                <w:lang w:val="en-US"/>
              </w:rPr>
            </w:pPr>
            <w:r w:rsidRPr="00167E21">
              <w:rPr>
                <w:sz w:val="18"/>
                <w:szCs w:val="18"/>
                <w:lang w:val="en-US"/>
              </w:rPr>
              <w:t>Although there was some overlap in treatment eligibility, the patient groups eligible for treatment with anti-IL-5 or anti-IgE therapies were often distinct</w:t>
            </w:r>
          </w:p>
        </w:tc>
      </w:tr>
      <w:tr w:rsidR="00827A2F" w:rsidRPr="00F22C2E" w14:paraId="584CA2FA" w14:textId="77777777" w:rsidTr="00827A2F">
        <w:tc>
          <w:tcPr>
            <w:tcW w:w="1296" w:type="dxa"/>
            <w:shd w:val="clear" w:color="auto" w:fill="FFC000"/>
          </w:tcPr>
          <w:p w14:paraId="48DBADCC" w14:textId="77777777" w:rsidR="00827A2F" w:rsidRPr="00F22C2E" w:rsidRDefault="00827A2F" w:rsidP="00827A2F">
            <w:pPr>
              <w:rPr>
                <w:sz w:val="18"/>
                <w:szCs w:val="18"/>
                <w:lang w:val="en-US"/>
              </w:rPr>
            </w:pPr>
          </w:p>
        </w:tc>
        <w:tc>
          <w:tcPr>
            <w:tcW w:w="1818" w:type="dxa"/>
            <w:shd w:val="clear" w:color="auto" w:fill="FFC000"/>
          </w:tcPr>
          <w:p w14:paraId="1DA822B5" w14:textId="61D59057" w:rsidR="00827A2F" w:rsidRPr="00F22C2E" w:rsidRDefault="00827A2F" w:rsidP="00827A2F">
            <w:pPr>
              <w:rPr>
                <w:sz w:val="18"/>
                <w:szCs w:val="18"/>
                <w:lang w:val="en-US"/>
              </w:rPr>
            </w:pPr>
            <w:r w:rsidRPr="00F22C2E">
              <w:rPr>
                <w:sz w:val="18"/>
                <w:szCs w:val="18"/>
                <w:lang w:val="en-US"/>
              </w:rPr>
              <w:t>Benralizumab</w:t>
            </w:r>
          </w:p>
        </w:tc>
        <w:tc>
          <w:tcPr>
            <w:tcW w:w="1701" w:type="dxa"/>
            <w:shd w:val="clear" w:color="auto" w:fill="FFC000"/>
          </w:tcPr>
          <w:p w14:paraId="61CA13AE" w14:textId="3FB75C5C" w:rsidR="00827A2F" w:rsidRPr="00F22C2E" w:rsidRDefault="00827A2F" w:rsidP="00827A2F">
            <w:pPr>
              <w:rPr>
                <w:sz w:val="18"/>
                <w:szCs w:val="18"/>
                <w:lang w:val="en-US"/>
              </w:rPr>
            </w:pPr>
            <w:r w:rsidRPr="00F22C2E">
              <w:rPr>
                <w:sz w:val="18"/>
                <w:szCs w:val="18"/>
                <w:lang w:val="en-US"/>
              </w:rPr>
              <w:t>Dupilumab</w:t>
            </w:r>
          </w:p>
        </w:tc>
        <w:tc>
          <w:tcPr>
            <w:tcW w:w="1417" w:type="dxa"/>
            <w:shd w:val="clear" w:color="auto" w:fill="FFC000"/>
          </w:tcPr>
          <w:p w14:paraId="5206A95F" w14:textId="06E84D78" w:rsidR="00827A2F" w:rsidRPr="00F22C2E" w:rsidRDefault="00827A2F" w:rsidP="00827A2F">
            <w:pPr>
              <w:rPr>
                <w:sz w:val="18"/>
                <w:szCs w:val="18"/>
                <w:lang w:val="en-US"/>
              </w:rPr>
            </w:pPr>
            <w:r w:rsidRPr="00F22C2E">
              <w:rPr>
                <w:sz w:val="18"/>
                <w:szCs w:val="18"/>
                <w:lang w:val="en-US"/>
              </w:rPr>
              <w:t>Omalizumab</w:t>
            </w:r>
          </w:p>
        </w:tc>
        <w:tc>
          <w:tcPr>
            <w:tcW w:w="2552" w:type="dxa"/>
            <w:shd w:val="clear" w:color="auto" w:fill="FFC000"/>
          </w:tcPr>
          <w:p w14:paraId="2A3E143B" w14:textId="710CD9AB" w:rsidR="00827A2F" w:rsidRPr="00F22C2E" w:rsidRDefault="00827A2F" w:rsidP="00827A2F">
            <w:pPr>
              <w:rPr>
                <w:sz w:val="18"/>
                <w:szCs w:val="18"/>
                <w:lang w:val="en-US"/>
              </w:rPr>
            </w:pPr>
            <w:r w:rsidRPr="00F22C2E">
              <w:rPr>
                <w:sz w:val="18"/>
                <w:szCs w:val="18"/>
                <w:lang w:val="en-US"/>
              </w:rPr>
              <w:t>Mepolizumab</w:t>
            </w:r>
          </w:p>
        </w:tc>
        <w:tc>
          <w:tcPr>
            <w:tcW w:w="3118" w:type="dxa"/>
            <w:shd w:val="clear" w:color="auto" w:fill="FFC000"/>
          </w:tcPr>
          <w:p w14:paraId="0919F328" w14:textId="2787FF05" w:rsidR="00827A2F" w:rsidRPr="00F22C2E" w:rsidRDefault="00827A2F" w:rsidP="00827A2F">
            <w:pPr>
              <w:rPr>
                <w:sz w:val="18"/>
                <w:szCs w:val="18"/>
                <w:lang w:val="en-US"/>
              </w:rPr>
            </w:pPr>
            <w:r w:rsidRPr="00F22C2E">
              <w:rPr>
                <w:sz w:val="18"/>
                <w:szCs w:val="18"/>
                <w:lang w:val="en-US"/>
              </w:rPr>
              <w:t>Reslizumab</w:t>
            </w:r>
          </w:p>
        </w:tc>
      </w:tr>
      <w:tr w:rsidR="00827A2F" w:rsidRPr="00F22C2E" w14:paraId="101CD662" w14:textId="77777777" w:rsidTr="00827A2F">
        <w:tc>
          <w:tcPr>
            <w:tcW w:w="1296" w:type="dxa"/>
          </w:tcPr>
          <w:p w14:paraId="0F15475C" w14:textId="77777777" w:rsidR="00827A2F" w:rsidRPr="00F22C2E" w:rsidRDefault="00827A2F" w:rsidP="00827A2F">
            <w:pPr>
              <w:rPr>
                <w:sz w:val="18"/>
                <w:szCs w:val="18"/>
                <w:lang w:val="en-US"/>
              </w:rPr>
            </w:pPr>
            <w:r w:rsidRPr="00F22C2E">
              <w:rPr>
                <w:sz w:val="18"/>
                <w:szCs w:val="18"/>
                <w:lang w:val="en-US"/>
              </w:rPr>
              <w:t>Efficacy in the pediatric population</w:t>
            </w:r>
          </w:p>
        </w:tc>
        <w:tc>
          <w:tcPr>
            <w:tcW w:w="1818" w:type="dxa"/>
          </w:tcPr>
          <w:p w14:paraId="2A523E3A" w14:textId="7C260854" w:rsidR="00827A2F" w:rsidRDefault="00827A2F" w:rsidP="00827A2F">
            <w:pPr>
              <w:rPr>
                <w:sz w:val="18"/>
                <w:szCs w:val="18"/>
                <w:lang w:val="en-US"/>
              </w:rPr>
            </w:pPr>
            <w:r>
              <w:rPr>
                <w:sz w:val="18"/>
                <w:szCs w:val="18"/>
                <w:lang w:val="en-US"/>
              </w:rPr>
              <w:t>No data</w:t>
            </w:r>
            <w:r w:rsidR="00FD7176">
              <w:rPr>
                <w:sz w:val="18"/>
                <w:szCs w:val="18"/>
                <w:lang w:val="en-US"/>
              </w:rPr>
              <w:t xml:space="preserve"> besides the 12-17 subgroup included in registration trials</w:t>
            </w:r>
          </w:p>
        </w:tc>
        <w:tc>
          <w:tcPr>
            <w:tcW w:w="1701" w:type="dxa"/>
          </w:tcPr>
          <w:p w14:paraId="68077ABE" w14:textId="1C377727" w:rsidR="00827A2F" w:rsidRDefault="00FD7176" w:rsidP="00827A2F">
            <w:pPr>
              <w:rPr>
                <w:sz w:val="18"/>
                <w:szCs w:val="18"/>
                <w:lang w:val="en-US"/>
              </w:rPr>
            </w:pPr>
            <w:r>
              <w:rPr>
                <w:sz w:val="18"/>
                <w:szCs w:val="18"/>
                <w:lang w:val="en-US"/>
              </w:rPr>
              <w:t>No data besides the 12-17 subgroup included in registration trials</w:t>
            </w:r>
          </w:p>
        </w:tc>
        <w:tc>
          <w:tcPr>
            <w:tcW w:w="1417" w:type="dxa"/>
          </w:tcPr>
          <w:p w14:paraId="18F09E7B" w14:textId="77777777" w:rsidR="00827A2F" w:rsidRDefault="00827A2F" w:rsidP="00827A2F">
            <w:pPr>
              <w:rPr>
                <w:sz w:val="18"/>
                <w:szCs w:val="18"/>
                <w:lang w:val="en-US"/>
              </w:rPr>
            </w:pPr>
            <w:r>
              <w:rPr>
                <w:sz w:val="18"/>
                <w:szCs w:val="18"/>
                <w:lang w:val="en-US"/>
              </w:rPr>
              <w:t xml:space="preserve">Rodrigo, </w:t>
            </w:r>
            <w:r w:rsidRPr="004B2998">
              <w:rPr>
                <w:sz w:val="18"/>
                <w:szCs w:val="18"/>
                <w:lang w:val="en-US"/>
              </w:rPr>
              <w:t>Pediatr Allergy Immunol. 2015;26(6):551-6</w:t>
            </w:r>
          </w:p>
          <w:p w14:paraId="61FC9CC3" w14:textId="77777777" w:rsidR="00827A2F" w:rsidRDefault="00827A2F" w:rsidP="00827A2F">
            <w:pPr>
              <w:rPr>
                <w:sz w:val="18"/>
                <w:szCs w:val="18"/>
                <w:lang w:val="en-US"/>
              </w:rPr>
            </w:pPr>
            <w:r>
              <w:rPr>
                <w:sz w:val="18"/>
                <w:szCs w:val="18"/>
                <w:lang w:val="en-US"/>
              </w:rPr>
              <w:t>SR of 3 RCTs; 1381 children and adolescents; ICS reduction protocol showed reduced number of exacerbations</w:t>
            </w:r>
          </w:p>
          <w:p w14:paraId="3316DB01" w14:textId="77777777" w:rsidR="00827A2F" w:rsidRDefault="00827A2F" w:rsidP="00827A2F">
            <w:pPr>
              <w:rPr>
                <w:sz w:val="18"/>
                <w:szCs w:val="18"/>
                <w:lang w:val="en-US"/>
              </w:rPr>
            </w:pPr>
            <w:r>
              <w:rPr>
                <w:sz w:val="18"/>
                <w:szCs w:val="18"/>
                <w:lang w:val="en-US"/>
              </w:rPr>
              <w:t xml:space="preserve">Folque 2019 RWE of efficacy </w:t>
            </w:r>
          </w:p>
          <w:p w14:paraId="0EDC7A00" w14:textId="77777777" w:rsidR="00827A2F" w:rsidRDefault="00827A2F" w:rsidP="00827A2F">
            <w:pPr>
              <w:rPr>
                <w:sz w:val="18"/>
                <w:szCs w:val="18"/>
                <w:lang w:val="en-US"/>
              </w:rPr>
            </w:pPr>
            <w:r>
              <w:rPr>
                <w:sz w:val="18"/>
                <w:szCs w:val="18"/>
                <w:lang w:val="en-US"/>
              </w:rPr>
              <w:t>Deschildre 2013</w:t>
            </w:r>
          </w:p>
          <w:p w14:paraId="6320C066" w14:textId="3B41142A" w:rsidR="00827A2F" w:rsidRDefault="00827A2F" w:rsidP="00827A2F">
            <w:pPr>
              <w:rPr>
                <w:sz w:val="18"/>
                <w:szCs w:val="18"/>
                <w:lang w:val="en-US"/>
              </w:rPr>
            </w:pPr>
            <w:r>
              <w:rPr>
                <w:sz w:val="18"/>
                <w:szCs w:val="18"/>
                <w:lang w:val="en-US"/>
              </w:rPr>
              <w:t>RWE</w:t>
            </w:r>
            <w:r w:rsidRPr="00570588">
              <w:rPr>
                <w:sz w:val="18"/>
                <w:szCs w:val="18"/>
                <w:lang w:val="en-US"/>
              </w:rPr>
              <w:t xml:space="preserve"> benefit greater than that reported in clinical trials</w:t>
            </w:r>
          </w:p>
        </w:tc>
        <w:tc>
          <w:tcPr>
            <w:tcW w:w="2552" w:type="dxa"/>
          </w:tcPr>
          <w:p w14:paraId="15076824" w14:textId="77777777" w:rsidR="00827A2F" w:rsidRDefault="00827A2F" w:rsidP="00827A2F">
            <w:pPr>
              <w:rPr>
                <w:sz w:val="18"/>
                <w:szCs w:val="18"/>
                <w:lang w:val="en-US"/>
              </w:rPr>
            </w:pPr>
            <w:r>
              <w:rPr>
                <w:sz w:val="18"/>
                <w:szCs w:val="18"/>
                <w:lang w:val="en-US"/>
              </w:rPr>
              <w:t>Yancey 2019; subgroup analysis 12-18 years old</w:t>
            </w:r>
          </w:p>
          <w:p w14:paraId="5832F096" w14:textId="77777777" w:rsidR="00827A2F" w:rsidRDefault="00827A2F" w:rsidP="00827A2F">
            <w:pPr>
              <w:rPr>
                <w:sz w:val="18"/>
                <w:szCs w:val="18"/>
                <w:lang w:val="en-US"/>
              </w:rPr>
            </w:pPr>
            <w:r w:rsidRPr="00CC2CB8">
              <w:rPr>
                <w:sz w:val="18"/>
                <w:szCs w:val="18"/>
                <w:lang w:val="en-US"/>
              </w:rPr>
              <w:t>Consistent with outcomes in the overall population, reduction in exacerbations</w:t>
            </w:r>
          </w:p>
          <w:p w14:paraId="35449D95" w14:textId="77777777" w:rsidR="00827A2F" w:rsidRDefault="00827A2F" w:rsidP="00827A2F">
            <w:pPr>
              <w:rPr>
                <w:sz w:val="18"/>
                <w:szCs w:val="18"/>
                <w:lang w:val="en-US"/>
              </w:rPr>
            </w:pPr>
          </w:p>
          <w:p w14:paraId="245E36F8" w14:textId="77777777" w:rsidR="00827A2F" w:rsidRDefault="00827A2F" w:rsidP="00827A2F">
            <w:pPr>
              <w:rPr>
                <w:sz w:val="18"/>
                <w:szCs w:val="18"/>
                <w:lang w:val="en-US"/>
              </w:rPr>
            </w:pPr>
            <w:r>
              <w:rPr>
                <w:sz w:val="18"/>
                <w:szCs w:val="18"/>
                <w:lang w:val="en-US"/>
              </w:rPr>
              <w:t xml:space="preserve">Gupta JACI 2019, </w:t>
            </w:r>
            <w:r w:rsidRPr="00806E6B">
              <w:rPr>
                <w:sz w:val="18"/>
                <w:szCs w:val="18"/>
                <w:lang w:val="en-US"/>
              </w:rPr>
              <w:t>open-label, uncontrolled, repeat-dose extension study</w:t>
            </w:r>
            <w:r>
              <w:rPr>
                <w:sz w:val="18"/>
                <w:szCs w:val="18"/>
                <w:lang w:val="en-US"/>
              </w:rPr>
              <w:t xml:space="preserve">, 6-11 years, 52 weeks; </w:t>
            </w:r>
            <w:r w:rsidRPr="00806E6B">
              <w:rPr>
                <w:sz w:val="18"/>
                <w:szCs w:val="18"/>
                <w:lang w:val="en-US"/>
              </w:rPr>
              <w:t>reduced blood eosinophil counts and asthma exacerbations and improved asthma control across all treatment groups.</w:t>
            </w:r>
          </w:p>
          <w:p w14:paraId="4D6F99C4" w14:textId="77777777" w:rsidR="00827A2F" w:rsidRDefault="00827A2F" w:rsidP="00827A2F">
            <w:pPr>
              <w:rPr>
                <w:sz w:val="18"/>
                <w:szCs w:val="18"/>
                <w:lang w:val="en-US"/>
              </w:rPr>
            </w:pPr>
          </w:p>
          <w:p w14:paraId="4D6ACD98" w14:textId="77777777" w:rsidR="00827A2F" w:rsidRDefault="00827A2F" w:rsidP="00827A2F">
            <w:pPr>
              <w:rPr>
                <w:sz w:val="18"/>
                <w:szCs w:val="18"/>
                <w:lang w:val="en-US"/>
              </w:rPr>
            </w:pPr>
            <w:r>
              <w:rPr>
                <w:sz w:val="18"/>
                <w:szCs w:val="18"/>
                <w:lang w:val="en-US"/>
              </w:rPr>
              <w:t xml:space="preserve">Gupta, </w:t>
            </w:r>
            <w:r w:rsidRPr="00CC2CB8">
              <w:rPr>
                <w:sz w:val="18"/>
                <w:szCs w:val="18"/>
                <w:lang w:val="en-US"/>
              </w:rPr>
              <w:t>Pediatr Pulmonol. 2019;54(12):1957-1967</w:t>
            </w:r>
          </w:p>
          <w:p w14:paraId="155E0E72" w14:textId="77777777" w:rsidR="00827A2F" w:rsidRDefault="00827A2F" w:rsidP="00827A2F">
            <w:pPr>
              <w:rPr>
                <w:sz w:val="18"/>
                <w:szCs w:val="18"/>
                <w:lang w:val="en-US"/>
              </w:rPr>
            </w:pPr>
            <w:r>
              <w:rPr>
                <w:sz w:val="18"/>
                <w:szCs w:val="18"/>
                <w:lang w:val="en-US"/>
              </w:rPr>
              <w:t xml:space="preserve">Mepo in 36 </w:t>
            </w:r>
            <w:proofErr w:type="gramStart"/>
            <w:r>
              <w:rPr>
                <w:sz w:val="18"/>
                <w:szCs w:val="18"/>
                <w:lang w:val="en-US"/>
              </w:rPr>
              <w:t xml:space="preserve">children  </w:t>
            </w:r>
            <w:r w:rsidRPr="00806E6B">
              <w:rPr>
                <w:sz w:val="18"/>
                <w:szCs w:val="18"/>
                <w:lang w:val="en-US"/>
              </w:rPr>
              <w:t>6</w:t>
            </w:r>
            <w:proofErr w:type="gramEnd"/>
            <w:r w:rsidRPr="00806E6B">
              <w:rPr>
                <w:sz w:val="18"/>
                <w:szCs w:val="18"/>
                <w:lang w:val="en-US"/>
              </w:rPr>
              <w:t xml:space="preserve"> to 11 </w:t>
            </w:r>
            <w:r>
              <w:rPr>
                <w:sz w:val="18"/>
                <w:szCs w:val="18"/>
                <w:lang w:val="en-US"/>
              </w:rPr>
              <w:t xml:space="preserve">and eos </w:t>
            </w:r>
            <w:r w:rsidRPr="00806E6B">
              <w:rPr>
                <w:sz w:val="18"/>
                <w:szCs w:val="18"/>
                <w:lang w:val="en-US"/>
              </w:rPr>
              <w:t>≥150 cells/µL at screening or</w:t>
            </w:r>
            <w:r>
              <w:rPr>
                <w:sz w:val="18"/>
                <w:szCs w:val="18"/>
                <w:lang w:val="en-US"/>
              </w:rPr>
              <w:t xml:space="preserve"> </w:t>
            </w:r>
            <w:r w:rsidRPr="00806E6B">
              <w:rPr>
                <w:sz w:val="18"/>
                <w:szCs w:val="18"/>
                <w:lang w:val="en-US"/>
              </w:rPr>
              <w:t xml:space="preserve">≥300 cells/µL </w:t>
            </w:r>
            <w:r>
              <w:rPr>
                <w:sz w:val="18"/>
                <w:szCs w:val="18"/>
                <w:lang w:val="en-US"/>
              </w:rPr>
              <w:t xml:space="preserve">last </w:t>
            </w:r>
            <w:r w:rsidRPr="00806E6B">
              <w:rPr>
                <w:sz w:val="18"/>
                <w:szCs w:val="18"/>
                <w:lang w:val="en-US"/>
              </w:rPr>
              <w:t>12 months and ≥2 exacerbations in the prior year.</w:t>
            </w:r>
          </w:p>
          <w:p w14:paraId="15F9CD85" w14:textId="545CF72A" w:rsidR="00827A2F" w:rsidRDefault="00827A2F" w:rsidP="00827A2F">
            <w:pPr>
              <w:rPr>
                <w:sz w:val="18"/>
                <w:szCs w:val="18"/>
                <w:lang w:val="en-US"/>
              </w:rPr>
            </w:pPr>
            <w:r>
              <w:rPr>
                <w:sz w:val="18"/>
                <w:szCs w:val="18"/>
                <w:lang w:val="en-US"/>
              </w:rPr>
              <w:t>M</w:t>
            </w:r>
            <w:r w:rsidRPr="00806E6B">
              <w:rPr>
                <w:sz w:val="18"/>
                <w:szCs w:val="18"/>
                <w:lang w:val="en-US"/>
              </w:rPr>
              <w:t xml:space="preserve">epolizumab SC 40 or 100 mg provided bodyweight-adjusted drug exposure within twofold of target adult exposure as well as marked reductions to blood </w:t>
            </w:r>
            <w:r w:rsidRPr="00806E6B">
              <w:rPr>
                <w:sz w:val="18"/>
                <w:szCs w:val="18"/>
                <w:lang w:val="en-US"/>
              </w:rPr>
              <w:lastRenderedPageBreak/>
              <w:t>eosinophil counts similar to adults</w:t>
            </w:r>
          </w:p>
        </w:tc>
        <w:tc>
          <w:tcPr>
            <w:tcW w:w="3118" w:type="dxa"/>
          </w:tcPr>
          <w:p w14:paraId="5523EFB4" w14:textId="0B036BB3" w:rsidR="00827A2F" w:rsidRDefault="00827A2F" w:rsidP="00827A2F">
            <w:pPr>
              <w:rPr>
                <w:sz w:val="18"/>
                <w:szCs w:val="18"/>
                <w:lang w:val="en-US"/>
              </w:rPr>
            </w:pPr>
            <w:r>
              <w:rPr>
                <w:sz w:val="18"/>
                <w:szCs w:val="18"/>
                <w:lang w:val="en-US"/>
              </w:rPr>
              <w:lastRenderedPageBreak/>
              <w:t>No data</w:t>
            </w:r>
          </w:p>
        </w:tc>
      </w:tr>
      <w:tr w:rsidR="00827A2F" w:rsidRPr="00F22C2E" w14:paraId="40002A12" w14:textId="77777777" w:rsidTr="00827A2F">
        <w:tc>
          <w:tcPr>
            <w:tcW w:w="1296" w:type="dxa"/>
            <w:shd w:val="clear" w:color="auto" w:fill="FFC000"/>
          </w:tcPr>
          <w:p w14:paraId="3D592054" w14:textId="77777777" w:rsidR="00827A2F" w:rsidRPr="00F22C2E" w:rsidRDefault="00827A2F" w:rsidP="00827A2F">
            <w:pPr>
              <w:rPr>
                <w:sz w:val="18"/>
                <w:szCs w:val="18"/>
                <w:lang w:val="en-US"/>
              </w:rPr>
            </w:pPr>
          </w:p>
        </w:tc>
        <w:tc>
          <w:tcPr>
            <w:tcW w:w="1818" w:type="dxa"/>
            <w:shd w:val="clear" w:color="auto" w:fill="FFC000"/>
          </w:tcPr>
          <w:p w14:paraId="577E9BD6" w14:textId="373E0DB3" w:rsidR="00827A2F" w:rsidRPr="00F22C2E" w:rsidRDefault="00827A2F" w:rsidP="00827A2F">
            <w:pPr>
              <w:rPr>
                <w:sz w:val="18"/>
                <w:szCs w:val="18"/>
                <w:lang w:val="en-US"/>
              </w:rPr>
            </w:pPr>
            <w:r w:rsidRPr="00F22C2E">
              <w:rPr>
                <w:sz w:val="18"/>
                <w:szCs w:val="18"/>
                <w:lang w:val="en-US"/>
              </w:rPr>
              <w:t>Benralizumab</w:t>
            </w:r>
          </w:p>
        </w:tc>
        <w:tc>
          <w:tcPr>
            <w:tcW w:w="1701" w:type="dxa"/>
            <w:shd w:val="clear" w:color="auto" w:fill="FFC000"/>
          </w:tcPr>
          <w:p w14:paraId="54B21F6E" w14:textId="7115D7CE" w:rsidR="00827A2F" w:rsidRPr="00F22C2E" w:rsidRDefault="00827A2F" w:rsidP="00827A2F">
            <w:pPr>
              <w:rPr>
                <w:sz w:val="18"/>
                <w:szCs w:val="18"/>
                <w:lang w:val="en-US"/>
              </w:rPr>
            </w:pPr>
            <w:r w:rsidRPr="00F22C2E">
              <w:rPr>
                <w:sz w:val="18"/>
                <w:szCs w:val="18"/>
                <w:lang w:val="en-US"/>
              </w:rPr>
              <w:t>Dupilumab</w:t>
            </w:r>
          </w:p>
        </w:tc>
        <w:tc>
          <w:tcPr>
            <w:tcW w:w="1417" w:type="dxa"/>
            <w:shd w:val="clear" w:color="auto" w:fill="FFC000"/>
          </w:tcPr>
          <w:p w14:paraId="6548ED15" w14:textId="4AAF51A5" w:rsidR="00827A2F" w:rsidRPr="00F22C2E" w:rsidRDefault="00827A2F" w:rsidP="00827A2F">
            <w:pPr>
              <w:rPr>
                <w:sz w:val="18"/>
                <w:szCs w:val="18"/>
                <w:lang w:val="en-US"/>
              </w:rPr>
            </w:pPr>
            <w:r w:rsidRPr="00F22C2E">
              <w:rPr>
                <w:sz w:val="18"/>
                <w:szCs w:val="18"/>
                <w:lang w:val="en-US"/>
              </w:rPr>
              <w:t>Omalizumab</w:t>
            </w:r>
          </w:p>
        </w:tc>
        <w:tc>
          <w:tcPr>
            <w:tcW w:w="2552" w:type="dxa"/>
            <w:shd w:val="clear" w:color="auto" w:fill="FFC000"/>
          </w:tcPr>
          <w:p w14:paraId="6D7AFA05" w14:textId="0D82F89A" w:rsidR="00827A2F" w:rsidRPr="00F22C2E" w:rsidRDefault="00827A2F" w:rsidP="00827A2F">
            <w:pPr>
              <w:rPr>
                <w:sz w:val="18"/>
                <w:szCs w:val="18"/>
                <w:lang w:val="en-US"/>
              </w:rPr>
            </w:pPr>
            <w:r w:rsidRPr="00F22C2E">
              <w:rPr>
                <w:sz w:val="18"/>
                <w:szCs w:val="18"/>
                <w:lang w:val="en-US"/>
              </w:rPr>
              <w:t>Mepolizumab</w:t>
            </w:r>
          </w:p>
        </w:tc>
        <w:tc>
          <w:tcPr>
            <w:tcW w:w="3118" w:type="dxa"/>
            <w:shd w:val="clear" w:color="auto" w:fill="FFC000"/>
          </w:tcPr>
          <w:p w14:paraId="157D209B" w14:textId="24559C09" w:rsidR="00827A2F" w:rsidRPr="00F22C2E" w:rsidRDefault="00827A2F" w:rsidP="00827A2F">
            <w:pPr>
              <w:rPr>
                <w:sz w:val="18"/>
                <w:szCs w:val="18"/>
                <w:lang w:val="en-US"/>
              </w:rPr>
            </w:pPr>
            <w:r w:rsidRPr="00F22C2E">
              <w:rPr>
                <w:sz w:val="18"/>
                <w:szCs w:val="18"/>
                <w:lang w:val="en-US"/>
              </w:rPr>
              <w:t>Reslizumab</w:t>
            </w:r>
          </w:p>
        </w:tc>
      </w:tr>
      <w:tr w:rsidR="00827A2F" w:rsidRPr="00F22C2E" w14:paraId="7E045837" w14:textId="77777777" w:rsidTr="00827A2F">
        <w:tc>
          <w:tcPr>
            <w:tcW w:w="1296" w:type="dxa"/>
          </w:tcPr>
          <w:p w14:paraId="615ABDBE" w14:textId="77777777" w:rsidR="00827A2F" w:rsidRPr="00F22C2E" w:rsidRDefault="00827A2F" w:rsidP="00827A2F">
            <w:pPr>
              <w:rPr>
                <w:sz w:val="18"/>
                <w:szCs w:val="18"/>
                <w:lang w:val="en-US"/>
              </w:rPr>
            </w:pPr>
            <w:r w:rsidRPr="00F22C2E">
              <w:rPr>
                <w:sz w:val="18"/>
                <w:szCs w:val="18"/>
                <w:lang w:val="en-US"/>
              </w:rPr>
              <w:t xml:space="preserve">Safety long term (&gt; </w:t>
            </w:r>
            <w:r>
              <w:rPr>
                <w:sz w:val="18"/>
                <w:szCs w:val="18"/>
                <w:lang w:val="en-US"/>
              </w:rPr>
              <w:t xml:space="preserve">2 </w:t>
            </w:r>
            <w:r w:rsidRPr="00F22C2E">
              <w:rPr>
                <w:sz w:val="18"/>
                <w:szCs w:val="18"/>
                <w:lang w:val="en-US"/>
              </w:rPr>
              <w:t>years)</w:t>
            </w:r>
            <w:r>
              <w:rPr>
                <w:sz w:val="18"/>
                <w:szCs w:val="18"/>
                <w:lang w:val="en-US"/>
              </w:rPr>
              <w:t xml:space="preserve"> adult population</w:t>
            </w:r>
          </w:p>
        </w:tc>
        <w:tc>
          <w:tcPr>
            <w:tcW w:w="1818" w:type="dxa"/>
          </w:tcPr>
          <w:p w14:paraId="747AFFD1" w14:textId="62A0590D" w:rsidR="00827A2F" w:rsidRDefault="00827A2F" w:rsidP="00827A2F">
            <w:pPr>
              <w:rPr>
                <w:sz w:val="18"/>
                <w:szCs w:val="18"/>
                <w:lang w:val="en-US"/>
              </w:rPr>
            </w:pPr>
            <w:r>
              <w:rPr>
                <w:sz w:val="18"/>
                <w:szCs w:val="18"/>
                <w:lang w:val="en-US"/>
              </w:rPr>
              <w:t>Busse 2019 Results from BORA up to 2 years</w:t>
            </w:r>
          </w:p>
        </w:tc>
        <w:tc>
          <w:tcPr>
            <w:tcW w:w="1701" w:type="dxa"/>
          </w:tcPr>
          <w:p w14:paraId="727F2A03" w14:textId="02009799" w:rsidR="00827A2F" w:rsidRDefault="00274AF9" w:rsidP="00827A2F">
            <w:pPr>
              <w:rPr>
                <w:sz w:val="18"/>
                <w:szCs w:val="18"/>
                <w:lang w:val="en-US"/>
              </w:rPr>
            </w:pPr>
            <w:r>
              <w:rPr>
                <w:sz w:val="18"/>
                <w:szCs w:val="18"/>
                <w:lang w:val="en-US"/>
              </w:rPr>
              <w:t>Data extrapolated from AD trials</w:t>
            </w:r>
          </w:p>
        </w:tc>
        <w:tc>
          <w:tcPr>
            <w:tcW w:w="1417" w:type="dxa"/>
          </w:tcPr>
          <w:p w14:paraId="42DBFE3C" w14:textId="77777777" w:rsidR="00827A2F" w:rsidRDefault="00827A2F" w:rsidP="00827A2F">
            <w:pPr>
              <w:rPr>
                <w:sz w:val="18"/>
                <w:szCs w:val="18"/>
                <w:lang w:val="en-US"/>
              </w:rPr>
            </w:pPr>
            <w:r>
              <w:rPr>
                <w:sz w:val="18"/>
                <w:szCs w:val="18"/>
                <w:lang w:val="en-US"/>
              </w:rPr>
              <w:t>Mansur 2017 RWE for safety for</w:t>
            </w:r>
            <w:r w:rsidRPr="006837F8">
              <w:rPr>
                <w:sz w:val="18"/>
                <w:szCs w:val="18"/>
                <w:lang w:val="en-US"/>
              </w:rPr>
              <w:t xml:space="preserve"> 60.7 ± 30.9 months (range 23-121)</w:t>
            </w:r>
          </w:p>
          <w:p w14:paraId="0CB50EBB" w14:textId="77777777" w:rsidR="00827A2F" w:rsidRDefault="00827A2F" w:rsidP="00827A2F">
            <w:pPr>
              <w:rPr>
                <w:sz w:val="18"/>
                <w:szCs w:val="18"/>
                <w:lang w:val="en-US"/>
              </w:rPr>
            </w:pPr>
          </w:p>
          <w:p w14:paraId="1902C1A0" w14:textId="77777777" w:rsidR="00827A2F" w:rsidRDefault="00827A2F" w:rsidP="00827A2F">
            <w:pPr>
              <w:rPr>
                <w:sz w:val="18"/>
                <w:szCs w:val="18"/>
                <w:lang w:val="en-US"/>
              </w:rPr>
            </w:pPr>
            <w:r>
              <w:rPr>
                <w:sz w:val="18"/>
                <w:szCs w:val="18"/>
                <w:lang w:val="en-US"/>
              </w:rPr>
              <w:t xml:space="preserve">Singh, </w:t>
            </w:r>
            <w:r w:rsidRPr="005C4DD4">
              <w:rPr>
                <w:sz w:val="18"/>
                <w:szCs w:val="18"/>
                <w:lang w:val="en-US"/>
              </w:rPr>
              <w:t>Ann Allergy Asthma Immunol. 2019;123(5):476-482</w:t>
            </w:r>
          </w:p>
          <w:p w14:paraId="0516CAD0" w14:textId="19CAD89D" w:rsidR="00827A2F" w:rsidRDefault="00827A2F" w:rsidP="00827A2F">
            <w:pPr>
              <w:rPr>
                <w:sz w:val="18"/>
                <w:szCs w:val="18"/>
                <w:lang w:val="en-US"/>
              </w:rPr>
            </w:pPr>
            <w:r>
              <w:rPr>
                <w:sz w:val="18"/>
                <w:szCs w:val="18"/>
                <w:lang w:val="en-US"/>
              </w:rPr>
              <w:t>RWE for safety from the REALITY study (2004-2011); 198 patients</w:t>
            </w:r>
          </w:p>
        </w:tc>
        <w:tc>
          <w:tcPr>
            <w:tcW w:w="2552" w:type="dxa"/>
          </w:tcPr>
          <w:p w14:paraId="7487E676" w14:textId="77777777" w:rsidR="00827A2F" w:rsidRDefault="00827A2F" w:rsidP="00827A2F">
            <w:pPr>
              <w:rPr>
                <w:sz w:val="18"/>
                <w:szCs w:val="18"/>
                <w:lang w:val="en-US"/>
              </w:rPr>
            </w:pPr>
            <w:r>
              <w:rPr>
                <w:sz w:val="18"/>
                <w:szCs w:val="18"/>
                <w:lang w:val="en-US"/>
              </w:rPr>
              <w:t>Results from COLUMBA up to 4.5 years</w:t>
            </w:r>
          </w:p>
          <w:p w14:paraId="1CA137C1" w14:textId="77777777" w:rsidR="00827A2F" w:rsidRDefault="00827A2F" w:rsidP="00827A2F">
            <w:pPr>
              <w:rPr>
                <w:sz w:val="18"/>
                <w:szCs w:val="18"/>
                <w:lang w:val="en-US"/>
              </w:rPr>
            </w:pPr>
          </w:p>
          <w:p w14:paraId="6FE49664" w14:textId="77777777" w:rsidR="00827A2F" w:rsidRDefault="00827A2F" w:rsidP="00827A2F">
            <w:pPr>
              <w:rPr>
                <w:sz w:val="18"/>
                <w:szCs w:val="18"/>
                <w:lang w:val="en-US"/>
              </w:rPr>
            </w:pPr>
            <w:r w:rsidRPr="00953108">
              <w:rPr>
                <w:sz w:val="18"/>
                <w:szCs w:val="18"/>
                <w:lang w:val="en-US"/>
              </w:rPr>
              <w:t>Khurana</w:t>
            </w:r>
            <w:r>
              <w:rPr>
                <w:sz w:val="18"/>
                <w:szCs w:val="18"/>
                <w:lang w:val="en-US"/>
              </w:rPr>
              <w:t xml:space="preserve">, </w:t>
            </w:r>
            <w:r w:rsidRPr="00953108">
              <w:rPr>
                <w:sz w:val="18"/>
                <w:szCs w:val="18"/>
                <w:lang w:val="en-US"/>
              </w:rPr>
              <w:t>Clin Ther. 2019;</w:t>
            </w:r>
            <w:r>
              <w:rPr>
                <w:sz w:val="18"/>
                <w:szCs w:val="18"/>
                <w:lang w:val="en-US"/>
              </w:rPr>
              <w:t xml:space="preserve"> </w:t>
            </w:r>
            <w:r w:rsidRPr="00953108">
              <w:rPr>
                <w:sz w:val="18"/>
                <w:szCs w:val="18"/>
                <w:lang w:val="en-US"/>
              </w:rPr>
              <w:t>41(10):2041-2056</w:t>
            </w:r>
          </w:p>
          <w:p w14:paraId="2F6A6BC5" w14:textId="77777777" w:rsidR="00827A2F" w:rsidRDefault="00827A2F" w:rsidP="00827A2F">
            <w:pPr>
              <w:rPr>
                <w:sz w:val="18"/>
                <w:szCs w:val="18"/>
                <w:lang w:val="en-US"/>
              </w:rPr>
            </w:pPr>
            <w:r w:rsidRPr="00953108">
              <w:rPr>
                <w:sz w:val="18"/>
                <w:szCs w:val="18"/>
                <w:lang w:val="en-US"/>
              </w:rPr>
              <w:t>COSMEX</w:t>
            </w:r>
            <w:r>
              <w:rPr>
                <w:sz w:val="18"/>
                <w:szCs w:val="18"/>
                <w:lang w:val="en-US"/>
              </w:rPr>
              <w:t>:</w:t>
            </w:r>
            <w:r w:rsidRPr="00953108">
              <w:rPr>
                <w:sz w:val="18"/>
                <w:szCs w:val="18"/>
                <w:lang w:val="en-US"/>
              </w:rPr>
              <w:t xml:space="preserve"> multicenter, open-label, long-term, Phase IIIb study enrolled </w:t>
            </w:r>
            <w:r>
              <w:rPr>
                <w:sz w:val="18"/>
                <w:szCs w:val="18"/>
                <w:lang w:val="en-US"/>
              </w:rPr>
              <w:t xml:space="preserve">340 </w:t>
            </w:r>
            <w:r w:rsidRPr="00953108">
              <w:rPr>
                <w:sz w:val="18"/>
                <w:szCs w:val="18"/>
                <w:lang w:val="en-US"/>
              </w:rPr>
              <w:t xml:space="preserve">patients from COSMOS </w:t>
            </w:r>
            <w:r>
              <w:rPr>
                <w:sz w:val="18"/>
                <w:szCs w:val="18"/>
                <w:lang w:val="en-US"/>
              </w:rPr>
              <w:t>(</w:t>
            </w:r>
            <w:r w:rsidRPr="00953108">
              <w:rPr>
                <w:sz w:val="18"/>
                <w:szCs w:val="18"/>
                <w:lang w:val="en-US"/>
              </w:rPr>
              <w:t>52-week, open-label extension study that enrolled patients from MENSA and SIRIUS</w:t>
            </w:r>
            <w:r>
              <w:rPr>
                <w:sz w:val="18"/>
                <w:szCs w:val="18"/>
                <w:lang w:val="en-US"/>
              </w:rPr>
              <w:t>)</w:t>
            </w:r>
          </w:p>
          <w:p w14:paraId="20B53EB5" w14:textId="77777777" w:rsidR="00827A2F" w:rsidRDefault="00827A2F" w:rsidP="00827A2F">
            <w:pPr>
              <w:rPr>
                <w:sz w:val="18"/>
                <w:szCs w:val="18"/>
                <w:lang w:val="en-US"/>
              </w:rPr>
            </w:pPr>
            <w:r w:rsidRPr="00953108">
              <w:rPr>
                <w:sz w:val="18"/>
                <w:szCs w:val="18"/>
                <w:lang w:val="en-US"/>
              </w:rPr>
              <w:t xml:space="preserve">To enter COSMEX, patients had to have life-threatening/seriously debilitating asthma before entering MENSA or SIRIUS and to demonstrate improvement </w:t>
            </w:r>
            <w:r>
              <w:rPr>
                <w:sz w:val="18"/>
                <w:szCs w:val="18"/>
                <w:lang w:val="en-US"/>
              </w:rPr>
              <w:t>with mepo</w:t>
            </w:r>
            <w:r w:rsidRPr="00953108">
              <w:rPr>
                <w:sz w:val="18"/>
                <w:szCs w:val="18"/>
                <w:lang w:val="en-US"/>
              </w:rPr>
              <w:t xml:space="preserve">. </w:t>
            </w:r>
          </w:p>
          <w:p w14:paraId="3E81A903" w14:textId="64336CEF" w:rsidR="00827A2F" w:rsidRDefault="00827A2F" w:rsidP="00827A2F">
            <w:pPr>
              <w:rPr>
                <w:sz w:val="18"/>
                <w:szCs w:val="18"/>
                <w:lang w:val="en-US"/>
              </w:rPr>
            </w:pPr>
            <w:r w:rsidRPr="00953108">
              <w:rPr>
                <w:sz w:val="18"/>
                <w:szCs w:val="18"/>
                <w:lang w:val="en-US"/>
              </w:rPr>
              <w:t xml:space="preserve">In COSMEX, patients received </w:t>
            </w:r>
            <w:r>
              <w:rPr>
                <w:sz w:val="18"/>
                <w:szCs w:val="18"/>
                <w:lang w:val="en-US"/>
              </w:rPr>
              <w:t xml:space="preserve">mepo </w:t>
            </w:r>
            <w:r w:rsidRPr="00953108">
              <w:rPr>
                <w:sz w:val="18"/>
                <w:szCs w:val="18"/>
                <w:lang w:val="en-US"/>
              </w:rPr>
              <w:t>as add-on therapy for up to 172 weeks</w:t>
            </w:r>
            <w:r>
              <w:rPr>
                <w:sz w:val="18"/>
                <w:szCs w:val="18"/>
                <w:lang w:val="en-US"/>
              </w:rPr>
              <w:t xml:space="preserve"> (</w:t>
            </w:r>
            <w:r w:rsidRPr="00953108">
              <w:rPr>
                <w:sz w:val="18"/>
                <w:szCs w:val="18"/>
                <w:lang w:val="en-US"/>
              </w:rPr>
              <w:t>718 patient-years of additional exposure</w:t>
            </w:r>
            <w:r>
              <w:rPr>
                <w:sz w:val="18"/>
                <w:szCs w:val="18"/>
                <w:lang w:val="en-US"/>
              </w:rPr>
              <w:t>)</w:t>
            </w:r>
          </w:p>
        </w:tc>
        <w:tc>
          <w:tcPr>
            <w:tcW w:w="3118" w:type="dxa"/>
          </w:tcPr>
          <w:p w14:paraId="034FC76F" w14:textId="77777777" w:rsidR="00827A2F" w:rsidRDefault="00827A2F" w:rsidP="00827A2F">
            <w:pPr>
              <w:rPr>
                <w:sz w:val="18"/>
                <w:szCs w:val="18"/>
                <w:lang w:val="en-US"/>
              </w:rPr>
            </w:pPr>
            <w:r>
              <w:rPr>
                <w:sz w:val="18"/>
                <w:szCs w:val="18"/>
                <w:lang w:val="en-US"/>
              </w:rPr>
              <w:t xml:space="preserve">Virchow, </w:t>
            </w:r>
            <w:r w:rsidRPr="00AE440B">
              <w:rPr>
                <w:sz w:val="18"/>
                <w:szCs w:val="18"/>
                <w:lang w:val="en-US"/>
              </w:rPr>
              <w:t>J Allergy Clin Immunol Pract. 2019</w:t>
            </w:r>
          </w:p>
          <w:p w14:paraId="26A2AFB6" w14:textId="77777777" w:rsidR="00827A2F" w:rsidRDefault="00827A2F" w:rsidP="00827A2F">
            <w:pPr>
              <w:rPr>
                <w:sz w:val="18"/>
                <w:szCs w:val="18"/>
                <w:lang w:val="en-US"/>
              </w:rPr>
            </w:pPr>
            <w:r>
              <w:rPr>
                <w:sz w:val="18"/>
                <w:szCs w:val="18"/>
                <w:lang w:val="en-US"/>
              </w:rPr>
              <w:t xml:space="preserve">Pooled analysis of </w:t>
            </w:r>
            <w:r w:rsidRPr="00432C62">
              <w:rPr>
                <w:sz w:val="18"/>
                <w:szCs w:val="18"/>
                <w:lang w:val="en-US"/>
              </w:rPr>
              <w:t>6 asthma clinical trials: 5 placebo-controlled (duration ≤52 weeks) and 1 open-label extension (up to 2 years of treatment).</w:t>
            </w:r>
          </w:p>
          <w:p w14:paraId="6DF91608" w14:textId="4A3BB069" w:rsidR="00827A2F" w:rsidRDefault="00827A2F" w:rsidP="00827A2F">
            <w:pPr>
              <w:rPr>
                <w:sz w:val="18"/>
                <w:szCs w:val="18"/>
                <w:lang w:val="en-US"/>
              </w:rPr>
            </w:pPr>
            <w:r w:rsidRPr="00432C62">
              <w:rPr>
                <w:sz w:val="18"/>
                <w:szCs w:val="18"/>
                <w:lang w:val="en-US"/>
              </w:rPr>
              <w:t>The incidence of AEs in patients on treatment for more than 12 months was no higher than in patients with shorter treatment durations.</w:t>
            </w:r>
          </w:p>
        </w:tc>
      </w:tr>
      <w:tr w:rsidR="00827A2F" w:rsidRPr="00F22C2E" w14:paraId="7A09F003" w14:textId="77777777" w:rsidTr="00827A2F">
        <w:tc>
          <w:tcPr>
            <w:tcW w:w="1296" w:type="dxa"/>
            <w:shd w:val="clear" w:color="auto" w:fill="FFC000"/>
          </w:tcPr>
          <w:p w14:paraId="07B939EF" w14:textId="77777777" w:rsidR="00827A2F" w:rsidRPr="00F22C2E" w:rsidRDefault="00827A2F" w:rsidP="00827A2F">
            <w:pPr>
              <w:rPr>
                <w:sz w:val="18"/>
                <w:szCs w:val="18"/>
                <w:lang w:val="en-US"/>
              </w:rPr>
            </w:pPr>
          </w:p>
        </w:tc>
        <w:tc>
          <w:tcPr>
            <w:tcW w:w="1818" w:type="dxa"/>
            <w:shd w:val="clear" w:color="auto" w:fill="FFC000"/>
          </w:tcPr>
          <w:p w14:paraId="10275C04" w14:textId="3C853D6F" w:rsidR="00827A2F" w:rsidRPr="00F22C2E" w:rsidRDefault="00827A2F" w:rsidP="00827A2F">
            <w:pPr>
              <w:rPr>
                <w:sz w:val="18"/>
                <w:szCs w:val="18"/>
                <w:lang w:val="en-US"/>
              </w:rPr>
            </w:pPr>
            <w:r w:rsidRPr="00F22C2E">
              <w:rPr>
                <w:sz w:val="18"/>
                <w:szCs w:val="18"/>
                <w:lang w:val="en-US"/>
              </w:rPr>
              <w:t>Benralizumab</w:t>
            </w:r>
          </w:p>
        </w:tc>
        <w:tc>
          <w:tcPr>
            <w:tcW w:w="1701" w:type="dxa"/>
            <w:shd w:val="clear" w:color="auto" w:fill="FFC000"/>
          </w:tcPr>
          <w:p w14:paraId="0CF503D7" w14:textId="4BEE51F0" w:rsidR="00827A2F" w:rsidRPr="00F22C2E" w:rsidRDefault="00827A2F" w:rsidP="00827A2F">
            <w:pPr>
              <w:rPr>
                <w:sz w:val="18"/>
                <w:szCs w:val="18"/>
                <w:lang w:val="en-US"/>
              </w:rPr>
            </w:pPr>
            <w:r w:rsidRPr="00F22C2E">
              <w:rPr>
                <w:sz w:val="18"/>
                <w:szCs w:val="18"/>
                <w:lang w:val="en-US"/>
              </w:rPr>
              <w:t>Dupilumab</w:t>
            </w:r>
          </w:p>
        </w:tc>
        <w:tc>
          <w:tcPr>
            <w:tcW w:w="1417" w:type="dxa"/>
            <w:shd w:val="clear" w:color="auto" w:fill="FFC000"/>
          </w:tcPr>
          <w:p w14:paraId="079D1199" w14:textId="15E4CF70" w:rsidR="00827A2F" w:rsidRPr="00F22C2E" w:rsidRDefault="00827A2F" w:rsidP="00827A2F">
            <w:pPr>
              <w:rPr>
                <w:sz w:val="18"/>
                <w:szCs w:val="18"/>
                <w:lang w:val="en-US"/>
              </w:rPr>
            </w:pPr>
            <w:r w:rsidRPr="00F22C2E">
              <w:rPr>
                <w:sz w:val="18"/>
                <w:szCs w:val="18"/>
                <w:lang w:val="en-US"/>
              </w:rPr>
              <w:t>Omalizumab</w:t>
            </w:r>
          </w:p>
        </w:tc>
        <w:tc>
          <w:tcPr>
            <w:tcW w:w="2552" w:type="dxa"/>
            <w:shd w:val="clear" w:color="auto" w:fill="FFC000"/>
          </w:tcPr>
          <w:p w14:paraId="4ED6D280" w14:textId="23E6FC18" w:rsidR="00827A2F" w:rsidRPr="00F22C2E" w:rsidRDefault="00827A2F" w:rsidP="00827A2F">
            <w:pPr>
              <w:rPr>
                <w:sz w:val="18"/>
                <w:szCs w:val="18"/>
                <w:lang w:val="en-US"/>
              </w:rPr>
            </w:pPr>
            <w:r w:rsidRPr="00F22C2E">
              <w:rPr>
                <w:sz w:val="18"/>
                <w:szCs w:val="18"/>
                <w:lang w:val="en-US"/>
              </w:rPr>
              <w:t>Mepolizumab</w:t>
            </w:r>
          </w:p>
        </w:tc>
        <w:tc>
          <w:tcPr>
            <w:tcW w:w="3118" w:type="dxa"/>
            <w:shd w:val="clear" w:color="auto" w:fill="FFC000"/>
          </w:tcPr>
          <w:p w14:paraId="30AD672A" w14:textId="6EEB8E13" w:rsidR="00827A2F" w:rsidRPr="00F22C2E" w:rsidRDefault="00827A2F" w:rsidP="00827A2F">
            <w:pPr>
              <w:rPr>
                <w:sz w:val="18"/>
                <w:szCs w:val="18"/>
                <w:lang w:val="en-US"/>
              </w:rPr>
            </w:pPr>
            <w:r w:rsidRPr="00F22C2E">
              <w:rPr>
                <w:sz w:val="18"/>
                <w:szCs w:val="18"/>
                <w:lang w:val="en-US"/>
              </w:rPr>
              <w:t>Reslizumab</w:t>
            </w:r>
          </w:p>
        </w:tc>
      </w:tr>
      <w:tr w:rsidR="00827A2F" w:rsidRPr="00F22C2E" w14:paraId="5CBB1DCD" w14:textId="77777777" w:rsidTr="00827A2F">
        <w:tc>
          <w:tcPr>
            <w:tcW w:w="1296" w:type="dxa"/>
          </w:tcPr>
          <w:p w14:paraId="6A498B8A" w14:textId="77777777" w:rsidR="00827A2F" w:rsidRPr="00F22C2E" w:rsidRDefault="00827A2F" w:rsidP="00827A2F">
            <w:pPr>
              <w:rPr>
                <w:sz w:val="18"/>
                <w:szCs w:val="18"/>
                <w:lang w:val="en-US"/>
              </w:rPr>
            </w:pPr>
            <w:proofErr w:type="gramStart"/>
            <w:r w:rsidRPr="00F22C2E">
              <w:rPr>
                <w:sz w:val="18"/>
                <w:szCs w:val="18"/>
                <w:lang w:val="en-US"/>
              </w:rPr>
              <w:t xml:space="preserve">Safety </w:t>
            </w:r>
            <w:r>
              <w:rPr>
                <w:sz w:val="18"/>
                <w:szCs w:val="18"/>
                <w:lang w:val="en-US"/>
              </w:rPr>
              <w:t xml:space="preserve"> </w:t>
            </w:r>
            <w:r w:rsidRPr="00F22C2E">
              <w:rPr>
                <w:sz w:val="18"/>
                <w:szCs w:val="18"/>
                <w:lang w:val="en-US"/>
              </w:rPr>
              <w:t>in</w:t>
            </w:r>
            <w:proofErr w:type="gramEnd"/>
            <w:r w:rsidRPr="00F22C2E">
              <w:rPr>
                <w:sz w:val="18"/>
                <w:szCs w:val="18"/>
                <w:lang w:val="en-US"/>
              </w:rPr>
              <w:t xml:space="preserve"> the pediatric population</w:t>
            </w:r>
          </w:p>
        </w:tc>
        <w:tc>
          <w:tcPr>
            <w:tcW w:w="1818" w:type="dxa"/>
          </w:tcPr>
          <w:p w14:paraId="4D08D2A3" w14:textId="5E92B2E0" w:rsidR="00827A2F" w:rsidRDefault="00827A2F" w:rsidP="00827A2F">
            <w:pPr>
              <w:rPr>
                <w:sz w:val="18"/>
                <w:szCs w:val="18"/>
                <w:lang w:val="en-US"/>
              </w:rPr>
            </w:pPr>
            <w:r>
              <w:rPr>
                <w:sz w:val="18"/>
                <w:szCs w:val="18"/>
                <w:lang w:val="en-US"/>
              </w:rPr>
              <w:t>No data</w:t>
            </w:r>
          </w:p>
        </w:tc>
        <w:tc>
          <w:tcPr>
            <w:tcW w:w="1701" w:type="dxa"/>
          </w:tcPr>
          <w:p w14:paraId="72573B03" w14:textId="10CA3809" w:rsidR="00827A2F" w:rsidRDefault="00827A2F" w:rsidP="00827A2F">
            <w:pPr>
              <w:rPr>
                <w:sz w:val="18"/>
                <w:szCs w:val="18"/>
                <w:lang w:val="en-US"/>
              </w:rPr>
            </w:pPr>
            <w:r>
              <w:rPr>
                <w:sz w:val="18"/>
                <w:szCs w:val="18"/>
                <w:lang w:val="en-US"/>
              </w:rPr>
              <w:t>No data</w:t>
            </w:r>
          </w:p>
        </w:tc>
        <w:tc>
          <w:tcPr>
            <w:tcW w:w="1417" w:type="dxa"/>
          </w:tcPr>
          <w:p w14:paraId="05F6AB59" w14:textId="77777777" w:rsidR="00827A2F" w:rsidRDefault="00827A2F" w:rsidP="00827A2F">
            <w:pPr>
              <w:rPr>
                <w:sz w:val="18"/>
                <w:szCs w:val="18"/>
                <w:lang w:val="en-US"/>
              </w:rPr>
            </w:pPr>
            <w:r>
              <w:rPr>
                <w:sz w:val="18"/>
                <w:szCs w:val="18"/>
                <w:lang w:val="en-US"/>
              </w:rPr>
              <w:t xml:space="preserve">Rodrigo, </w:t>
            </w:r>
            <w:r w:rsidRPr="004B2998">
              <w:rPr>
                <w:sz w:val="18"/>
                <w:szCs w:val="18"/>
                <w:lang w:val="en-US"/>
              </w:rPr>
              <w:t>Pediatr Allergy Immunol. 2015;26(6):551-6</w:t>
            </w:r>
          </w:p>
          <w:p w14:paraId="63181686" w14:textId="77777777" w:rsidR="00827A2F" w:rsidRDefault="00827A2F" w:rsidP="00827A2F">
            <w:pPr>
              <w:rPr>
                <w:sz w:val="18"/>
                <w:szCs w:val="18"/>
                <w:lang w:val="en-US"/>
              </w:rPr>
            </w:pPr>
            <w:r>
              <w:rPr>
                <w:sz w:val="18"/>
                <w:szCs w:val="18"/>
                <w:lang w:val="en-US"/>
              </w:rPr>
              <w:t xml:space="preserve">SR of 3 RCTs in 1381 children and adolescents </w:t>
            </w:r>
            <w:proofErr w:type="gramStart"/>
            <w:r w:rsidRPr="00874A90">
              <w:rPr>
                <w:sz w:val="18"/>
                <w:szCs w:val="18"/>
                <w:lang w:val="en-US"/>
              </w:rPr>
              <w:t>The</w:t>
            </w:r>
            <w:proofErr w:type="gramEnd"/>
            <w:r w:rsidRPr="00874A90">
              <w:rPr>
                <w:sz w:val="18"/>
                <w:szCs w:val="18"/>
                <w:lang w:val="en-US"/>
              </w:rPr>
              <w:t xml:space="preserve"> frequency of </w:t>
            </w:r>
            <w:r>
              <w:rPr>
                <w:sz w:val="18"/>
                <w:szCs w:val="18"/>
                <w:lang w:val="en-US"/>
              </w:rPr>
              <w:t>SAE</w:t>
            </w:r>
            <w:r w:rsidRPr="00874A90">
              <w:rPr>
                <w:sz w:val="18"/>
                <w:szCs w:val="18"/>
                <w:lang w:val="en-US"/>
              </w:rPr>
              <w:t xml:space="preserve"> similar </w:t>
            </w:r>
            <w:r>
              <w:rPr>
                <w:sz w:val="18"/>
                <w:szCs w:val="18"/>
                <w:lang w:val="en-US"/>
              </w:rPr>
              <w:t>to</w:t>
            </w:r>
            <w:r w:rsidRPr="00874A90">
              <w:rPr>
                <w:sz w:val="18"/>
                <w:szCs w:val="18"/>
                <w:lang w:val="en-US"/>
              </w:rPr>
              <w:t xml:space="preserve"> placebo</w:t>
            </w:r>
            <w:r>
              <w:rPr>
                <w:sz w:val="18"/>
                <w:szCs w:val="18"/>
                <w:lang w:val="en-US"/>
              </w:rPr>
              <w:t xml:space="preserve">; </w:t>
            </w:r>
            <w:r w:rsidRPr="00874A90">
              <w:rPr>
                <w:sz w:val="18"/>
                <w:szCs w:val="18"/>
                <w:lang w:val="en-US"/>
              </w:rPr>
              <w:t>no evidence of increased risk of hypersensitivity reactions, nor malignant neoplasms.</w:t>
            </w:r>
          </w:p>
          <w:p w14:paraId="2E24FE6E" w14:textId="77777777" w:rsidR="00827A2F" w:rsidRDefault="00827A2F" w:rsidP="00827A2F">
            <w:pPr>
              <w:rPr>
                <w:sz w:val="18"/>
                <w:szCs w:val="18"/>
                <w:lang w:val="en-US"/>
              </w:rPr>
            </w:pPr>
          </w:p>
          <w:p w14:paraId="5C417D14" w14:textId="77777777" w:rsidR="00827A2F" w:rsidRDefault="00827A2F" w:rsidP="00827A2F">
            <w:pPr>
              <w:rPr>
                <w:sz w:val="18"/>
                <w:szCs w:val="18"/>
                <w:lang w:val="en-US"/>
              </w:rPr>
            </w:pPr>
            <w:r>
              <w:rPr>
                <w:sz w:val="18"/>
                <w:szCs w:val="18"/>
                <w:lang w:val="en-US"/>
              </w:rPr>
              <w:lastRenderedPageBreak/>
              <w:t>Folque 2019 RWE of safety up to 6 years administra-tion</w:t>
            </w:r>
          </w:p>
          <w:p w14:paraId="57684E2B" w14:textId="77777777" w:rsidR="00827A2F" w:rsidRDefault="00827A2F" w:rsidP="00827A2F">
            <w:pPr>
              <w:rPr>
                <w:sz w:val="18"/>
                <w:szCs w:val="18"/>
                <w:lang w:val="en-US"/>
              </w:rPr>
            </w:pPr>
          </w:p>
          <w:p w14:paraId="578BA2A8" w14:textId="77777777" w:rsidR="00827A2F" w:rsidRDefault="00827A2F" w:rsidP="00827A2F">
            <w:pPr>
              <w:rPr>
                <w:sz w:val="18"/>
                <w:szCs w:val="18"/>
                <w:lang w:val="en-US"/>
              </w:rPr>
            </w:pPr>
            <w:r>
              <w:rPr>
                <w:sz w:val="18"/>
                <w:szCs w:val="18"/>
                <w:lang w:val="en-US"/>
              </w:rPr>
              <w:t>Deschildre 2015</w:t>
            </w:r>
          </w:p>
          <w:p w14:paraId="6094DDCF" w14:textId="22EBFB79" w:rsidR="00827A2F" w:rsidRDefault="00827A2F" w:rsidP="00827A2F">
            <w:pPr>
              <w:rPr>
                <w:sz w:val="18"/>
                <w:szCs w:val="18"/>
                <w:lang w:val="en-US"/>
              </w:rPr>
            </w:pPr>
            <w:r w:rsidRPr="00B466E4">
              <w:rPr>
                <w:sz w:val="18"/>
                <w:szCs w:val="18"/>
                <w:lang w:val="en-US"/>
              </w:rPr>
              <w:t>8% stopped omalizumab because of side-effects, 75% of which were fatigue following injection.</w:t>
            </w:r>
          </w:p>
        </w:tc>
        <w:tc>
          <w:tcPr>
            <w:tcW w:w="2552" w:type="dxa"/>
          </w:tcPr>
          <w:p w14:paraId="6F61F471" w14:textId="77777777" w:rsidR="00827A2F" w:rsidRDefault="00827A2F" w:rsidP="00827A2F">
            <w:pPr>
              <w:rPr>
                <w:sz w:val="18"/>
                <w:szCs w:val="18"/>
                <w:lang w:val="en-US"/>
              </w:rPr>
            </w:pPr>
            <w:r>
              <w:rPr>
                <w:sz w:val="18"/>
                <w:szCs w:val="18"/>
                <w:lang w:val="en-US"/>
              </w:rPr>
              <w:lastRenderedPageBreak/>
              <w:t>Yancey 2019 S</w:t>
            </w:r>
            <w:r w:rsidRPr="00CC2CB8">
              <w:rPr>
                <w:sz w:val="18"/>
                <w:szCs w:val="18"/>
                <w:lang w:val="en-US"/>
              </w:rPr>
              <w:t>afety profile in adolescent patients was consistent with that seen in the overall population.</w:t>
            </w:r>
          </w:p>
          <w:p w14:paraId="1BEB7715" w14:textId="77777777" w:rsidR="00827A2F" w:rsidRDefault="00827A2F" w:rsidP="00827A2F">
            <w:pPr>
              <w:rPr>
                <w:sz w:val="18"/>
                <w:szCs w:val="18"/>
                <w:lang w:val="en-US"/>
              </w:rPr>
            </w:pPr>
          </w:p>
          <w:p w14:paraId="334426FD" w14:textId="77777777" w:rsidR="00827A2F" w:rsidRDefault="00827A2F" w:rsidP="00827A2F">
            <w:pPr>
              <w:rPr>
                <w:sz w:val="18"/>
                <w:szCs w:val="18"/>
                <w:lang w:val="en-US"/>
              </w:rPr>
            </w:pPr>
            <w:r>
              <w:rPr>
                <w:sz w:val="18"/>
                <w:szCs w:val="18"/>
                <w:lang w:val="en-US"/>
              </w:rPr>
              <w:t xml:space="preserve">Gupta JACI 2019, 6-11 years, 52 weeks; </w:t>
            </w:r>
            <w:r w:rsidRPr="00806E6B">
              <w:rPr>
                <w:sz w:val="18"/>
                <w:szCs w:val="18"/>
                <w:lang w:val="en-US"/>
              </w:rPr>
              <w:t>90%</w:t>
            </w:r>
            <w:r>
              <w:rPr>
                <w:sz w:val="18"/>
                <w:szCs w:val="18"/>
                <w:lang w:val="en-US"/>
              </w:rPr>
              <w:t xml:space="preserve"> </w:t>
            </w:r>
            <w:r w:rsidRPr="00806E6B">
              <w:rPr>
                <w:sz w:val="18"/>
                <w:szCs w:val="18"/>
                <w:lang w:val="en-US"/>
              </w:rPr>
              <w:t>on-treatment AEs</w:t>
            </w:r>
            <w:r>
              <w:rPr>
                <w:sz w:val="18"/>
                <w:szCs w:val="18"/>
                <w:lang w:val="en-US"/>
              </w:rPr>
              <w:t xml:space="preserve">; </w:t>
            </w:r>
            <w:r w:rsidRPr="00806E6B">
              <w:rPr>
                <w:sz w:val="18"/>
                <w:szCs w:val="18"/>
                <w:lang w:val="en-US"/>
              </w:rPr>
              <w:t>23%</w:t>
            </w:r>
            <w:r>
              <w:rPr>
                <w:sz w:val="18"/>
                <w:szCs w:val="18"/>
                <w:lang w:val="en-US"/>
              </w:rPr>
              <w:t xml:space="preserve"> S</w:t>
            </w:r>
            <w:r w:rsidRPr="00806E6B">
              <w:rPr>
                <w:sz w:val="18"/>
                <w:szCs w:val="18"/>
                <w:lang w:val="en-US"/>
              </w:rPr>
              <w:t>AEs</w:t>
            </w:r>
            <w:r>
              <w:rPr>
                <w:sz w:val="18"/>
                <w:szCs w:val="18"/>
                <w:lang w:val="en-US"/>
              </w:rPr>
              <w:t>.</w:t>
            </w:r>
          </w:p>
          <w:p w14:paraId="589880E4" w14:textId="77777777" w:rsidR="00827A2F" w:rsidRDefault="00827A2F" w:rsidP="00827A2F">
            <w:pPr>
              <w:rPr>
                <w:sz w:val="18"/>
                <w:szCs w:val="18"/>
                <w:lang w:val="en-US"/>
              </w:rPr>
            </w:pPr>
            <w:r w:rsidRPr="00806E6B">
              <w:rPr>
                <w:sz w:val="18"/>
                <w:szCs w:val="18"/>
                <w:lang w:val="en-US"/>
              </w:rPr>
              <w:t xml:space="preserve">No </w:t>
            </w:r>
            <w:r>
              <w:rPr>
                <w:sz w:val="18"/>
                <w:szCs w:val="18"/>
                <w:lang w:val="en-US"/>
              </w:rPr>
              <w:t>S</w:t>
            </w:r>
            <w:r w:rsidRPr="00806E6B">
              <w:rPr>
                <w:sz w:val="18"/>
                <w:szCs w:val="18"/>
                <w:lang w:val="en-US"/>
              </w:rPr>
              <w:t xml:space="preserve">AEs treatment related. </w:t>
            </w:r>
          </w:p>
          <w:p w14:paraId="6D958185" w14:textId="77777777" w:rsidR="00827A2F" w:rsidRDefault="00827A2F" w:rsidP="00827A2F">
            <w:pPr>
              <w:rPr>
                <w:sz w:val="18"/>
                <w:szCs w:val="18"/>
                <w:lang w:val="en-US"/>
              </w:rPr>
            </w:pPr>
            <w:r>
              <w:rPr>
                <w:sz w:val="18"/>
                <w:szCs w:val="18"/>
                <w:lang w:val="en-US"/>
              </w:rPr>
              <w:t>No</w:t>
            </w:r>
            <w:r w:rsidRPr="00806E6B">
              <w:rPr>
                <w:sz w:val="18"/>
                <w:szCs w:val="18"/>
                <w:lang w:val="en-US"/>
              </w:rPr>
              <w:t xml:space="preserve"> fatal AEs. No specific patterns of AEs </w:t>
            </w:r>
          </w:p>
          <w:p w14:paraId="1B96AB3A" w14:textId="77777777" w:rsidR="00827A2F" w:rsidRDefault="00827A2F" w:rsidP="00827A2F">
            <w:pPr>
              <w:rPr>
                <w:sz w:val="18"/>
                <w:szCs w:val="18"/>
                <w:lang w:val="en-US"/>
              </w:rPr>
            </w:pPr>
          </w:p>
          <w:p w14:paraId="65B878BB" w14:textId="7E3396B9" w:rsidR="00827A2F" w:rsidRDefault="00827A2F" w:rsidP="00827A2F">
            <w:pPr>
              <w:rPr>
                <w:sz w:val="18"/>
                <w:szCs w:val="18"/>
                <w:lang w:val="en-US"/>
              </w:rPr>
            </w:pPr>
            <w:r>
              <w:rPr>
                <w:sz w:val="18"/>
                <w:szCs w:val="18"/>
                <w:lang w:val="en-US"/>
              </w:rPr>
              <w:t>N</w:t>
            </w:r>
            <w:r w:rsidRPr="00806E6B">
              <w:rPr>
                <w:sz w:val="18"/>
                <w:szCs w:val="18"/>
                <w:lang w:val="en-US"/>
              </w:rPr>
              <w:t xml:space="preserve">o </w:t>
            </w:r>
            <w:r>
              <w:rPr>
                <w:sz w:val="18"/>
                <w:szCs w:val="18"/>
                <w:lang w:val="en-US"/>
              </w:rPr>
              <w:t>ADA</w:t>
            </w:r>
            <w:r w:rsidRPr="00806E6B">
              <w:rPr>
                <w:sz w:val="18"/>
                <w:szCs w:val="18"/>
                <w:lang w:val="en-US"/>
              </w:rPr>
              <w:t xml:space="preserve"> or neutralizing antibody responses were reported.</w:t>
            </w:r>
          </w:p>
        </w:tc>
        <w:tc>
          <w:tcPr>
            <w:tcW w:w="3118" w:type="dxa"/>
          </w:tcPr>
          <w:p w14:paraId="5DB65840" w14:textId="77777777" w:rsidR="00827A2F" w:rsidRDefault="00827A2F" w:rsidP="00827A2F">
            <w:pPr>
              <w:rPr>
                <w:sz w:val="18"/>
                <w:szCs w:val="18"/>
                <w:lang w:val="en-US"/>
              </w:rPr>
            </w:pPr>
            <w:r>
              <w:rPr>
                <w:sz w:val="18"/>
                <w:szCs w:val="18"/>
                <w:lang w:val="en-US"/>
              </w:rPr>
              <w:t xml:space="preserve">Virchow, </w:t>
            </w:r>
            <w:r w:rsidRPr="00AE440B">
              <w:rPr>
                <w:sz w:val="18"/>
                <w:szCs w:val="18"/>
                <w:lang w:val="en-US"/>
              </w:rPr>
              <w:t>J Allergy Clin Immunol Pract. 2019</w:t>
            </w:r>
          </w:p>
          <w:p w14:paraId="5CAB9829" w14:textId="37647813" w:rsidR="00827A2F" w:rsidRDefault="00827A2F" w:rsidP="00827A2F">
            <w:pPr>
              <w:rPr>
                <w:sz w:val="18"/>
                <w:szCs w:val="18"/>
                <w:lang w:val="en-US"/>
              </w:rPr>
            </w:pPr>
            <w:r>
              <w:rPr>
                <w:sz w:val="18"/>
                <w:szCs w:val="18"/>
                <w:lang w:val="en-US"/>
              </w:rPr>
              <w:t>Pooled analysis included 12-18 years old up to 2 years</w:t>
            </w:r>
          </w:p>
        </w:tc>
      </w:tr>
      <w:tr w:rsidR="00827A2F" w:rsidRPr="00F22C2E" w14:paraId="79414052" w14:textId="77777777" w:rsidTr="00827A2F">
        <w:tc>
          <w:tcPr>
            <w:tcW w:w="1296" w:type="dxa"/>
            <w:shd w:val="clear" w:color="auto" w:fill="FFC000"/>
          </w:tcPr>
          <w:p w14:paraId="11733564" w14:textId="77777777" w:rsidR="00827A2F" w:rsidRPr="00F22C2E" w:rsidRDefault="00827A2F" w:rsidP="00827A2F">
            <w:pPr>
              <w:rPr>
                <w:sz w:val="18"/>
                <w:szCs w:val="18"/>
                <w:lang w:val="en-US"/>
              </w:rPr>
            </w:pPr>
          </w:p>
        </w:tc>
        <w:tc>
          <w:tcPr>
            <w:tcW w:w="1818" w:type="dxa"/>
            <w:shd w:val="clear" w:color="auto" w:fill="FFC000"/>
          </w:tcPr>
          <w:p w14:paraId="2E0EECC4" w14:textId="3CE51643" w:rsidR="00827A2F" w:rsidRPr="00F22C2E" w:rsidRDefault="00827A2F" w:rsidP="00827A2F">
            <w:pPr>
              <w:rPr>
                <w:sz w:val="18"/>
                <w:szCs w:val="18"/>
                <w:lang w:val="en-US"/>
              </w:rPr>
            </w:pPr>
            <w:r w:rsidRPr="00F22C2E">
              <w:rPr>
                <w:sz w:val="18"/>
                <w:szCs w:val="18"/>
                <w:lang w:val="en-US"/>
              </w:rPr>
              <w:t>Benralizumab</w:t>
            </w:r>
          </w:p>
        </w:tc>
        <w:tc>
          <w:tcPr>
            <w:tcW w:w="1701" w:type="dxa"/>
            <w:shd w:val="clear" w:color="auto" w:fill="FFC000"/>
          </w:tcPr>
          <w:p w14:paraId="202D482A" w14:textId="38D46E90" w:rsidR="00827A2F" w:rsidRPr="00F22C2E" w:rsidRDefault="00827A2F" w:rsidP="00827A2F">
            <w:pPr>
              <w:rPr>
                <w:sz w:val="18"/>
                <w:szCs w:val="18"/>
                <w:lang w:val="en-US"/>
              </w:rPr>
            </w:pPr>
            <w:r w:rsidRPr="00F22C2E">
              <w:rPr>
                <w:sz w:val="18"/>
                <w:szCs w:val="18"/>
                <w:lang w:val="en-US"/>
              </w:rPr>
              <w:t>Dupilumab</w:t>
            </w:r>
          </w:p>
        </w:tc>
        <w:tc>
          <w:tcPr>
            <w:tcW w:w="1417" w:type="dxa"/>
            <w:shd w:val="clear" w:color="auto" w:fill="FFC000"/>
          </w:tcPr>
          <w:p w14:paraId="1D98887F" w14:textId="521B0EC6" w:rsidR="00827A2F" w:rsidRPr="00F22C2E" w:rsidRDefault="00827A2F" w:rsidP="00827A2F">
            <w:pPr>
              <w:rPr>
                <w:sz w:val="18"/>
                <w:szCs w:val="18"/>
                <w:lang w:val="en-US"/>
              </w:rPr>
            </w:pPr>
            <w:r w:rsidRPr="00F22C2E">
              <w:rPr>
                <w:sz w:val="18"/>
                <w:szCs w:val="18"/>
                <w:lang w:val="en-US"/>
              </w:rPr>
              <w:t>Omalizumab</w:t>
            </w:r>
          </w:p>
        </w:tc>
        <w:tc>
          <w:tcPr>
            <w:tcW w:w="2552" w:type="dxa"/>
            <w:shd w:val="clear" w:color="auto" w:fill="FFC000"/>
          </w:tcPr>
          <w:p w14:paraId="23D032F8" w14:textId="1C2A426D" w:rsidR="00827A2F" w:rsidRPr="00F22C2E" w:rsidRDefault="00827A2F" w:rsidP="00827A2F">
            <w:pPr>
              <w:rPr>
                <w:sz w:val="18"/>
                <w:szCs w:val="18"/>
                <w:lang w:val="en-US"/>
              </w:rPr>
            </w:pPr>
            <w:r w:rsidRPr="00F22C2E">
              <w:rPr>
                <w:sz w:val="18"/>
                <w:szCs w:val="18"/>
                <w:lang w:val="en-US"/>
              </w:rPr>
              <w:t>Mepolizumab</w:t>
            </w:r>
          </w:p>
        </w:tc>
        <w:tc>
          <w:tcPr>
            <w:tcW w:w="3118" w:type="dxa"/>
            <w:shd w:val="clear" w:color="auto" w:fill="FFC000"/>
          </w:tcPr>
          <w:p w14:paraId="1F30DF64" w14:textId="245F4F2A" w:rsidR="00827A2F" w:rsidRPr="00F22C2E" w:rsidRDefault="00827A2F" w:rsidP="00827A2F">
            <w:pPr>
              <w:rPr>
                <w:sz w:val="18"/>
                <w:szCs w:val="18"/>
                <w:lang w:val="en-US"/>
              </w:rPr>
            </w:pPr>
            <w:r w:rsidRPr="00F22C2E">
              <w:rPr>
                <w:sz w:val="18"/>
                <w:szCs w:val="18"/>
                <w:lang w:val="en-US"/>
              </w:rPr>
              <w:t>Reslizumab</w:t>
            </w:r>
          </w:p>
        </w:tc>
      </w:tr>
      <w:tr w:rsidR="00827A2F" w:rsidRPr="00F22C2E" w14:paraId="2BD06D8C" w14:textId="77777777" w:rsidTr="00827A2F">
        <w:tc>
          <w:tcPr>
            <w:tcW w:w="1296" w:type="dxa"/>
          </w:tcPr>
          <w:p w14:paraId="574D79CE" w14:textId="77777777" w:rsidR="00827A2F" w:rsidRPr="00F22C2E" w:rsidRDefault="00827A2F" w:rsidP="00827A2F">
            <w:pPr>
              <w:rPr>
                <w:sz w:val="18"/>
                <w:szCs w:val="18"/>
                <w:lang w:val="en-US"/>
              </w:rPr>
            </w:pPr>
            <w:r>
              <w:rPr>
                <w:sz w:val="18"/>
                <w:szCs w:val="18"/>
                <w:lang w:val="en-US"/>
              </w:rPr>
              <w:t>Immuno-genicity</w:t>
            </w:r>
          </w:p>
        </w:tc>
        <w:tc>
          <w:tcPr>
            <w:tcW w:w="1818" w:type="dxa"/>
          </w:tcPr>
          <w:p w14:paraId="3B93EED8" w14:textId="77777777" w:rsidR="00827A2F" w:rsidRDefault="00827A2F" w:rsidP="00827A2F">
            <w:pPr>
              <w:rPr>
                <w:sz w:val="18"/>
                <w:szCs w:val="18"/>
                <w:lang w:val="en-US"/>
              </w:rPr>
            </w:pPr>
            <w:r>
              <w:rPr>
                <w:sz w:val="18"/>
                <w:szCs w:val="18"/>
                <w:lang w:val="en-US"/>
              </w:rPr>
              <w:t>Zeitlin 2018, ALIZE trial</w:t>
            </w:r>
          </w:p>
          <w:p w14:paraId="353E9A87" w14:textId="77777777" w:rsidR="00827A2F" w:rsidRDefault="00827A2F" w:rsidP="00827A2F">
            <w:pPr>
              <w:rPr>
                <w:sz w:val="18"/>
                <w:szCs w:val="18"/>
                <w:lang w:val="en-US"/>
              </w:rPr>
            </w:pPr>
            <w:r w:rsidRPr="00307CD0">
              <w:rPr>
                <w:sz w:val="18"/>
                <w:szCs w:val="18"/>
                <w:lang w:val="en-US"/>
              </w:rPr>
              <w:t>Benralizumab did not impair the antibody response to seasonal virus vaccination in</w:t>
            </w:r>
            <w:r>
              <w:rPr>
                <w:sz w:val="18"/>
                <w:szCs w:val="18"/>
                <w:lang w:val="en-US"/>
              </w:rPr>
              <w:t xml:space="preserve"> asthma population 12-21</w:t>
            </w:r>
          </w:p>
          <w:p w14:paraId="3DBB0083" w14:textId="77777777" w:rsidR="00827A2F" w:rsidRDefault="00827A2F" w:rsidP="00827A2F">
            <w:pPr>
              <w:rPr>
                <w:sz w:val="18"/>
                <w:szCs w:val="18"/>
                <w:lang w:val="en-US"/>
              </w:rPr>
            </w:pPr>
          </w:p>
          <w:p w14:paraId="4A0F88C4" w14:textId="77777777" w:rsidR="00827A2F" w:rsidRDefault="00827A2F" w:rsidP="00827A2F">
            <w:pPr>
              <w:rPr>
                <w:sz w:val="18"/>
                <w:szCs w:val="18"/>
                <w:lang w:val="en-US"/>
              </w:rPr>
            </w:pPr>
          </w:p>
          <w:p w14:paraId="50FEA59D" w14:textId="77777777" w:rsidR="00827A2F" w:rsidRDefault="00827A2F" w:rsidP="00827A2F">
            <w:pPr>
              <w:rPr>
                <w:sz w:val="18"/>
                <w:szCs w:val="18"/>
                <w:lang w:val="en-US"/>
              </w:rPr>
            </w:pPr>
            <w:r>
              <w:rPr>
                <w:sz w:val="18"/>
                <w:szCs w:val="18"/>
                <w:lang w:val="en-US"/>
              </w:rPr>
              <w:t>Pham 2016</w:t>
            </w:r>
          </w:p>
          <w:p w14:paraId="54244CC7" w14:textId="77777777" w:rsidR="00827A2F" w:rsidRDefault="00827A2F" w:rsidP="00827A2F">
            <w:pPr>
              <w:rPr>
                <w:sz w:val="18"/>
                <w:szCs w:val="18"/>
                <w:lang w:val="en-US"/>
              </w:rPr>
            </w:pPr>
            <w:r>
              <w:rPr>
                <w:sz w:val="18"/>
                <w:szCs w:val="18"/>
                <w:lang w:val="en-US"/>
              </w:rPr>
              <w:t>S</w:t>
            </w:r>
            <w:r w:rsidRPr="00ED41EA">
              <w:rPr>
                <w:sz w:val="18"/>
                <w:szCs w:val="18"/>
                <w:lang w:val="en-US"/>
              </w:rPr>
              <w:t xml:space="preserve">erum IL-5, </w:t>
            </w:r>
            <w:r>
              <w:rPr>
                <w:sz w:val="18"/>
                <w:szCs w:val="18"/>
                <w:lang w:val="en-US"/>
              </w:rPr>
              <w:t xml:space="preserve">eotaxin </w:t>
            </w:r>
            <w:r w:rsidRPr="00ED41EA">
              <w:rPr>
                <w:sz w:val="18"/>
                <w:szCs w:val="18"/>
                <w:lang w:val="en-US"/>
              </w:rPr>
              <w:t xml:space="preserve">were </w:t>
            </w:r>
            <w:r>
              <w:rPr>
                <w:sz w:val="18"/>
                <w:szCs w:val="18"/>
                <w:lang w:val="en-US"/>
              </w:rPr>
              <w:t>decreased</w:t>
            </w:r>
            <w:r w:rsidRPr="00ED41EA">
              <w:rPr>
                <w:sz w:val="18"/>
                <w:szCs w:val="18"/>
                <w:lang w:val="en-US"/>
              </w:rPr>
              <w:t>.</w:t>
            </w:r>
          </w:p>
          <w:p w14:paraId="0FA258D8" w14:textId="77777777" w:rsidR="00827A2F" w:rsidRDefault="00827A2F" w:rsidP="00827A2F">
            <w:pPr>
              <w:rPr>
                <w:sz w:val="18"/>
                <w:szCs w:val="18"/>
                <w:lang w:val="en-US"/>
              </w:rPr>
            </w:pPr>
            <w:r w:rsidRPr="00ED41EA">
              <w:rPr>
                <w:sz w:val="18"/>
                <w:szCs w:val="18"/>
                <w:lang w:val="en-US"/>
              </w:rPr>
              <w:t xml:space="preserve">No changes in TNF or IFN-γ </w:t>
            </w:r>
            <w:r>
              <w:rPr>
                <w:sz w:val="18"/>
                <w:szCs w:val="18"/>
                <w:lang w:val="en-US"/>
              </w:rPr>
              <w:t>S</w:t>
            </w:r>
            <w:r w:rsidRPr="00ED41EA">
              <w:rPr>
                <w:sz w:val="18"/>
                <w:szCs w:val="18"/>
                <w:lang w:val="en-US"/>
              </w:rPr>
              <w:t xml:space="preserve">ignificant reductions in EDN and ECP concentrations, suggesting that cytotoxic granule proteins </w:t>
            </w:r>
            <w:r>
              <w:rPr>
                <w:sz w:val="18"/>
                <w:szCs w:val="18"/>
                <w:lang w:val="en-US"/>
              </w:rPr>
              <w:t>are</w:t>
            </w:r>
            <w:r w:rsidRPr="00ED41EA">
              <w:rPr>
                <w:sz w:val="18"/>
                <w:szCs w:val="18"/>
                <w:lang w:val="en-US"/>
              </w:rPr>
              <w:t xml:space="preserve"> not released </w:t>
            </w:r>
            <w:r>
              <w:rPr>
                <w:sz w:val="18"/>
                <w:szCs w:val="18"/>
                <w:lang w:val="en-US"/>
              </w:rPr>
              <w:t>following eosinophil depletiion</w:t>
            </w:r>
            <w:r w:rsidRPr="00ED41EA">
              <w:rPr>
                <w:sz w:val="18"/>
                <w:szCs w:val="18"/>
                <w:lang w:val="en-US"/>
              </w:rPr>
              <w:t>.</w:t>
            </w:r>
          </w:p>
          <w:p w14:paraId="6237152F" w14:textId="77777777" w:rsidR="00827A2F" w:rsidRDefault="00827A2F" w:rsidP="00827A2F">
            <w:pPr>
              <w:rPr>
                <w:sz w:val="18"/>
                <w:szCs w:val="18"/>
                <w:lang w:val="en-US"/>
              </w:rPr>
            </w:pPr>
          </w:p>
          <w:p w14:paraId="7634872F" w14:textId="77777777" w:rsidR="00827A2F" w:rsidRDefault="00827A2F" w:rsidP="00827A2F">
            <w:pPr>
              <w:rPr>
                <w:sz w:val="18"/>
                <w:szCs w:val="18"/>
                <w:lang w:val="en-US"/>
              </w:rPr>
            </w:pPr>
            <w:r>
              <w:rPr>
                <w:sz w:val="18"/>
                <w:szCs w:val="18"/>
                <w:lang w:val="en-US"/>
              </w:rPr>
              <w:t>Sridhar 2019</w:t>
            </w:r>
          </w:p>
          <w:p w14:paraId="7EFCA21B" w14:textId="5833117B" w:rsidR="00827A2F" w:rsidRDefault="00827A2F" w:rsidP="00827A2F">
            <w:pPr>
              <w:rPr>
                <w:sz w:val="18"/>
                <w:szCs w:val="18"/>
                <w:lang w:val="en-US"/>
              </w:rPr>
            </w:pPr>
            <w:r w:rsidRPr="00307CD0">
              <w:rPr>
                <w:sz w:val="18"/>
                <w:szCs w:val="18"/>
                <w:lang w:val="en-US"/>
              </w:rPr>
              <w:t>Benralizumab is highly selective, modulating blood proteins or genes associated with eosinophils or basophils</w:t>
            </w:r>
            <w:r>
              <w:rPr>
                <w:sz w:val="18"/>
                <w:szCs w:val="18"/>
                <w:lang w:val="en-US"/>
              </w:rPr>
              <w:t xml:space="preserve">, especially </w:t>
            </w:r>
            <w:r>
              <w:rPr>
                <w:sz w:val="18"/>
                <w:szCs w:val="18"/>
                <w:lang w:val="en-US"/>
              </w:rPr>
              <w:lastRenderedPageBreak/>
              <w:t>in high eos patients (&gt; 300)</w:t>
            </w:r>
          </w:p>
        </w:tc>
        <w:tc>
          <w:tcPr>
            <w:tcW w:w="1701" w:type="dxa"/>
          </w:tcPr>
          <w:p w14:paraId="48A2541E" w14:textId="77777777" w:rsidR="00827A2F" w:rsidRDefault="00827A2F" w:rsidP="00827A2F">
            <w:pPr>
              <w:rPr>
                <w:sz w:val="18"/>
                <w:szCs w:val="18"/>
                <w:lang w:val="en-US"/>
              </w:rPr>
            </w:pPr>
            <w:r>
              <w:rPr>
                <w:sz w:val="18"/>
                <w:szCs w:val="18"/>
                <w:lang w:val="en-US"/>
              </w:rPr>
              <w:lastRenderedPageBreak/>
              <w:t xml:space="preserve">Blauvelt, </w:t>
            </w:r>
            <w:r w:rsidRPr="00E25CA5">
              <w:rPr>
                <w:sz w:val="18"/>
                <w:szCs w:val="18"/>
                <w:lang w:val="en-US"/>
              </w:rPr>
              <w:t>J Am Acad Dermatol. 2019;80(1):158-167.</w:t>
            </w:r>
          </w:p>
          <w:p w14:paraId="1681D985" w14:textId="77777777" w:rsidR="00827A2F" w:rsidRDefault="00827A2F" w:rsidP="00827A2F">
            <w:pPr>
              <w:rPr>
                <w:sz w:val="18"/>
                <w:szCs w:val="18"/>
                <w:lang w:val="en-US"/>
              </w:rPr>
            </w:pPr>
            <w:r>
              <w:rPr>
                <w:sz w:val="18"/>
                <w:szCs w:val="18"/>
                <w:lang w:val="en-US"/>
              </w:rPr>
              <w:t>Data from AD trials</w:t>
            </w:r>
          </w:p>
          <w:p w14:paraId="2FEB4444" w14:textId="0E8275E5" w:rsidR="00827A2F" w:rsidRDefault="00827A2F" w:rsidP="00827A2F">
            <w:pPr>
              <w:rPr>
                <w:sz w:val="18"/>
                <w:szCs w:val="18"/>
                <w:lang w:val="en-US"/>
              </w:rPr>
            </w:pPr>
            <w:r>
              <w:rPr>
                <w:sz w:val="18"/>
                <w:szCs w:val="18"/>
                <w:lang w:val="en-US"/>
              </w:rPr>
              <w:t xml:space="preserve">Dupilumab does not impact </w:t>
            </w:r>
            <w:r w:rsidRPr="00E25CA5">
              <w:rPr>
                <w:sz w:val="18"/>
                <w:szCs w:val="18"/>
                <w:lang w:val="en-US"/>
              </w:rPr>
              <w:t>T-cell-dependent and T-cell-independent humoral immune responses to tetanus and meningococcal vaccines, IgE seroconversion to tetanus toxoid, reduced diphtheria toxoid, and acellular pertussis (Tdap) vaccination</w:t>
            </w:r>
          </w:p>
        </w:tc>
        <w:tc>
          <w:tcPr>
            <w:tcW w:w="1417" w:type="dxa"/>
          </w:tcPr>
          <w:p w14:paraId="73129625" w14:textId="77777777" w:rsidR="00827A2F" w:rsidRDefault="00827A2F" w:rsidP="00827A2F">
            <w:pPr>
              <w:rPr>
                <w:sz w:val="18"/>
                <w:szCs w:val="18"/>
                <w:lang w:val="en-US"/>
              </w:rPr>
            </w:pPr>
            <w:r>
              <w:rPr>
                <w:sz w:val="18"/>
                <w:szCs w:val="18"/>
                <w:lang w:val="en-US"/>
              </w:rPr>
              <w:t xml:space="preserve">Baker, </w:t>
            </w:r>
            <w:r w:rsidRPr="00907C31">
              <w:rPr>
                <w:sz w:val="18"/>
                <w:szCs w:val="18"/>
                <w:lang w:val="en-US"/>
              </w:rPr>
              <w:t>AAPS J. 2016;</w:t>
            </w:r>
            <w:r>
              <w:rPr>
                <w:sz w:val="18"/>
                <w:szCs w:val="18"/>
                <w:lang w:val="en-US"/>
              </w:rPr>
              <w:t xml:space="preserve"> </w:t>
            </w:r>
            <w:r w:rsidRPr="00907C31">
              <w:rPr>
                <w:sz w:val="18"/>
                <w:szCs w:val="18"/>
                <w:lang w:val="en-US"/>
              </w:rPr>
              <w:t>18(1):115-23.</w:t>
            </w:r>
          </w:p>
          <w:p w14:paraId="2B170FF0" w14:textId="77777777" w:rsidR="00827A2F" w:rsidRDefault="00827A2F" w:rsidP="00827A2F">
            <w:pPr>
              <w:rPr>
                <w:sz w:val="18"/>
                <w:szCs w:val="18"/>
                <w:lang w:val="en-US"/>
              </w:rPr>
            </w:pPr>
            <w:r>
              <w:rPr>
                <w:sz w:val="18"/>
                <w:szCs w:val="18"/>
                <w:lang w:val="en-US"/>
              </w:rPr>
              <w:t xml:space="preserve">No </w:t>
            </w:r>
            <w:r w:rsidRPr="00907C31">
              <w:rPr>
                <w:sz w:val="18"/>
                <w:szCs w:val="18"/>
                <w:lang w:val="en-US"/>
              </w:rPr>
              <w:t>correlation between either anaphylaxis or skin test reactivity and the presence of antibodies of IgE isotype to omalizumab.</w:t>
            </w:r>
          </w:p>
          <w:p w14:paraId="2ECB45D4" w14:textId="77777777" w:rsidR="00827A2F" w:rsidRDefault="00827A2F" w:rsidP="00827A2F">
            <w:pPr>
              <w:rPr>
                <w:sz w:val="18"/>
                <w:szCs w:val="18"/>
                <w:lang w:val="en-US"/>
              </w:rPr>
            </w:pPr>
          </w:p>
          <w:p w14:paraId="47428F1C" w14:textId="77777777" w:rsidR="00827A2F" w:rsidRDefault="00827A2F" w:rsidP="00827A2F">
            <w:pPr>
              <w:rPr>
                <w:sz w:val="18"/>
                <w:szCs w:val="18"/>
                <w:lang w:val="en-US"/>
              </w:rPr>
            </w:pPr>
            <w:r>
              <w:rPr>
                <w:sz w:val="18"/>
                <w:szCs w:val="18"/>
                <w:lang w:val="en-US"/>
              </w:rPr>
              <w:t xml:space="preserve">Sommerville, </w:t>
            </w:r>
            <w:r w:rsidRPr="00907C31">
              <w:rPr>
                <w:sz w:val="18"/>
                <w:szCs w:val="18"/>
                <w:lang w:val="en-US"/>
              </w:rPr>
              <w:t>Curr Med Res Opin. 2014 Jan;30(1):59-66.</w:t>
            </w:r>
          </w:p>
          <w:p w14:paraId="5F790EBF" w14:textId="77777777" w:rsidR="00827A2F" w:rsidRDefault="00827A2F" w:rsidP="00827A2F">
            <w:pPr>
              <w:rPr>
                <w:sz w:val="18"/>
                <w:szCs w:val="18"/>
                <w:lang w:val="en-US"/>
              </w:rPr>
            </w:pPr>
            <w:r w:rsidRPr="00907C31">
              <w:rPr>
                <w:sz w:val="18"/>
                <w:szCs w:val="18"/>
                <w:lang w:val="en-US"/>
              </w:rPr>
              <w:t>Omalizumab in pre-filled syringes was not associated with immunogenicity.</w:t>
            </w:r>
          </w:p>
          <w:p w14:paraId="42378C9A" w14:textId="77777777" w:rsidR="00827A2F" w:rsidRDefault="00827A2F" w:rsidP="00827A2F">
            <w:pPr>
              <w:rPr>
                <w:sz w:val="18"/>
                <w:szCs w:val="18"/>
                <w:lang w:val="en-US"/>
              </w:rPr>
            </w:pPr>
          </w:p>
          <w:p w14:paraId="6819DA44" w14:textId="77777777" w:rsidR="00827A2F" w:rsidRDefault="00827A2F" w:rsidP="00827A2F">
            <w:pPr>
              <w:rPr>
                <w:sz w:val="18"/>
                <w:szCs w:val="18"/>
                <w:lang w:val="en-US"/>
              </w:rPr>
            </w:pPr>
            <w:r>
              <w:rPr>
                <w:sz w:val="18"/>
                <w:szCs w:val="18"/>
                <w:lang w:val="en-US"/>
              </w:rPr>
              <w:t>Mizuma 2015</w:t>
            </w:r>
          </w:p>
          <w:p w14:paraId="7CBA8E27" w14:textId="42D7593D" w:rsidR="00827A2F" w:rsidRDefault="00827A2F" w:rsidP="00827A2F">
            <w:pPr>
              <w:rPr>
                <w:sz w:val="18"/>
                <w:szCs w:val="18"/>
                <w:lang w:val="en-US"/>
              </w:rPr>
            </w:pPr>
            <w:r w:rsidRPr="00CA603C">
              <w:rPr>
                <w:sz w:val="18"/>
                <w:szCs w:val="18"/>
                <w:lang w:val="en-US"/>
              </w:rPr>
              <w:t>Treatment with omalizumab increase</w:t>
            </w:r>
            <w:r>
              <w:rPr>
                <w:sz w:val="18"/>
                <w:szCs w:val="18"/>
                <w:lang w:val="en-US"/>
              </w:rPr>
              <w:t>s</w:t>
            </w:r>
            <w:r w:rsidRPr="00CA603C">
              <w:rPr>
                <w:sz w:val="18"/>
                <w:szCs w:val="18"/>
                <w:lang w:val="en-US"/>
              </w:rPr>
              <w:t xml:space="preserve"> tIgE and sIgE levels</w:t>
            </w:r>
            <w:r>
              <w:rPr>
                <w:sz w:val="18"/>
                <w:szCs w:val="18"/>
                <w:lang w:val="en-US"/>
              </w:rPr>
              <w:t xml:space="preserve"> dependant on the baseline </w:t>
            </w:r>
            <w:r>
              <w:rPr>
                <w:sz w:val="18"/>
                <w:szCs w:val="18"/>
                <w:lang w:val="en-US"/>
              </w:rPr>
              <w:lastRenderedPageBreak/>
              <w:t>level; sIgE may be functional</w:t>
            </w:r>
          </w:p>
        </w:tc>
        <w:tc>
          <w:tcPr>
            <w:tcW w:w="2552" w:type="dxa"/>
          </w:tcPr>
          <w:p w14:paraId="1C4315F5" w14:textId="77777777" w:rsidR="00827A2F" w:rsidRDefault="00827A2F" w:rsidP="00827A2F">
            <w:pPr>
              <w:rPr>
                <w:sz w:val="18"/>
                <w:szCs w:val="18"/>
                <w:lang w:val="en-US"/>
              </w:rPr>
            </w:pPr>
            <w:r>
              <w:rPr>
                <w:sz w:val="18"/>
                <w:szCs w:val="18"/>
                <w:lang w:val="en-US"/>
              </w:rPr>
              <w:lastRenderedPageBreak/>
              <w:t>Ortega 2019</w:t>
            </w:r>
          </w:p>
          <w:p w14:paraId="54AE20FC" w14:textId="77777777" w:rsidR="00827A2F" w:rsidRPr="00D2115C" w:rsidRDefault="00827A2F" w:rsidP="00827A2F">
            <w:pPr>
              <w:rPr>
                <w:sz w:val="18"/>
                <w:szCs w:val="18"/>
                <w:lang w:val="en-US"/>
              </w:rPr>
            </w:pPr>
            <w:r w:rsidRPr="00D2115C">
              <w:rPr>
                <w:sz w:val="18"/>
                <w:szCs w:val="18"/>
                <w:lang w:val="en-US"/>
              </w:rPr>
              <w:t xml:space="preserve">data 3 </w:t>
            </w:r>
            <w:r>
              <w:rPr>
                <w:sz w:val="18"/>
                <w:szCs w:val="18"/>
                <w:lang w:val="en-US"/>
              </w:rPr>
              <w:t>RCTs</w:t>
            </w:r>
            <w:r w:rsidRPr="00D2115C">
              <w:rPr>
                <w:sz w:val="18"/>
                <w:szCs w:val="18"/>
                <w:lang w:val="en-US"/>
              </w:rPr>
              <w:t xml:space="preserve"> (DREAM</w:t>
            </w:r>
          </w:p>
          <w:p w14:paraId="37343A3D" w14:textId="77777777" w:rsidR="00827A2F" w:rsidRPr="00D2115C" w:rsidRDefault="00827A2F" w:rsidP="00827A2F">
            <w:pPr>
              <w:rPr>
                <w:sz w:val="18"/>
                <w:szCs w:val="18"/>
                <w:lang w:val="en-US"/>
              </w:rPr>
            </w:pPr>
            <w:r w:rsidRPr="00D2115C">
              <w:rPr>
                <w:sz w:val="18"/>
                <w:szCs w:val="18"/>
                <w:lang w:val="en-US"/>
              </w:rPr>
              <w:t xml:space="preserve">MENSA and SIRIUS </w:t>
            </w:r>
          </w:p>
          <w:p w14:paraId="69AB1611" w14:textId="77777777" w:rsidR="00827A2F" w:rsidRPr="00D2115C" w:rsidRDefault="00827A2F" w:rsidP="00827A2F">
            <w:pPr>
              <w:rPr>
                <w:sz w:val="18"/>
                <w:szCs w:val="18"/>
                <w:lang w:val="en-US"/>
              </w:rPr>
            </w:pPr>
            <w:r w:rsidRPr="00D2115C">
              <w:rPr>
                <w:sz w:val="18"/>
                <w:szCs w:val="18"/>
                <w:lang w:val="en-US"/>
              </w:rPr>
              <w:t xml:space="preserve">and 2 open-label extension studies </w:t>
            </w:r>
            <w:proofErr w:type="gramStart"/>
            <w:r>
              <w:rPr>
                <w:sz w:val="18"/>
                <w:szCs w:val="18"/>
                <w:lang w:val="en-US"/>
              </w:rPr>
              <w:t>COSMOS</w:t>
            </w:r>
            <w:proofErr w:type="gramEnd"/>
            <w:r>
              <w:rPr>
                <w:sz w:val="18"/>
                <w:szCs w:val="18"/>
                <w:lang w:val="en-US"/>
              </w:rPr>
              <w:t xml:space="preserve"> </w:t>
            </w:r>
          </w:p>
          <w:p w14:paraId="637A7732" w14:textId="77777777" w:rsidR="00827A2F" w:rsidRPr="009B273A" w:rsidRDefault="00827A2F" w:rsidP="00827A2F">
            <w:pPr>
              <w:rPr>
                <w:sz w:val="18"/>
                <w:szCs w:val="18"/>
                <w:lang w:val="en-US"/>
              </w:rPr>
            </w:pPr>
            <w:r w:rsidRPr="00D2115C">
              <w:rPr>
                <w:sz w:val="18"/>
                <w:szCs w:val="18"/>
                <w:lang w:val="en-US"/>
              </w:rPr>
              <w:t>and COLUMBA</w:t>
            </w:r>
            <w:r>
              <w:rPr>
                <w:sz w:val="18"/>
                <w:szCs w:val="18"/>
                <w:lang w:val="en-US"/>
              </w:rPr>
              <w:t>)</w:t>
            </w:r>
          </w:p>
          <w:p w14:paraId="08A24D59" w14:textId="6C3B9E04" w:rsidR="00827A2F" w:rsidRDefault="00827A2F" w:rsidP="00827A2F">
            <w:pPr>
              <w:rPr>
                <w:sz w:val="18"/>
                <w:szCs w:val="18"/>
                <w:lang w:val="en-US"/>
              </w:rPr>
            </w:pPr>
            <w:r w:rsidRPr="009B273A">
              <w:rPr>
                <w:sz w:val="18"/>
                <w:szCs w:val="18"/>
                <w:lang w:val="en-US"/>
              </w:rPr>
              <w:t xml:space="preserve"> </w:t>
            </w:r>
          </w:p>
        </w:tc>
        <w:tc>
          <w:tcPr>
            <w:tcW w:w="3118" w:type="dxa"/>
          </w:tcPr>
          <w:p w14:paraId="776CC510" w14:textId="77777777" w:rsidR="00827A2F" w:rsidRDefault="00827A2F" w:rsidP="00827A2F">
            <w:pPr>
              <w:rPr>
                <w:sz w:val="18"/>
                <w:szCs w:val="18"/>
                <w:lang w:val="en-US"/>
              </w:rPr>
            </w:pPr>
            <w:r w:rsidRPr="00296F9D">
              <w:rPr>
                <w:sz w:val="18"/>
                <w:szCs w:val="18"/>
                <w:lang w:val="en-US"/>
              </w:rPr>
              <w:t>Mukherjee</w:t>
            </w:r>
            <w:r>
              <w:rPr>
                <w:sz w:val="18"/>
                <w:szCs w:val="18"/>
                <w:lang w:val="en-US"/>
              </w:rPr>
              <w:t xml:space="preserve">, </w:t>
            </w:r>
            <w:r w:rsidRPr="00EC59BB">
              <w:rPr>
                <w:sz w:val="18"/>
                <w:szCs w:val="18"/>
                <w:lang w:val="en-US"/>
              </w:rPr>
              <w:t>Am J Respir Crit Care Med. 2018;197(1):38-46</w:t>
            </w:r>
          </w:p>
          <w:p w14:paraId="04A36A16" w14:textId="22D0E99B" w:rsidR="00827A2F" w:rsidRDefault="00827A2F" w:rsidP="00827A2F">
            <w:pPr>
              <w:rPr>
                <w:sz w:val="18"/>
                <w:szCs w:val="18"/>
                <w:lang w:val="en-US"/>
              </w:rPr>
            </w:pPr>
            <w:r>
              <w:rPr>
                <w:sz w:val="18"/>
                <w:szCs w:val="18"/>
                <w:lang w:val="en-US"/>
              </w:rPr>
              <w:t>Reduces</w:t>
            </w:r>
            <w:r w:rsidRPr="00EC59BB">
              <w:rPr>
                <w:sz w:val="18"/>
                <w:szCs w:val="18"/>
                <w:lang w:val="en-US"/>
              </w:rPr>
              <w:t xml:space="preserve"> anti-eosinophil peroxidase IgG</w:t>
            </w:r>
            <w:r>
              <w:rPr>
                <w:sz w:val="18"/>
                <w:szCs w:val="18"/>
                <w:lang w:val="en-US"/>
              </w:rPr>
              <w:t xml:space="preserve"> </w:t>
            </w:r>
          </w:p>
        </w:tc>
      </w:tr>
      <w:tr w:rsidR="00827A2F" w:rsidRPr="00F22C2E" w14:paraId="1FFD2C89" w14:textId="77777777" w:rsidTr="00827A2F">
        <w:tc>
          <w:tcPr>
            <w:tcW w:w="1296" w:type="dxa"/>
            <w:shd w:val="clear" w:color="auto" w:fill="FFC000"/>
          </w:tcPr>
          <w:p w14:paraId="76077005" w14:textId="77777777" w:rsidR="00827A2F" w:rsidRPr="00F22C2E" w:rsidRDefault="00827A2F" w:rsidP="00827A2F">
            <w:pPr>
              <w:rPr>
                <w:sz w:val="18"/>
                <w:szCs w:val="18"/>
                <w:lang w:val="en-US"/>
              </w:rPr>
            </w:pPr>
          </w:p>
        </w:tc>
        <w:tc>
          <w:tcPr>
            <w:tcW w:w="1818" w:type="dxa"/>
            <w:shd w:val="clear" w:color="auto" w:fill="FFC000"/>
          </w:tcPr>
          <w:p w14:paraId="0D01BE04" w14:textId="3A327BD1" w:rsidR="00827A2F" w:rsidRPr="00F22C2E" w:rsidRDefault="00827A2F" w:rsidP="00827A2F">
            <w:pPr>
              <w:rPr>
                <w:sz w:val="18"/>
                <w:szCs w:val="18"/>
                <w:lang w:val="en-US"/>
              </w:rPr>
            </w:pPr>
            <w:r w:rsidRPr="00F22C2E">
              <w:rPr>
                <w:sz w:val="18"/>
                <w:szCs w:val="18"/>
                <w:lang w:val="en-US"/>
              </w:rPr>
              <w:t>Benralizumab</w:t>
            </w:r>
          </w:p>
        </w:tc>
        <w:tc>
          <w:tcPr>
            <w:tcW w:w="1701" w:type="dxa"/>
            <w:shd w:val="clear" w:color="auto" w:fill="FFC000"/>
          </w:tcPr>
          <w:p w14:paraId="6AF70B85" w14:textId="3DF19CF8" w:rsidR="00827A2F" w:rsidRPr="00F22C2E" w:rsidRDefault="00827A2F" w:rsidP="00827A2F">
            <w:pPr>
              <w:rPr>
                <w:sz w:val="18"/>
                <w:szCs w:val="18"/>
                <w:lang w:val="en-US"/>
              </w:rPr>
            </w:pPr>
            <w:r w:rsidRPr="00F22C2E">
              <w:rPr>
                <w:sz w:val="18"/>
                <w:szCs w:val="18"/>
                <w:lang w:val="en-US"/>
              </w:rPr>
              <w:t>Dupilumab</w:t>
            </w:r>
          </w:p>
        </w:tc>
        <w:tc>
          <w:tcPr>
            <w:tcW w:w="1417" w:type="dxa"/>
            <w:shd w:val="clear" w:color="auto" w:fill="FFC000"/>
          </w:tcPr>
          <w:p w14:paraId="569E17EA" w14:textId="5A8760A3" w:rsidR="00827A2F" w:rsidRPr="00F22C2E" w:rsidRDefault="00827A2F" w:rsidP="00827A2F">
            <w:pPr>
              <w:rPr>
                <w:sz w:val="18"/>
                <w:szCs w:val="18"/>
                <w:lang w:val="en-US"/>
              </w:rPr>
            </w:pPr>
            <w:r w:rsidRPr="00F22C2E">
              <w:rPr>
                <w:sz w:val="18"/>
                <w:szCs w:val="18"/>
                <w:lang w:val="en-US"/>
              </w:rPr>
              <w:t>Omalizumab</w:t>
            </w:r>
          </w:p>
        </w:tc>
        <w:tc>
          <w:tcPr>
            <w:tcW w:w="2552" w:type="dxa"/>
            <w:shd w:val="clear" w:color="auto" w:fill="FFC000"/>
          </w:tcPr>
          <w:p w14:paraId="5D2A9D49" w14:textId="4629EC06" w:rsidR="00827A2F" w:rsidRPr="00F22C2E" w:rsidRDefault="00827A2F" w:rsidP="00827A2F">
            <w:pPr>
              <w:rPr>
                <w:sz w:val="18"/>
                <w:szCs w:val="18"/>
                <w:lang w:val="en-US"/>
              </w:rPr>
            </w:pPr>
            <w:r w:rsidRPr="00F22C2E">
              <w:rPr>
                <w:sz w:val="18"/>
                <w:szCs w:val="18"/>
                <w:lang w:val="en-US"/>
              </w:rPr>
              <w:t>Mepolizumab</w:t>
            </w:r>
          </w:p>
        </w:tc>
        <w:tc>
          <w:tcPr>
            <w:tcW w:w="3118" w:type="dxa"/>
            <w:shd w:val="clear" w:color="auto" w:fill="FFC000"/>
          </w:tcPr>
          <w:p w14:paraId="31557360" w14:textId="439E9D46" w:rsidR="00827A2F" w:rsidRPr="00F22C2E" w:rsidRDefault="00827A2F" w:rsidP="00827A2F">
            <w:pPr>
              <w:rPr>
                <w:sz w:val="18"/>
                <w:szCs w:val="18"/>
                <w:lang w:val="en-US"/>
              </w:rPr>
            </w:pPr>
            <w:r w:rsidRPr="00F22C2E">
              <w:rPr>
                <w:sz w:val="18"/>
                <w:szCs w:val="18"/>
                <w:lang w:val="en-US"/>
              </w:rPr>
              <w:t>Reslizumab</w:t>
            </w:r>
          </w:p>
        </w:tc>
      </w:tr>
      <w:tr w:rsidR="00827A2F" w:rsidRPr="00F22C2E" w14:paraId="34AD4FFE" w14:textId="77777777" w:rsidTr="00827A2F">
        <w:tc>
          <w:tcPr>
            <w:tcW w:w="1296" w:type="dxa"/>
          </w:tcPr>
          <w:p w14:paraId="4EA24388" w14:textId="77777777" w:rsidR="00827A2F" w:rsidRPr="00F22C2E" w:rsidRDefault="00827A2F" w:rsidP="00827A2F">
            <w:pPr>
              <w:rPr>
                <w:sz w:val="18"/>
                <w:szCs w:val="18"/>
                <w:lang w:val="en-US"/>
              </w:rPr>
            </w:pPr>
            <w:r>
              <w:rPr>
                <w:sz w:val="18"/>
                <w:szCs w:val="18"/>
                <w:lang w:val="en-US"/>
              </w:rPr>
              <w:t>Best method to monitor ADA</w:t>
            </w:r>
          </w:p>
        </w:tc>
        <w:tc>
          <w:tcPr>
            <w:tcW w:w="1818" w:type="dxa"/>
          </w:tcPr>
          <w:p w14:paraId="2BDCD005" w14:textId="77777777" w:rsidR="00827A2F" w:rsidRDefault="00827A2F" w:rsidP="00827A2F">
            <w:pPr>
              <w:rPr>
                <w:sz w:val="18"/>
                <w:szCs w:val="18"/>
                <w:lang w:val="en-US"/>
              </w:rPr>
            </w:pPr>
          </w:p>
        </w:tc>
        <w:tc>
          <w:tcPr>
            <w:tcW w:w="1701" w:type="dxa"/>
          </w:tcPr>
          <w:p w14:paraId="6A5CFD46" w14:textId="77777777" w:rsidR="00827A2F" w:rsidRDefault="00827A2F" w:rsidP="00827A2F">
            <w:pPr>
              <w:rPr>
                <w:sz w:val="18"/>
                <w:szCs w:val="18"/>
                <w:lang w:val="en-US"/>
              </w:rPr>
            </w:pPr>
          </w:p>
        </w:tc>
        <w:tc>
          <w:tcPr>
            <w:tcW w:w="1417" w:type="dxa"/>
          </w:tcPr>
          <w:p w14:paraId="7D496686" w14:textId="77777777" w:rsidR="00827A2F" w:rsidRDefault="00827A2F" w:rsidP="00827A2F">
            <w:pPr>
              <w:rPr>
                <w:sz w:val="18"/>
                <w:szCs w:val="18"/>
                <w:lang w:val="en-US"/>
              </w:rPr>
            </w:pPr>
          </w:p>
        </w:tc>
        <w:tc>
          <w:tcPr>
            <w:tcW w:w="2552" w:type="dxa"/>
          </w:tcPr>
          <w:p w14:paraId="515083A9" w14:textId="77777777" w:rsidR="00827A2F" w:rsidRDefault="00827A2F" w:rsidP="00827A2F">
            <w:pPr>
              <w:rPr>
                <w:sz w:val="18"/>
                <w:szCs w:val="18"/>
                <w:lang w:val="en-US"/>
              </w:rPr>
            </w:pPr>
            <w:r>
              <w:rPr>
                <w:sz w:val="18"/>
                <w:szCs w:val="18"/>
                <w:lang w:val="en-US"/>
              </w:rPr>
              <w:t>Ortega 2019</w:t>
            </w:r>
          </w:p>
          <w:p w14:paraId="18D7D04D" w14:textId="77777777" w:rsidR="00827A2F" w:rsidRPr="00383EC0" w:rsidRDefault="00827A2F" w:rsidP="00827A2F">
            <w:pPr>
              <w:rPr>
                <w:sz w:val="18"/>
                <w:szCs w:val="18"/>
                <w:lang w:val="en-US"/>
              </w:rPr>
            </w:pPr>
            <w:r w:rsidRPr="00383EC0">
              <w:rPr>
                <w:sz w:val="18"/>
                <w:szCs w:val="18"/>
                <w:lang w:val="en-US"/>
              </w:rPr>
              <w:t>screening,</w:t>
            </w:r>
          </w:p>
          <w:p w14:paraId="3BD3EE2E" w14:textId="2A5ECEA6" w:rsidR="00827A2F" w:rsidRDefault="00827A2F" w:rsidP="00827A2F">
            <w:pPr>
              <w:rPr>
                <w:sz w:val="18"/>
                <w:szCs w:val="18"/>
                <w:lang w:val="en-US"/>
              </w:rPr>
            </w:pPr>
            <w:r w:rsidRPr="00383EC0">
              <w:rPr>
                <w:sz w:val="18"/>
                <w:szCs w:val="18"/>
                <w:lang w:val="en-US"/>
              </w:rPr>
              <w:t>confirmation, and titration analysis</w:t>
            </w:r>
          </w:p>
        </w:tc>
        <w:tc>
          <w:tcPr>
            <w:tcW w:w="3118" w:type="dxa"/>
          </w:tcPr>
          <w:p w14:paraId="1DCDF6D6" w14:textId="77777777" w:rsidR="00827A2F" w:rsidRDefault="00827A2F" w:rsidP="00827A2F">
            <w:pPr>
              <w:rPr>
                <w:sz w:val="18"/>
                <w:szCs w:val="18"/>
                <w:lang w:val="en-US"/>
              </w:rPr>
            </w:pPr>
          </w:p>
        </w:tc>
      </w:tr>
      <w:tr w:rsidR="00827A2F" w:rsidRPr="00F22C2E" w14:paraId="1E2480A5" w14:textId="77777777" w:rsidTr="00827A2F">
        <w:tc>
          <w:tcPr>
            <w:tcW w:w="1296" w:type="dxa"/>
          </w:tcPr>
          <w:p w14:paraId="77E291DF" w14:textId="77777777" w:rsidR="00827A2F" w:rsidRPr="00F22C2E" w:rsidRDefault="00827A2F" w:rsidP="00827A2F">
            <w:pPr>
              <w:rPr>
                <w:sz w:val="18"/>
                <w:szCs w:val="18"/>
                <w:lang w:val="en-US"/>
              </w:rPr>
            </w:pPr>
            <w:r w:rsidRPr="00F22C2E">
              <w:rPr>
                <w:sz w:val="18"/>
                <w:szCs w:val="18"/>
                <w:lang w:val="en-US"/>
              </w:rPr>
              <w:t>Co-morbidities</w:t>
            </w:r>
          </w:p>
        </w:tc>
        <w:tc>
          <w:tcPr>
            <w:tcW w:w="1818" w:type="dxa"/>
          </w:tcPr>
          <w:p w14:paraId="178B5CED" w14:textId="3DC4DC7D" w:rsidR="00827A2F" w:rsidRDefault="00827A2F" w:rsidP="00827A2F">
            <w:pPr>
              <w:rPr>
                <w:sz w:val="18"/>
                <w:szCs w:val="18"/>
                <w:lang w:val="en-US"/>
              </w:rPr>
            </w:pPr>
            <w:r>
              <w:rPr>
                <w:sz w:val="18"/>
                <w:szCs w:val="18"/>
                <w:lang w:val="en-US"/>
              </w:rPr>
              <w:t>No data</w:t>
            </w:r>
          </w:p>
        </w:tc>
        <w:tc>
          <w:tcPr>
            <w:tcW w:w="1701" w:type="dxa"/>
          </w:tcPr>
          <w:p w14:paraId="791FBA92" w14:textId="77777777" w:rsidR="00827A2F" w:rsidRDefault="00827A2F" w:rsidP="00827A2F">
            <w:pPr>
              <w:rPr>
                <w:sz w:val="18"/>
                <w:szCs w:val="18"/>
                <w:lang w:val="en-US"/>
              </w:rPr>
            </w:pPr>
            <w:r>
              <w:rPr>
                <w:sz w:val="18"/>
                <w:szCs w:val="18"/>
                <w:lang w:val="en-US"/>
              </w:rPr>
              <w:t xml:space="preserve">Bachert, </w:t>
            </w:r>
            <w:r w:rsidRPr="00E21E96">
              <w:rPr>
                <w:sz w:val="18"/>
                <w:szCs w:val="18"/>
                <w:lang w:val="en-US"/>
              </w:rPr>
              <w:t>J Allergy Clin Immunol Pract. 2019;</w:t>
            </w:r>
            <w:r>
              <w:rPr>
                <w:sz w:val="18"/>
                <w:szCs w:val="18"/>
                <w:lang w:val="en-US"/>
              </w:rPr>
              <w:t xml:space="preserve"> </w:t>
            </w:r>
            <w:r w:rsidRPr="00E21E96">
              <w:rPr>
                <w:sz w:val="18"/>
                <w:szCs w:val="18"/>
                <w:lang w:val="en-US"/>
              </w:rPr>
              <w:t xml:space="preserve">7(7):2447-2449. </w:t>
            </w:r>
            <w:r>
              <w:rPr>
                <w:sz w:val="18"/>
                <w:szCs w:val="18"/>
                <w:lang w:val="en-US"/>
              </w:rPr>
              <w:t>S</w:t>
            </w:r>
            <w:r w:rsidRPr="00E21E96">
              <w:rPr>
                <w:sz w:val="18"/>
                <w:szCs w:val="18"/>
                <w:lang w:val="en-US"/>
              </w:rPr>
              <w:t>ubgroup analysis of patients with CRSwNP and comorbid asthma</w:t>
            </w:r>
          </w:p>
          <w:p w14:paraId="57B47850" w14:textId="51456322" w:rsidR="00827A2F" w:rsidRDefault="00827A2F" w:rsidP="00827A2F">
            <w:pPr>
              <w:rPr>
                <w:sz w:val="18"/>
                <w:szCs w:val="18"/>
                <w:lang w:val="en-US"/>
              </w:rPr>
            </w:pPr>
            <w:r>
              <w:rPr>
                <w:sz w:val="18"/>
                <w:szCs w:val="18"/>
                <w:lang w:val="en-US"/>
              </w:rPr>
              <w:t>D</w:t>
            </w:r>
            <w:r w:rsidRPr="00E21E96">
              <w:rPr>
                <w:sz w:val="18"/>
                <w:szCs w:val="18"/>
                <w:lang w:val="en-US"/>
              </w:rPr>
              <w:t>upilumab was associated with an improvement of both clinical and patient-reported NP-specific outcomes, and asthma-specific outcomes in patients with CRSwNP and comorbid asthma.</w:t>
            </w:r>
          </w:p>
        </w:tc>
        <w:tc>
          <w:tcPr>
            <w:tcW w:w="1417" w:type="dxa"/>
          </w:tcPr>
          <w:p w14:paraId="16932123" w14:textId="77777777" w:rsidR="00827A2F" w:rsidRDefault="00827A2F" w:rsidP="00827A2F">
            <w:pPr>
              <w:rPr>
                <w:sz w:val="18"/>
                <w:szCs w:val="18"/>
                <w:lang w:val="en-US"/>
              </w:rPr>
            </w:pPr>
            <w:r>
              <w:rPr>
                <w:sz w:val="18"/>
                <w:szCs w:val="18"/>
                <w:lang w:val="en-US"/>
              </w:rPr>
              <w:t xml:space="preserve">Bidder, </w:t>
            </w:r>
            <w:r w:rsidRPr="00AF424B">
              <w:rPr>
                <w:sz w:val="18"/>
                <w:szCs w:val="18"/>
                <w:lang w:val="en-US"/>
              </w:rPr>
              <w:t>Rhinology. 2018;56(1):42-45.</w:t>
            </w:r>
          </w:p>
          <w:p w14:paraId="256AFFFA" w14:textId="77777777" w:rsidR="00827A2F" w:rsidRDefault="00827A2F" w:rsidP="00827A2F">
            <w:pPr>
              <w:rPr>
                <w:sz w:val="18"/>
                <w:szCs w:val="18"/>
                <w:lang w:val="en-US"/>
              </w:rPr>
            </w:pPr>
            <w:r w:rsidRPr="00AF424B">
              <w:rPr>
                <w:sz w:val="18"/>
                <w:szCs w:val="18"/>
                <w:lang w:val="en-US"/>
              </w:rPr>
              <w:t xml:space="preserve">Rapid improvement </w:t>
            </w:r>
            <w:r>
              <w:rPr>
                <w:sz w:val="18"/>
                <w:szCs w:val="18"/>
                <w:lang w:val="en-US"/>
              </w:rPr>
              <w:t xml:space="preserve">at </w:t>
            </w:r>
            <w:r w:rsidRPr="00AF424B">
              <w:rPr>
                <w:sz w:val="18"/>
                <w:szCs w:val="18"/>
                <w:lang w:val="en-US"/>
              </w:rPr>
              <w:t xml:space="preserve">4 weeks and 16 weeks of treatment in both CRSwNP and asthma control. </w:t>
            </w:r>
          </w:p>
          <w:p w14:paraId="14EADF82" w14:textId="77777777" w:rsidR="00827A2F" w:rsidRDefault="00827A2F" w:rsidP="00827A2F">
            <w:pPr>
              <w:rPr>
                <w:sz w:val="18"/>
                <w:szCs w:val="18"/>
                <w:lang w:val="en-US"/>
              </w:rPr>
            </w:pPr>
            <w:r w:rsidRPr="00AF424B">
              <w:rPr>
                <w:sz w:val="18"/>
                <w:szCs w:val="18"/>
                <w:lang w:val="en-US"/>
              </w:rPr>
              <w:t>The improvement in CRSwNP similar to upper airway surgery.</w:t>
            </w:r>
          </w:p>
          <w:p w14:paraId="118D2EDC" w14:textId="77777777" w:rsidR="00827A2F" w:rsidRDefault="00827A2F" w:rsidP="00827A2F">
            <w:pPr>
              <w:rPr>
                <w:sz w:val="18"/>
                <w:szCs w:val="18"/>
                <w:lang w:val="en-US"/>
              </w:rPr>
            </w:pPr>
          </w:p>
          <w:p w14:paraId="704B5CF9" w14:textId="77777777" w:rsidR="00827A2F" w:rsidRDefault="00827A2F" w:rsidP="00827A2F">
            <w:pPr>
              <w:rPr>
                <w:sz w:val="18"/>
                <w:szCs w:val="18"/>
                <w:lang w:val="en-US"/>
              </w:rPr>
            </w:pPr>
            <w:r>
              <w:rPr>
                <w:sz w:val="18"/>
                <w:szCs w:val="18"/>
                <w:lang w:val="en-US"/>
              </w:rPr>
              <w:t>Gevaert 2013</w:t>
            </w:r>
          </w:p>
          <w:p w14:paraId="163ABF5C" w14:textId="77777777" w:rsidR="00827A2F" w:rsidRDefault="00827A2F" w:rsidP="00827A2F">
            <w:pPr>
              <w:rPr>
                <w:sz w:val="18"/>
                <w:szCs w:val="18"/>
                <w:lang w:val="en-US"/>
              </w:rPr>
            </w:pPr>
            <w:r>
              <w:rPr>
                <w:sz w:val="18"/>
                <w:szCs w:val="18"/>
                <w:lang w:val="en-US"/>
              </w:rPr>
              <w:t>Oma is effective in patient with asthma and NP, both allergic and non-allergic</w:t>
            </w:r>
          </w:p>
          <w:p w14:paraId="66CBEC7C" w14:textId="77777777" w:rsidR="00827A2F" w:rsidRDefault="00827A2F" w:rsidP="00827A2F">
            <w:pPr>
              <w:rPr>
                <w:sz w:val="18"/>
                <w:szCs w:val="18"/>
                <w:lang w:val="en-US"/>
              </w:rPr>
            </w:pPr>
          </w:p>
          <w:p w14:paraId="383C3680" w14:textId="77777777" w:rsidR="00827A2F" w:rsidRDefault="00827A2F" w:rsidP="00827A2F">
            <w:pPr>
              <w:rPr>
                <w:sz w:val="18"/>
                <w:szCs w:val="18"/>
                <w:lang w:val="en-US"/>
              </w:rPr>
            </w:pPr>
            <w:r>
              <w:rPr>
                <w:sz w:val="18"/>
                <w:szCs w:val="18"/>
                <w:lang w:val="en-US"/>
              </w:rPr>
              <w:t xml:space="preserve">Gibson, </w:t>
            </w:r>
            <w:r w:rsidRPr="00BF7947">
              <w:rPr>
                <w:sz w:val="18"/>
                <w:szCs w:val="18"/>
                <w:lang w:val="en-US"/>
              </w:rPr>
              <w:t>Intern Med J. 2016;46(9):1054-62</w:t>
            </w:r>
          </w:p>
          <w:p w14:paraId="4614C054" w14:textId="77777777" w:rsidR="00827A2F" w:rsidRDefault="00827A2F" w:rsidP="00827A2F">
            <w:pPr>
              <w:rPr>
                <w:sz w:val="18"/>
                <w:szCs w:val="18"/>
                <w:lang w:val="en-US"/>
              </w:rPr>
            </w:pPr>
            <w:r>
              <w:rPr>
                <w:sz w:val="18"/>
                <w:szCs w:val="18"/>
                <w:lang w:val="en-US"/>
              </w:rPr>
              <w:t>Australian XOLAIR registry: R</w:t>
            </w:r>
            <w:r w:rsidRPr="00BF7947">
              <w:rPr>
                <w:sz w:val="18"/>
                <w:szCs w:val="18"/>
                <w:lang w:val="en-US"/>
              </w:rPr>
              <w:t xml:space="preserve">esponse in participants with comorbid obesity and </w:t>
            </w:r>
            <w:r>
              <w:rPr>
                <w:sz w:val="18"/>
                <w:szCs w:val="18"/>
                <w:lang w:val="en-US"/>
              </w:rPr>
              <w:t>CV</w:t>
            </w:r>
            <w:r w:rsidRPr="00BF7947">
              <w:rPr>
                <w:sz w:val="18"/>
                <w:szCs w:val="18"/>
                <w:lang w:val="en-US"/>
              </w:rPr>
              <w:t xml:space="preserve"> disease was similar to those without these conditions.</w:t>
            </w:r>
          </w:p>
          <w:p w14:paraId="3E834661" w14:textId="77777777" w:rsidR="00700318" w:rsidRPr="00700318" w:rsidRDefault="00700318" w:rsidP="00700318">
            <w:pPr>
              <w:rPr>
                <w:sz w:val="18"/>
                <w:szCs w:val="18"/>
                <w:lang w:val="en-US"/>
              </w:rPr>
            </w:pPr>
            <w:r w:rsidRPr="00700318">
              <w:rPr>
                <w:sz w:val="18"/>
                <w:szCs w:val="18"/>
                <w:lang w:val="en-US"/>
              </w:rPr>
              <w:lastRenderedPageBreak/>
              <w:t>Hanania NA, Chipps BE, Griffin NM, Yoo B, Iqbal A, Casale TB. Omalizumab</w:t>
            </w:r>
          </w:p>
          <w:p w14:paraId="4D2FDBDE" w14:textId="77777777" w:rsidR="00700318" w:rsidRPr="00700318" w:rsidRDefault="00700318" w:rsidP="00700318">
            <w:pPr>
              <w:rPr>
                <w:sz w:val="18"/>
                <w:szCs w:val="18"/>
                <w:lang w:val="en-US"/>
              </w:rPr>
            </w:pPr>
            <w:r w:rsidRPr="00700318">
              <w:rPr>
                <w:sz w:val="18"/>
                <w:szCs w:val="18"/>
                <w:lang w:val="en-US"/>
              </w:rPr>
              <w:t>effectiveness in asthma-COPD overlap: Post hoc analysis of PROSPERO. J Allergy</w:t>
            </w:r>
          </w:p>
          <w:p w14:paraId="05C7048C" w14:textId="4B6104ED" w:rsidR="00700318" w:rsidRDefault="00700318" w:rsidP="00700318">
            <w:pPr>
              <w:rPr>
                <w:sz w:val="18"/>
                <w:szCs w:val="18"/>
                <w:lang w:val="en-US"/>
              </w:rPr>
            </w:pPr>
            <w:r w:rsidRPr="00700318">
              <w:rPr>
                <w:sz w:val="18"/>
                <w:szCs w:val="18"/>
                <w:lang w:val="en-US"/>
              </w:rPr>
              <w:t>Clin Immunol. 2019;143(4):1629-1633</w:t>
            </w:r>
          </w:p>
        </w:tc>
        <w:tc>
          <w:tcPr>
            <w:tcW w:w="2552" w:type="dxa"/>
          </w:tcPr>
          <w:p w14:paraId="122A8462" w14:textId="77777777" w:rsidR="00827A2F" w:rsidRDefault="00827A2F" w:rsidP="00827A2F">
            <w:pPr>
              <w:rPr>
                <w:sz w:val="18"/>
                <w:szCs w:val="18"/>
                <w:lang w:val="en-US"/>
              </w:rPr>
            </w:pPr>
            <w:r>
              <w:rPr>
                <w:sz w:val="18"/>
                <w:szCs w:val="18"/>
                <w:lang w:val="en-US"/>
              </w:rPr>
              <w:lastRenderedPageBreak/>
              <w:t>Albers 2019</w:t>
            </w:r>
          </w:p>
          <w:p w14:paraId="5E6D7B9F" w14:textId="0425616C" w:rsidR="00827A2F" w:rsidRDefault="00827A2F" w:rsidP="00827A2F">
            <w:pPr>
              <w:rPr>
                <w:sz w:val="18"/>
                <w:szCs w:val="18"/>
                <w:lang w:val="en-US"/>
              </w:rPr>
            </w:pPr>
            <w:r>
              <w:rPr>
                <w:sz w:val="18"/>
                <w:szCs w:val="18"/>
                <w:lang w:val="en-US"/>
              </w:rPr>
              <w:t xml:space="preserve">Post hoc analysis of MENSA and MUSCA: </w:t>
            </w:r>
            <w:r w:rsidRPr="00260987">
              <w:rPr>
                <w:sz w:val="18"/>
                <w:szCs w:val="18"/>
                <w:lang w:val="en-US"/>
              </w:rPr>
              <w:t>Mepolizumab 100 mg SC has consistent clinical benefits across a range of BMIs</w:t>
            </w:r>
            <w:r>
              <w:rPr>
                <w:sz w:val="18"/>
                <w:szCs w:val="18"/>
                <w:lang w:val="en-US"/>
              </w:rPr>
              <w:t>: t</w:t>
            </w:r>
            <w:r w:rsidRPr="00260987">
              <w:rPr>
                <w:sz w:val="18"/>
                <w:szCs w:val="18"/>
                <w:lang w:val="en-US"/>
              </w:rPr>
              <w:t xml:space="preserve">he fixed-dose regimen </w:t>
            </w:r>
            <w:r>
              <w:rPr>
                <w:sz w:val="18"/>
                <w:szCs w:val="18"/>
                <w:lang w:val="en-US"/>
              </w:rPr>
              <w:t>does not</w:t>
            </w:r>
            <w:r w:rsidRPr="00260987">
              <w:rPr>
                <w:sz w:val="18"/>
                <w:szCs w:val="18"/>
                <w:lang w:val="en-US"/>
              </w:rPr>
              <w:t xml:space="preserve"> need weight-based dosing.</w:t>
            </w:r>
          </w:p>
        </w:tc>
        <w:tc>
          <w:tcPr>
            <w:tcW w:w="3118" w:type="dxa"/>
          </w:tcPr>
          <w:p w14:paraId="37046896" w14:textId="77777777" w:rsidR="00827A2F" w:rsidRDefault="00827A2F" w:rsidP="00827A2F">
            <w:pPr>
              <w:rPr>
                <w:sz w:val="18"/>
                <w:szCs w:val="18"/>
                <w:lang w:val="en-US"/>
              </w:rPr>
            </w:pPr>
            <w:r>
              <w:rPr>
                <w:sz w:val="18"/>
                <w:szCs w:val="18"/>
                <w:lang w:val="en-US"/>
              </w:rPr>
              <w:t xml:space="preserve">Weinstein </w:t>
            </w:r>
            <w:r w:rsidRPr="00907C31">
              <w:rPr>
                <w:sz w:val="18"/>
                <w:szCs w:val="18"/>
                <w:lang w:val="en-US"/>
              </w:rPr>
              <w:t>J Allergy Clin Immunol Pract. 2019;</w:t>
            </w:r>
            <w:r>
              <w:rPr>
                <w:sz w:val="18"/>
                <w:szCs w:val="18"/>
                <w:lang w:val="en-US"/>
              </w:rPr>
              <w:t xml:space="preserve"> </w:t>
            </w:r>
            <w:r w:rsidRPr="00907C31">
              <w:rPr>
                <w:sz w:val="18"/>
                <w:szCs w:val="18"/>
                <w:lang w:val="en-US"/>
              </w:rPr>
              <w:t>7(2):589-596</w:t>
            </w:r>
          </w:p>
          <w:p w14:paraId="3F2D1A62" w14:textId="77777777" w:rsidR="00827A2F" w:rsidRDefault="00827A2F" w:rsidP="00827A2F">
            <w:pPr>
              <w:rPr>
                <w:sz w:val="18"/>
                <w:szCs w:val="18"/>
                <w:lang w:val="en-US"/>
              </w:rPr>
            </w:pPr>
            <w:r>
              <w:rPr>
                <w:sz w:val="18"/>
                <w:szCs w:val="18"/>
                <w:lang w:val="en-US"/>
              </w:rPr>
              <w:t>P</w:t>
            </w:r>
            <w:r w:rsidRPr="00907C31">
              <w:rPr>
                <w:sz w:val="18"/>
                <w:szCs w:val="18"/>
                <w:lang w:val="en-US"/>
              </w:rPr>
              <w:t>ost hoc analyses of pooled data from 2 BREATH phase 3 clinical trials</w:t>
            </w:r>
          </w:p>
          <w:p w14:paraId="2121338A" w14:textId="4059FDEA" w:rsidR="00827A2F" w:rsidRDefault="00827A2F" w:rsidP="00827A2F">
            <w:pPr>
              <w:rPr>
                <w:sz w:val="18"/>
                <w:szCs w:val="18"/>
                <w:lang w:val="en-US"/>
              </w:rPr>
            </w:pPr>
            <w:r w:rsidRPr="00907C31">
              <w:rPr>
                <w:sz w:val="18"/>
                <w:szCs w:val="18"/>
                <w:lang w:val="en-US"/>
              </w:rPr>
              <w:t>Patients with self-reported CRSwNP, with and without aspirin sensitivity, are highly responsive to reslizumab for asthma-related outcomes.</w:t>
            </w:r>
          </w:p>
        </w:tc>
      </w:tr>
      <w:tr w:rsidR="00827A2F" w:rsidRPr="00F22C2E" w14:paraId="4D3C1A72" w14:textId="77777777" w:rsidTr="00827A2F">
        <w:tc>
          <w:tcPr>
            <w:tcW w:w="1296" w:type="dxa"/>
            <w:shd w:val="clear" w:color="auto" w:fill="FFC000"/>
          </w:tcPr>
          <w:p w14:paraId="7967ED0A" w14:textId="77777777" w:rsidR="00827A2F" w:rsidRPr="00F22C2E" w:rsidRDefault="00827A2F" w:rsidP="00827A2F">
            <w:pPr>
              <w:rPr>
                <w:sz w:val="18"/>
                <w:szCs w:val="18"/>
                <w:lang w:val="en-US"/>
              </w:rPr>
            </w:pPr>
          </w:p>
        </w:tc>
        <w:tc>
          <w:tcPr>
            <w:tcW w:w="1818" w:type="dxa"/>
            <w:shd w:val="clear" w:color="auto" w:fill="FFC000"/>
          </w:tcPr>
          <w:p w14:paraId="26C93458" w14:textId="444B7FE7" w:rsidR="00827A2F" w:rsidRPr="00F22C2E" w:rsidRDefault="00827A2F" w:rsidP="00827A2F">
            <w:pPr>
              <w:rPr>
                <w:sz w:val="18"/>
                <w:szCs w:val="18"/>
                <w:lang w:val="en-US"/>
              </w:rPr>
            </w:pPr>
            <w:r w:rsidRPr="00F22C2E">
              <w:rPr>
                <w:sz w:val="18"/>
                <w:szCs w:val="18"/>
                <w:lang w:val="en-US"/>
              </w:rPr>
              <w:t>Benralizumab</w:t>
            </w:r>
          </w:p>
        </w:tc>
        <w:tc>
          <w:tcPr>
            <w:tcW w:w="1701" w:type="dxa"/>
            <w:shd w:val="clear" w:color="auto" w:fill="FFC000"/>
          </w:tcPr>
          <w:p w14:paraId="46402EB3" w14:textId="6DF8DEFF" w:rsidR="00827A2F" w:rsidRPr="00F22C2E" w:rsidRDefault="00827A2F" w:rsidP="00827A2F">
            <w:pPr>
              <w:rPr>
                <w:sz w:val="18"/>
                <w:szCs w:val="18"/>
                <w:lang w:val="en-US"/>
              </w:rPr>
            </w:pPr>
            <w:r w:rsidRPr="00F22C2E">
              <w:rPr>
                <w:sz w:val="18"/>
                <w:szCs w:val="18"/>
                <w:lang w:val="en-US"/>
              </w:rPr>
              <w:t>Dupilumab</w:t>
            </w:r>
          </w:p>
        </w:tc>
        <w:tc>
          <w:tcPr>
            <w:tcW w:w="1417" w:type="dxa"/>
            <w:shd w:val="clear" w:color="auto" w:fill="FFC000"/>
          </w:tcPr>
          <w:p w14:paraId="6AAAA00A" w14:textId="1BBAED29" w:rsidR="00827A2F" w:rsidRPr="00F22C2E" w:rsidRDefault="00827A2F" w:rsidP="00827A2F">
            <w:pPr>
              <w:rPr>
                <w:sz w:val="18"/>
                <w:szCs w:val="18"/>
                <w:lang w:val="en-US"/>
              </w:rPr>
            </w:pPr>
            <w:r w:rsidRPr="00F22C2E">
              <w:rPr>
                <w:sz w:val="18"/>
                <w:szCs w:val="18"/>
                <w:lang w:val="en-US"/>
              </w:rPr>
              <w:t>Omalizumab</w:t>
            </w:r>
          </w:p>
        </w:tc>
        <w:tc>
          <w:tcPr>
            <w:tcW w:w="2552" w:type="dxa"/>
            <w:shd w:val="clear" w:color="auto" w:fill="FFC000"/>
          </w:tcPr>
          <w:p w14:paraId="28C370C5" w14:textId="29171A18" w:rsidR="00827A2F" w:rsidRPr="00F22C2E" w:rsidRDefault="00827A2F" w:rsidP="00827A2F">
            <w:pPr>
              <w:rPr>
                <w:sz w:val="18"/>
                <w:szCs w:val="18"/>
                <w:lang w:val="en-US"/>
              </w:rPr>
            </w:pPr>
            <w:r w:rsidRPr="00F22C2E">
              <w:rPr>
                <w:sz w:val="18"/>
                <w:szCs w:val="18"/>
                <w:lang w:val="en-US"/>
              </w:rPr>
              <w:t>Mepolizumab</w:t>
            </w:r>
          </w:p>
        </w:tc>
        <w:tc>
          <w:tcPr>
            <w:tcW w:w="3118" w:type="dxa"/>
            <w:shd w:val="clear" w:color="auto" w:fill="FFC000"/>
          </w:tcPr>
          <w:p w14:paraId="02226F25" w14:textId="576ECB74" w:rsidR="00827A2F" w:rsidRPr="00F22C2E" w:rsidRDefault="00827A2F" w:rsidP="00827A2F">
            <w:pPr>
              <w:rPr>
                <w:sz w:val="18"/>
                <w:szCs w:val="18"/>
                <w:lang w:val="en-US"/>
              </w:rPr>
            </w:pPr>
            <w:r w:rsidRPr="00F22C2E">
              <w:rPr>
                <w:sz w:val="18"/>
                <w:szCs w:val="18"/>
                <w:lang w:val="en-US"/>
              </w:rPr>
              <w:t>Reslizumab</w:t>
            </w:r>
          </w:p>
        </w:tc>
      </w:tr>
      <w:tr w:rsidR="00827A2F" w:rsidRPr="00F22C2E" w14:paraId="3040F32D" w14:textId="77777777" w:rsidTr="00827A2F">
        <w:tc>
          <w:tcPr>
            <w:tcW w:w="1296" w:type="dxa"/>
          </w:tcPr>
          <w:p w14:paraId="15CF6766" w14:textId="77777777" w:rsidR="00827A2F" w:rsidRPr="00F22C2E" w:rsidRDefault="00827A2F" w:rsidP="00827A2F">
            <w:pPr>
              <w:rPr>
                <w:sz w:val="18"/>
                <w:szCs w:val="18"/>
                <w:lang w:val="en-US"/>
              </w:rPr>
            </w:pPr>
            <w:r w:rsidRPr="00F22C2E">
              <w:rPr>
                <w:sz w:val="18"/>
                <w:szCs w:val="18"/>
                <w:lang w:val="en-US"/>
              </w:rPr>
              <w:t>Biomarkers</w:t>
            </w:r>
          </w:p>
        </w:tc>
        <w:tc>
          <w:tcPr>
            <w:tcW w:w="1818" w:type="dxa"/>
          </w:tcPr>
          <w:p w14:paraId="19A5EEC8" w14:textId="77777777" w:rsidR="00827A2F" w:rsidRDefault="00827A2F" w:rsidP="00827A2F">
            <w:pPr>
              <w:rPr>
                <w:sz w:val="18"/>
                <w:szCs w:val="18"/>
                <w:lang w:val="en-US"/>
              </w:rPr>
            </w:pPr>
          </w:p>
        </w:tc>
        <w:tc>
          <w:tcPr>
            <w:tcW w:w="1701" w:type="dxa"/>
          </w:tcPr>
          <w:p w14:paraId="7F8FE00F" w14:textId="77777777" w:rsidR="00827A2F" w:rsidRDefault="00827A2F" w:rsidP="00827A2F">
            <w:pPr>
              <w:rPr>
                <w:sz w:val="18"/>
                <w:szCs w:val="18"/>
                <w:lang w:val="en-US"/>
              </w:rPr>
            </w:pPr>
            <w:r>
              <w:rPr>
                <w:sz w:val="18"/>
                <w:szCs w:val="18"/>
                <w:lang w:val="en-US"/>
              </w:rPr>
              <w:t xml:space="preserve">Corren, </w:t>
            </w:r>
            <w:r w:rsidRPr="00D01368">
              <w:rPr>
                <w:sz w:val="18"/>
                <w:szCs w:val="18"/>
                <w:lang w:val="en-US"/>
              </w:rPr>
              <w:t>J Allergy Clin Immunol Pract. 2019</w:t>
            </w:r>
          </w:p>
          <w:p w14:paraId="38545201" w14:textId="4D93905E" w:rsidR="00827A2F" w:rsidRDefault="00827A2F" w:rsidP="00827A2F">
            <w:pPr>
              <w:rPr>
                <w:sz w:val="18"/>
                <w:szCs w:val="18"/>
                <w:lang w:val="en-US"/>
              </w:rPr>
            </w:pPr>
            <w:r>
              <w:rPr>
                <w:sz w:val="18"/>
                <w:szCs w:val="18"/>
                <w:lang w:val="en-US"/>
              </w:rPr>
              <w:t>G</w:t>
            </w:r>
            <w:r w:rsidRPr="00D01368">
              <w:rPr>
                <w:sz w:val="18"/>
                <w:szCs w:val="18"/>
                <w:lang w:val="en-US"/>
              </w:rPr>
              <w:t>reater efficacy observed in patients with elevated type 2 inflammatory biomarkers</w:t>
            </w:r>
            <w:r>
              <w:rPr>
                <w:sz w:val="18"/>
                <w:szCs w:val="18"/>
                <w:lang w:val="en-US"/>
              </w:rPr>
              <w:t xml:space="preserve"> (Eos and </w:t>
            </w:r>
            <w:proofErr w:type="gramStart"/>
            <w:r>
              <w:rPr>
                <w:sz w:val="18"/>
                <w:szCs w:val="18"/>
                <w:lang w:val="en-US"/>
              </w:rPr>
              <w:t xml:space="preserve">FeNO) </w:t>
            </w:r>
            <w:r w:rsidRPr="00D01368">
              <w:rPr>
                <w:sz w:val="18"/>
                <w:szCs w:val="18"/>
                <w:lang w:val="en-US"/>
              </w:rPr>
              <w:t xml:space="preserve"> at</w:t>
            </w:r>
            <w:proofErr w:type="gramEnd"/>
            <w:r w:rsidRPr="00D01368">
              <w:rPr>
                <w:sz w:val="18"/>
                <w:szCs w:val="18"/>
                <w:lang w:val="en-US"/>
              </w:rPr>
              <w:t xml:space="preserve"> baseline</w:t>
            </w:r>
          </w:p>
        </w:tc>
        <w:tc>
          <w:tcPr>
            <w:tcW w:w="1417" w:type="dxa"/>
          </w:tcPr>
          <w:p w14:paraId="6D28F976" w14:textId="77777777" w:rsidR="00827A2F" w:rsidRDefault="00827A2F" w:rsidP="00827A2F">
            <w:pPr>
              <w:rPr>
                <w:sz w:val="18"/>
                <w:szCs w:val="18"/>
                <w:lang w:val="en-US"/>
              </w:rPr>
            </w:pPr>
            <w:r>
              <w:rPr>
                <w:sz w:val="18"/>
                <w:szCs w:val="18"/>
                <w:lang w:val="en-US"/>
              </w:rPr>
              <w:t>Brooks 2019</w:t>
            </w:r>
          </w:p>
          <w:p w14:paraId="57F70D37" w14:textId="77777777" w:rsidR="00827A2F" w:rsidRDefault="00827A2F" w:rsidP="00827A2F">
            <w:pPr>
              <w:rPr>
                <w:sz w:val="18"/>
                <w:szCs w:val="18"/>
                <w:lang w:val="en-US"/>
              </w:rPr>
            </w:pPr>
            <w:r w:rsidRPr="00202057">
              <w:rPr>
                <w:sz w:val="18"/>
                <w:szCs w:val="18"/>
                <w:lang w:val="en-US"/>
              </w:rPr>
              <w:t>Use of FeNO to identify omalizumab responders decrease</w:t>
            </w:r>
            <w:r>
              <w:rPr>
                <w:sz w:val="18"/>
                <w:szCs w:val="18"/>
                <w:lang w:val="en-US"/>
              </w:rPr>
              <w:t>s</w:t>
            </w:r>
            <w:r w:rsidRPr="00202057">
              <w:rPr>
                <w:sz w:val="18"/>
                <w:szCs w:val="18"/>
                <w:lang w:val="en-US"/>
              </w:rPr>
              <w:t xml:space="preserve"> the expected per-patient cost by nearly 50% </w:t>
            </w:r>
          </w:p>
          <w:p w14:paraId="3BC2DFCE" w14:textId="77777777" w:rsidR="00827A2F" w:rsidRDefault="00827A2F" w:rsidP="00827A2F">
            <w:pPr>
              <w:rPr>
                <w:sz w:val="18"/>
                <w:szCs w:val="18"/>
                <w:lang w:val="en-US"/>
              </w:rPr>
            </w:pPr>
          </w:p>
          <w:p w14:paraId="3E10C019" w14:textId="77777777" w:rsidR="00827A2F" w:rsidRDefault="00827A2F" w:rsidP="00827A2F">
            <w:pPr>
              <w:rPr>
                <w:sz w:val="18"/>
                <w:szCs w:val="18"/>
                <w:lang w:val="en-US"/>
              </w:rPr>
            </w:pPr>
            <w:r>
              <w:rPr>
                <w:sz w:val="18"/>
                <w:szCs w:val="18"/>
                <w:lang w:val="en-US"/>
              </w:rPr>
              <w:t>Bhutani 2017 RWE (ASTERIX) FeNO predicts response</w:t>
            </w:r>
          </w:p>
          <w:p w14:paraId="23A645E4" w14:textId="77777777" w:rsidR="00827A2F" w:rsidRDefault="00827A2F" w:rsidP="00827A2F">
            <w:pPr>
              <w:rPr>
                <w:sz w:val="18"/>
                <w:szCs w:val="18"/>
                <w:lang w:val="en-US"/>
              </w:rPr>
            </w:pPr>
          </w:p>
          <w:p w14:paraId="3CD40841" w14:textId="77777777" w:rsidR="00827A2F" w:rsidRDefault="00827A2F" w:rsidP="00827A2F">
            <w:pPr>
              <w:rPr>
                <w:sz w:val="18"/>
                <w:szCs w:val="18"/>
                <w:lang w:val="en-US"/>
              </w:rPr>
            </w:pPr>
            <w:r>
              <w:rPr>
                <w:sz w:val="18"/>
                <w:szCs w:val="18"/>
                <w:lang w:val="en-US"/>
              </w:rPr>
              <w:t xml:space="preserve">Casale 2018 </w:t>
            </w:r>
          </w:p>
          <w:p w14:paraId="2D4D89F2" w14:textId="77777777" w:rsidR="00827A2F" w:rsidRDefault="00827A2F" w:rsidP="00827A2F">
            <w:pPr>
              <w:rPr>
                <w:sz w:val="18"/>
                <w:szCs w:val="18"/>
                <w:lang w:val="en-US"/>
              </w:rPr>
            </w:pPr>
            <w:r>
              <w:rPr>
                <w:sz w:val="18"/>
                <w:szCs w:val="18"/>
                <w:lang w:val="en-US"/>
              </w:rPr>
              <w:t xml:space="preserve">Baseline eos and severity criteria (exac, LF, ICS dose and LABA) predict response </w:t>
            </w:r>
          </w:p>
          <w:p w14:paraId="12B1C4B6" w14:textId="77777777" w:rsidR="00827A2F" w:rsidRDefault="00827A2F" w:rsidP="00827A2F">
            <w:pPr>
              <w:rPr>
                <w:sz w:val="18"/>
                <w:szCs w:val="18"/>
                <w:lang w:val="en-US"/>
              </w:rPr>
            </w:pPr>
          </w:p>
          <w:p w14:paraId="48D42BA5" w14:textId="77777777" w:rsidR="00827A2F" w:rsidRDefault="00827A2F" w:rsidP="00827A2F">
            <w:pPr>
              <w:rPr>
                <w:sz w:val="18"/>
                <w:szCs w:val="18"/>
                <w:lang w:val="en-US"/>
              </w:rPr>
            </w:pPr>
            <w:r>
              <w:rPr>
                <w:sz w:val="18"/>
                <w:szCs w:val="18"/>
                <w:lang w:val="en-US"/>
              </w:rPr>
              <w:t>Casale 2019 RWE Prospero</w:t>
            </w:r>
          </w:p>
          <w:p w14:paraId="0E9B3542" w14:textId="77777777" w:rsidR="00827A2F" w:rsidRDefault="00827A2F" w:rsidP="00827A2F">
            <w:pPr>
              <w:rPr>
                <w:sz w:val="18"/>
                <w:szCs w:val="18"/>
                <w:lang w:val="en-US"/>
              </w:rPr>
            </w:pPr>
            <w:r>
              <w:rPr>
                <w:sz w:val="18"/>
                <w:szCs w:val="18"/>
                <w:lang w:val="en-US"/>
              </w:rPr>
              <w:t>Omalizumab shows efficacy irrespective of the biomarker status</w:t>
            </w:r>
          </w:p>
          <w:p w14:paraId="7356D00F" w14:textId="77777777" w:rsidR="00827A2F" w:rsidRDefault="00827A2F" w:rsidP="00827A2F">
            <w:pPr>
              <w:rPr>
                <w:sz w:val="18"/>
                <w:szCs w:val="18"/>
                <w:lang w:val="en-US"/>
              </w:rPr>
            </w:pPr>
          </w:p>
          <w:p w14:paraId="6478BA4C" w14:textId="77777777" w:rsidR="00827A2F" w:rsidRDefault="00827A2F" w:rsidP="00827A2F">
            <w:pPr>
              <w:rPr>
                <w:sz w:val="18"/>
                <w:szCs w:val="18"/>
                <w:lang w:val="en-US"/>
              </w:rPr>
            </w:pPr>
            <w:r>
              <w:rPr>
                <w:sz w:val="18"/>
                <w:szCs w:val="18"/>
                <w:lang w:val="en-US"/>
              </w:rPr>
              <w:t>Hanania 2013 analysis of EXTRA; FeNO. Blood eos and periostin predict response</w:t>
            </w:r>
          </w:p>
          <w:p w14:paraId="068FD05A" w14:textId="77777777" w:rsidR="00827A2F" w:rsidRDefault="00827A2F" w:rsidP="00827A2F">
            <w:pPr>
              <w:rPr>
                <w:sz w:val="18"/>
                <w:szCs w:val="18"/>
                <w:lang w:val="en-US"/>
              </w:rPr>
            </w:pPr>
          </w:p>
          <w:p w14:paraId="5638BEE5" w14:textId="77777777" w:rsidR="00827A2F" w:rsidRDefault="00827A2F" w:rsidP="00827A2F">
            <w:pPr>
              <w:rPr>
                <w:sz w:val="18"/>
                <w:szCs w:val="18"/>
                <w:lang w:val="en-US"/>
              </w:rPr>
            </w:pPr>
            <w:r>
              <w:rPr>
                <w:sz w:val="18"/>
                <w:szCs w:val="18"/>
                <w:lang w:val="en-US"/>
              </w:rPr>
              <w:t>Caminati 2019 RWE from NEONET</w:t>
            </w:r>
          </w:p>
          <w:p w14:paraId="5A004BDA" w14:textId="77777777" w:rsidR="00827A2F" w:rsidRDefault="00827A2F" w:rsidP="00827A2F">
            <w:pPr>
              <w:rPr>
                <w:sz w:val="18"/>
                <w:szCs w:val="18"/>
                <w:lang w:val="en-US"/>
              </w:rPr>
            </w:pPr>
            <w:r w:rsidRPr="003309C0">
              <w:rPr>
                <w:sz w:val="18"/>
                <w:szCs w:val="18"/>
                <w:lang w:val="en-US"/>
              </w:rPr>
              <w:t>Blood eosinophils predic</w:t>
            </w:r>
            <w:r>
              <w:rPr>
                <w:sz w:val="18"/>
                <w:szCs w:val="18"/>
                <w:lang w:val="en-US"/>
              </w:rPr>
              <w:t>t</w:t>
            </w:r>
            <w:r w:rsidRPr="003309C0">
              <w:rPr>
                <w:sz w:val="18"/>
                <w:szCs w:val="18"/>
                <w:lang w:val="en-US"/>
              </w:rPr>
              <w:t xml:space="preserve"> responsiveness to omalizumab.</w:t>
            </w:r>
          </w:p>
          <w:p w14:paraId="586AE347" w14:textId="77777777" w:rsidR="00827A2F" w:rsidRDefault="00827A2F" w:rsidP="00827A2F">
            <w:pPr>
              <w:rPr>
                <w:sz w:val="18"/>
                <w:szCs w:val="18"/>
                <w:lang w:val="en-US"/>
              </w:rPr>
            </w:pPr>
          </w:p>
          <w:p w14:paraId="179E0904" w14:textId="77777777" w:rsidR="00827A2F" w:rsidRDefault="00827A2F" w:rsidP="00827A2F">
            <w:pPr>
              <w:rPr>
                <w:sz w:val="18"/>
                <w:szCs w:val="18"/>
                <w:lang w:val="en-US"/>
              </w:rPr>
            </w:pPr>
            <w:r>
              <w:rPr>
                <w:sz w:val="18"/>
                <w:szCs w:val="18"/>
                <w:lang w:val="en-US"/>
              </w:rPr>
              <w:t xml:space="preserve">Kawati </w:t>
            </w:r>
            <w:r w:rsidRPr="00167E21">
              <w:rPr>
                <w:sz w:val="18"/>
                <w:szCs w:val="18"/>
                <w:lang w:val="en-US"/>
              </w:rPr>
              <w:t>Clin Ther. 2019;</w:t>
            </w:r>
            <w:r>
              <w:rPr>
                <w:sz w:val="18"/>
                <w:szCs w:val="18"/>
                <w:lang w:val="en-US"/>
              </w:rPr>
              <w:t xml:space="preserve"> </w:t>
            </w:r>
            <w:r w:rsidRPr="00167E21">
              <w:rPr>
                <w:sz w:val="18"/>
                <w:szCs w:val="18"/>
                <w:lang w:val="en-US"/>
              </w:rPr>
              <w:t>41(10):1956-1971</w:t>
            </w:r>
          </w:p>
          <w:p w14:paraId="4930A062" w14:textId="77777777" w:rsidR="00827A2F" w:rsidRDefault="00827A2F" w:rsidP="00827A2F">
            <w:pPr>
              <w:rPr>
                <w:sz w:val="18"/>
                <w:szCs w:val="18"/>
                <w:lang w:val="en-US"/>
              </w:rPr>
            </w:pPr>
            <w:r>
              <w:rPr>
                <w:sz w:val="18"/>
                <w:szCs w:val="18"/>
                <w:lang w:val="en-US"/>
              </w:rPr>
              <w:t xml:space="preserve">RWE </w:t>
            </w:r>
            <w:r w:rsidRPr="00167E21">
              <w:rPr>
                <w:sz w:val="18"/>
                <w:szCs w:val="18"/>
                <w:lang w:val="en-US"/>
              </w:rPr>
              <w:t>patients with allergic asthma could benefit from omalizumab regardless of pretreatment biomarker levels</w:t>
            </w:r>
          </w:p>
          <w:p w14:paraId="1341878F" w14:textId="77777777" w:rsidR="00CB18CE" w:rsidRPr="00CB18CE" w:rsidRDefault="00CB18CE" w:rsidP="00CB18CE">
            <w:pPr>
              <w:rPr>
                <w:sz w:val="18"/>
                <w:szCs w:val="18"/>
                <w:lang w:val="en-US"/>
              </w:rPr>
            </w:pPr>
            <w:r w:rsidRPr="00CB18CE">
              <w:rPr>
                <w:sz w:val="18"/>
                <w:szCs w:val="18"/>
                <w:lang w:val="en-US"/>
              </w:rPr>
              <w:t>Brooks 2019</w:t>
            </w:r>
          </w:p>
          <w:p w14:paraId="53FA266F" w14:textId="77777777" w:rsidR="00CB18CE" w:rsidRPr="00CB18CE" w:rsidRDefault="00CB18CE" w:rsidP="00CB18CE">
            <w:pPr>
              <w:rPr>
                <w:sz w:val="18"/>
                <w:szCs w:val="18"/>
                <w:lang w:val="en-US"/>
              </w:rPr>
            </w:pPr>
            <w:r w:rsidRPr="00CB18CE">
              <w:rPr>
                <w:sz w:val="18"/>
                <w:szCs w:val="18"/>
                <w:lang w:val="en-US"/>
              </w:rPr>
              <w:t xml:space="preserve">Use of FeNO to identify omalizumab responders decreases the expected per-patient cost by nearly 50% </w:t>
            </w:r>
          </w:p>
          <w:p w14:paraId="3EA1449E" w14:textId="77777777" w:rsidR="00CB18CE" w:rsidRPr="00CB18CE" w:rsidRDefault="00CB18CE" w:rsidP="00CB18CE">
            <w:pPr>
              <w:rPr>
                <w:sz w:val="18"/>
                <w:szCs w:val="18"/>
                <w:lang w:val="en-US"/>
              </w:rPr>
            </w:pPr>
          </w:p>
          <w:p w14:paraId="4BD24880" w14:textId="77777777" w:rsidR="00CB18CE" w:rsidRPr="00CB18CE" w:rsidRDefault="00CB18CE" w:rsidP="00CB18CE">
            <w:pPr>
              <w:rPr>
                <w:sz w:val="18"/>
                <w:szCs w:val="18"/>
                <w:lang w:val="en-US"/>
              </w:rPr>
            </w:pPr>
            <w:r w:rsidRPr="00CB18CE">
              <w:rPr>
                <w:sz w:val="18"/>
                <w:szCs w:val="18"/>
                <w:lang w:val="en-US"/>
              </w:rPr>
              <w:t>Bhutani 2017 RWE (ASTERIX) FeNO predicts response</w:t>
            </w:r>
          </w:p>
          <w:p w14:paraId="5D342DF1" w14:textId="77777777" w:rsidR="00CB18CE" w:rsidRPr="00CB18CE" w:rsidRDefault="00CB18CE" w:rsidP="00CB18CE">
            <w:pPr>
              <w:rPr>
                <w:sz w:val="18"/>
                <w:szCs w:val="18"/>
                <w:lang w:val="en-US"/>
              </w:rPr>
            </w:pPr>
          </w:p>
          <w:p w14:paraId="35D34F6B" w14:textId="77777777" w:rsidR="00CB18CE" w:rsidRPr="00CB18CE" w:rsidRDefault="00CB18CE" w:rsidP="00CB18CE">
            <w:pPr>
              <w:rPr>
                <w:sz w:val="18"/>
                <w:szCs w:val="18"/>
                <w:lang w:val="en-US"/>
              </w:rPr>
            </w:pPr>
            <w:r w:rsidRPr="00CB18CE">
              <w:rPr>
                <w:sz w:val="18"/>
                <w:szCs w:val="18"/>
                <w:lang w:val="en-US"/>
              </w:rPr>
              <w:t xml:space="preserve">Casale 2018 </w:t>
            </w:r>
          </w:p>
          <w:p w14:paraId="069A7FAF" w14:textId="77777777" w:rsidR="00CB18CE" w:rsidRPr="00CB18CE" w:rsidRDefault="00CB18CE" w:rsidP="00CB18CE">
            <w:pPr>
              <w:rPr>
                <w:sz w:val="18"/>
                <w:szCs w:val="18"/>
                <w:lang w:val="en-US"/>
              </w:rPr>
            </w:pPr>
            <w:r w:rsidRPr="00CB18CE">
              <w:rPr>
                <w:sz w:val="18"/>
                <w:szCs w:val="18"/>
                <w:lang w:val="en-US"/>
              </w:rPr>
              <w:lastRenderedPageBreak/>
              <w:t xml:space="preserve">Baseline eos and severity criteria (exac, LF, ICS dose and LABA) predict response </w:t>
            </w:r>
          </w:p>
          <w:p w14:paraId="70211ECF" w14:textId="77777777" w:rsidR="00CB18CE" w:rsidRPr="00CB18CE" w:rsidRDefault="00CB18CE" w:rsidP="00CB18CE">
            <w:pPr>
              <w:rPr>
                <w:sz w:val="18"/>
                <w:szCs w:val="18"/>
                <w:lang w:val="en-US"/>
              </w:rPr>
            </w:pPr>
          </w:p>
          <w:p w14:paraId="41A7DAEB" w14:textId="77777777" w:rsidR="00CB18CE" w:rsidRPr="00CB18CE" w:rsidRDefault="00CB18CE" w:rsidP="00CB18CE">
            <w:pPr>
              <w:rPr>
                <w:sz w:val="18"/>
                <w:szCs w:val="18"/>
                <w:lang w:val="en-US"/>
              </w:rPr>
            </w:pPr>
            <w:r w:rsidRPr="00CB18CE">
              <w:rPr>
                <w:sz w:val="18"/>
                <w:szCs w:val="18"/>
                <w:lang w:val="en-US"/>
              </w:rPr>
              <w:t>Casale 2019 RWE Prospero</w:t>
            </w:r>
          </w:p>
          <w:p w14:paraId="5F863C9D" w14:textId="77777777" w:rsidR="00CB18CE" w:rsidRPr="00CB18CE" w:rsidRDefault="00CB18CE" w:rsidP="00CB18CE">
            <w:pPr>
              <w:rPr>
                <w:sz w:val="18"/>
                <w:szCs w:val="18"/>
                <w:lang w:val="en-US"/>
              </w:rPr>
            </w:pPr>
            <w:r w:rsidRPr="00CB18CE">
              <w:rPr>
                <w:sz w:val="18"/>
                <w:szCs w:val="18"/>
                <w:lang w:val="en-US"/>
              </w:rPr>
              <w:t>Omalizumab shows efficacy irrespective of the biomarker status</w:t>
            </w:r>
          </w:p>
          <w:p w14:paraId="3BD04BAC" w14:textId="77777777" w:rsidR="00CB18CE" w:rsidRPr="00CB18CE" w:rsidRDefault="00CB18CE" w:rsidP="00CB18CE">
            <w:pPr>
              <w:rPr>
                <w:sz w:val="18"/>
                <w:szCs w:val="18"/>
                <w:lang w:val="en-US"/>
              </w:rPr>
            </w:pPr>
          </w:p>
          <w:p w14:paraId="40F3C9E5" w14:textId="77777777" w:rsidR="00CB18CE" w:rsidRPr="00CB18CE" w:rsidRDefault="00CB18CE" w:rsidP="00CB18CE">
            <w:pPr>
              <w:rPr>
                <w:sz w:val="18"/>
                <w:szCs w:val="18"/>
                <w:lang w:val="en-US"/>
              </w:rPr>
            </w:pPr>
            <w:r w:rsidRPr="00CB18CE">
              <w:rPr>
                <w:sz w:val="18"/>
                <w:szCs w:val="18"/>
                <w:lang w:val="en-US"/>
              </w:rPr>
              <w:t>Hanania 2013 analysis of EXTRA; FeNO. Blood eos and periostin predict response</w:t>
            </w:r>
          </w:p>
          <w:p w14:paraId="639529CF" w14:textId="77777777" w:rsidR="00CB18CE" w:rsidRPr="00CB18CE" w:rsidRDefault="00CB18CE" w:rsidP="00CB18CE">
            <w:pPr>
              <w:rPr>
                <w:sz w:val="18"/>
                <w:szCs w:val="18"/>
                <w:lang w:val="en-US"/>
              </w:rPr>
            </w:pPr>
          </w:p>
          <w:p w14:paraId="6C71DF4F" w14:textId="77777777" w:rsidR="00CB18CE" w:rsidRPr="00CB18CE" w:rsidRDefault="00CB18CE" w:rsidP="00CB18CE">
            <w:pPr>
              <w:rPr>
                <w:sz w:val="18"/>
                <w:szCs w:val="18"/>
                <w:lang w:val="en-US"/>
              </w:rPr>
            </w:pPr>
            <w:r w:rsidRPr="00CB18CE">
              <w:rPr>
                <w:sz w:val="18"/>
                <w:szCs w:val="18"/>
                <w:lang w:val="en-US"/>
              </w:rPr>
              <w:t>Caminati 2019 RWE from NEONET</w:t>
            </w:r>
          </w:p>
          <w:p w14:paraId="6790D63A" w14:textId="77777777" w:rsidR="00CB18CE" w:rsidRPr="00CB18CE" w:rsidRDefault="00CB18CE" w:rsidP="00CB18CE">
            <w:pPr>
              <w:rPr>
                <w:sz w:val="18"/>
                <w:szCs w:val="18"/>
                <w:lang w:val="en-US"/>
              </w:rPr>
            </w:pPr>
            <w:r w:rsidRPr="00CB18CE">
              <w:rPr>
                <w:sz w:val="18"/>
                <w:szCs w:val="18"/>
                <w:lang w:val="en-US"/>
              </w:rPr>
              <w:t>Blood eosinophils predict responsiveness to omalizumab.</w:t>
            </w:r>
          </w:p>
          <w:p w14:paraId="3A776B14" w14:textId="77777777" w:rsidR="00CB18CE" w:rsidRPr="00CB18CE" w:rsidRDefault="00CB18CE" w:rsidP="00CB18CE">
            <w:pPr>
              <w:rPr>
                <w:sz w:val="18"/>
                <w:szCs w:val="18"/>
                <w:lang w:val="en-US"/>
              </w:rPr>
            </w:pPr>
          </w:p>
          <w:p w14:paraId="1253A959" w14:textId="77777777" w:rsidR="00CB18CE" w:rsidRPr="00CB18CE" w:rsidRDefault="00CB18CE" w:rsidP="00CB18CE">
            <w:pPr>
              <w:rPr>
                <w:sz w:val="18"/>
                <w:szCs w:val="18"/>
                <w:lang w:val="en-US"/>
              </w:rPr>
            </w:pPr>
            <w:r w:rsidRPr="00CB18CE">
              <w:rPr>
                <w:sz w:val="18"/>
                <w:szCs w:val="18"/>
                <w:lang w:val="en-US"/>
              </w:rPr>
              <w:t>Kawati Clin Ther. 2019; 41(10):1956-1971</w:t>
            </w:r>
          </w:p>
          <w:p w14:paraId="2E946EF6" w14:textId="77777777" w:rsidR="00CB18CE" w:rsidRPr="00CB18CE" w:rsidRDefault="00CB18CE" w:rsidP="00CB18CE">
            <w:pPr>
              <w:rPr>
                <w:sz w:val="18"/>
                <w:szCs w:val="18"/>
                <w:lang w:val="en-US"/>
              </w:rPr>
            </w:pPr>
            <w:r w:rsidRPr="00CB18CE">
              <w:rPr>
                <w:sz w:val="18"/>
                <w:szCs w:val="18"/>
                <w:lang w:val="en-US"/>
              </w:rPr>
              <w:t>RWE patients with allergic asthma could benefit from omalizumab regardless of pretreatment biomarker levels,</w:t>
            </w:r>
          </w:p>
          <w:p w14:paraId="0F718C9E" w14:textId="77777777" w:rsidR="00CB18CE" w:rsidRPr="00CB18CE" w:rsidRDefault="00CB18CE" w:rsidP="00CB18CE">
            <w:pPr>
              <w:rPr>
                <w:sz w:val="18"/>
                <w:szCs w:val="18"/>
                <w:lang w:val="en-US"/>
              </w:rPr>
            </w:pPr>
          </w:p>
          <w:p w14:paraId="2C491E99" w14:textId="3E96C813" w:rsidR="00CB18CE" w:rsidRDefault="00CB18CE" w:rsidP="00CB18CE">
            <w:pPr>
              <w:rPr>
                <w:sz w:val="18"/>
                <w:szCs w:val="18"/>
                <w:lang w:val="en-US"/>
              </w:rPr>
            </w:pPr>
            <w:r w:rsidRPr="00CB18CE">
              <w:rPr>
                <w:sz w:val="18"/>
                <w:szCs w:val="18"/>
                <w:lang w:val="en-US"/>
              </w:rPr>
              <w:t xml:space="preserve">Sorkness JACI Pract 2013 </w:t>
            </w:r>
            <w:r w:rsidRPr="00CB18CE">
              <w:rPr>
                <w:sz w:val="18"/>
                <w:szCs w:val="18"/>
                <w:lang w:val="en-US"/>
              </w:rPr>
              <w:lastRenderedPageBreak/>
              <w:t>Predictors of omalizumab response in urban minority children included high exhaled nitric oxide, blood eosinophils and BMI.</w:t>
            </w:r>
          </w:p>
        </w:tc>
        <w:tc>
          <w:tcPr>
            <w:tcW w:w="2552" w:type="dxa"/>
          </w:tcPr>
          <w:p w14:paraId="7650C47C" w14:textId="77777777" w:rsidR="00827A2F" w:rsidRDefault="00827A2F" w:rsidP="00827A2F">
            <w:pPr>
              <w:rPr>
                <w:sz w:val="18"/>
                <w:szCs w:val="18"/>
                <w:lang w:val="en-US"/>
              </w:rPr>
            </w:pPr>
            <w:r>
              <w:rPr>
                <w:sz w:val="18"/>
                <w:szCs w:val="18"/>
                <w:lang w:val="en-US"/>
              </w:rPr>
              <w:lastRenderedPageBreak/>
              <w:t xml:space="preserve">Albers 2019, </w:t>
            </w:r>
            <w:r w:rsidRPr="006E59DF">
              <w:rPr>
                <w:sz w:val="18"/>
                <w:szCs w:val="18"/>
                <w:lang w:val="en-US"/>
              </w:rPr>
              <w:t>Baseline blood eosinophil count as a predictor of treatment response</w:t>
            </w:r>
            <w:r>
              <w:rPr>
                <w:sz w:val="18"/>
                <w:szCs w:val="18"/>
                <w:lang w:val="en-US"/>
              </w:rPr>
              <w:t xml:space="preserve">, post-hoc analysis of MENSA and MUSCA: </w:t>
            </w:r>
            <w:r w:rsidRPr="006E59DF">
              <w:rPr>
                <w:sz w:val="18"/>
                <w:szCs w:val="18"/>
                <w:lang w:val="en-US"/>
              </w:rPr>
              <w:t>consistent clinical benefits in patients with baseline blood eosinophil counts ≥150 cells/μL</w:t>
            </w:r>
          </w:p>
          <w:p w14:paraId="138ECAFA" w14:textId="77777777" w:rsidR="00827A2F" w:rsidRDefault="00827A2F" w:rsidP="00827A2F">
            <w:pPr>
              <w:rPr>
                <w:sz w:val="18"/>
                <w:szCs w:val="18"/>
                <w:lang w:val="en-US"/>
              </w:rPr>
            </w:pPr>
          </w:p>
          <w:p w14:paraId="680D8B18" w14:textId="77777777" w:rsidR="00827A2F" w:rsidRDefault="00827A2F" w:rsidP="00827A2F">
            <w:pPr>
              <w:rPr>
                <w:sz w:val="18"/>
                <w:szCs w:val="18"/>
                <w:lang w:val="en-US"/>
              </w:rPr>
            </w:pPr>
            <w:r>
              <w:rPr>
                <w:sz w:val="18"/>
                <w:szCs w:val="18"/>
                <w:lang w:val="en-US"/>
              </w:rPr>
              <w:t>Ayars 2013</w:t>
            </w:r>
          </w:p>
          <w:p w14:paraId="6A9E1359" w14:textId="1DC755B5" w:rsidR="00827A2F" w:rsidRDefault="00827A2F" w:rsidP="00827A2F">
            <w:pPr>
              <w:rPr>
                <w:sz w:val="18"/>
                <w:szCs w:val="18"/>
                <w:lang w:val="en-US"/>
              </w:rPr>
            </w:pPr>
            <w:r w:rsidRPr="006D2EB5">
              <w:rPr>
                <w:sz w:val="18"/>
                <w:szCs w:val="18"/>
                <w:lang w:val="en-US"/>
              </w:rPr>
              <w:t xml:space="preserve">Sputum hyaluronan values are reduced with mepolizumab and correlate with improved </w:t>
            </w:r>
            <w:r>
              <w:rPr>
                <w:sz w:val="18"/>
                <w:szCs w:val="18"/>
                <w:lang w:val="en-US"/>
              </w:rPr>
              <w:t>ACQ, FEV1 and decreased eos</w:t>
            </w:r>
          </w:p>
          <w:p w14:paraId="032FD4C1" w14:textId="5D0194FA" w:rsidR="00EB7D5D" w:rsidRDefault="00EB7D5D" w:rsidP="00827A2F">
            <w:pPr>
              <w:rPr>
                <w:sz w:val="18"/>
                <w:szCs w:val="18"/>
                <w:lang w:val="en-US"/>
              </w:rPr>
            </w:pPr>
          </w:p>
          <w:p w14:paraId="12EAE7C2" w14:textId="77777777" w:rsidR="00EB7D5D" w:rsidRPr="00816775" w:rsidRDefault="00EB7D5D" w:rsidP="00EB7D5D">
            <w:pPr>
              <w:rPr>
                <w:sz w:val="18"/>
                <w:szCs w:val="18"/>
                <w:lang w:val="en-US"/>
              </w:rPr>
            </w:pPr>
            <w:r w:rsidRPr="00816775">
              <w:rPr>
                <w:sz w:val="18"/>
                <w:szCs w:val="18"/>
                <w:lang w:val="en-US"/>
              </w:rPr>
              <w:t xml:space="preserve">Harvey ES, </w:t>
            </w:r>
            <w:r>
              <w:rPr>
                <w:sz w:val="18"/>
                <w:szCs w:val="18"/>
                <w:lang w:val="en-US"/>
              </w:rPr>
              <w:t>et al.</w:t>
            </w:r>
            <w:r w:rsidRPr="00816775">
              <w:rPr>
                <w:sz w:val="18"/>
                <w:szCs w:val="18"/>
                <w:lang w:val="en-US"/>
              </w:rPr>
              <w:t xml:space="preserve"> [published online ahead of print, 2020 Mar 5]. Eur Respir J. 2020;1902420. doi:10.1183/13993003.02420-2019</w:t>
            </w:r>
          </w:p>
          <w:p w14:paraId="58C9C64E" w14:textId="77777777" w:rsidR="00EB7D5D" w:rsidRDefault="00EB7D5D" w:rsidP="00EB7D5D">
            <w:pPr>
              <w:rPr>
                <w:sz w:val="18"/>
                <w:szCs w:val="18"/>
                <w:lang w:val="en-US"/>
              </w:rPr>
            </w:pPr>
            <w:r w:rsidRPr="00816775">
              <w:rPr>
                <w:sz w:val="18"/>
                <w:szCs w:val="18"/>
                <w:lang w:val="en-US"/>
              </w:rPr>
              <w:t>Format:</w:t>
            </w:r>
          </w:p>
          <w:p w14:paraId="20BD22C0" w14:textId="09072ED4" w:rsidR="00EB7D5D" w:rsidRDefault="00EB7D5D" w:rsidP="00EB7D5D">
            <w:pPr>
              <w:rPr>
                <w:sz w:val="18"/>
                <w:szCs w:val="18"/>
                <w:lang w:val="en-US"/>
              </w:rPr>
            </w:pPr>
            <w:r>
              <w:rPr>
                <w:sz w:val="18"/>
                <w:szCs w:val="18"/>
                <w:lang w:val="en-US"/>
              </w:rPr>
              <w:t xml:space="preserve">Data from the </w:t>
            </w:r>
            <w:r w:rsidRPr="00816775">
              <w:rPr>
                <w:sz w:val="18"/>
                <w:szCs w:val="18"/>
                <w:lang w:val="en-US"/>
              </w:rPr>
              <w:t>Australian Mepolizumab Registry</w:t>
            </w:r>
            <w:r>
              <w:rPr>
                <w:sz w:val="18"/>
                <w:szCs w:val="18"/>
                <w:lang w:val="en-US"/>
              </w:rPr>
              <w:t xml:space="preserve"> show that super-responders to m</w:t>
            </w:r>
            <w:r w:rsidRPr="00816775">
              <w:rPr>
                <w:sz w:val="18"/>
                <w:szCs w:val="18"/>
                <w:lang w:val="en-US"/>
              </w:rPr>
              <w:t xml:space="preserve">epolizumab </w:t>
            </w:r>
            <w:r>
              <w:rPr>
                <w:sz w:val="18"/>
                <w:szCs w:val="18"/>
                <w:lang w:val="en-US"/>
              </w:rPr>
              <w:t>had higher T2 inflammation and less co-morbidities</w:t>
            </w:r>
          </w:p>
          <w:p w14:paraId="1D08EE1D" w14:textId="77777777" w:rsidR="00827A2F" w:rsidRDefault="00827A2F" w:rsidP="00827A2F">
            <w:pPr>
              <w:rPr>
                <w:sz w:val="18"/>
                <w:szCs w:val="18"/>
                <w:lang w:val="en-US"/>
              </w:rPr>
            </w:pPr>
          </w:p>
        </w:tc>
        <w:tc>
          <w:tcPr>
            <w:tcW w:w="3118" w:type="dxa"/>
          </w:tcPr>
          <w:p w14:paraId="50800BFD" w14:textId="77777777" w:rsidR="00827A2F" w:rsidRDefault="00827A2F" w:rsidP="00827A2F">
            <w:pPr>
              <w:rPr>
                <w:sz w:val="18"/>
                <w:szCs w:val="18"/>
                <w:lang w:val="en-US"/>
              </w:rPr>
            </w:pPr>
            <w:r w:rsidRPr="00296F9D">
              <w:rPr>
                <w:sz w:val="18"/>
                <w:szCs w:val="18"/>
                <w:lang w:val="en-US"/>
              </w:rPr>
              <w:t>Mukherjee</w:t>
            </w:r>
            <w:r>
              <w:rPr>
                <w:sz w:val="18"/>
                <w:szCs w:val="18"/>
                <w:lang w:val="en-US"/>
              </w:rPr>
              <w:t xml:space="preserve">, </w:t>
            </w:r>
            <w:r w:rsidRPr="00EC59BB">
              <w:rPr>
                <w:sz w:val="18"/>
                <w:szCs w:val="18"/>
                <w:lang w:val="en-US"/>
              </w:rPr>
              <w:t>Am J Respir Crit Care Med. 2018;197(1):38-46</w:t>
            </w:r>
          </w:p>
          <w:p w14:paraId="0F9AAAA4" w14:textId="5B58C37F" w:rsidR="00827A2F" w:rsidRDefault="00827A2F" w:rsidP="00827A2F">
            <w:pPr>
              <w:rPr>
                <w:sz w:val="18"/>
                <w:szCs w:val="18"/>
                <w:lang w:val="en-US"/>
              </w:rPr>
            </w:pPr>
            <w:r w:rsidRPr="00EC59BB">
              <w:rPr>
                <w:sz w:val="18"/>
                <w:szCs w:val="18"/>
                <w:lang w:val="en-US"/>
              </w:rPr>
              <w:t>Changes in sputum IL-5 and anti-eosinophil peroxidase IgG</w:t>
            </w:r>
            <w:r>
              <w:rPr>
                <w:sz w:val="18"/>
                <w:szCs w:val="18"/>
                <w:lang w:val="en-US"/>
              </w:rPr>
              <w:t xml:space="preserve"> predicted response to reslizumab</w:t>
            </w:r>
          </w:p>
        </w:tc>
      </w:tr>
      <w:tr w:rsidR="00827A2F" w:rsidRPr="00F22C2E" w14:paraId="0586D9D1" w14:textId="77777777" w:rsidTr="00827A2F">
        <w:tc>
          <w:tcPr>
            <w:tcW w:w="1296" w:type="dxa"/>
            <w:shd w:val="clear" w:color="auto" w:fill="FFC000"/>
          </w:tcPr>
          <w:p w14:paraId="46BDD9A4" w14:textId="77777777" w:rsidR="00827A2F" w:rsidRPr="00F22C2E" w:rsidRDefault="00827A2F" w:rsidP="00827A2F">
            <w:pPr>
              <w:rPr>
                <w:sz w:val="18"/>
                <w:szCs w:val="18"/>
                <w:lang w:val="en-US"/>
              </w:rPr>
            </w:pPr>
          </w:p>
        </w:tc>
        <w:tc>
          <w:tcPr>
            <w:tcW w:w="1818" w:type="dxa"/>
            <w:shd w:val="clear" w:color="auto" w:fill="FFC000"/>
          </w:tcPr>
          <w:p w14:paraId="08E6B830" w14:textId="1F768841" w:rsidR="00827A2F" w:rsidRPr="00F22C2E" w:rsidRDefault="00827A2F" w:rsidP="00827A2F">
            <w:pPr>
              <w:rPr>
                <w:sz w:val="18"/>
                <w:szCs w:val="18"/>
                <w:lang w:val="en-US"/>
              </w:rPr>
            </w:pPr>
            <w:r w:rsidRPr="00F22C2E">
              <w:rPr>
                <w:sz w:val="18"/>
                <w:szCs w:val="18"/>
                <w:lang w:val="en-US"/>
              </w:rPr>
              <w:t>Benralizumab</w:t>
            </w:r>
          </w:p>
        </w:tc>
        <w:tc>
          <w:tcPr>
            <w:tcW w:w="1701" w:type="dxa"/>
            <w:shd w:val="clear" w:color="auto" w:fill="FFC000"/>
          </w:tcPr>
          <w:p w14:paraId="0202874E" w14:textId="311635CC" w:rsidR="00827A2F" w:rsidRPr="00F22C2E" w:rsidRDefault="00827A2F" w:rsidP="00827A2F">
            <w:pPr>
              <w:rPr>
                <w:sz w:val="18"/>
                <w:szCs w:val="18"/>
                <w:lang w:val="en-US"/>
              </w:rPr>
            </w:pPr>
            <w:r w:rsidRPr="00F22C2E">
              <w:rPr>
                <w:sz w:val="18"/>
                <w:szCs w:val="18"/>
                <w:lang w:val="en-US"/>
              </w:rPr>
              <w:t>Dupilumab</w:t>
            </w:r>
          </w:p>
        </w:tc>
        <w:tc>
          <w:tcPr>
            <w:tcW w:w="1417" w:type="dxa"/>
            <w:shd w:val="clear" w:color="auto" w:fill="FFC000"/>
          </w:tcPr>
          <w:p w14:paraId="69A4F4DC" w14:textId="5823BC54" w:rsidR="00827A2F" w:rsidRPr="00F22C2E" w:rsidRDefault="00827A2F" w:rsidP="00827A2F">
            <w:pPr>
              <w:rPr>
                <w:sz w:val="18"/>
                <w:szCs w:val="18"/>
                <w:lang w:val="en-US"/>
              </w:rPr>
            </w:pPr>
            <w:r w:rsidRPr="00F22C2E">
              <w:rPr>
                <w:sz w:val="18"/>
                <w:szCs w:val="18"/>
                <w:lang w:val="en-US"/>
              </w:rPr>
              <w:t>Omalizumab</w:t>
            </w:r>
          </w:p>
        </w:tc>
        <w:tc>
          <w:tcPr>
            <w:tcW w:w="2552" w:type="dxa"/>
            <w:shd w:val="clear" w:color="auto" w:fill="FFC000"/>
          </w:tcPr>
          <w:p w14:paraId="6F96E98D" w14:textId="4D59324B" w:rsidR="00827A2F" w:rsidRPr="00F22C2E" w:rsidRDefault="00827A2F" w:rsidP="00827A2F">
            <w:pPr>
              <w:rPr>
                <w:sz w:val="18"/>
                <w:szCs w:val="18"/>
                <w:lang w:val="en-US"/>
              </w:rPr>
            </w:pPr>
            <w:r w:rsidRPr="00F22C2E">
              <w:rPr>
                <w:sz w:val="18"/>
                <w:szCs w:val="18"/>
                <w:lang w:val="en-US"/>
              </w:rPr>
              <w:t>Mepolizumab</w:t>
            </w:r>
          </w:p>
        </w:tc>
        <w:tc>
          <w:tcPr>
            <w:tcW w:w="3118" w:type="dxa"/>
            <w:shd w:val="clear" w:color="auto" w:fill="FFC000"/>
          </w:tcPr>
          <w:p w14:paraId="45857639" w14:textId="7750D020" w:rsidR="00827A2F" w:rsidRPr="00F22C2E" w:rsidRDefault="00827A2F" w:rsidP="00827A2F">
            <w:pPr>
              <w:rPr>
                <w:sz w:val="18"/>
                <w:szCs w:val="18"/>
                <w:lang w:val="en-US"/>
              </w:rPr>
            </w:pPr>
            <w:r w:rsidRPr="00F22C2E">
              <w:rPr>
                <w:sz w:val="18"/>
                <w:szCs w:val="18"/>
                <w:lang w:val="en-US"/>
              </w:rPr>
              <w:t>Reslizumab</w:t>
            </w:r>
          </w:p>
        </w:tc>
      </w:tr>
      <w:tr w:rsidR="00827A2F" w:rsidRPr="00F22C2E" w14:paraId="6057873E" w14:textId="77777777" w:rsidTr="00827A2F">
        <w:tc>
          <w:tcPr>
            <w:tcW w:w="1296" w:type="dxa"/>
          </w:tcPr>
          <w:p w14:paraId="215ECAD2" w14:textId="77777777" w:rsidR="00827A2F" w:rsidRPr="00F22C2E" w:rsidRDefault="00827A2F" w:rsidP="00827A2F">
            <w:pPr>
              <w:rPr>
                <w:sz w:val="18"/>
                <w:szCs w:val="18"/>
                <w:lang w:val="en-US"/>
              </w:rPr>
            </w:pPr>
            <w:r>
              <w:rPr>
                <w:sz w:val="18"/>
                <w:szCs w:val="18"/>
                <w:lang w:val="en-US"/>
              </w:rPr>
              <w:t>The influence of background therapy (number and type)</w:t>
            </w:r>
          </w:p>
        </w:tc>
        <w:tc>
          <w:tcPr>
            <w:tcW w:w="1818" w:type="dxa"/>
          </w:tcPr>
          <w:p w14:paraId="7DCAAB00" w14:textId="77777777" w:rsidR="00827A2F" w:rsidRDefault="00827A2F" w:rsidP="00827A2F">
            <w:pPr>
              <w:rPr>
                <w:sz w:val="18"/>
                <w:szCs w:val="18"/>
                <w:lang w:val="en-US"/>
              </w:rPr>
            </w:pPr>
          </w:p>
        </w:tc>
        <w:tc>
          <w:tcPr>
            <w:tcW w:w="1701" w:type="dxa"/>
          </w:tcPr>
          <w:p w14:paraId="3B611EBF" w14:textId="77777777" w:rsidR="00827A2F" w:rsidRDefault="00827A2F" w:rsidP="00827A2F">
            <w:pPr>
              <w:rPr>
                <w:sz w:val="18"/>
                <w:szCs w:val="18"/>
                <w:lang w:val="en-US"/>
              </w:rPr>
            </w:pPr>
          </w:p>
        </w:tc>
        <w:tc>
          <w:tcPr>
            <w:tcW w:w="1417" w:type="dxa"/>
          </w:tcPr>
          <w:p w14:paraId="1314369F" w14:textId="77777777" w:rsidR="00827A2F" w:rsidRDefault="00827A2F" w:rsidP="00827A2F">
            <w:pPr>
              <w:rPr>
                <w:sz w:val="18"/>
                <w:szCs w:val="18"/>
                <w:lang w:val="en-US"/>
              </w:rPr>
            </w:pPr>
          </w:p>
        </w:tc>
        <w:tc>
          <w:tcPr>
            <w:tcW w:w="2552" w:type="dxa"/>
          </w:tcPr>
          <w:p w14:paraId="62533EBA" w14:textId="71EB55D6" w:rsidR="00827A2F" w:rsidRDefault="00827A2F" w:rsidP="00827A2F">
            <w:pPr>
              <w:rPr>
                <w:sz w:val="18"/>
                <w:szCs w:val="18"/>
                <w:lang w:val="en-US"/>
              </w:rPr>
            </w:pPr>
            <w:r>
              <w:rPr>
                <w:sz w:val="18"/>
                <w:szCs w:val="18"/>
                <w:lang w:val="en-US"/>
              </w:rPr>
              <w:t xml:space="preserve">Albers 2019 Posthoc analysis of Mensa; benefit across a wide range </w:t>
            </w:r>
          </w:p>
        </w:tc>
        <w:tc>
          <w:tcPr>
            <w:tcW w:w="3118" w:type="dxa"/>
          </w:tcPr>
          <w:p w14:paraId="48B7AEBC" w14:textId="77777777" w:rsidR="00827A2F" w:rsidRDefault="00827A2F" w:rsidP="00827A2F">
            <w:pPr>
              <w:rPr>
                <w:sz w:val="18"/>
                <w:szCs w:val="18"/>
                <w:lang w:val="en-US"/>
              </w:rPr>
            </w:pPr>
          </w:p>
        </w:tc>
      </w:tr>
      <w:tr w:rsidR="00827A2F" w:rsidRPr="00F22C2E" w14:paraId="3B18DCB4" w14:textId="77777777" w:rsidTr="00827A2F">
        <w:tc>
          <w:tcPr>
            <w:tcW w:w="1296" w:type="dxa"/>
          </w:tcPr>
          <w:p w14:paraId="18EC50A2" w14:textId="77777777" w:rsidR="00827A2F" w:rsidRPr="00F22C2E" w:rsidRDefault="00827A2F" w:rsidP="00827A2F">
            <w:pPr>
              <w:rPr>
                <w:sz w:val="18"/>
                <w:szCs w:val="18"/>
                <w:lang w:val="en-US"/>
              </w:rPr>
            </w:pPr>
            <w:r>
              <w:rPr>
                <w:sz w:val="18"/>
                <w:szCs w:val="18"/>
                <w:lang w:val="en-US"/>
              </w:rPr>
              <w:t xml:space="preserve">Patient selection on a biological </w:t>
            </w:r>
          </w:p>
        </w:tc>
        <w:tc>
          <w:tcPr>
            <w:tcW w:w="1818" w:type="dxa"/>
          </w:tcPr>
          <w:p w14:paraId="2155D618" w14:textId="77777777" w:rsidR="00827A2F" w:rsidRPr="002F0981" w:rsidRDefault="00827A2F" w:rsidP="00827A2F">
            <w:pPr>
              <w:rPr>
                <w:sz w:val="18"/>
                <w:szCs w:val="18"/>
                <w:lang w:val="en-US"/>
              </w:rPr>
            </w:pPr>
            <w:r>
              <w:rPr>
                <w:sz w:val="18"/>
                <w:szCs w:val="18"/>
                <w:lang w:val="en-US"/>
              </w:rPr>
              <w:t xml:space="preserve">Chipps, </w:t>
            </w:r>
          </w:p>
          <w:p w14:paraId="75031E33" w14:textId="77777777" w:rsidR="00827A2F" w:rsidRDefault="00827A2F" w:rsidP="00827A2F">
            <w:pPr>
              <w:rPr>
                <w:sz w:val="18"/>
                <w:szCs w:val="18"/>
                <w:lang w:val="en-US"/>
              </w:rPr>
            </w:pPr>
            <w:r w:rsidRPr="002F0981">
              <w:rPr>
                <w:sz w:val="18"/>
                <w:szCs w:val="18"/>
                <w:lang w:val="en-US"/>
              </w:rPr>
              <w:t>Ann Allergy Asthma Immunol. 2019</w:t>
            </w:r>
          </w:p>
          <w:p w14:paraId="53611FEA" w14:textId="13AA6F4F" w:rsidR="00827A2F" w:rsidRDefault="00827A2F" w:rsidP="00827A2F">
            <w:pPr>
              <w:rPr>
                <w:sz w:val="18"/>
                <w:szCs w:val="18"/>
                <w:lang w:val="en-US"/>
              </w:rPr>
            </w:pPr>
            <w:r w:rsidRPr="002F0981">
              <w:rPr>
                <w:sz w:val="18"/>
                <w:szCs w:val="18"/>
                <w:lang w:val="en-US"/>
              </w:rPr>
              <w:t>post hoc analysis of pooled SIROCCO and CALIMA</w:t>
            </w:r>
            <w:r>
              <w:rPr>
                <w:sz w:val="18"/>
                <w:szCs w:val="18"/>
                <w:lang w:val="en-US"/>
              </w:rPr>
              <w:t>; benralizumab improved asthma related outocmes in patients with fixed airway obstruction</w:t>
            </w:r>
          </w:p>
        </w:tc>
        <w:tc>
          <w:tcPr>
            <w:tcW w:w="1701" w:type="dxa"/>
          </w:tcPr>
          <w:p w14:paraId="565D7BEA" w14:textId="77777777" w:rsidR="00827A2F" w:rsidRDefault="00827A2F" w:rsidP="00827A2F">
            <w:pPr>
              <w:rPr>
                <w:sz w:val="18"/>
                <w:szCs w:val="18"/>
                <w:lang w:val="en-US"/>
              </w:rPr>
            </w:pPr>
          </w:p>
        </w:tc>
        <w:tc>
          <w:tcPr>
            <w:tcW w:w="1417" w:type="dxa"/>
          </w:tcPr>
          <w:p w14:paraId="6DFCC9EA" w14:textId="77777777" w:rsidR="00827A2F" w:rsidRDefault="00827A2F" w:rsidP="00827A2F">
            <w:pPr>
              <w:rPr>
                <w:sz w:val="18"/>
                <w:szCs w:val="18"/>
                <w:lang w:val="en-US"/>
              </w:rPr>
            </w:pPr>
            <w:r w:rsidRPr="00DE2450">
              <w:rPr>
                <w:sz w:val="18"/>
                <w:szCs w:val="18"/>
                <w:lang w:val="en-US"/>
              </w:rPr>
              <w:t>Mukherjee</w:t>
            </w:r>
            <w:r>
              <w:rPr>
                <w:sz w:val="18"/>
                <w:szCs w:val="18"/>
                <w:lang w:val="en-US"/>
              </w:rPr>
              <w:t xml:space="preserve"> 2019</w:t>
            </w:r>
          </w:p>
          <w:p w14:paraId="15DB0953" w14:textId="77777777" w:rsidR="00827A2F" w:rsidRDefault="00827A2F" w:rsidP="00827A2F">
            <w:pPr>
              <w:rPr>
                <w:sz w:val="18"/>
                <w:szCs w:val="18"/>
                <w:lang w:val="en-US"/>
              </w:rPr>
            </w:pPr>
            <w:r w:rsidRPr="00534F96">
              <w:rPr>
                <w:sz w:val="18"/>
                <w:szCs w:val="18"/>
                <w:lang w:val="en-US"/>
              </w:rPr>
              <w:t xml:space="preserve">omalizumab is possibly inadequate to control sputum eosinophilia, and therefore may not have a steroid-sparing effect, especially in those maintained on </w:t>
            </w:r>
            <w:proofErr w:type="gramStart"/>
            <w:r>
              <w:rPr>
                <w:sz w:val="18"/>
                <w:szCs w:val="18"/>
                <w:lang w:val="en-US"/>
              </w:rPr>
              <w:t xml:space="preserve">OCS </w:t>
            </w:r>
            <w:r w:rsidRPr="00534F96">
              <w:rPr>
                <w:sz w:val="18"/>
                <w:szCs w:val="18"/>
                <w:lang w:val="en-US"/>
              </w:rPr>
              <w:t xml:space="preserve"> daily</w:t>
            </w:r>
            <w:proofErr w:type="gramEnd"/>
            <w:r w:rsidRPr="00534F96">
              <w:rPr>
                <w:sz w:val="18"/>
                <w:szCs w:val="18"/>
                <w:lang w:val="en-US"/>
              </w:rPr>
              <w:t>.</w:t>
            </w:r>
          </w:p>
          <w:p w14:paraId="0F017D9C" w14:textId="77777777" w:rsidR="00827A2F" w:rsidRDefault="00827A2F" w:rsidP="00827A2F">
            <w:pPr>
              <w:rPr>
                <w:sz w:val="18"/>
                <w:szCs w:val="18"/>
                <w:lang w:val="en-US"/>
              </w:rPr>
            </w:pPr>
          </w:p>
          <w:p w14:paraId="473C95F3" w14:textId="77777777" w:rsidR="00827A2F" w:rsidRDefault="00827A2F" w:rsidP="00827A2F">
            <w:pPr>
              <w:rPr>
                <w:sz w:val="18"/>
                <w:szCs w:val="18"/>
                <w:lang w:val="en-US"/>
              </w:rPr>
            </w:pPr>
            <w:r>
              <w:rPr>
                <w:sz w:val="18"/>
                <w:szCs w:val="18"/>
                <w:lang w:val="en-US"/>
              </w:rPr>
              <w:t>Casale Allergy 2018</w:t>
            </w:r>
          </w:p>
          <w:p w14:paraId="7A5161AB" w14:textId="77777777" w:rsidR="00827A2F" w:rsidRDefault="00827A2F" w:rsidP="00827A2F">
            <w:pPr>
              <w:rPr>
                <w:sz w:val="18"/>
                <w:szCs w:val="18"/>
                <w:lang w:val="en-US"/>
              </w:rPr>
            </w:pPr>
            <w:r>
              <w:rPr>
                <w:sz w:val="18"/>
                <w:szCs w:val="18"/>
                <w:lang w:val="en-US"/>
              </w:rPr>
              <w:t>B</w:t>
            </w:r>
            <w:r w:rsidRPr="004B702F">
              <w:rPr>
                <w:sz w:val="18"/>
                <w:szCs w:val="18"/>
                <w:lang w:val="en-US"/>
              </w:rPr>
              <w:t xml:space="preserve">aseline blood </w:t>
            </w:r>
            <w:r>
              <w:rPr>
                <w:sz w:val="18"/>
                <w:szCs w:val="18"/>
                <w:lang w:val="en-US"/>
              </w:rPr>
              <w:t>eos</w:t>
            </w:r>
            <w:r w:rsidRPr="004B702F">
              <w:rPr>
                <w:sz w:val="18"/>
                <w:szCs w:val="18"/>
                <w:lang w:val="en-US"/>
              </w:rPr>
              <w:t xml:space="preserve"> ≥300/μL </w:t>
            </w:r>
            <w:r>
              <w:rPr>
                <w:sz w:val="18"/>
                <w:szCs w:val="18"/>
                <w:lang w:val="en-US"/>
              </w:rPr>
              <w:t xml:space="preserve">and </w:t>
            </w:r>
            <w:r w:rsidRPr="004B702F">
              <w:rPr>
                <w:sz w:val="18"/>
                <w:szCs w:val="18"/>
                <w:lang w:val="en-US"/>
              </w:rPr>
              <w:t xml:space="preserve">markers of asthma severity (emergency asthma treatment in prior year, asthma hospitalization in prior year, FEV1 &lt;65% inhaled beclomethasone </w:t>
            </w:r>
            <w:r w:rsidRPr="004B702F">
              <w:rPr>
                <w:sz w:val="18"/>
                <w:szCs w:val="18"/>
                <w:lang w:val="en-US"/>
              </w:rPr>
              <w:lastRenderedPageBreak/>
              <w:t xml:space="preserve">dipropionate dose ≥600 μg/day, and LABA use </w:t>
            </w:r>
            <w:r>
              <w:rPr>
                <w:sz w:val="18"/>
                <w:szCs w:val="18"/>
                <w:lang w:val="en-US"/>
              </w:rPr>
              <w:t>predict response to omalizumab</w:t>
            </w:r>
          </w:p>
          <w:p w14:paraId="1F1CC786" w14:textId="77777777" w:rsidR="00827A2F" w:rsidRDefault="00827A2F" w:rsidP="00827A2F">
            <w:pPr>
              <w:rPr>
                <w:sz w:val="18"/>
                <w:szCs w:val="18"/>
                <w:lang w:val="en-US"/>
              </w:rPr>
            </w:pPr>
          </w:p>
          <w:p w14:paraId="2E1F1076" w14:textId="77777777" w:rsidR="00827A2F" w:rsidRDefault="00827A2F" w:rsidP="00827A2F">
            <w:pPr>
              <w:rPr>
                <w:sz w:val="18"/>
                <w:szCs w:val="18"/>
                <w:lang w:val="en-US"/>
              </w:rPr>
            </w:pPr>
            <w:r>
              <w:rPr>
                <w:sz w:val="18"/>
                <w:szCs w:val="18"/>
                <w:lang w:val="en-US"/>
              </w:rPr>
              <w:t xml:space="preserve">Sposato, </w:t>
            </w:r>
            <w:r w:rsidRPr="00143FA7">
              <w:rPr>
                <w:sz w:val="18"/>
                <w:szCs w:val="18"/>
                <w:lang w:val="en-US"/>
              </w:rPr>
              <w:t>Eur J Intern Med. 2018;52:78-85</w:t>
            </w:r>
            <w:r>
              <w:rPr>
                <w:sz w:val="18"/>
                <w:szCs w:val="18"/>
                <w:lang w:val="en-US"/>
              </w:rPr>
              <w:t>; retrospective analysis of 340 patients</w:t>
            </w:r>
          </w:p>
          <w:p w14:paraId="1471E337" w14:textId="78C73BDB" w:rsidR="00827A2F" w:rsidRDefault="00827A2F" w:rsidP="00827A2F">
            <w:pPr>
              <w:rPr>
                <w:sz w:val="18"/>
                <w:szCs w:val="18"/>
                <w:lang w:val="en-US"/>
              </w:rPr>
            </w:pPr>
            <w:r w:rsidRPr="00143FA7">
              <w:rPr>
                <w:sz w:val="18"/>
                <w:szCs w:val="18"/>
                <w:lang w:val="en-US"/>
              </w:rPr>
              <w:t>Age, obesity, comorbidities, smoking habits, nasal polyps, allergic poly-sensitization might reduce Omalizumab effectiveness independently to other asthma-influencing factors.</w:t>
            </w:r>
          </w:p>
        </w:tc>
        <w:tc>
          <w:tcPr>
            <w:tcW w:w="2552" w:type="dxa"/>
          </w:tcPr>
          <w:p w14:paraId="6C48F6D7" w14:textId="77777777" w:rsidR="00827A2F" w:rsidRDefault="00827A2F" w:rsidP="00827A2F">
            <w:pPr>
              <w:rPr>
                <w:sz w:val="18"/>
                <w:szCs w:val="18"/>
                <w:lang w:val="en-US"/>
              </w:rPr>
            </w:pPr>
            <w:r>
              <w:rPr>
                <w:sz w:val="18"/>
                <w:szCs w:val="18"/>
                <w:lang w:val="en-US"/>
              </w:rPr>
              <w:lastRenderedPageBreak/>
              <w:t xml:space="preserve">Humbert 2019: posthoc analysis of MENSA and MUSCA according to </w:t>
            </w:r>
            <w:r w:rsidRPr="003A645A">
              <w:rPr>
                <w:sz w:val="18"/>
                <w:szCs w:val="18"/>
                <w:lang w:val="en-US"/>
              </w:rPr>
              <w:t>according to omalizumab eligibility and associated allergic characteristics</w:t>
            </w:r>
            <w:r>
              <w:rPr>
                <w:sz w:val="18"/>
                <w:szCs w:val="18"/>
                <w:lang w:val="en-US"/>
              </w:rPr>
              <w:t xml:space="preserve"> shows mepolizumab efficacy regardless of the above criteria</w:t>
            </w:r>
          </w:p>
          <w:p w14:paraId="463278F0" w14:textId="77777777" w:rsidR="00827A2F" w:rsidRDefault="00827A2F" w:rsidP="00827A2F">
            <w:pPr>
              <w:rPr>
                <w:sz w:val="18"/>
                <w:szCs w:val="18"/>
                <w:lang w:val="en-US"/>
              </w:rPr>
            </w:pPr>
          </w:p>
          <w:p w14:paraId="19565925" w14:textId="77777777" w:rsidR="00827A2F" w:rsidRDefault="00827A2F" w:rsidP="00827A2F">
            <w:pPr>
              <w:rPr>
                <w:sz w:val="18"/>
                <w:szCs w:val="18"/>
                <w:lang w:val="en-US"/>
              </w:rPr>
            </w:pPr>
            <w:r>
              <w:rPr>
                <w:sz w:val="18"/>
                <w:szCs w:val="18"/>
                <w:lang w:val="en-US"/>
              </w:rPr>
              <w:t xml:space="preserve">Comberiati, </w:t>
            </w:r>
            <w:r w:rsidRPr="00666B70">
              <w:rPr>
                <w:sz w:val="18"/>
                <w:szCs w:val="18"/>
                <w:lang w:val="en-US"/>
              </w:rPr>
              <w:t>J Allergy Clin Immunol Pract. 2019;7(8):2689-2696.</w:t>
            </w:r>
          </w:p>
          <w:p w14:paraId="71A16CBB" w14:textId="20A69EA2" w:rsidR="00827A2F" w:rsidRDefault="00827A2F" w:rsidP="00827A2F">
            <w:pPr>
              <w:rPr>
                <w:sz w:val="18"/>
                <w:szCs w:val="18"/>
                <w:lang w:val="en-US"/>
              </w:rPr>
            </w:pPr>
            <w:r w:rsidRPr="009315B9">
              <w:rPr>
                <w:sz w:val="18"/>
                <w:szCs w:val="18"/>
                <w:lang w:val="en-US"/>
              </w:rPr>
              <w:t xml:space="preserve">A smaller percentage of children with severe asthma were eligible for mepolizumab compared with their adult peers. Severe </w:t>
            </w:r>
            <w:r>
              <w:rPr>
                <w:sz w:val="18"/>
                <w:szCs w:val="18"/>
                <w:lang w:val="en-US"/>
              </w:rPr>
              <w:t xml:space="preserve">adult onset asthma </w:t>
            </w:r>
            <w:r w:rsidRPr="009315B9">
              <w:rPr>
                <w:sz w:val="18"/>
                <w:szCs w:val="18"/>
                <w:lang w:val="en-US"/>
              </w:rPr>
              <w:t xml:space="preserve">has distinct phenotypic features that favor treatment with mepolizumab, including greater eosinophilia and </w:t>
            </w:r>
            <w:r>
              <w:rPr>
                <w:sz w:val="18"/>
                <w:szCs w:val="18"/>
                <w:lang w:val="en-US"/>
              </w:rPr>
              <w:t>NP</w:t>
            </w:r>
          </w:p>
        </w:tc>
        <w:tc>
          <w:tcPr>
            <w:tcW w:w="3118" w:type="dxa"/>
          </w:tcPr>
          <w:p w14:paraId="724D5887" w14:textId="77777777" w:rsidR="00827A2F" w:rsidRDefault="00827A2F" w:rsidP="00827A2F">
            <w:pPr>
              <w:rPr>
                <w:sz w:val="18"/>
                <w:szCs w:val="18"/>
                <w:lang w:val="en-US"/>
              </w:rPr>
            </w:pPr>
            <w:r>
              <w:rPr>
                <w:sz w:val="18"/>
                <w:szCs w:val="18"/>
                <w:lang w:val="en-US"/>
              </w:rPr>
              <w:t xml:space="preserve">Nair </w:t>
            </w:r>
            <w:r w:rsidRPr="00432C62">
              <w:rPr>
                <w:sz w:val="18"/>
                <w:szCs w:val="18"/>
                <w:lang w:val="en-US"/>
              </w:rPr>
              <w:t>J Allergy Clin Immunol Pract. 2019</w:t>
            </w:r>
          </w:p>
          <w:p w14:paraId="1C4A2B75" w14:textId="77777777" w:rsidR="00827A2F" w:rsidRDefault="00827A2F" w:rsidP="00827A2F">
            <w:pPr>
              <w:rPr>
                <w:sz w:val="18"/>
                <w:szCs w:val="18"/>
                <w:lang w:val="en-US"/>
              </w:rPr>
            </w:pPr>
            <w:r>
              <w:rPr>
                <w:sz w:val="18"/>
                <w:szCs w:val="18"/>
                <w:lang w:val="en-US"/>
              </w:rPr>
              <w:t>N</w:t>
            </w:r>
            <w:r w:rsidRPr="00432C62">
              <w:rPr>
                <w:sz w:val="18"/>
                <w:szCs w:val="18"/>
                <w:lang w:val="en-US"/>
              </w:rPr>
              <w:t xml:space="preserve">umerically greater improvements in </w:t>
            </w:r>
            <w:r>
              <w:rPr>
                <w:sz w:val="18"/>
                <w:szCs w:val="18"/>
                <w:lang w:val="en-US"/>
              </w:rPr>
              <w:t xml:space="preserve">OCS </w:t>
            </w:r>
            <w:r w:rsidRPr="00432C62">
              <w:rPr>
                <w:sz w:val="18"/>
                <w:szCs w:val="18"/>
                <w:lang w:val="en-US"/>
              </w:rPr>
              <w:t>-dependent patients than the overall population. Having 2 or more versus 1 clinical asthma exacerbation in the previous 12 months was the strongest positive predictor of reduced exacerbation risk with reslizumab</w:t>
            </w:r>
          </w:p>
          <w:p w14:paraId="6471D715" w14:textId="77777777" w:rsidR="00827A2F" w:rsidRDefault="00827A2F" w:rsidP="00827A2F">
            <w:pPr>
              <w:rPr>
                <w:sz w:val="18"/>
                <w:szCs w:val="18"/>
                <w:lang w:val="en-US"/>
              </w:rPr>
            </w:pPr>
          </w:p>
          <w:p w14:paraId="7E552794" w14:textId="77777777" w:rsidR="00827A2F" w:rsidRDefault="00827A2F" w:rsidP="00827A2F">
            <w:pPr>
              <w:rPr>
                <w:sz w:val="18"/>
                <w:szCs w:val="18"/>
                <w:lang w:val="en-US"/>
              </w:rPr>
            </w:pPr>
            <w:r>
              <w:rPr>
                <w:sz w:val="18"/>
                <w:szCs w:val="18"/>
                <w:lang w:val="en-US"/>
              </w:rPr>
              <w:t xml:space="preserve">Carr, </w:t>
            </w:r>
            <w:r w:rsidRPr="003B5650">
              <w:rPr>
                <w:sz w:val="18"/>
                <w:szCs w:val="18"/>
                <w:lang w:val="en-US"/>
              </w:rPr>
              <w:t>Allergy Asthma Proc. 2019;40(4):240-249</w:t>
            </w:r>
          </w:p>
          <w:p w14:paraId="23DC48A3" w14:textId="77777777" w:rsidR="00827A2F" w:rsidRDefault="00827A2F" w:rsidP="00827A2F">
            <w:pPr>
              <w:rPr>
                <w:sz w:val="18"/>
                <w:szCs w:val="18"/>
                <w:lang w:val="en-US"/>
              </w:rPr>
            </w:pPr>
            <w:r>
              <w:rPr>
                <w:sz w:val="18"/>
                <w:szCs w:val="18"/>
                <w:lang w:val="en-US"/>
              </w:rPr>
              <w:t>P</w:t>
            </w:r>
            <w:r w:rsidRPr="00167E21">
              <w:rPr>
                <w:sz w:val="18"/>
                <w:szCs w:val="18"/>
                <w:lang w:val="en-US"/>
              </w:rPr>
              <w:t>ost hoc analysis of two randomized, double-blind, placebo-controlled trials</w:t>
            </w:r>
          </w:p>
          <w:p w14:paraId="54DB5008" w14:textId="77777777" w:rsidR="00827A2F" w:rsidRDefault="00827A2F" w:rsidP="00827A2F">
            <w:pPr>
              <w:rPr>
                <w:sz w:val="18"/>
                <w:szCs w:val="18"/>
                <w:lang w:val="en-US"/>
              </w:rPr>
            </w:pPr>
            <w:r w:rsidRPr="004D5068">
              <w:rPr>
                <w:sz w:val="18"/>
                <w:szCs w:val="18"/>
                <w:lang w:val="en-US"/>
              </w:rPr>
              <w:t>Reslizumab reduced lung-age deficit by 5 years Improvement in lung age correlated with improved quality of life.</w:t>
            </w:r>
          </w:p>
          <w:p w14:paraId="7C9A334C" w14:textId="77777777" w:rsidR="00827A2F" w:rsidRDefault="00827A2F" w:rsidP="00827A2F">
            <w:pPr>
              <w:rPr>
                <w:sz w:val="18"/>
                <w:szCs w:val="18"/>
                <w:lang w:val="en-US"/>
              </w:rPr>
            </w:pPr>
          </w:p>
          <w:p w14:paraId="42AED622" w14:textId="77777777" w:rsidR="00827A2F" w:rsidRDefault="00827A2F" w:rsidP="00827A2F">
            <w:pPr>
              <w:rPr>
                <w:sz w:val="18"/>
                <w:szCs w:val="18"/>
                <w:lang w:val="en-US"/>
              </w:rPr>
            </w:pPr>
            <w:r>
              <w:rPr>
                <w:sz w:val="18"/>
                <w:szCs w:val="18"/>
                <w:lang w:val="en-US"/>
              </w:rPr>
              <w:t xml:space="preserve">Brussselle, </w:t>
            </w:r>
            <w:r w:rsidRPr="00AD4F98">
              <w:rPr>
                <w:sz w:val="18"/>
                <w:szCs w:val="18"/>
                <w:lang w:val="en-US"/>
              </w:rPr>
              <w:t>Pulm Pharmacol Ther. 2017;</w:t>
            </w:r>
            <w:r>
              <w:rPr>
                <w:sz w:val="18"/>
                <w:szCs w:val="18"/>
                <w:lang w:val="en-US"/>
              </w:rPr>
              <w:t xml:space="preserve"> </w:t>
            </w:r>
            <w:r w:rsidRPr="00AD4F98">
              <w:rPr>
                <w:sz w:val="18"/>
                <w:szCs w:val="18"/>
                <w:lang w:val="en-US"/>
              </w:rPr>
              <w:t>43:39-45.</w:t>
            </w:r>
          </w:p>
          <w:p w14:paraId="16D28DA5" w14:textId="4859A301" w:rsidR="00827A2F" w:rsidRDefault="00827A2F" w:rsidP="00827A2F">
            <w:pPr>
              <w:rPr>
                <w:sz w:val="18"/>
                <w:szCs w:val="18"/>
                <w:lang w:val="en-US"/>
              </w:rPr>
            </w:pPr>
            <w:r>
              <w:rPr>
                <w:sz w:val="18"/>
                <w:szCs w:val="18"/>
                <w:lang w:val="en-US"/>
              </w:rPr>
              <w:t>L</w:t>
            </w:r>
            <w:r w:rsidRPr="00AD4F98">
              <w:rPr>
                <w:sz w:val="18"/>
                <w:szCs w:val="18"/>
                <w:lang w:val="en-US"/>
              </w:rPr>
              <w:t>arger reductions in asthma exacerbations and larger improvements in lung function in patients with late versus early-onset asthma.</w:t>
            </w:r>
          </w:p>
        </w:tc>
      </w:tr>
      <w:tr w:rsidR="00827A2F" w:rsidRPr="00F22C2E" w14:paraId="47FBFE98" w14:textId="77777777" w:rsidTr="00827A2F">
        <w:tc>
          <w:tcPr>
            <w:tcW w:w="1296" w:type="dxa"/>
            <w:shd w:val="clear" w:color="auto" w:fill="FFC000"/>
          </w:tcPr>
          <w:p w14:paraId="43D7A621" w14:textId="77777777" w:rsidR="00827A2F" w:rsidRPr="00F22C2E" w:rsidRDefault="00827A2F" w:rsidP="00827A2F">
            <w:pPr>
              <w:rPr>
                <w:sz w:val="18"/>
                <w:szCs w:val="18"/>
                <w:lang w:val="en-US"/>
              </w:rPr>
            </w:pPr>
          </w:p>
        </w:tc>
        <w:tc>
          <w:tcPr>
            <w:tcW w:w="1818" w:type="dxa"/>
            <w:shd w:val="clear" w:color="auto" w:fill="FFC000"/>
          </w:tcPr>
          <w:p w14:paraId="650848E8" w14:textId="0C7CE904" w:rsidR="00827A2F" w:rsidRPr="00F22C2E" w:rsidRDefault="00827A2F" w:rsidP="00827A2F">
            <w:pPr>
              <w:rPr>
                <w:sz w:val="18"/>
                <w:szCs w:val="18"/>
                <w:lang w:val="en-US"/>
              </w:rPr>
            </w:pPr>
            <w:r w:rsidRPr="00F22C2E">
              <w:rPr>
                <w:sz w:val="18"/>
                <w:szCs w:val="18"/>
                <w:lang w:val="en-US"/>
              </w:rPr>
              <w:t>Benralizumab</w:t>
            </w:r>
          </w:p>
        </w:tc>
        <w:tc>
          <w:tcPr>
            <w:tcW w:w="1701" w:type="dxa"/>
            <w:shd w:val="clear" w:color="auto" w:fill="FFC000"/>
          </w:tcPr>
          <w:p w14:paraId="2F833725" w14:textId="3C1AB02C" w:rsidR="00827A2F" w:rsidRPr="00F22C2E" w:rsidRDefault="00827A2F" w:rsidP="00827A2F">
            <w:pPr>
              <w:rPr>
                <w:sz w:val="18"/>
                <w:szCs w:val="18"/>
                <w:lang w:val="en-US"/>
              </w:rPr>
            </w:pPr>
            <w:r w:rsidRPr="00F22C2E">
              <w:rPr>
                <w:sz w:val="18"/>
                <w:szCs w:val="18"/>
                <w:lang w:val="en-US"/>
              </w:rPr>
              <w:t>Dupilumab</w:t>
            </w:r>
          </w:p>
        </w:tc>
        <w:tc>
          <w:tcPr>
            <w:tcW w:w="1417" w:type="dxa"/>
            <w:shd w:val="clear" w:color="auto" w:fill="FFC000"/>
          </w:tcPr>
          <w:p w14:paraId="0C656379" w14:textId="0E503B38" w:rsidR="00827A2F" w:rsidRPr="00F22C2E" w:rsidRDefault="00827A2F" w:rsidP="00827A2F">
            <w:pPr>
              <w:rPr>
                <w:sz w:val="18"/>
                <w:szCs w:val="18"/>
                <w:lang w:val="en-US"/>
              </w:rPr>
            </w:pPr>
            <w:r w:rsidRPr="00F22C2E">
              <w:rPr>
                <w:sz w:val="18"/>
                <w:szCs w:val="18"/>
                <w:lang w:val="en-US"/>
              </w:rPr>
              <w:t>Omalizumab</w:t>
            </w:r>
          </w:p>
        </w:tc>
        <w:tc>
          <w:tcPr>
            <w:tcW w:w="2552" w:type="dxa"/>
            <w:shd w:val="clear" w:color="auto" w:fill="FFC000"/>
          </w:tcPr>
          <w:p w14:paraId="0870E93A" w14:textId="33207D8D" w:rsidR="00827A2F" w:rsidRPr="00F22C2E" w:rsidRDefault="00827A2F" w:rsidP="00827A2F">
            <w:pPr>
              <w:rPr>
                <w:sz w:val="18"/>
                <w:szCs w:val="18"/>
                <w:lang w:val="en-US"/>
              </w:rPr>
            </w:pPr>
            <w:r w:rsidRPr="00F22C2E">
              <w:rPr>
                <w:sz w:val="18"/>
                <w:szCs w:val="18"/>
                <w:lang w:val="en-US"/>
              </w:rPr>
              <w:t>Mepolizumab</w:t>
            </w:r>
          </w:p>
        </w:tc>
        <w:tc>
          <w:tcPr>
            <w:tcW w:w="3118" w:type="dxa"/>
            <w:shd w:val="clear" w:color="auto" w:fill="FFC000"/>
          </w:tcPr>
          <w:p w14:paraId="1A917767" w14:textId="31CF303C" w:rsidR="00827A2F" w:rsidRPr="00F22C2E" w:rsidRDefault="00827A2F" w:rsidP="00827A2F">
            <w:pPr>
              <w:rPr>
                <w:sz w:val="18"/>
                <w:szCs w:val="18"/>
                <w:lang w:val="en-US"/>
              </w:rPr>
            </w:pPr>
            <w:r w:rsidRPr="00F22C2E">
              <w:rPr>
                <w:sz w:val="18"/>
                <w:szCs w:val="18"/>
                <w:lang w:val="en-US"/>
              </w:rPr>
              <w:t>Reslizumab</w:t>
            </w:r>
          </w:p>
        </w:tc>
      </w:tr>
      <w:tr w:rsidR="00827A2F" w:rsidRPr="00F22C2E" w14:paraId="046A829C" w14:textId="77777777" w:rsidTr="00827A2F">
        <w:tc>
          <w:tcPr>
            <w:tcW w:w="1296" w:type="dxa"/>
          </w:tcPr>
          <w:p w14:paraId="56E59958" w14:textId="77777777" w:rsidR="00827A2F" w:rsidRDefault="00827A2F" w:rsidP="00827A2F">
            <w:pPr>
              <w:rPr>
                <w:sz w:val="18"/>
                <w:szCs w:val="18"/>
                <w:lang w:val="en-US"/>
              </w:rPr>
            </w:pPr>
            <w:r w:rsidRPr="00F22C2E">
              <w:rPr>
                <w:sz w:val="18"/>
                <w:szCs w:val="18"/>
                <w:lang w:val="en-US"/>
              </w:rPr>
              <w:t>Continuation/</w:t>
            </w:r>
          </w:p>
          <w:p w14:paraId="2962E0D7" w14:textId="1D476475" w:rsidR="00827A2F" w:rsidRPr="00F22C2E" w:rsidRDefault="00827A2F" w:rsidP="00827A2F">
            <w:pPr>
              <w:rPr>
                <w:sz w:val="18"/>
                <w:szCs w:val="18"/>
                <w:lang w:val="en-US"/>
              </w:rPr>
            </w:pPr>
            <w:r w:rsidRPr="00F22C2E">
              <w:rPr>
                <w:sz w:val="18"/>
                <w:szCs w:val="18"/>
                <w:lang w:val="en-US"/>
              </w:rPr>
              <w:t>discontinua</w:t>
            </w:r>
            <w:r>
              <w:rPr>
                <w:sz w:val="18"/>
                <w:szCs w:val="18"/>
                <w:lang w:val="en-US"/>
              </w:rPr>
              <w:t>-</w:t>
            </w:r>
            <w:r w:rsidRPr="00F22C2E">
              <w:rPr>
                <w:sz w:val="18"/>
                <w:szCs w:val="18"/>
                <w:lang w:val="en-US"/>
              </w:rPr>
              <w:t>tion criteria</w:t>
            </w:r>
          </w:p>
        </w:tc>
        <w:tc>
          <w:tcPr>
            <w:tcW w:w="1818" w:type="dxa"/>
          </w:tcPr>
          <w:p w14:paraId="3868A32E" w14:textId="77777777" w:rsidR="00827A2F" w:rsidRDefault="00827A2F" w:rsidP="00827A2F">
            <w:pPr>
              <w:rPr>
                <w:sz w:val="18"/>
                <w:szCs w:val="18"/>
                <w:lang w:val="en-US"/>
              </w:rPr>
            </w:pPr>
          </w:p>
        </w:tc>
        <w:tc>
          <w:tcPr>
            <w:tcW w:w="1701" w:type="dxa"/>
          </w:tcPr>
          <w:p w14:paraId="606B9296" w14:textId="77777777" w:rsidR="00827A2F" w:rsidRDefault="00827A2F" w:rsidP="00827A2F">
            <w:pPr>
              <w:rPr>
                <w:sz w:val="18"/>
                <w:szCs w:val="18"/>
                <w:lang w:val="en-US"/>
              </w:rPr>
            </w:pPr>
          </w:p>
        </w:tc>
        <w:tc>
          <w:tcPr>
            <w:tcW w:w="1417" w:type="dxa"/>
          </w:tcPr>
          <w:p w14:paraId="36FC9428" w14:textId="77777777" w:rsidR="00827A2F" w:rsidRDefault="00827A2F" w:rsidP="00827A2F">
            <w:pPr>
              <w:rPr>
                <w:sz w:val="18"/>
                <w:szCs w:val="18"/>
                <w:lang w:val="en-US"/>
              </w:rPr>
            </w:pPr>
            <w:r>
              <w:rPr>
                <w:sz w:val="18"/>
                <w:szCs w:val="18"/>
                <w:lang w:val="en-US"/>
              </w:rPr>
              <w:t>Bousquet 2014 GETE</w:t>
            </w:r>
          </w:p>
          <w:p w14:paraId="12CCA0F2" w14:textId="77777777" w:rsidR="00827A2F" w:rsidRDefault="00827A2F" w:rsidP="00827A2F">
            <w:pPr>
              <w:rPr>
                <w:sz w:val="18"/>
                <w:szCs w:val="18"/>
                <w:lang w:val="en-US"/>
              </w:rPr>
            </w:pPr>
          </w:p>
          <w:p w14:paraId="4F47124B" w14:textId="77777777" w:rsidR="00827A2F" w:rsidRDefault="00827A2F" w:rsidP="00827A2F">
            <w:pPr>
              <w:rPr>
                <w:sz w:val="18"/>
                <w:szCs w:val="18"/>
                <w:lang w:val="en-US"/>
              </w:rPr>
            </w:pPr>
            <w:r>
              <w:rPr>
                <w:sz w:val="18"/>
                <w:szCs w:val="18"/>
                <w:lang w:val="en-US"/>
              </w:rPr>
              <w:t>Sposato 2019</w:t>
            </w:r>
          </w:p>
          <w:p w14:paraId="7495B1CB" w14:textId="77777777" w:rsidR="00827A2F" w:rsidRDefault="00827A2F" w:rsidP="00827A2F">
            <w:pPr>
              <w:rPr>
                <w:sz w:val="18"/>
                <w:szCs w:val="18"/>
                <w:lang w:val="en-US"/>
              </w:rPr>
            </w:pPr>
            <w:r w:rsidRPr="00717E5A">
              <w:rPr>
                <w:sz w:val="18"/>
                <w:szCs w:val="18"/>
                <w:lang w:val="en-US"/>
              </w:rPr>
              <w:t>Higher blood eosinophil levels after omalizumab treatment associated with poorer asthma outcomes.</w:t>
            </w:r>
          </w:p>
          <w:p w14:paraId="2DD29DD3" w14:textId="77777777" w:rsidR="00827A2F" w:rsidRDefault="00827A2F" w:rsidP="00827A2F">
            <w:pPr>
              <w:rPr>
                <w:sz w:val="18"/>
                <w:szCs w:val="18"/>
                <w:lang w:val="en-US"/>
              </w:rPr>
            </w:pPr>
          </w:p>
          <w:p w14:paraId="7BFC8BDB" w14:textId="03FD82D8" w:rsidR="00827A2F" w:rsidRDefault="00827A2F" w:rsidP="00827A2F">
            <w:pPr>
              <w:rPr>
                <w:sz w:val="18"/>
                <w:szCs w:val="18"/>
                <w:lang w:val="en-US"/>
              </w:rPr>
            </w:pPr>
            <w:r>
              <w:rPr>
                <w:sz w:val="18"/>
                <w:szCs w:val="18"/>
                <w:lang w:val="en-US"/>
              </w:rPr>
              <w:t xml:space="preserve">Caminati 2016 RWE from NEO-NET: 32% drop-out rate due to patient decision </w:t>
            </w:r>
            <w:r>
              <w:rPr>
                <w:sz w:val="18"/>
                <w:szCs w:val="18"/>
                <w:lang w:val="en-US"/>
              </w:rPr>
              <w:lastRenderedPageBreak/>
              <w:t>or lack of efficacy</w:t>
            </w:r>
          </w:p>
        </w:tc>
        <w:tc>
          <w:tcPr>
            <w:tcW w:w="2552" w:type="dxa"/>
          </w:tcPr>
          <w:p w14:paraId="007D55C1" w14:textId="77777777" w:rsidR="00827A2F" w:rsidRDefault="00827A2F" w:rsidP="00827A2F">
            <w:pPr>
              <w:rPr>
                <w:sz w:val="18"/>
                <w:szCs w:val="18"/>
                <w:lang w:val="en-US"/>
              </w:rPr>
            </w:pPr>
            <w:r>
              <w:rPr>
                <w:sz w:val="18"/>
                <w:szCs w:val="18"/>
                <w:lang w:val="en-US"/>
              </w:rPr>
              <w:lastRenderedPageBreak/>
              <w:t>Lombardi 2019</w:t>
            </w:r>
          </w:p>
          <w:p w14:paraId="634F842F" w14:textId="77777777" w:rsidR="00827A2F" w:rsidRDefault="00827A2F" w:rsidP="00827A2F">
            <w:pPr>
              <w:rPr>
                <w:sz w:val="18"/>
                <w:szCs w:val="18"/>
                <w:lang w:val="en-US"/>
              </w:rPr>
            </w:pPr>
            <w:r>
              <w:rPr>
                <w:sz w:val="18"/>
                <w:szCs w:val="18"/>
                <w:lang w:val="en-US"/>
              </w:rPr>
              <w:t xml:space="preserve">4.2 % discontinuation rate in RWE, only 1 case for AE </w:t>
            </w:r>
          </w:p>
          <w:p w14:paraId="7C8EEC51" w14:textId="77777777" w:rsidR="00827A2F" w:rsidRDefault="00827A2F" w:rsidP="00827A2F">
            <w:pPr>
              <w:rPr>
                <w:sz w:val="18"/>
                <w:szCs w:val="18"/>
                <w:lang w:val="en-US"/>
              </w:rPr>
            </w:pPr>
          </w:p>
          <w:p w14:paraId="728AB01B" w14:textId="120CE4A7" w:rsidR="00827A2F" w:rsidRDefault="00827A2F" w:rsidP="00827A2F">
            <w:pPr>
              <w:rPr>
                <w:sz w:val="18"/>
                <w:szCs w:val="18"/>
                <w:lang w:val="en-US"/>
              </w:rPr>
            </w:pPr>
            <w:r>
              <w:rPr>
                <w:sz w:val="18"/>
                <w:szCs w:val="18"/>
                <w:lang w:val="en-US"/>
              </w:rPr>
              <w:t xml:space="preserve">Cormier </w:t>
            </w:r>
            <w:proofErr w:type="gramStart"/>
            <w:r>
              <w:rPr>
                <w:sz w:val="18"/>
                <w:szCs w:val="18"/>
                <w:lang w:val="en-US"/>
              </w:rPr>
              <w:t>2019;  2</w:t>
            </w:r>
            <w:proofErr w:type="gramEnd"/>
            <w:r>
              <w:rPr>
                <w:sz w:val="18"/>
                <w:szCs w:val="18"/>
                <w:lang w:val="en-US"/>
              </w:rPr>
              <w:t xml:space="preserve"> case reports of loss of efficacy after </w:t>
            </w:r>
            <w:r w:rsidRPr="001E3E9C">
              <w:rPr>
                <w:sz w:val="18"/>
                <w:szCs w:val="18"/>
                <w:lang w:val="en-US"/>
              </w:rPr>
              <w:t>several</w:t>
            </w:r>
            <w:r>
              <w:rPr>
                <w:sz w:val="18"/>
                <w:szCs w:val="18"/>
                <w:lang w:val="en-US"/>
              </w:rPr>
              <w:t xml:space="preserve"> </w:t>
            </w:r>
            <w:r w:rsidRPr="001E3E9C">
              <w:rPr>
                <w:sz w:val="18"/>
                <w:szCs w:val="18"/>
                <w:lang w:val="en-US"/>
              </w:rPr>
              <w:t xml:space="preserve">months or years of effective treatment. </w:t>
            </w:r>
            <w:r>
              <w:rPr>
                <w:sz w:val="18"/>
                <w:szCs w:val="18"/>
                <w:lang w:val="en-US"/>
              </w:rPr>
              <w:t>L</w:t>
            </w:r>
            <w:r w:rsidRPr="001E3E9C">
              <w:rPr>
                <w:sz w:val="18"/>
                <w:szCs w:val="18"/>
                <w:lang w:val="en-US"/>
              </w:rPr>
              <w:t>oss of</w:t>
            </w:r>
            <w:r>
              <w:rPr>
                <w:sz w:val="18"/>
                <w:szCs w:val="18"/>
                <w:lang w:val="en-US"/>
              </w:rPr>
              <w:t xml:space="preserve"> </w:t>
            </w:r>
            <w:r w:rsidRPr="001E3E9C">
              <w:rPr>
                <w:sz w:val="18"/>
                <w:szCs w:val="18"/>
                <w:lang w:val="en-US"/>
              </w:rPr>
              <w:t>response is associated with recurrence of airway</w:t>
            </w:r>
            <w:r>
              <w:rPr>
                <w:sz w:val="18"/>
                <w:szCs w:val="18"/>
                <w:lang w:val="en-US"/>
              </w:rPr>
              <w:t xml:space="preserve"> </w:t>
            </w:r>
            <w:r w:rsidRPr="001E3E9C">
              <w:rPr>
                <w:sz w:val="18"/>
                <w:szCs w:val="18"/>
                <w:lang w:val="en-US"/>
              </w:rPr>
              <w:t>eosinophilia.</w:t>
            </w:r>
          </w:p>
        </w:tc>
        <w:tc>
          <w:tcPr>
            <w:tcW w:w="3118" w:type="dxa"/>
          </w:tcPr>
          <w:p w14:paraId="2C7C20BE" w14:textId="747A4396" w:rsidR="00827A2F" w:rsidRDefault="00827A2F" w:rsidP="00827A2F">
            <w:pPr>
              <w:rPr>
                <w:sz w:val="18"/>
                <w:szCs w:val="18"/>
                <w:lang w:val="en-US"/>
              </w:rPr>
            </w:pPr>
            <w:r>
              <w:rPr>
                <w:sz w:val="18"/>
                <w:szCs w:val="18"/>
                <w:lang w:val="en-US"/>
              </w:rPr>
              <w:t>ACQ and FEV1</w:t>
            </w:r>
          </w:p>
        </w:tc>
      </w:tr>
      <w:tr w:rsidR="00827A2F" w:rsidRPr="00F22C2E" w14:paraId="00BE25A0" w14:textId="77777777" w:rsidTr="00827A2F">
        <w:tc>
          <w:tcPr>
            <w:tcW w:w="1296" w:type="dxa"/>
            <w:shd w:val="clear" w:color="auto" w:fill="FFC000"/>
          </w:tcPr>
          <w:p w14:paraId="05216049" w14:textId="77777777" w:rsidR="00827A2F" w:rsidRPr="00F22C2E" w:rsidRDefault="00827A2F" w:rsidP="00827A2F">
            <w:pPr>
              <w:rPr>
                <w:sz w:val="18"/>
                <w:szCs w:val="18"/>
                <w:lang w:val="en-US"/>
              </w:rPr>
            </w:pPr>
          </w:p>
        </w:tc>
        <w:tc>
          <w:tcPr>
            <w:tcW w:w="1818" w:type="dxa"/>
            <w:shd w:val="clear" w:color="auto" w:fill="FFC000"/>
          </w:tcPr>
          <w:p w14:paraId="06B91722" w14:textId="2F040496" w:rsidR="00827A2F" w:rsidRPr="00F22C2E" w:rsidRDefault="00827A2F" w:rsidP="00827A2F">
            <w:pPr>
              <w:rPr>
                <w:sz w:val="18"/>
                <w:szCs w:val="18"/>
                <w:lang w:val="en-US"/>
              </w:rPr>
            </w:pPr>
            <w:r w:rsidRPr="00F22C2E">
              <w:rPr>
                <w:sz w:val="18"/>
                <w:szCs w:val="18"/>
                <w:lang w:val="en-US"/>
              </w:rPr>
              <w:t>Benralizumab</w:t>
            </w:r>
          </w:p>
        </w:tc>
        <w:tc>
          <w:tcPr>
            <w:tcW w:w="1701" w:type="dxa"/>
            <w:shd w:val="clear" w:color="auto" w:fill="FFC000"/>
          </w:tcPr>
          <w:p w14:paraId="47CB3952" w14:textId="66E55263" w:rsidR="00827A2F" w:rsidRPr="00F22C2E" w:rsidRDefault="00827A2F" w:rsidP="00827A2F">
            <w:pPr>
              <w:rPr>
                <w:sz w:val="18"/>
                <w:szCs w:val="18"/>
                <w:lang w:val="en-US"/>
              </w:rPr>
            </w:pPr>
            <w:r w:rsidRPr="00F22C2E">
              <w:rPr>
                <w:sz w:val="18"/>
                <w:szCs w:val="18"/>
                <w:lang w:val="en-US"/>
              </w:rPr>
              <w:t>Dupilumab</w:t>
            </w:r>
          </w:p>
        </w:tc>
        <w:tc>
          <w:tcPr>
            <w:tcW w:w="1417" w:type="dxa"/>
            <w:shd w:val="clear" w:color="auto" w:fill="FFC000"/>
          </w:tcPr>
          <w:p w14:paraId="4627F855" w14:textId="2F914E1E" w:rsidR="00827A2F" w:rsidRPr="00F22C2E" w:rsidRDefault="00827A2F" w:rsidP="00827A2F">
            <w:pPr>
              <w:rPr>
                <w:sz w:val="18"/>
                <w:szCs w:val="18"/>
                <w:lang w:val="en-US"/>
              </w:rPr>
            </w:pPr>
            <w:r w:rsidRPr="00F22C2E">
              <w:rPr>
                <w:sz w:val="18"/>
                <w:szCs w:val="18"/>
                <w:lang w:val="en-US"/>
              </w:rPr>
              <w:t>Omalizumab</w:t>
            </w:r>
          </w:p>
        </w:tc>
        <w:tc>
          <w:tcPr>
            <w:tcW w:w="2552" w:type="dxa"/>
            <w:shd w:val="clear" w:color="auto" w:fill="FFC000"/>
          </w:tcPr>
          <w:p w14:paraId="19C11D83" w14:textId="13AC8CA6" w:rsidR="00827A2F" w:rsidRPr="00F22C2E" w:rsidRDefault="00827A2F" w:rsidP="00827A2F">
            <w:pPr>
              <w:rPr>
                <w:sz w:val="18"/>
                <w:szCs w:val="18"/>
                <w:lang w:val="en-US"/>
              </w:rPr>
            </w:pPr>
            <w:r w:rsidRPr="00F22C2E">
              <w:rPr>
                <w:sz w:val="18"/>
                <w:szCs w:val="18"/>
                <w:lang w:val="en-US"/>
              </w:rPr>
              <w:t>Mepolizumab</w:t>
            </w:r>
          </w:p>
        </w:tc>
        <w:tc>
          <w:tcPr>
            <w:tcW w:w="3118" w:type="dxa"/>
            <w:shd w:val="clear" w:color="auto" w:fill="FFC000"/>
          </w:tcPr>
          <w:p w14:paraId="0B01EA84" w14:textId="117FD0E0" w:rsidR="00827A2F" w:rsidRPr="00F22C2E" w:rsidRDefault="00827A2F" w:rsidP="00827A2F">
            <w:pPr>
              <w:rPr>
                <w:sz w:val="18"/>
                <w:szCs w:val="18"/>
                <w:lang w:val="en-US"/>
              </w:rPr>
            </w:pPr>
            <w:r w:rsidRPr="00F22C2E">
              <w:rPr>
                <w:sz w:val="18"/>
                <w:szCs w:val="18"/>
                <w:lang w:val="en-US"/>
              </w:rPr>
              <w:t>Reslizumab</w:t>
            </w:r>
          </w:p>
        </w:tc>
      </w:tr>
      <w:tr w:rsidR="00827A2F" w:rsidRPr="00F22C2E" w14:paraId="4A0838BC" w14:textId="77777777" w:rsidTr="00827A2F">
        <w:tc>
          <w:tcPr>
            <w:tcW w:w="1296" w:type="dxa"/>
          </w:tcPr>
          <w:p w14:paraId="19B62B7E" w14:textId="77777777" w:rsidR="00827A2F" w:rsidRPr="00F22C2E" w:rsidRDefault="00827A2F" w:rsidP="00827A2F">
            <w:pPr>
              <w:rPr>
                <w:sz w:val="18"/>
                <w:szCs w:val="18"/>
                <w:lang w:val="en-US"/>
              </w:rPr>
            </w:pPr>
            <w:r w:rsidRPr="00F22C2E">
              <w:rPr>
                <w:sz w:val="18"/>
                <w:szCs w:val="18"/>
                <w:lang w:val="en-US"/>
              </w:rPr>
              <w:t>Switching rules</w:t>
            </w:r>
          </w:p>
        </w:tc>
        <w:tc>
          <w:tcPr>
            <w:tcW w:w="1818" w:type="dxa"/>
          </w:tcPr>
          <w:p w14:paraId="4830C8EE" w14:textId="77777777" w:rsidR="00827A2F" w:rsidRDefault="00827A2F" w:rsidP="00827A2F">
            <w:pPr>
              <w:rPr>
                <w:sz w:val="18"/>
                <w:szCs w:val="18"/>
                <w:lang w:val="en-US"/>
              </w:rPr>
            </w:pPr>
            <w:r>
              <w:rPr>
                <w:sz w:val="18"/>
                <w:szCs w:val="18"/>
                <w:lang w:val="en-US"/>
              </w:rPr>
              <w:t xml:space="preserve">Matsuno, </w:t>
            </w:r>
            <w:r w:rsidRPr="001E3E9C">
              <w:rPr>
                <w:sz w:val="18"/>
                <w:szCs w:val="18"/>
                <w:lang w:val="en-US"/>
              </w:rPr>
              <w:t>Respir Med Case Rep. 2019 Jul 9;28:100899.</w:t>
            </w:r>
          </w:p>
          <w:p w14:paraId="29335A49" w14:textId="12993585" w:rsidR="00827A2F" w:rsidRDefault="00827A2F" w:rsidP="00827A2F">
            <w:pPr>
              <w:rPr>
                <w:sz w:val="18"/>
                <w:szCs w:val="18"/>
                <w:lang w:val="en-US"/>
              </w:rPr>
            </w:pPr>
            <w:r w:rsidRPr="001E3E9C">
              <w:rPr>
                <w:sz w:val="18"/>
                <w:szCs w:val="18"/>
                <w:lang w:val="en-US"/>
              </w:rPr>
              <w:t xml:space="preserve">three </w:t>
            </w:r>
            <w:r>
              <w:rPr>
                <w:sz w:val="18"/>
                <w:szCs w:val="18"/>
                <w:lang w:val="en-US"/>
              </w:rPr>
              <w:t>case reports</w:t>
            </w:r>
            <w:r w:rsidRPr="001E3E9C">
              <w:rPr>
                <w:sz w:val="18"/>
                <w:szCs w:val="18"/>
                <w:lang w:val="en-US"/>
              </w:rPr>
              <w:t xml:space="preserve"> whose asthma symptoms were rapidly improved by benralizumab following favorable response to mepolizumab. Benralizumab-induced eosinophil depletion contributed to clinical improvement of severe asthma after mepolizumab-induced eosinophil reduction; thus, prior favorable responses to mepolizumab may predict benralizumab efficacy.</w:t>
            </w:r>
          </w:p>
        </w:tc>
        <w:tc>
          <w:tcPr>
            <w:tcW w:w="1701" w:type="dxa"/>
          </w:tcPr>
          <w:p w14:paraId="1BE6F821" w14:textId="77777777" w:rsidR="00827A2F" w:rsidRDefault="00827A2F" w:rsidP="00827A2F">
            <w:pPr>
              <w:rPr>
                <w:sz w:val="18"/>
                <w:szCs w:val="18"/>
                <w:lang w:val="en-US"/>
              </w:rPr>
            </w:pPr>
          </w:p>
        </w:tc>
        <w:tc>
          <w:tcPr>
            <w:tcW w:w="1417" w:type="dxa"/>
          </w:tcPr>
          <w:p w14:paraId="5E7C82A9" w14:textId="77777777" w:rsidR="00827A2F" w:rsidRDefault="00827A2F" w:rsidP="00827A2F">
            <w:pPr>
              <w:rPr>
                <w:sz w:val="18"/>
                <w:szCs w:val="18"/>
                <w:lang w:val="en-US"/>
              </w:rPr>
            </w:pPr>
          </w:p>
        </w:tc>
        <w:tc>
          <w:tcPr>
            <w:tcW w:w="2552" w:type="dxa"/>
          </w:tcPr>
          <w:p w14:paraId="5D9C75B3" w14:textId="77777777" w:rsidR="00827A2F" w:rsidRDefault="00827A2F" w:rsidP="00827A2F">
            <w:pPr>
              <w:rPr>
                <w:sz w:val="18"/>
                <w:szCs w:val="18"/>
                <w:lang w:val="en-US"/>
              </w:rPr>
            </w:pPr>
            <w:r>
              <w:rPr>
                <w:sz w:val="18"/>
                <w:szCs w:val="18"/>
                <w:lang w:val="en-US"/>
              </w:rPr>
              <w:t>Chapman 2019: non-responders to oma- switched to mepo -: 62% reduction in exacerbation rate and improvement in ACQ and SGRQ</w:t>
            </w:r>
          </w:p>
          <w:p w14:paraId="565C331C" w14:textId="77777777" w:rsidR="00827A2F" w:rsidRDefault="00827A2F" w:rsidP="00827A2F">
            <w:pPr>
              <w:rPr>
                <w:sz w:val="18"/>
                <w:szCs w:val="18"/>
                <w:lang w:val="en-US"/>
              </w:rPr>
            </w:pPr>
            <w:r>
              <w:rPr>
                <w:sz w:val="18"/>
                <w:szCs w:val="18"/>
                <w:lang w:val="en-US"/>
              </w:rPr>
              <w:t>Bagnasco 2019, non-responders to oma switched to mepo: - 81% decrease in exac rate and improve in FEV1, ACT, decrease in OCS</w:t>
            </w:r>
          </w:p>
          <w:p w14:paraId="2A21A645" w14:textId="77777777" w:rsidR="00827A2F" w:rsidRDefault="00827A2F" w:rsidP="00827A2F">
            <w:pPr>
              <w:rPr>
                <w:sz w:val="18"/>
                <w:szCs w:val="18"/>
                <w:lang w:val="en-US"/>
              </w:rPr>
            </w:pPr>
          </w:p>
          <w:p w14:paraId="347735AE" w14:textId="77777777" w:rsidR="00827A2F" w:rsidRDefault="00827A2F" w:rsidP="00827A2F">
            <w:pPr>
              <w:rPr>
                <w:sz w:val="18"/>
                <w:szCs w:val="18"/>
                <w:lang w:val="en-US"/>
              </w:rPr>
            </w:pPr>
          </w:p>
        </w:tc>
        <w:tc>
          <w:tcPr>
            <w:tcW w:w="3118" w:type="dxa"/>
          </w:tcPr>
          <w:p w14:paraId="6F7CCCC2" w14:textId="77777777" w:rsidR="00827A2F" w:rsidRDefault="00827A2F" w:rsidP="00827A2F">
            <w:pPr>
              <w:rPr>
                <w:sz w:val="18"/>
                <w:szCs w:val="18"/>
                <w:lang w:val="en-US"/>
              </w:rPr>
            </w:pPr>
            <w:r w:rsidRPr="00296F9D">
              <w:rPr>
                <w:sz w:val="18"/>
                <w:szCs w:val="18"/>
                <w:lang w:val="en-US"/>
              </w:rPr>
              <w:t>Mukherjee, Am J Respir Crit Care Med. 2018;197(1):38-46</w:t>
            </w:r>
          </w:p>
          <w:p w14:paraId="21C80ED6" w14:textId="77777777" w:rsidR="00827A2F" w:rsidRDefault="00827A2F" w:rsidP="00827A2F">
            <w:pPr>
              <w:rPr>
                <w:sz w:val="18"/>
                <w:szCs w:val="18"/>
                <w:lang w:val="en-US"/>
              </w:rPr>
            </w:pPr>
            <w:r w:rsidRPr="00243731">
              <w:rPr>
                <w:sz w:val="18"/>
                <w:szCs w:val="18"/>
                <w:lang w:val="en-US"/>
              </w:rPr>
              <w:t>Weight-adjusted IV reslizumab was superior to fixed-dose SC mepo</w:t>
            </w:r>
            <w:r>
              <w:rPr>
                <w:sz w:val="18"/>
                <w:szCs w:val="18"/>
                <w:lang w:val="en-US"/>
              </w:rPr>
              <w:t>-</w:t>
            </w:r>
            <w:r w:rsidRPr="00243731">
              <w:rPr>
                <w:sz w:val="18"/>
                <w:szCs w:val="18"/>
                <w:lang w:val="en-US"/>
              </w:rPr>
              <w:t xml:space="preserve"> in attenuating airway eosinophilia in prednisone-dependent patients with asthma, with associated improvement in asthma control.</w:t>
            </w:r>
          </w:p>
          <w:p w14:paraId="12EDF200" w14:textId="77777777" w:rsidR="00827A2F" w:rsidRDefault="00827A2F" w:rsidP="00827A2F">
            <w:pPr>
              <w:rPr>
                <w:sz w:val="18"/>
                <w:szCs w:val="18"/>
                <w:lang w:val="en-US"/>
              </w:rPr>
            </w:pPr>
          </w:p>
          <w:p w14:paraId="4D699DB3" w14:textId="77777777" w:rsidR="00827A2F" w:rsidRDefault="00827A2F" w:rsidP="00827A2F">
            <w:pPr>
              <w:rPr>
                <w:sz w:val="18"/>
                <w:szCs w:val="18"/>
                <w:lang w:val="en-US"/>
              </w:rPr>
            </w:pPr>
            <w:r w:rsidRPr="00736A67">
              <w:rPr>
                <w:sz w:val="18"/>
                <w:szCs w:val="18"/>
                <w:lang w:val="en-US"/>
              </w:rPr>
              <w:t>Pérez de Llano</w:t>
            </w:r>
            <w:r>
              <w:rPr>
                <w:sz w:val="18"/>
                <w:szCs w:val="18"/>
                <w:lang w:val="en-US"/>
              </w:rPr>
              <w:t xml:space="preserve"> 2019</w:t>
            </w:r>
          </w:p>
          <w:p w14:paraId="6AED87F6" w14:textId="67D3C29A" w:rsidR="00827A2F" w:rsidRDefault="00827A2F" w:rsidP="00827A2F">
            <w:pPr>
              <w:rPr>
                <w:sz w:val="18"/>
                <w:szCs w:val="18"/>
                <w:lang w:val="en-US"/>
              </w:rPr>
            </w:pPr>
            <w:r w:rsidRPr="00736A67">
              <w:rPr>
                <w:sz w:val="18"/>
                <w:szCs w:val="18"/>
                <w:lang w:val="en-US"/>
              </w:rPr>
              <w:t xml:space="preserve">weight-based intravenous </w:t>
            </w:r>
            <w:proofErr w:type="gramStart"/>
            <w:r w:rsidRPr="00736A67">
              <w:rPr>
                <w:sz w:val="18"/>
                <w:szCs w:val="18"/>
                <w:lang w:val="en-US"/>
              </w:rPr>
              <w:t>reslizumab  in</w:t>
            </w:r>
            <w:proofErr w:type="gramEnd"/>
            <w:r w:rsidRPr="00736A67">
              <w:rPr>
                <w:sz w:val="18"/>
                <w:szCs w:val="18"/>
                <w:lang w:val="en-US"/>
              </w:rPr>
              <w:t xml:space="preserve"> patients who have previously failed therapy with omalizumab</w:t>
            </w:r>
            <w:r>
              <w:rPr>
                <w:sz w:val="18"/>
                <w:szCs w:val="18"/>
                <w:lang w:val="en-US"/>
              </w:rPr>
              <w:t>: improved ACT, decreased exacerbations and OCS</w:t>
            </w:r>
          </w:p>
        </w:tc>
      </w:tr>
      <w:tr w:rsidR="00827A2F" w:rsidRPr="00F22C2E" w14:paraId="66EDF9B5" w14:textId="77777777" w:rsidTr="00827A2F">
        <w:tc>
          <w:tcPr>
            <w:tcW w:w="1296" w:type="dxa"/>
            <w:shd w:val="clear" w:color="auto" w:fill="FFC000"/>
          </w:tcPr>
          <w:p w14:paraId="38754EDA" w14:textId="77777777" w:rsidR="00827A2F" w:rsidRPr="00F22C2E" w:rsidRDefault="00827A2F" w:rsidP="00827A2F">
            <w:pPr>
              <w:rPr>
                <w:sz w:val="18"/>
                <w:szCs w:val="18"/>
                <w:lang w:val="en-US"/>
              </w:rPr>
            </w:pPr>
          </w:p>
        </w:tc>
        <w:tc>
          <w:tcPr>
            <w:tcW w:w="1818" w:type="dxa"/>
            <w:shd w:val="clear" w:color="auto" w:fill="FFC000"/>
          </w:tcPr>
          <w:p w14:paraId="63144BE1" w14:textId="1AA6E7BD" w:rsidR="00827A2F" w:rsidRPr="00F22C2E" w:rsidRDefault="00827A2F" w:rsidP="00827A2F">
            <w:pPr>
              <w:rPr>
                <w:sz w:val="18"/>
                <w:szCs w:val="18"/>
                <w:lang w:val="en-US"/>
              </w:rPr>
            </w:pPr>
            <w:r w:rsidRPr="00F22C2E">
              <w:rPr>
                <w:sz w:val="18"/>
                <w:szCs w:val="18"/>
                <w:lang w:val="en-US"/>
              </w:rPr>
              <w:t>Benralizumab</w:t>
            </w:r>
          </w:p>
        </w:tc>
        <w:tc>
          <w:tcPr>
            <w:tcW w:w="1701" w:type="dxa"/>
            <w:shd w:val="clear" w:color="auto" w:fill="FFC000"/>
          </w:tcPr>
          <w:p w14:paraId="07DA68DA" w14:textId="069687F8" w:rsidR="00827A2F" w:rsidRPr="00F22C2E" w:rsidRDefault="00827A2F" w:rsidP="00827A2F">
            <w:pPr>
              <w:rPr>
                <w:sz w:val="18"/>
                <w:szCs w:val="18"/>
                <w:lang w:val="en-US"/>
              </w:rPr>
            </w:pPr>
            <w:r w:rsidRPr="00F22C2E">
              <w:rPr>
                <w:sz w:val="18"/>
                <w:szCs w:val="18"/>
                <w:lang w:val="en-US"/>
              </w:rPr>
              <w:t>Dupilumab</w:t>
            </w:r>
          </w:p>
        </w:tc>
        <w:tc>
          <w:tcPr>
            <w:tcW w:w="1417" w:type="dxa"/>
            <w:shd w:val="clear" w:color="auto" w:fill="FFC000"/>
          </w:tcPr>
          <w:p w14:paraId="40B6A86B" w14:textId="746EB0D5" w:rsidR="00827A2F" w:rsidRPr="00F22C2E" w:rsidRDefault="00827A2F" w:rsidP="00827A2F">
            <w:pPr>
              <w:rPr>
                <w:sz w:val="18"/>
                <w:szCs w:val="18"/>
                <w:lang w:val="en-US"/>
              </w:rPr>
            </w:pPr>
            <w:r w:rsidRPr="00F22C2E">
              <w:rPr>
                <w:sz w:val="18"/>
                <w:szCs w:val="18"/>
                <w:lang w:val="en-US"/>
              </w:rPr>
              <w:t>Omalizumab</w:t>
            </w:r>
          </w:p>
        </w:tc>
        <w:tc>
          <w:tcPr>
            <w:tcW w:w="2552" w:type="dxa"/>
            <w:shd w:val="clear" w:color="auto" w:fill="FFC000"/>
          </w:tcPr>
          <w:p w14:paraId="7C06B251" w14:textId="67F46A86" w:rsidR="00827A2F" w:rsidRPr="00F22C2E" w:rsidRDefault="00827A2F" w:rsidP="00827A2F">
            <w:pPr>
              <w:rPr>
                <w:sz w:val="18"/>
                <w:szCs w:val="18"/>
                <w:lang w:val="en-US"/>
              </w:rPr>
            </w:pPr>
            <w:r w:rsidRPr="00F22C2E">
              <w:rPr>
                <w:sz w:val="18"/>
                <w:szCs w:val="18"/>
                <w:lang w:val="en-US"/>
              </w:rPr>
              <w:t>Mepolizumab</w:t>
            </w:r>
          </w:p>
        </w:tc>
        <w:tc>
          <w:tcPr>
            <w:tcW w:w="3118" w:type="dxa"/>
            <w:shd w:val="clear" w:color="auto" w:fill="FFC000"/>
          </w:tcPr>
          <w:p w14:paraId="69ABA3A7" w14:textId="41DD8156" w:rsidR="00827A2F" w:rsidRPr="00F22C2E" w:rsidRDefault="00827A2F" w:rsidP="00827A2F">
            <w:pPr>
              <w:rPr>
                <w:sz w:val="18"/>
                <w:szCs w:val="18"/>
                <w:lang w:val="en-US"/>
              </w:rPr>
            </w:pPr>
            <w:r w:rsidRPr="00F22C2E">
              <w:rPr>
                <w:sz w:val="18"/>
                <w:szCs w:val="18"/>
                <w:lang w:val="en-US"/>
              </w:rPr>
              <w:t>Reslizumab</w:t>
            </w:r>
          </w:p>
        </w:tc>
      </w:tr>
      <w:tr w:rsidR="00827A2F" w:rsidRPr="00F22C2E" w14:paraId="337A4EDE" w14:textId="77777777" w:rsidTr="00827A2F">
        <w:tc>
          <w:tcPr>
            <w:tcW w:w="1296" w:type="dxa"/>
          </w:tcPr>
          <w:p w14:paraId="529189A5" w14:textId="77777777" w:rsidR="00827A2F" w:rsidRPr="00F22C2E" w:rsidRDefault="00827A2F" w:rsidP="00827A2F">
            <w:pPr>
              <w:rPr>
                <w:sz w:val="18"/>
                <w:szCs w:val="18"/>
                <w:lang w:val="en-US"/>
              </w:rPr>
            </w:pPr>
            <w:r w:rsidRPr="00F22C2E">
              <w:rPr>
                <w:sz w:val="18"/>
                <w:szCs w:val="18"/>
                <w:lang w:val="en-US"/>
              </w:rPr>
              <w:t>Defining efficacy</w:t>
            </w:r>
          </w:p>
        </w:tc>
        <w:tc>
          <w:tcPr>
            <w:tcW w:w="1818" w:type="dxa"/>
          </w:tcPr>
          <w:p w14:paraId="1FAAF1E6" w14:textId="77777777" w:rsidR="00827A2F" w:rsidRDefault="00827A2F" w:rsidP="00827A2F">
            <w:pPr>
              <w:rPr>
                <w:sz w:val="18"/>
                <w:szCs w:val="18"/>
                <w:lang w:val="en-US"/>
              </w:rPr>
            </w:pPr>
          </w:p>
        </w:tc>
        <w:tc>
          <w:tcPr>
            <w:tcW w:w="1701" w:type="dxa"/>
          </w:tcPr>
          <w:p w14:paraId="353E8429" w14:textId="77777777" w:rsidR="00827A2F" w:rsidRDefault="00827A2F" w:rsidP="00827A2F">
            <w:pPr>
              <w:rPr>
                <w:sz w:val="18"/>
                <w:szCs w:val="18"/>
                <w:lang w:val="en-US"/>
              </w:rPr>
            </w:pPr>
          </w:p>
        </w:tc>
        <w:tc>
          <w:tcPr>
            <w:tcW w:w="1417" w:type="dxa"/>
          </w:tcPr>
          <w:p w14:paraId="5582D6B6" w14:textId="77777777" w:rsidR="00827A2F" w:rsidRDefault="00827A2F" w:rsidP="00827A2F">
            <w:pPr>
              <w:rPr>
                <w:sz w:val="18"/>
                <w:szCs w:val="18"/>
                <w:lang w:val="en-US"/>
              </w:rPr>
            </w:pPr>
            <w:r>
              <w:rPr>
                <w:sz w:val="18"/>
                <w:szCs w:val="18"/>
                <w:lang w:val="en-US"/>
              </w:rPr>
              <w:t>Bousquet 2014 GETE</w:t>
            </w:r>
          </w:p>
          <w:p w14:paraId="1773DD5C" w14:textId="77777777" w:rsidR="00827A2F" w:rsidRDefault="00827A2F" w:rsidP="00827A2F">
            <w:pPr>
              <w:rPr>
                <w:sz w:val="18"/>
                <w:szCs w:val="18"/>
                <w:lang w:val="en-US"/>
              </w:rPr>
            </w:pPr>
          </w:p>
          <w:p w14:paraId="52FFD2B6" w14:textId="77777777" w:rsidR="00827A2F" w:rsidRDefault="00827A2F" w:rsidP="00827A2F">
            <w:pPr>
              <w:rPr>
                <w:sz w:val="18"/>
                <w:szCs w:val="18"/>
                <w:lang w:val="en-US"/>
              </w:rPr>
            </w:pPr>
            <w:r>
              <w:rPr>
                <w:sz w:val="18"/>
                <w:szCs w:val="18"/>
                <w:lang w:val="en-US"/>
              </w:rPr>
              <w:t>Paganin 2017</w:t>
            </w:r>
          </w:p>
          <w:p w14:paraId="3B43641D" w14:textId="77777777" w:rsidR="00827A2F" w:rsidRDefault="00827A2F" w:rsidP="00827A2F">
            <w:pPr>
              <w:rPr>
                <w:sz w:val="18"/>
                <w:szCs w:val="18"/>
                <w:lang w:val="en-US"/>
              </w:rPr>
            </w:pPr>
            <w:r w:rsidRPr="006837F8">
              <w:rPr>
                <w:sz w:val="18"/>
                <w:szCs w:val="18"/>
                <w:lang w:val="en-US"/>
              </w:rPr>
              <w:t>FEV1</w:t>
            </w:r>
            <w:r>
              <w:rPr>
                <w:sz w:val="18"/>
                <w:szCs w:val="18"/>
                <w:lang w:val="en-US"/>
              </w:rPr>
              <w:t>,</w:t>
            </w:r>
            <w:r w:rsidRPr="006837F8">
              <w:rPr>
                <w:sz w:val="18"/>
                <w:szCs w:val="18"/>
                <w:lang w:val="en-US"/>
              </w:rPr>
              <w:t xml:space="preserve"> RV and RV/TLC improved at 6 months in </w:t>
            </w:r>
            <w:proofErr w:type="gramStart"/>
            <w:r w:rsidRPr="006837F8">
              <w:rPr>
                <w:sz w:val="18"/>
                <w:szCs w:val="18"/>
                <w:lang w:val="en-US"/>
              </w:rPr>
              <w:t>responder</w:t>
            </w:r>
            <w:r>
              <w:rPr>
                <w:sz w:val="18"/>
                <w:szCs w:val="18"/>
                <w:lang w:val="en-US"/>
              </w:rPr>
              <w:t>s</w:t>
            </w:r>
            <w:proofErr w:type="gramEnd"/>
            <w:r w:rsidRPr="006837F8">
              <w:rPr>
                <w:sz w:val="18"/>
                <w:szCs w:val="18"/>
                <w:lang w:val="en-US"/>
              </w:rPr>
              <w:t xml:space="preserve"> patients and then remained stable for 2 years. </w:t>
            </w:r>
          </w:p>
          <w:p w14:paraId="236477C4" w14:textId="77777777" w:rsidR="00827A2F" w:rsidRDefault="00827A2F" w:rsidP="00827A2F">
            <w:pPr>
              <w:rPr>
                <w:sz w:val="18"/>
                <w:szCs w:val="18"/>
                <w:lang w:val="en-US"/>
              </w:rPr>
            </w:pPr>
          </w:p>
          <w:p w14:paraId="60535BC4" w14:textId="77777777" w:rsidR="00827A2F" w:rsidRDefault="00827A2F" w:rsidP="00827A2F">
            <w:pPr>
              <w:rPr>
                <w:sz w:val="18"/>
                <w:szCs w:val="18"/>
                <w:lang w:val="en-US"/>
              </w:rPr>
            </w:pPr>
            <w:r>
              <w:rPr>
                <w:sz w:val="18"/>
                <w:szCs w:val="18"/>
                <w:lang w:val="en-US"/>
              </w:rPr>
              <w:t xml:space="preserve">Singh, </w:t>
            </w:r>
            <w:r w:rsidRPr="005C4DD4">
              <w:rPr>
                <w:sz w:val="18"/>
                <w:szCs w:val="18"/>
                <w:lang w:val="en-US"/>
              </w:rPr>
              <w:t xml:space="preserve">Ann Allergy Asthma Immunol. </w:t>
            </w:r>
            <w:r w:rsidRPr="005C4DD4">
              <w:rPr>
                <w:sz w:val="18"/>
                <w:szCs w:val="18"/>
                <w:lang w:val="en-US"/>
              </w:rPr>
              <w:lastRenderedPageBreak/>
              <w:t>2019;123(5):476-482</w:t>
            </w:r>
          </w:p>
          <w:p w14:paraId="78F44591" w14:textId="77777777" w:rsidR="00827A2F" w:rsidRDefault="00827A2F" w:rsidP="00827A2F">
            <w:pPr>
              <w:rPr>
                <w:sz w:val="18"/>
                <w:szCs w:val="18"/>
                <w:lang w:val="en-US"/>
              </w:rPr>
            </w:pPr>
            <w:r w:rsidRPr="005C4DD4">
              <w:rPr>
                <w:sz w:val="18"/>
                <w:szCs w:val="18"/>
                <w:lang w:val="en-US"/>
              </w:rPr>
              <w:t>The Standardized Measure to Assess Response to Therapy (SMART) tool</w:t>
            </w:r>
            <w:r>
              <w:rPr>
                <w:sz w:val="18"/>
                <w:szCs w:val="18"/>
                <w:lang w:val="en-US"/>
              </w:rPr>
              <w:t>; assessed in the REALITY study; real-life setting, long term (2004-2011);</w:t>
            </w:r>
          </w:p>
          <w:p w14:paraId="4E1DC3EF" w14:textId="77777777" w:rsidR="00827A2F" w:rsidRDefault="00827A2F" w:rsidP="00827A2F">
            <w:pPr>
              <w:rPr>
                <w:sz w:val="18"/>
                <w:szCs w:val="18"/>
                <w:lang w:val="en-US"/>
              </w:rPr>
            </w:pPr>
            <w:r w:rsidRPr="005C4DD4">
              <w:rPr>
                <w:sz w:val="18"/>
                <w:szCs w:val="18"/>
                <w:lang w:val="en-US"/>
              </w:rPr>
              <w:t>Response</w:t>
            </w:r>
            <w:r>
              <w:rPr>
                <w:sz w:val="18"/>
                <w:szCs w:val="18"/>
                <w:lang w:val="en-US"/>
              </w:rPr>
              <w:t xml:space="preserve"> evaluated</w:t>
            </w:r>
            <w:r w:rsidRPr="005C4DD4">
              <w:rPr>
                <w:sz w:val="18"/>
                <w:szCs w:val="18"/>
                <w:lang w:val="en-US"/>
              </w:rPr>
              <w:t xml:space="preserve"> 1 year before to after treatment by 3 modules: (1) physician's subjective assessment of symptoms and control; (2) objective assessment of 6 parameters: improvement by 50% or more for asthma exacerbation, steroid bursts, emergency department visits, and hospitalizations; increase in </w:t>
            </w:r>
            <w:r>
              <w:rPr>
                <w:sz w:val="18"/>
                <w:szCs w:val="18"/>
                <w:lang w:val="en-US"/>
              </w:rPr>
              <w:t>FEV1</w:t>
            </w:r>
            <w:r w:rsidRPr="005C4DD4">
              <w:rPr>
                <w:sz w:val="18"/>
                <w:szCs w:val="18"/>
                <w:lang w:val="en-US"/>
              </w:rPr>
              <w:t xml:space="preserve"> of 200 mL or greater; and improved Asthma Control Test score of 3 or higher; -and (3) true responders (patient meeting </w:t>
            </w:r>
            <w:r w:rsidRPr="005C4DD4">
              <w:rPr>
                <w:sz w:val="18"/>
                <w:szCs w:val="18"/>
                <w:lang w:val="en-US"/>
              </w:rPr>
              <w:lastRenderedPageBreak/>
              <w:t>both module 1 and 2 criteria).</w:t>
            </w:r>
          </w:p>
          <w:p w14:paraId="42085E3E" w14:textId="77777777" w:rsidR="00827A2F" w:rsidRDefault="00827A2F" w:rsidP="00827A2F">
            <w:pPr>
              <w:rPr>
                <w:sz w:val="18"/>
                <w:szCs w:val="18"/>
                <w:lang w:val="en-US"/>
              </w:rPr>
            </w:pPr>
          </w:p>
        </w:tc>
        <w:tc>
          <w:tcPr>
            <w:tcW w:w="2552" w:type="dxa"/>
          </w:tcPr>
          <w:p w14:paraId="26A77F22" w14:textId="77777777" w:rsidR="00827A2F" w:rsidRDefault="00827A2F" w:rsidP="00827A2F">
            <w:pPr>
              <w:rPr>
                <w:sz w:val="18"/>
                <w:szCs w:val="18"/>
                <w:lang w:val="en-US"/>
              </w:rPr>
            </w:pPr>
            <w:r>
              <w:rPr>
                <w:sz w:val="18"/>
                <w:szCs w:val="18"/>
                <w:lang w:val="en-US"/>
              </w:rPr>
              <w:lastRenderedPageBreak/>
              <w:t>Gunsoy 2029</w:t>
            </w:r>
          </w:p>
          <w:p w14:paraId="02C4F6C6" w14:textId="77777777" w:rsidR="00827A2F" w:rsidRDefault="00827A2F" w:rsidP="00827A2F">
            <w:pPr>
              <w:rPr>
                <w:sz w:val="18"/>
                <w:szCs w:val="18"/>
                <w:lang w:val="en-US"/>
              </w:rPr>
            </w:pPr>
            <w:r>
              <w:rPr>
                <w:sz w:val="18"/>
                <w:szCs w:val="18"/>
                <w:lang w:val="en-US"/>
              </w:rPr>
              <w:t>P</w:t>
            </w:r>
            <w:r w:rsidRPr="00027C5C">
              <w:rPr>
                <w:sz w:val="18"/>
                <w:szCs w:val="18"/>
                <w:lang w:val="en-US"/>
              </w:rPr>
              <w:t>redefined reduction in</w:t>
            </w:r>
            <w:r>
              <w:rPr>
                <w:sz w:val="18"/>
                <w:szCs w:val="18"/>
                <w:lang w:val="en-US"/>
              </w:rPr>
              <w:t>:</w:t>
            </w:r>
          </w:p>
          <w:p w14:paraId="593BBEFA" w14:textId="77777777" w:rsidR="00827A2F" w:rsidRPr="00383EC0" w:rsidRDefault="00827A2F" w:rsidP="00827A2F">
            <w:pPr>
              <w:rPr>
                <w:sz w:val="18"/>
                <w:szCs w:val="18"/>
                <w:lang w:val="en-US"/>
              </w:rPr>
            </w:pPr>
            <w:r w:rsidRPr="00383EC0">
              <w:rPr>
                <w:sz w:val="18"/>
                <w:szCs w:val="18"/>
                <w:lang w:val="en-US"/>
              </w:rPr>
              <w:t xml:space="preserve">long-term (previous year) exacerbation frequency </w:t>
            </w:r>
          </w:p>
          <w:p w14:paraId="641A6DBD" w14:textId="77777777" w:rsidR="00827A2F" w:rsidRPr="00383EC0" w:rsidRDefault="00827A2F" w:rsidP="00827A2F">
            <w:pPr>
              <w:rPr>
                <w:sz w:val="18"/>
                <w:szCs w:val="18"/>
                <w:lang w:val="en-US"/>
              </w:rPr>
            </w:pPr>
            <w:r w:rsidRPr="00383EC0">
              <w:rPr>
                <w:sz w:val="18"/>
                <w:szCs w:val="18"/>
                <w:lang w:val="en-US"/>
              </w:rPr>
              <w:t>OCS and ICS dose.</w:t>
            </w:r>
          </w:p>
          <w:p w14:paraId="64F0D23C" w14:textId="77777777" w:rsidR="00827A2F" w:rsidRPr="00383EC0" w:rsidRDefault="00827A2F" w:rsidP="00827A2F">
            <w:pPr>
              <w:rPr>
                <w:sz w:val="18"/>
                <w:szCs w:val="18"/>
                <w:lang w:val="en-US"/>
              </w:rPr>
            </w:pPr>
            <w:r w:rsidRPr="00383EC0">
              <w:rPr>
                <w:sz w:val="18"/>
                <w:szCs w:val="18"/>
                <w:lang w:val="en-US"/>
              </w:rPr>
              <w:t>ACQ</w:t>
            </w:r>
          </w:p>
          <w:p w14:paraId="05BE3B31" w14:textId="77777777" w:rsidR="00827A2F" w:rsidRPr="00383EC0" w:rsidRDefault="00827A2F" w:rsidP="00827A2F">
            <w:pPr>
              <w:rPr>
                <w:sz w:val="18"/>
                <w:szCs w:val="18"/>
                <w:lang w:val="en-US"/>
              </w:rPr>
            </w:pPr>
            <w:proofErr w:type="gramStart"/>
            <w:r w:rsidRPr="00383EC0">
              <w:rPr>
                <w:sz w:val="18"/>
                <w:szCs w:val="18"/>
                <w:lang w:val="en-US"/>
              </w:rPr>
              <w:t>?blood</w:t>
            </w:r>
            <w:proofErr w:type="gramEnd"/>
            <w:r w:rsidRPr="00383EC0">
              <w:rPr>
                <w:sz w:val="18"/>
                <w:szCs w:val="18"/>
                <w:lang w:val="en-US"/>
              </w:rPr>
              <w:t xml:space="preserve"> eos</w:t>
            </w:r>
          </w:p>
          <w:p w14:paraId="6DF16FC9" w14:textId="77777777" w:rsidR="00827A2F" w:rsidRDefault="00827A2F" w:rsidP="00827A2F">
            <w:pPr>
              <w:rPr>
                <w:sz w:val="18"/>
                <w:szCs w:val="18"/>
                <w:lang w:val="en-US"/>
              </w:rPr>
            </w:pPr>
            <w:r>
              <w:rPr>
                <w:sz w:val="18"/>
                <w:szCs w:val="18"/>
                <w:lang w:val="en-US"/>
              </w:rPr>
              <w:t>Predefined improvement in:</w:t>
            </w:r>
          </w:p>
          <w:p w14:paraId="625A5992" w14:textId="77777777" w:rsidR="00827A2F" w:rsidRPr="00383EC0" w:rsidRDefault="00827A2F" w:rsidP="00827A2F">
            <w:pPr>
              <w:rPr>
                <w:sz w:val="18"/>
                <w:szCs w:val="18"/>
                <w:lang w:val="en-US"/>
              </w:rPr>
            </w:pPr>
            <w:r w:rsidRPr="00383EC0">
              <w:rPr>
                <w:sz w:val="18"/>
                <w:szCs w:val="18"/>
                <w:lang w:val="en-US"/>
              </w:rPr>
              <w:t>FEV1 versus baseline</w:t>
            </w:r>
          </w:p>
          <w:p w14:paraId="3F2B1114" w14:textId="77777777" w:rsidR="00827A2F" w:rsidRDefault="00827A2F" w:rsidP="00827A2F">
            <w:pPr>
              <w:rPr>
                <w:sz w:val="18"/>
                <w:szCs w:val="18"/>
                <w:lang w:val="en-US"/>
              </w:rPr>
            </w:pPr>
            <w:r>
              <w:rPr>
                <w:sz w:val="18"/>
                <w:szCs w:val="18"/>
                <w:lang w:val="en-US"/>
              </w:rPr>
              <w:t>QoL</w:t>
            </w:r>
          </w:p>
          <w:p w14:paraId="723AFA57" w14:textId="77777777" w:rsidR="00827A2F" w:rsidRDefault="00827A2F" w:rsidP="00827A2F">
            <w:pPr>
              <w:rPr>
                <w:sz w:val="18"/>
                <w:szCs w:val="18"/>
                <w:lang w:val="en-US"/>
              </w:rPr>
            </w:pPr>
            <w:r>
              <w:rPr>
                <w:sz w:val="18"/>
                <w:szCs w:val="18"/>
                <w:lang w:val="en-US"/>
              </w:rPr>
              <w:t>Drick 2018: FEV1 improvement, patient subjective evaluation, decrease in eos</w:t>
            </w:r>
          </w:p>
          <w:p w14:paraId="5BA2BFC9" w14:textId="77777777" w:rsidR="00827A2F" w:rsidRDefault="00827A2F" w:rsidP="00827A2F">
            <w:pPr>
              <w:rPr>
                <w:sz w:val="18"/>
                <w:szCs w:val="18"/>
                <w:lang w:val="en-US"/>
              </w:rPr>
            </w:pPr>
          </w:p>
          <w:p w14:paraId="0DA45651" w14:textId="77777777" w:rsidR="00827A2F" w:rsidRDefault="00827A2F" w:rsidP="00827A2F">
            <w:pPr>
              <w:rPr>
                <w:sz w:val="18"/>
                <w:szCs w:val="18"/>
                <w:lang w:val="en-US"/>
              </w:rPr>
            </w:pPr>
            <w:r>
              <w:rPr>
                <w:sz w:val="18"/>
                <w:szCs w:val="18"/>
                <w:lang w:val="en-US"/>
              </w:rPr>
              <w:t xml:space="preserve">Farah 2019; </w:t>
            </w:r>
            <w:r w:rsidRPr="006F6625">
              <w:rPr>
                <w:sz w:val="18"/>
                <w:szCs w:val="18"/>
                <w:lang w:val="en-US"/>
              </w:rPr>
              <w:t xml:space="preserve">early improvement in small airway function </w:t>
            </w:r>
            <w:r>
              <w:rPr>
                <w:sz w:val="18"/>
                <w:szCs w:val="18"/>
                <w:lang w:val="en-US"/>
              </w:rPr>
              <w:t xml:space="preserve">(Sacin) </w:t>
            </w:r>
            <w:r w:rsidRPr="006F6625">
              <w:rPr>
                <w:sz w:val="18"/>
                <w:szCs w:val="18"/>
                <w:lang w:val="en-US"/>
              </w:rPr>
              <w:t xml:space="preserve">was associated with asthma control and may be a significant </w:t>
            </w:r>
            <w:r w:rsidRPr="006F6625">
              <w:rPr>
                <w:sz w:val="18"/>
                <w:szCs w:val="18"/>
                <w:lang w:val="en-US"/>
              </w:rPr>
              <w:lastRenderedPageBreak/>
              <w:t>contributor to the therapeutic response.</w:t>
            </w:r>
          </w:p>
          <w:p w14:paraId="74902229" w14:textId="77777777" w:rsidR="00827A2F" w:rsidRDefault="00827A2F" w:rsidP="00827A2F">
            <w:pPr>
              <w:rPr>
                <w:sz w:val="18"/>
                <w:szCs w:val="18"/>
                <w:lang w:val="en-US"/>
              </w:rPr>
            </w:pPr>
          </w:p>
          <w:p w14:paraId="587B7CB3" w14:textId="77777777" w:rsidR="00827A2F" w:rsidRDefault="00827A2F" w:rsidP="00827A2F">
            <w:pPr>
              <w:rPr>
                <w:sz w:val="18"/>
                <w:szCs w:val="18"/>
                <w:lang w:val="en-US"/>
              </w:rPr>
            </w:pPr>
            <w:r>
              <w:rPr>
                <w:sz w:val="18"/>
                <w:szCs w:val="18"/>
                <w:lang w:val="en-US"/>
              </w:rPr>
              <w:t>Antonicelli, Allergy 2019</w:t>
            </w:r>
          </w:p>
          <w:p w14:paraId="4E585457" w14:textId="146BB7F8" w:rsidR="00827A2F" w:rsidRDefault="00827A2F" w:rsidP="00827A2F">
            <w:pPr>
              <w:rPr>
                <w:sz w:val="18"/>
                <w:szCs w:val="18"/>
                <w:lang w:val="en-US"/>
              </w:rPr>
            </w:pPr>
            <w:r w:rsidRPr="00631D1B">
              <w:rPr>
                <w:sz w:val="18"/>
                <w:szCs w:val="18"/>
                <w:lang w:val="en-US"/>
              </w:rPr>
              <w:t xml:space="preserve">Forced oscillation technique changes showed to correlate with both </w:t>
            </w:r>
            <w:proofErr w:type="gramStart"/>
            <w:r w:rsidRPr="00631D1B">
              <w:rPr>
                <w:sz w:val="18"/>
                <w:szCs w:val="18"/>
                <w:lang w:val="en-US"/>
              </w:rPr>
              <w:t>eosinophil</w:t>
            </w:r>
            <w:proofErr w:type="gramEnd"/>
            <w:r w:rsidRPr="00631D1B">
              <w:rPr>
                <w:sz w:val="18"/>
                <w:szCs w:val="18"/>
                <w:lang w:val="en-US"/>
              </w:rPr>
              <w:t xml:space="preserve"> counts and asthma control scores.</w:t>
            </w:r>
          </w:p>
        </w:tc>
        <w:tc>
          <w:tcPr>
            <w:tcW w:w="3118" w:type="dxa"/>
          </w:tcPr>
          <w:p w14:paraId="63E64044" w14:textId="69B78F97" w:rsidR="00827A2F" w:rsidRDefault="00827A2F" w:rsidP="00827A2F">
            <w:pPr>
              <w:rPr>
                <w:sz w:val="18"/>
                <w:szCs w:val="18"/>
                <w:lang w:val="en-US"/>
              </w:rPr>
            </w:pPr>
            <w:r>
              <w:rPr>
                <w:sz w:val="18"/>
                <w:szCs w:val="18"/>
                <w:lang w:val="en-US"/>
              </w:rPr>
              <w:lastRenderedPageBreak/>
              <w:t>Bateman 2016 ACQ and FEV1</w:t>
            </w:r>
          </w:p>
        </w:tc>
      </w:tr>
      <w:tr w:rsidR="00827A2F" w:rsidRPr="00F22C2E" w14:paraId="6CAE4944" w14:textId="77777777" w:rsidTr="00827A2F">
        <w:tc>
          <w:tcPr>
            <w:tcW w:w="1296" w:type="dxa"/>
            <w:shd w:val="clear" w:color="auto" w:fill="FFC000"/>
          </w:tcPr>
          <w:p w14:paraId="76306B45" w14:textId="77777777" w:rsidR="00827A2F" w:rsidRPr="00F22C2E" w:rsidRDefault="00827A2F" w:rsidP="00827A2F">
            <w:pPr>
              <w:rPr>
                <w:sz w:val="18"/>
                <w:szCs w:val="18"/>
                <w:lang w:val="en-US"/>
              </w:rPr>
            </w:pPr>
          </w:p>
        </w:tc>
        <w:tc>
          <w:tcPr>
            <w:tcW w:w="1818" w:type="dxa"/>
            <w:shd w:val="clear" w:color="auto" w:fill="FFC000"/>
          </w:tcPr>
          <w:p w14:paraId="5BE1FAA3" w14:textId="10150EE3" w:rsidR="00827A2F" w:rsidRPr="00F22C2E" w:rsidRDefault="00827A2F" w:rsidP="00827A2F">
            <w:pPr>
              <w:rPr>
                <w:sz w:val="18"/>
                <w:szCs w:val="18"/>
                <w:lang w:val="en-US"/>
              </w:rPr>
            </w:pPr>
            <w:r w:rsidRPr="00F22C2E">
              <w:rPr>
                <w:sz w:val="18"/>
                <w:szCs w:val="18"/>
                <w:lang w:val="en-US"/>
              </w:rPr>
              <w:t>Benralizumab</w:t>
            </w:r>
          </w:p>
        </w:tc>
        <w:tc>
          <w:tcPr>
            <w:tcW w:w="1701" w:type="dxa"/>
            <w:shd w:val="clear" w:color="auto" w:fill="FFC000"/>
          </w:tcPr>
          <w:p w14:paraId="33C8ADEB" w14:textId="57EAED10" w:rsidR="00827A2F" w:rsidRPr="00F22C2E" w:rsidRDefault="00827A2F" w:rsidP="00827A2F">
            <w:pPr>
              <w:rPr>
                <w:sz w:val="18"/>
                <w:szCs w:val="18"/>
                <w:lang w:val="en-US"/>
              </w:rPr>
            </w:pPr>
            <w:r w:rsidRPr="00F22C2E">
              <w:rPr>
                <w:sz w:val="18"/>
                <w:szCs w:val="18"/>
                <w:lang w:val="en-US"/>
              </w:rPr>
              <w:t>Dupilumab</w:t>
            </w:r>
          </w:p>
        </w:tc>
        <w:tc>
          <w:tcPr>
            <w:tcW w:w="1417" w:type="dxa"/>
            <w:shd w:val="clear" w:color="auto" w:fill="FFC000"/>
          </w:tcPr>
          <w:p w14:paraId="6413BC58" w14:textId="66F29631" w:rsidR="00827A2F" w:rsidRPr="00F22C2E" w:rsidRDefault="00827A2F" w:rsidP="00827A2F">
            <w:pPr>
              <w:rPr>
                <w:sz w:val="18"/>
                <w:szCs w:val="18"/>
                <w:lang w:val="en-US"/>
              </w:rPr>
            </w:pPr>
            <w:r w:rsidRPr="00F22C2E">
              <w:rPr>
                <w:sz w:val="18"/>
                <w:szCs w:val="18"/>
                <w:lang w:val="en-US"/>
              </w:rPr>
              <w:t>Omalizumab</w:t>
            </w:r>
          </w:p>
        </w:tc>
        <w:tc>
          <w:tcPr>
            <w:tcW w:w="2552" w:type="dxa"/>
            <w:shd w:val="clear" w:color="auto" w:fill="FFC000"/>
          </w:tcPr>
          <w:p w14:paraId="341EC959" w14:textId="037D6FE0" w:rsidR="00827A2F" w:rsidRPr="00F22C2E" w:rsidRDefault="00827A2F" w:rsidP="00827A2F">
            <w:pPr>
              <w:rPr>
                <w:sz w:val="18"/>
                <w:szCs w:val="18"/>
                <w:lang w:val="en-US"/>
              </w:rPr>
            </w:pPr>
            <w:r w:rsidRPr="00F22C2E">
              <w:rPr>
                <w:sz w:val="18"/>
                <w:szCs w:val="18"/>
                <w:lang w:val="en-US"/>
              </w:rPr>
              <w:t>Mepolizumab</w:t>
            </w:r>
          </w:p>
        </w:tc>
        <w:tc>
          <w:tcPr>
            <w:tcW w:w="3118" w:type="dxa"/>
            <w:shd w:val="clear" w:color="auto" w:fill="FFC000"/>
          </w:tcPr>
          <w:p w14:paraId="0EC49CFA" w14:textId="420C7B68" w:rsidR="00827A2F" w:rsidRPr="00F22C2E" w:rsidRDefault="00827A2F" w:rsidP="00827A2F">
            <w:pPr>
              <w:rPr>
                <w:sz w:val="18"/>
                <w:szCs w:val="18"/>
                <w:lang w:val="en-US"/>
              </w:rPr>
            </w:pPr>
            <w:r w:rsidRPr="00F22C2E">
              <w:rPr>
                <w:sz w:val="18"/>
                <w:szCs w:val="18"/>
                <w:lang w:val="en-US"/>
              </w:rPr>
              <w:t>Reslizumab</w:t>
            </w:r>
          </w:p>
        </w:tc>
      </w:tr>
      <w:tr w:rsidR="00827A2F" w:rsidRPr="00F22C2E" w14:paraId="0CE84AF9" w14:textId="77777777" w:rsidTr="00827A2F">
        <w:tc>
          <w:tcPr>
            <w:tcW w:w="1296" w:type="dxa"/>
          </w:tcPr>
          <w:p w14:paraId="753DA33F" w14:textId="77777777" w:rsidR="00827A2F" w:rsidRPr="00F22C2E" w:rsidRDefault="00827A2F" w:rsidP="00827A2F">
            <w:pPr>
              <w:rPr>
                <w:sz w:val="18"/>
                <w:szCs w:val="18"/>
                <w:lang w:val="en-US"/>
              </w:rPr>
            </w:pPr>
            <w:r>
              <w:rPr>
                <w:sz w:val="18"/>
                <w:szCs w:val="18"/>
                <w:lang w:val="en-US"/>
              </w:rPr>
              <w:t>Time to achieve efficacy</w:t>
            </w:r>
          </w:p>
        </w:tc>
        <w:tc>
          <w:tcPr>
            <w:tcW w:w="1818" w:type="dxa"/>
          </w:tcPr>
          <w:p w14:paraId="12E8CA0C" w14:textId="77777777" w:rsidR="00827A2F" w:rsidRDefault="00827A2F" w:rsidP="00827A2F">
            <w:pPr>
              <w:rPr>
                <w:sz w:val="18"/>
                <w:szCs w:val="18"/>
                <w:lang w:val="en-US"/>
              </w:rPr>
            </w:pPr>
            <w:r>
              <w:rPr>
                <w:sz w:val="18"/>
                <w:szCs w:val="18"/>
                <w:lang w:val="en-US"/>
              </w:rPr>
              <w:t>Pelaia 2019 RWE</w:t>
            </w:r>
          </w:p>
          <w:p w14:paraId="0250A6AC" w14:textId="079BEEF4" w:rsidR="00827A2F" w:rsidRDefault="00827A2F" w:rsidP="00827A2F">
            <w:pPr>
              <w:rPr>
                <w:sz w:val="18"/>
                <w:szCs w:val="18"/>
                <w:lang w:val="en-US"/>
              </w:rPr>
            </w:pPr>
            <w:r>
              <w:rPr>
                <w:sz w:val="18"/>
                <w:szCs w:val="18"/>
                <w:lang w:val="en-US"/>
              </w:rPr>
              <w:t>Within 4 weeks improvement in LF and ACT, OCS stopped</w:t>
            </w:r>
          </w:p>
        </w:tc>
        <w:tc>
          <w:tcPr>
            <w:tcW w:w="1701" w:type="dxa"/>
          </w:tcPr>
          <w:p w14:paraId="6A9572F3" w14:textId="77777777" w:rsidR="00827A2F" w:rsidRDefault="00827A2F" w:rsidP="00827A2F">
            <w:pPr>
              <w:rPr>
                <w:sz w:val="18"/>
                <w:szCs w:val="18"/>
                <w:lang w:val="en-US"/>
              </w:rPr>
            </w:pPr>
            <w:r>
              <w:rPr>
                <w:sz w:val="18"/>
                <w:szCs w:val="18"/>
                <w:lang w:val="en-US"/>
              </w:rPr>
              <w:t xml:space="preserve">Corren, </w:t>
            </w:r>
            <w:r w:rsidRPr="00D01368">
              <w:rPr>
                <w:sz w:val="18"/>
                <w:szCs w:val="18"/>
                <w:lang w:val="en-US"/>
              </w:rPr>
              <w:t>J Allergy Clin Immunol Pract. 2019</w:t>
            </w:r>
          </w:p>
          <w:p w14:paraId="00F26FF3" w14:textId="0267C2F3" w:rsidR="00827A2F" w:rsidRDefault="00827A2F" w:rsidP="00827A2F">
            <w:pPr>
              <w:rPr>
                <w:sz w:val="18"/>
                <w:szCs w:val="18"/>
                <w:lang w:val="en-US"/>
              </w:rPr>
            </w:pPr>
            <w:r>
              <w:rPr>
                <w:sz w:val="18"/>
                <w:szCs w:val="18"/>
                <w:lang w:val="en-US"/>
              </w:rPr>
              <w:t>I</w:t>
            </w:r>
            <w:r w:rsidRPr="00692A8C">
              <w:rPr>
                <w:sz w:val="18"/>
                <w:szCs w:val="18"/>
                <w:lang w:val="en-US"/>
              </w:rPr>
              <w:t>mprovements evident by the first evaluation at week 2</w:t>
            </w:r>
          </w:p>
        </w:tc>
        <w:tc>
          <w:tcPr>
            <w:tcW w:w="1417" w:type="dxa"/>
          </w:tcPr>
          <w:p w14:paraId="3AB79292" w14:textId="2C59D7AE" w:rsidR="00827A2F" w:rsidRDefault="000D1EEE" w:rsidP="00827A2F">
            <w:pPr>
              <w:rPr>
                <w:sz w:val="18"/>
                <w:szCs w:val="18"/>
                <w:lang w:val="en-US"/>
              </w:rPr>
            </w:pPr>
            <w:r w:rsidRPr="000D1EEE">
              <w:rPr>
                <w:sz w:val="18"/>
                <w:szCs w:val="18"/>
                <w:lang w:val="en-US"/>
              </w:rPr>
              <w:t>Sorkness JACI Pract 2013.  In urban minority children, the time of onset of omalizumab effect was &lt;30 days.</w:t>
            </w:r>
          </w:p>
        </w:tc>
        <w:tc>
          <w:tcPr>
            <w:tcW w:w="2552" w:type="dxa"/>
          </w:tcPr>
          <w:p w14:paraId="7E39A27D" w14:textId="77777777" w:rsidR="00827A2F" w:rsidRDefault="00827A2F" w:rsidP="00827A2F">
            <w:pPr>
              <w:rPr>
                <w:sz w:val="18"/>
                <w:szCs w:val="18"/>
                <w:lang w:val="en-US"/>
              </w:rPr>
            </w:pPr>
            <w:r>
              <w:rPr>
                <w:sz w:val="18"/>
                <w:szCs w:val="18"/>
                <w:lang w:val="en-US"/>
              </w:rPr>
              <w:t>Ortega 2018</w:t>
            </w:r>
          </w:p>
          <w:p w14:paraId="041B8582" w14:textId="77777777" w:rsidR="00827A2F" w:rsidRDefault="00827A2F" w:rsidP="00827A2F">
            <w:pPr>
              <w:rPr>
                <w:sz w:val="18"/>
                <w:szCs w:val="18"/>
                <w:lang w:val="en-US"/>
              </w:rPr>
            </w:pPr>
            <w:r>
              <w:rPr>
                <w:sz w:val="18"/>
                <w:szCs w:val="18"/>
                <w:lang w:val="en-US"/>
              </w:rPr>
              <w:t>Posthoc analysis of MUSCA and MENSA: &gt; 150 fast effect (1</w:t>
            </w:r>
            <w:r w:rsidRPr="00260987">
              <w:rPr>
                <w:sz w:val="18"/>
                <w:szCs w:val="18"/>
                <w:vertAlign w:val="superscript"/>
                <w:lang w:val="en-US"/>
              </w:rPr>
              <w:t>st</w:t>
            </w:r>
            <w:r>
              <w:rPr>
                <w:sz w:val="18"/>
                <w:szCs w:val="18"/>
                <w:lang w:val="en-US"/>
              </w:rPr>
              <w:t xml:space="preserve"> week) on morning PEF</w:t>
            </w:r>
          </w:p>
          <w:p w14:paraId="2EDD7583" w14:textId="77777777" w:rsidR="00827A2F" w:rsidRDefault="00827A2F" w:rsidP="00827A2F">
            <w:pPr>
              <w:rPr>
                <w:sz w:val="18"/>
                <w:szCs w:val="18"/>
                <w:lang w:val="en-US"/>
              </w:rPr>
            </w:pPr>
            <w:r>
              <w:rPr>
                <w:sz w:val="18"/>
                <w:szCs w:val="18"/>
                <w:lang w:val="en-US"/>
              </w:rPr>
              <w:t>Pertzov 2019 within 6 months (composite end-point)</w:t>
            </w:r>
          </w:p>
          <w:p w14:paraId="00F1FFA8" w14:textId="77777777" w:rsidR="00827A2F" w:rsidRDefault="00827A2F" w:rsidP="00827A2F">
            <w:pPr>
              <w:rPr>
                <w:sz w:val="18"/>
                <w:szCs w:val="18"/>
                <w:lang w:val="en-US"/>
              </w:rPr>
            </w:pPr>
            <w:r>
              <w:rPr>
                <w:sz w:val="18"/>
                <w:szCs w:val="18"/>
                <w:lang w:val="en-US"/>
              </w:rPr>
              <w:t>Pelaia 2018</w:t>
            </w:r>
          </w:p>
          <w:p w14:paraId="5EE97412" w14:textId="77777777" w:rsidR="00827A2F" w:rsidRDefault="00827A2F" w:rsidP="00827A2F">
            <w:pPr>
              <w:rPr>
                <w:sz w:val="18"/>
                <w:szCs w:val="18"/>
                <w:lang w:val="en-US"/>
              </w:rPr>
            </w:pPr>
            <w:r>
              <w:rPr>
                <w:sz w:val="18"/>
                <w:szCs w:val="18"/>
                <w:lang w:val="en-US"/>
              </w:rPr>
              <w:t>Within 4 weeks for LF, Eos, ACT and 24 weeks for exacerbations and OCS reduction</w:t>
            </w:r>
          </w:p>
          <w:p w14:paraId="3D16BE8B" w14:textId="77777777" w:rsidR="00827A2F" w:rsidRDefault="00827A2F" w:rsidP="00827A2F">
            <w:pPr>
              <w:rPr>
                <w:sz w:val="18"/>
                <w:szCs w:val="18"/>
                <w:lang w:val="en-US"/>
              </w:rPr>
            </w:pPr>
            <w:r>
              <w:rPr>
                <w:sz w:val="18"/>
                <w:szCs w:val="18"/>
                <w:lang w:val="en-US"/>
              </w:rPr>
              <w:t>Caminati 2019, RWE from RINOVA</w:t>
            </w:r>
          </w:p>
          <w:p w14:paraId="752500B2" w14:textId="2C989DEF" w:rsidR="00827A2F" w:rsidRDefault="00827A2F" w:rsidP="00827A2F">
            <w:pPr>
              <w:rPr>
                <w:sz w:val="18"/>
                <w:szCs w:val="18"/>
                <w:lang w:val="en-US"/>
              </w:rPr>
            </w:pPr>
            <w:r w:rsidRPr="00CC2CB8">
              <w:rPr>
                <w:sz w:val="18"/>
                <w:szCs w:val="18"/>
                <w:lang w:val="en-US"/>
              </w:rPr>
              <w:t>The greatest clinical change (ACT and FEV1) was observed within the first month.</w:t>
            </w:r>
          </w:p>
        </w:tc>
        <w:tc>
          <w:tcPr>
            <w:tcW w:w="3118" w:type="dxa"/>
          </w:tcPr>
          <w:p w14:paraId="12B8EC0B" w14:textId="73E71FAB" w:rsidR="00827A2F" w:rsidRDefault="00827A2F" w:rsidP="00827A2F">
            <w:pPr>
              <w:rPr>
                <w:sz w:val="18"/>
                <w:szCs w:val="18"/>
                <w:lang w:val="en-US"/>
              </w:rPr>
            </w:pPr>
            <w:r>
              <w:rPr>
                <w:sz w:val="18"/>
                <w:szCs w:val="18"/>
                <w:lang w:val="en-US"/>
              </w:rPr>
              <w:t>No data</w:t>
            </w:r>
          </w:p>
        </w:tc>
      </w:tr>
      <w:tr w:rsidR="00827A2F" w:rsidRPr="00F22C2E" w14:paraId="2BE42569" w14:textId="77777777" w:rsidTr="00827A2F">
        <w:tc>
          <w:tcPr>
            <w:tcW w:w="1296" w:type="dxa"/>
          </w:tcPr>
          <w:p w14:paraId="4690F0A6" w14:textId="77777777" w:rsidR="00827A2F" w:rsidRDefault="00827A2F" w:rsidP="00827A2F">
            <w:pPr>
              <w:rPr>
                <w:sz w:val="18"/>
                <w:szCs w:val="18"/>
                <w:lang w:val="en-US"/>
              </w:rPr>
            </w:pPr>
            <w:r>
              <w:rPr>
                <w:sz w:val="18"/>
                <w:szCs w:val="18"/>
                <w:lang w:val="en-US"/>
              </w:rPr>
              <w:t>Treatment duration</w:t>
            </w:r>
          </w:p>
        </w:tc>
        <w:tc>
          <w:tcPr>
            <w:tcW w:w="1818" w:type="dxa"/>
          </w:tcPr>
          <w:p w14:paraId="64DC7036" w14:textId="042AA9C9" w:rsidR="00827A2F" w:rsidRDefault="00827A2F" w:rsidP="00827A2F">
            <w:pPr>
              <w:rPr>
                <w:sz w:val="18"/>
                <w:szCs w:val="18"/>
                <w:lang w:val="en-US"/>
              </w:rPr>
            </w:pPr>
            <w:r>
              <w:rPr>
                <w:sz w:val="18"/>
                <w:szCs w:val="18"/>
                <w:lang w:val="en-US"/>
              </w:rPr>
              <w:t>No data</w:t>
            </w:r>
          </w:p>
        </w:tc>
        <w:tc>
          <w:tcPr>
            <w:tcW w:w="1701" w:type="dxa"/>
          </w:tcPr>
          <w:p w14:paraId="50C6B75B" w14:textId="61AEA29E" w:rsidR="00827A2F" w:rsidRDefault="00827A2F" w:rsidP="00827A2F">
            <w:pPr>
              <w:rPr>
                <w:sz w:val="18"/>
                <w:szCs w:val="18"/>
                <w:lang w:val="en-US"/>
              </w:rPr>
            </w:pPr>
            <w:r>
              <w:rPr>
                <w:sz w:val="18"/>
                <w:szCs w:val="18"/>
                <w:lang w:val="en-US"/>
              </w:rPr>
              <w:t>No data</w:t>
            </w:r>
          </w:p>
        </w:tc>
        <w:tc>
          <w:tcPr>
            <w:tcW w:w="1417" w:type="dxa"/>
          </w:tcPr>
          <w:p w14:paraId="4B2A3364" w14:textId="77777777" w:rsidR="00827A2F" w:rsidRPr="0000755C" w:rsidRDefault="00827A2F" w:rsidP="00827A2F">
            <w:pPr>
              <w:rPr>
                <w:color w:val="000000" w:themeColor="text1"/>
                <w:sz w:val="18"/>
                <w:szCs w:val="18"/>
                <w:lang w:val="en-US"/>
              </w:rPr>
            </w:pPr>
            <w:r w:rsidRPr="0000755C">
              <w:rPr>
                <w:color w:val="000000" w:themeColor="text1"/>
                <w:sz w:val="18"/>
                <w:szCs w:val="18"/>
                <w:lang w:val="en-US"/>
              </w:rPr>
              <w:t>Molimard 2014</w:t>
            </w:r>
          </w:p>
          <w:p w14:paraId="2D026B7B" w14:textId="77777777" w:rsidR="00827A2F" w:rsidRPr="0000755C" w:rsidRDefault="00827A2F" w:rsidP="00827A2F">
            <w:pPr>
              <w:rPr>
                <w:color w:val="000000" w:themeColor="text1"/>
                <w:sz w:val="18"/>
                <w:szCs w:val="18"/>
                <w:lang w:val="en-US"/>
              </w:rPr>
            </w:pPr>
            <w:r w:rsidRPr="0000755C">
              <w:rPr>
                <w:color w:val="000000" w:themeColor="text1"/>
                <w:sz w:val="18"/>
                <w:szCs w:val="18"/>
                <w:lang w:val="en-US"/>
              </w:rPr>
              <w:t>A treatment of longer than 3.5 years was associated with no loss of control during the following 6 months.</w:t>
            </w:r>
          </w:p>
          <w:p w14:paraId="50E21397" w14:textId="77777777" w:rsidR="00827A2F" w:rsidRPr="0000755C" w:rsidRDefault="00827A2F" w:rsidP="00827A2F">
            <w:pPr>
              <w:rPr>
                <w:color w:val="000000" w:themeColor="text1"/>
                <w:sz w:val="18"/>
                <w:szCs w:val="18"/>
                <w:lang w:val="en-US"/>
              </w:rPr>
            </w:pPr>
          </w:p>
          <w:p w14:paraId="0C1673C1" w14:textId="77777777" w:rsidR="00827A2F" w:rsidRPr="0000755C" w:rsidRDefault="00827A2F" w:rsidP="00827A2F">
            <w:pPr>
              <w:rPr>
                <w:color w:val="000000" w:themeColor="text1"/>
                <w:sz w:val="18"/>
                <w:szCs w:val="18"/>
                <w:lang w:val="en-US"/>
              </w:rPr>
            </w:pPr>
            <w:r w:rsidRPr="0000755C">
              <w:rPr>
                <w:color w:val="000000" w:themeColor="text1"/>
                <w:sz w:val="18"/>
                <w:szCs w:val="18"/>
                <w:lang w:val="en-US"/>
              </w:rPr>
              <w:t>Pace 2011</w:t>
            </w:r>
          </w:p>
          <w:p w14:paraId="54637C2B" w14:textId="77777777" w:rsidR="00827A2F" w:rsidRPr="0000755C" w:rsidRDefault="00827A2F" w:rsidP="00827A2F">
            <w:pPr>
              <w:rPr>
                <w:color w:val="000000" w:themeColor="text1"/>
                <w:sz w:val="18"/>
                <w:szCs w:val="18"/>
                <w:lang w:val="en-US"/>
              </w:rPr>
            </w:pPr>
            <w:r w:rsidRPr="0000755C">
              <w:rPr>
                <w:color w:val="000000" w:themeColor="text1"/>
                <w:sz w:val="18"/>
                <w:szCs w:val="18"/>
                <w:lang w:val="en-US"/>
              </w:rPr>
              <w:t>marked improvement in clinical parameters and lung function in seven severe asthmatic patients after a 7-year course of omalizumab</w:t>
            </w:r>
          </w:p>
          <w:p w14:paraId="079F5B49" w14:textId="77777777" w:rsidR="00827A2F" w:rsidRPr="0000755C" w:rsidRDefault="00827A2F" w:rsidP="00827A2F">
            <w:pPr>
              <w:rPr>
                <w:color w:val="000000" w:themeColor="text1"/>
                <w:sz w:val="18"/>
                <w:szCs w:val="18"/>
                <w:lang w:val="en-US"/>
              </w:rPr>
            </w:pPr>
          </w:p>
          <w:p w14:paraId="077DB4F2" w14:textId="77777777" w:rsidR="00827A2F" w:rsidRPr="0000755C" w:rsidRDefault="00827A2F" w:rsidP="00827A2F">
            <w:pPr>
              <w:rPr>
                <w:color w:val="000000" w:themeColor="text1"/>
                <w:sz w:val="18"/>
                <w:szCs w:val="18"/>
                <w:lang w:val="en-US"/>
              </w:rPr>
            </w:pPr>
            <w:r w:rsidRPr="0000755C">
              <w:rPr>
                <w:color w:val="000000" w:themeColor="text1"/>
                <w:sz w:val="18"/>
                <w:szCs w:val="18"/>
                <w:lang w:val="en-US"/>
              </w:rPr>
              <w:t xml:space="preserve">Ledford 2017, X‐PORT: discontinuation after a 5‐year </w:t>
            </w:r>
            <w:r w:rsidRPr="0000755C">
              <w:rPr>
                <w:color w:val="000000" w:themeColor="text1"/>
                <w:sz w:val="18"/>
                <w:szCs w:val="18"/>
                <w:lang w:val="en-US"/>
              </w:rPr>
              <w:lastRenderedPageBreak/>
              <w:t xml:space="preserve">course of oma- in adults. </w:t>
            </w:r>
          </w:p>
          <w:p w14:paraId="7C936EF1" w14:textId="77777777" w:rsidR="00827A2F" w:rsidRPr="0000755C" w:rsidRDefault="00827A2F" w:rsidP="00827A2F">
            <w:pPr>
              <w:rPr>
                <w:color w:val="000000" w:themeColor="text1"/>
                <w:sz w:val="18"/>
                <w:szCs w:val="18"/>
                <w:lang w:val="en-US"/>
              </w:rPr>
            </w:pPr>
            <w:r w:rsidRPr="0000755C">
              <w:rPr>
                <w:color w:val="000000" w:themeColor="text1"/>
                <w:sz w:val="18"/>
                <w:szCs w:val="18"/>
                <w:lang w:val="en-US"/>
              </w:rPr>
              <w:t>A higher blood eosinophil count at baseline and a significant increase in FeNO from baseline to week 12 after discontinuation were associated with clinical deterioration</w:t>
            </w:r>
          </w:p>
          <w:p w14:paraId="3F141B3F" w14:textId="77777777" w:rsidR="00827A2F" w:rsidRPr="0000755C" w:rsidRDefault="00827A2F" w:rsidP="00827A2F">
            <w:pPr>
              <w:rPr>
                <w:color w:val="000000" w:themeColor="text1"/>
                <w:sz w:val="18"/>
                <w:szCs w:val="18"/>
                <w:lang w:val="en-US"/>
              </w:rPr>
            </w:pPr>
          </w:p>
          <w:p w14:paraId="016617EE" w14:textId="77777777" w:rsidR="00827A2F" w:rsidRPr="0000755C" w:rsidRDefault="00827A2F" w:rsidP="00827A2F">
            <w:pPr>
              <w:rPr>
                <w:color w:val="000000" w:themeColor="text1"/>
                <w:sz w:val="18"/>
                <w:szCs w:val="18"/>
                <w:lang w:val="en-US"/>
              </w:rPr>
            </w:pPr>
            <w:r w:rsidRPr="0000755C">
              <w:rPr>
                <w:color w:val="000000" w:themeColor="text1"/>
                <w:sz w:val="18"/>
                <w:szCs w:val="18"/>
                <w:lang w:val="en-US"/>
              </w:rPr>
              <w:t>Deschildre 2019 RWE for discontinuation of omalizumab in children</w:t>
            </w:r>
          </w:p>
          <w:p w14:paraId="44B0C959" w14:textId="77777777" w:rsidR="00827A2F" w:rsidRPr="0000755C" w:rsidRDefault="00827A2F" w:rsidP="00827A2F">
            <w:pPr>
              <w:rPr>
                <w:color w:val="000000" w:themeColor="text1"/>
                <w:sz w:val="18"/>
                <w:szCs w:val="18"/>
                <w:lang w:val="en-US"/>
              </w:rPr>
            </w:pPr>
            <w:r w:rsidRPr="0000755C">
              <w:rPr>
                <w:color w:val="000000" w:themeColor="text1"/>
                <w:sz w:val="18"/>
                <w:szCs w:val="18"/>
                <w:lang w:val="en-US"/>
              </w:rPr>
              <w:t>allergic multimorbidity and decreased lung function argue for treatment continuation.</w:t>
            </w:r>
          </w:p>
          <w:p w14:paraId="4D29248A" w14:textId="77777777" w:rsidR="00827A2F" w:rsidRPr="0000755C" w:rsidRDefault="00827A2F" w:rsidP="00827A2F">
            <w:pPr>
              <w:rPr>
                <w:color w:val="000000" w:themeColor="text1"/>
                <w:sz w:val="18"/>
                <w:szCs w:val="18"/>
                <w:lang w:val="en-US"/>
              </w:rPr>
            </w:pPr>
            <w:r w:rsidRPr="0000755C">
              <w:rPr>
                <w:color w:val="000000" w:themeColor="text1"/>
                <w:sz w:val="18"/>
                <w:szCs w:val="18"/>
                <w:lang w:val="en-US"/>
              </w:rPr>
              <w:t>Discontinuation could be safely proposed after long‐term use (&gt;2 years) in children with nonactive allergic disease, prolonged controlled asthma, and no severe exacerbations for at least one year.</w:t>
            </w:r>
          </w:p>
          <w:p w14:paraId="3E6B92D5" w14:textId="77777777" w:rsidR="00827A2F" w:rsidRPr="0000755C" w:rsidRDefault="00827A2F" w:rsidP="00827A2F">
            <w:pPr>
              <w:rPr>
                <w:color w:val="000000" w:themeColor="text1"/>
                <w:sz w:val="18"/>
                <w:szCs w:val="18"/>
                <w:lang w:val="en-US"/>
              </w:rPr>
            </w:pPr>
          </w:p>
          <w:p w14:paraId="3FECC0E8" w14:textId="77777777" w:rsidR="00827A2F" w:rsidRPr="0000755C" w:rsidRDefault="00827A2F" w:rsidP="00827A2F">
            <w:pPr>
              <w:rPr>
                <w:color w:val="000000" w:themeColor="text1"/>
                <w:sz w:val="18"/>
                <w:szCs w:val="18"/>
                <w:lang w:val="en-US"/>
              </w:rPr>
            </w:pPr>
            <w:r w:rsidRPr="0000755C">
              <w:rPr>
                <w:color w:val="000000" w:themeColor="text1"/>
                <w:sz w:val="18"/>
                <w:szCs w:val="18"/>
                <w:lang w:val="en-US"/>
              </w:rPr>
              <w:t>Deschildre 2015</w:t>
            </w:r>
          </w:p>
          <w:p w14:paraId="78B161B7" w14:textId="77777777" w:rsidR="00827A2F" w:rsidRPr="0000755C" w:rsidRDefault="00827A2F" w:rsidP="00827A2F">
            <w:pPr>
              <w:rPr>
                <w:color w:val="000000" w:themeColor="text1"/>
                <w:sz w:val="18"/>
                <w:szCs w:val="18"/>
                <w:lang w:val="en-US"/>
              </w:rPr>
            </w:pPr>
            <w:r w:rsidRPr="0000755C">
              <w:rPr>
                <w:color w:val="000000" w:themeColor="text1"/>
                <w:sz w:val="18"/>
                <w:szCs w:val="18"/>
                <w:lang w:val="en-US"/>
              </w:rPr>
              <w:t>After 2 years, pediatric population</w:t>
            </w:r>
          </w:p>
          <w:p w14:paraId="47FE96BA" w14:textId="77777777" w:rsidR="00827A2F" w:rsidRPr="0000755C" w:rsidRDefault="00827A2F" w:rsidP="00827A2F">
            <w:pPr>
              <w:rPr>
                <w:color w:val="000000" w:themeColor="text1"/>
                <w:sz w:val="18"/>
                <w:szCs w:val="18"/>
                <w:lang w:val="en-US"/>
              </w:rPr>
            </w:pPr>
            <w:r w:rsidRPr="0000755C">
              <w:rPr>
                <w:color w:val="000000" w:themeColor="text1"/>
                <w:sz w:val="18"/>
                <w:szCs w:val="18"/>
                <w:lang w:val="en-US"/>
              </w:rPr>
              <w:lastRenderedPageBreak/>
              <w:t>persistent positive effect on the severe exacerbation rate, and a modest effect on asthma control in the children who continued omalizumab but lack of further lung function improvement</w:t>
            </w:r>
          </w:p>
          <w:p w14:paraId="0CE9311E" w14:textId="77777777" w:rsidR="00827A2F" w:rsidRPr="0000755C" w:rsidRDefault="00827A2F" w:rsidP="00827A2F">
            <w:pPr>
              <w:rPr>
                <w:color w:val="000000" w:themeColor="text1"/>
                <w:sz w:val="18"/>
                <w:szCs w:val="18"/>
                <w:lang w:val="en-US"/>
              </w:rPr>
            </w:pPr>
          </w:p>
          <w:p w14:paraId="690E13AD" w14:textId="77777777" w:rsidR="00827A2F" w:rsidRPr="0000755C" w:rsidRDefault="00827A2F" w:rsidP="00827A2F">
            <w:pPr>
              <w:rPr>
                <w:color w:val="000000" w:themeColor="text1"/>
                <w:sz w:val="18"/>
                <w:szCs w:val="18"/>
                <w:lang w:val="en-US"/>
              </w:rPr>
            </w:pPr>
            <w:r w:rsidRPr="0000755C">
              <w:rPr>
                <w:color w:val="000000" w:themeColor="text1"/>
                <w:sz w:val="18"/>
                <w:szCs w:val="18"/>
                <w:lang w:val="en-US"/>
              </w:rPr>
              <w:t>20.7% cessation during the second year due to treatment failure, patients' own decisions and loss to follow-up</w:t>
            </w:r>
          </w:p>
          <w:p w14:paraId="5C15D480" w14:textId="77777777" w:rsidR="00827A2F" w:rsidRPr="0000755C" w:rsidRDefault="00827A2F" w:rsidP="00827A2F">
            <w:pPr>
              <w:rPr>
                <w:color w:val="000000" w:themeColor="text1"/>
                <w:sz w:val="18"/>
                <w:szCs w:val="18"/>
                <w:lang w:val="en-US"/>
              </w:rPr>
            </w:pPr>
          </w:p>
          <w:p w14:paraId="4C86079E" w14:textId="77777777" w:rsidR="00827A2F" w:rsidRPr="0000755C" w:rsidRDefault="00827A2F" w:rsidP="00827A2F">
            <w:pPr>
              <w:rPr>
                <w:color w:val="000000" w:themeColor="text1"/>
                <w:sz w:val="18"/>
                <w:szCs w:val="18"/>
                <w:lang w:val="en-US"/>
              </w:rPr>
            </w:pPr>
            <w:r w:rsidRPr="0000755C">
              <w:rPr>
                <w:color w:val="000000" w:themeColor="text1"/>
                <w:sz w:val="18"/>
                <w:szCs w:val="18"/>
                <w:lang w:val="en-US"/>
              </w:rPr>
              <w:t>Colombo 2019</w:t>
            </w:r>
          </w:p>
          <w:p w14:paraId="4CDF1F6D" w14:textId="77777777" w:rsidR="00827A2F" w:rsidRPr="0000755C" w:rsidRDefault="00827A2F" w:rsidP="00827A2F">
            <w:pPr>
              <w:rPr>
                <w:color w:val="000000" w:themeColor="text1"/>
                <w:sz w:val="18"/>
                <w:szCs w:val="18"/>
                <w:lang w:val="en-US"/>
              </w:rPr>
            </w:pPr>
            <w:r w:rsidRPr="0000755C">
              <w:rPr>
                <w:color w:val="000000" w:themeColor="text1"/>
                <w:sz w:val="18"/>
                <w:szCs w:val="18"/>
                <w:lang w:val="en-US"/>
              </w:rPr>
              <w:t>AQLQ showed a clear increase over time, following 9 years of observation</w:t>
            </w:r>
          </w:p>
          <w:p w14:paraId="26C56913" w14:textId="77777777" w:rsidR="00827A2F" w:rsidRPr="0000755C" w:rsidRDefault="00827A2F" w:rsidP="00827A2F">
            <w:pPr>
              <w:rPr>
                <w:color w:val="000000" w:themeColor="text1"/>
                <w:sz w:val="18"/>
                <w:szCs w:val="18"/>
                <w:lang w:val="en-US"/>
              </w:rPr>
            </w:pPr>
          </w:p>
          <w:p w14:paraId="7E5CB486" w14:textId="77777777" w:rsidR="00827A2F" w:rsidRPr="0000755C" w:rsidRDefault="00827A2F" w:rsidP="00827A2F">
            <w:pPr>
              <w:rPr>
                <w:color w:val="000000" w:themeColor="text1"/>
                <w:sz w:val="18"/>
                <w:szCs w:val="18"/>
                <w:lang w:val="en-US"/>
              </w:rPr>
            </w:pPr>
            <w:r w:rsidRPr="0000755C">
              <w:rPr>
                <w:color w:val="000000" w:themeColor="text1"/>
                <w:sz w:val="18"/>
                <w:szCs w:val="18"/>
                <w:lang w:val="en-US"/>
              </w:rPr>
              <w:t>Singh, Ann Allergy Asthma Immunol. 2019;123(5):476-482</w:t>
            </w:r>
          </w:p>
          <w:p w14:paraId="44A9F933" w14:textId="77777777" w:rsidR="00827A2F" w:rsidRPr="0000755C" w:rsidRDefault="00827A2F" w:rsidP="00827A2F">
            <w:pPr>
              <w:rPr>
                <w:color w:val="000000" w:themeColor="text1"/>
                <w:sz w:val="18"/>
                <w:szCs w:val="18"/>
                <w:lang w:val="en-US"/>
              </w:rPr>
            </w:pPr>
            <w:r w:rsidRPr="0000755C">
              <w:rPr>
                <w:color w:val="000000" w:themeColor="text1"/>
                <w:sz w:val="18"/>
                <w:szCs w:val="18"/>
                <w:lang w:val="en-US"/>
              </w:rPr>
              <w:t>RWE for long-term efficacy from the REALITY study (2004-2011); 198 patients</w:t>
            </w:r>
          </w:p>
          <w:p w14:paraId="2A1CC83A" w14:textId="791303D7" w:rsidR="002E154F" w:rsidRPr="0000755C" w:rsidRDefault="002E154F" w:rsidP="002E154F">
            <w:pPr>
              <w:autoSpaceDE w:val="0"/>
              <w:autoSpaceDN w:val="0"/>
              <w:adjustRightInd w:val="0"/>
              <w:rPr>
                <w:rFonts w:asciiTheme="minorHAnsi" w:eastAsiaTheme="minorHAnsi" w:hAnsiTheme="minorHAnsi" w:cstheme="minorHAnsi"/>
                <w:color w:val="000000" w:themeColor="text1"/>
                <w:sz w:val="20"/>
                <w:szCs w:val="20"/>
                <w:lang w:val="ca-ES"/>
              </w:rPr>
            </w:pPr>
            <w:r w:rsidRPr="0000755C">
              <w:rPr>
                <w:rFonts w:asciiTheme="minorHAnsi" w:eastAsiaTheme="minorHAnsi" w:hAnsiTheme="minorHAnsi" w:cstheme="minorHAnsi"/>
                <w:color w:val="000000" w:themeColor="text1"/>
                <w:sz w:val="20"/>
                <w:szCs w:val="20"/>
                <w:lang w:val="ca-ES"/>
              </w:rPr>
              <w:t>OMADORE STUDY</w:t>
            </w:r>
          </w:p>
          <w:p w14:paraId="2D3A201B" w14:textId="77777777" w:rsidR="002E154F" w:rsidRPr="0000755C" w:rsidRDefault="002E154F" w:rsidP="002E154F">
            <w:pPr>
              <w:autoSpaceDE w:val="0"/>
              <w:autoSpaceDN w:val="0"/>
              <w:adjustRightInd w:val="0"/>
              <w:rPr>
                <w:rFonts w:asciiTheme="minorHAnsi" w:eastAsiaTheme="minorHAnsi" w:hAnsiTheme="minorHAnsi" w:cstheme="minorHAnsi"/>
                <w:color w:val="000000" w:themeColor="text1"/>
                <w:sz w:val="20"/>
                <w:szCs w:val="20"/>
                <w:lang w:val="ca-ES"/>
              </w:rPr>
            </w:pPr>
            <w:r w:rsidRPr="0000755C">
              <w:rPr>
                <w:rFonts w:asciiTheme="minorHAnsi" w:eastAsiaTheme="minorHAnsi" w:hAnsiTheme="minorHAnsi" w:cstheme="minorHAnsi"/>
                <w:color w:val="000000" w:themeColor="text1"/>
                <w:sz w:val="20"/>
                <w:szCs w:val="20"/>
                <w:lang w:val="ca-ES"/>
              </w:rPr>
              <w:lastRenderedPageBreak/>
              <w:t>(A step-down protocol for omalizumab</w:t>
            </w:r>
          </w:p>
          <w:p w14:paraId="29EE66C7" w14:textId="77777777" w:rsidR="002E154F" w:rsidRPr="0000755C" w:rsidRDefault="002E154F" w:rsidP="002E154F">
            <w:pPr>
              <w:autoSpaceDE w:val="0"/>
              <w:autoSpaceDN w:val="0"/>
              <w:adjustRightInd w:val="0"/>
              <w:rPr>
                <w:rFonts w:asciiTheme="minorHAnsi" w:eastAsiaTheme="minorHAnsi" w:hAnsiTheme="minorHAnsi" w:cstheme="minorHAnsi"/>
                <w:color w:val="000000" w:themeColor="text1"/>
                <w:sz w:val="20"/>
                <w:szCs w:val="20"/>
                <w:lang w:val="ca-ES"/>
              </w:rPr>
            </w:pPr>
            <w:r w:rsidRPr="0000755C">
              <w:rPr>
                <w:rFonts w:asciiTheme="minorHAnsi" w:eastAsiaTheme="minorHAnsi" w:hAnsiTheme="minorHAnsi" w:cstheme="minorHAnsi"/>
                <w:color w:val="000000" w:themeColor="text1"/>
                <w:sz w:val="20"/>
                <w:szCs w:val="20"/>
                <w:lang w:val="ca-ES"/>
              </w:rPr>
              <w:t>treatment in oral corticosteroid-dependent</w:t>
            </w:r>
          </w:p>
          <w:p w14:paraId="39E9B842" w14:textId="77777777" w:rsidR="002E154F" w:rsidRPr="0000755C" w:rsidRDefault="002E154F" w:rsidP="002E154F">
            <w:pPr>
              <w:rPr>
                <w:rFonts w:asciiTheme="minorHAnsi" w:eastAsiaTheme="minorHAnsi" w:hAnsiTheme="minorHAnsi" w:cstheme="minorHAnsi"/>
                <w:color w:val="000000" w:themeColor="text1"/>
                <w:sz w:val="20"/>
                <w:szCs w:val="20"/>
                <w:lang w:val="ca-ES"/>
              </w:rPr>
            </w:pPr>
            <w:r w:rsidRPr="0000755C">
              <w:rPr>
                <w:rFonts w:asciiTheme="minorHAnsi" w:eastAsiaTheme="minorHAnsi" w:hAnsiTheme="minorHAnsi" w:cstheme="minorHAnsi"/>
                <w:color w:val="000000" w:themeColor="text1"/>
                <w:sz w:val="20"/>
                <w:szCs w:val="20"/>
                <w:lang w:val="ca-ES"/>
              </w:rPr>
              <w:t>allergic asthma patients</w:t>
            </w:r>
          </w:p>
          <w:p w14:paraId="564E9F41" w14:textId="77777777" w:rsidR="002E154F" w:rsidRPr="0000755C" w:rsidRDefault="002E154F" w:rsidP="002E154F">
            <w:pPr>
              <w:rPr>
                <w:color w:val="000000" w:themeColor="text1"/>
                <w:sz w:val="18"/>
                <w:szCs w:val="18"/>
                <w:lang w:val="en-US"/>
              </w:rPr>
            </w:pPr>
            <w:r w:rsidRPr="0000755C">
              <w:rPr>
                <w:rFonts w:asciiTheme="minorHAnsi" w:hAnsiTheme="minorHAnsi" w:cstheme="minorHAnsi"/>
                <w:color w:val="000000" w:themeColor="text1"/>
                <w:sz w:val="20"/>
                <w:szCs w:val="20"/>
                <w:lang w:val="en-US"/>
              </w:rPr>
              <w:t>Domingo</w:t>
            </w:r>
            <w:r w:rsidRPr="0000755C">
              <w:rPr>
                <w:color w:val="000000" w:themeColor="text1"/>
                <w:sz w:val="18"/>
                <w:szCs w:val="18"/>
                <w:lang w:val="en-US"/>
              </w:rPr>
              <w:t xml:space="preserve"> et al.</w:t>
            </w:r>
          </w:p>
          <w:p w14:paraId="2140744E" w14:textId="77777777" w:rsidR="002E154F" w:rsidRPr="0000755C" w:rsidRDefault="002E154F" w:rsidP="002E154F">
            <w:pPr>
              <w:rPr>
                <w:color w:val="000000" w:themeColor="text1"/>
                <w:sz w:val="18"/>
                <w:szCs w:val="18"/>
                <w:lang w:val="en-US"/>
              </w:rPr>
            </w:pPr>
            <w:r w:rsidRPr="0000755C">
              <w:rPr>
                <w:color w:val="000000" w:themeColor="text1"/>
                <w:sz w:val="18"/>
                <w:szCs w:val="18"/>
                <w:lang w:val="en-US"/>
              </w:rPr>
              <w:t>Br J Clin Pharmacol 2917).</w:t>
            </w:r>
          </w:p>
          <w:p w14:paraId="40BA9932" w14:textId="77777777" w:rsidR="002E154F" w:rsidRPr="0000755C" w:rsidRDefault="002E154F" w:rsidP="002E154F">
            <w:pPr>
              <w:autoSpaceDE w:val="0"/>
              <w:autoSpaceDN w:val="0"/>
              <w:adjustRightInd w:val="0"/>
              <w:rPr>
                <w:rFonts w:ascii="AdvTT336784a7" w:eastAsiaTheme="minorHAnsi" w:hAnsi="AdvTT336784a7" w:cs="AdvTT336784a7"/>
                <w:color w:val="000000" w:themeColor="text1"/>
                <w:sz w:val="18"/>
                <w:szCs w:val="18"/>
                <w:lang w:val="ca-ES"/>
              </w:rPr>
            </w:pPr>
            <w:r w:rsidRPr="0000755C">
              <w:rPr>
                <w:rFonts w:ascii="AdvTT336784a7" w:eastAsiaTheme="minorHAnsi" w:hAnsi="AdvTT336784a7" w:cs="AdvTT336784a7"/>
                <w:color w:val="000000" w:themeColor="text1"/>
                <w:sz w:val="18"/>
                <w:szCs w:val="18"/>
                <w:lang w:val="ca-ES"/>
              </w:rPr>
              <w:t>The OMADORE study found that in more than 50% of Severe Allergic Asthma patients on Oral Corticosteroids, OMALIZUMAB dose can be safely reduced or withdrawn based</w:t>
            </w:r>
          </w:p>
          <w:p w14:paraId="5193EA3B" w14:textId="77777777" w:rsidR="002E154F" w:rsidRPr="0000755C" w:rsidRDefault="002E154F" w:rsidP="002E154F">
            <w:pPr>
              <w:rPr>
                <w:rFonts w:ascii="AdvTT336784a7" w:eastAsiaTheme="minorHAnsi" w:hAnsi="AdvTT336784a7" w:cs="AdvTT336784a7"/>
                <w:color w:val="000000" w:themeColor="text1"/>
                <w:sz w:val="18"/>
                <w:szCs w:val="18"/>
                <w:lang w:val="ca-ES"/>
              </w:rPr>
            </w:pPr>
            <w:r w:rsidRPr="0000755C">
              <w:rPr>
                <w:rFonts w:ascii="AdvTT336784a7" w:eastAsiaTheme="minorHAnsi" w:hAnsi="AdvTT336784a7" w:cs="AdvTT336784a7"/>
                <w:color w:val="000000" w:themeColor="text1"/>
                <w:sz w:val="18"/>
                <w:szCs w:val="18"/>
                <w:lang w:val="ca-ES"/>
              </w:rPr>
              <w:t>on a progressive dose reduction protocol.</w:t>
            </w:r>
          </w:p>
          <w:p w14:paraId="2AEF78F5" w14:textId="01D512DE" w:rsidR="002E154F" w:rsidRPr="0000755C" w:rsidRDefault="002E154F" w:rsidP="00827A2F">
            <w:pPr>
              <w:rPr>
                <w:color w:val="000000" w:themeColor="text1"/>
                <w:sz w:val="18"/>
                <w:szCs w:val="18"/>
                <w:lang w:val="en-US"/>
              </w:rPr>
            </w:pPr>
            <w:r w:rsidRPr="0000755C">
              <w:rPr>
                <w:rFonts w:ascii="AdvTT336784a7" w:eastAsiaTheme="minorHAnsi" w:hAnsi="AdvTT336784a7" w:cs="AdvTT336784a7"/>
                <w:color w:val="000000" w:themeColor="text1"/>
                <w:sz w:val="18"/>
                <w:szCs w:val="18"/>
                <w:lang w:val="ca-ES"/>
              </w:rPr>
              <w:t>Exacerbations did not occur during the 18-30 month follow-up after drug withdrawn.</w:t>
            </w:r>
          </w:p>
        </w:tc>
        <w:tc>
          <w:tcPr>
            <w:tcW w:w="2552" w:type="dxa"/>
          </w:tcPr>
          <w:p w14:paraId="75EF9F94" w14:textId="77777777" w:rsidR="00827A2F" w:rsidRDefault="00827A2F" w:rsidP="00827A2F">
            <w:pPr>
              <w:rPr>
                <w:sz w:val="18"/>
                <w:szCs w:val="18"/>
                <w:lang w:val="en-US"/>
              </w:rPr>
            </w:pPr>
            <w:r>
              <w:rPr>
                <w:sz w:val="18"/>
                <w:szCs w:val="18"/>
                <w:lang w:val="en-US"/>
              </w:rPr>
              <w:lastRenderedPageBreak/>
              <w:t xml:space="preserve">Ortega; </w:t>
            </w:r>
            <w:r w:rsidRPr="00631D1B">
              <w:rPr>
                <w:sz w:val="18"/>
                <w:szCs w:val="18"/>
                <w:lang w:val="en-US"/>
              </w:rPr>
              <w:t xml:space="preserve">Allergy Asthma Clin Immunol. </w:t>
            </w:r>
            <w:proofErr w:type="gramStart"/>
            <w:r w:rsidRPr="00631D1B">
              <w:rPr>
                <w:sz w:val="18"/>
                <w:szCs w:val="18"/>
                <w:lang w:val="en-US"/>
              </w:rPr>
              <w:t>2019 ;</w:t>
            </w:r>
            <w:proofErr w:type="gramEnd"/>
            <w:r w:rsidRPr="00631D1B">
              <w:rPr>
                <w:sz w:val="18"/>
                <w:szCs w:val="18"/>
                <w:lang w:val="en-US"/>
              </w:rPr>
              <w:t>15:37.</w:t>
            </w:r>
          </w:p>
          <w:p w14:paraId="04C9F518" w14:textId="77777777" w:rsidR="00827A2F" w:rsidRDefault="00827A2F" w:rsidP="00827A2F">
            <w:pPr>
              <w:rPr>
                <w:sz w:val="18"/>
                <w:szCs w:val="18"/>
                <w:lang w:val="en-US"/>
              </w:rPr>
            </w:pPr>
            <w:r>
              <w:rPr>
                <w:sz w:val="18"/>
                <w:szCs w:val="18"/>
                <w:lang w:val="en-US"/>
              </w:rPr>
              <w:t xml:space="preserve">Follow up of COSMOS; </w:t>
            </w:r>
            <w:r w:rsidRPr="00631D1B">
              <w:rPr>
                <w:sz w:val="18"/>
                <w:szCs w:val="18"/>
                <w:lang w:val="en-US"/>
              </w:rPr>
              <w:t xml:space="preserve">Cessation of mepolizumab was associated with a rise in the blood eosinophil count and loss of asthma control </w:t>
            </w:r>
            <w:r>
              <w:rPr>
                <w:sz w:val="18"/>
                <w:szCs w:val="18"/>
                <w:lang w:val="en-US"/>
              </w:rPr>
              <w:t xml:space="preserve">12 weeks </w:t>
            </w:r>
            <w:r w:rsidRPr="00631D1B">
              <w:rPr>
                <w:sz w:val="18"/>
                <w:szCs w:val="18"/>
                <w:lang w:val="en-US"/>
              </w:rPr>
              <w:t>after stopping therapy.</w:t>
            </w:r>
          </w:p>
          <w:p w14:paraId="52CC44CD" w14:textId="77777777" w:rsidR="00827A2F" w:rsidRDefault="00827A2F" w:rsidP="00827A2F">
            <w:pPr>
              <w:rPr>
                <w:sz w:val="18"/>
                <w:szCs w:val="18"/>
                <w:lang w:val="en-US"/>
              </w:rPr>
            </w:pPr>
          </w:p>
          <w:p w14:paraId="01785753" w14:textId="77777777" w:rsidR="00827A2F" w:rsidRPr="00D2115C" w:rsidRDefault="00827A2F" w:rsidP="00827A2F">
            <w:pPr>
              <w:rPr>
                <w:sz w:val="18"/>
                <w:szCs w:val="18"/>
                <w:lang w:val="en-US"/>
              </w:rPr>
            </w:pPr>
            <w:r w:rsidRPr="00D2115C">
              <w:rPr>
                <w:sz w:val="18"/>
                <w:szCs w:val="18"/>
                <w:lang w:val="en-US"/>
              </w:rPr>
              <w:t xml:space="preserve">4.5 years </w:t>
            </w:r>
          </w:p>
          <w:p w14:paraId="00BABF62" w14:textId="77777777" w:rsidR="00827A2F" w:rsidRDefault="00827A2F" w:rsidP="00827A2F">
            <w:pPr>
              <w:rPr>
                <w:sz w:val="18"/>
                <w:szCs w:val="18"/>
                <w:lang w:val="en-US"/>
              </w:rPr>
            </w:pPr>
            <w:r w:rsidRPr="00D2115C">
              <w:rPr>
                <w:sz w:val="18"/>
                <w:szCs w:val="18"/>
                <w:lang w:val="en-US"/>
              </w:rPr>
              <w:t xml:space="preserve">extension of DREAM </w:t>
            </w:r>
            <w:r>
              <w:rPr>
                <w:sz w:val="18"/>
                <w:szCs w:val="18"/>
                <w:lang w:val="en-US"/>
              </w:rPr>
              <w:t>shows</w:t>
            </w:r>
          </w:p>
          <w:p w14:paraId="174CB6DF" w14:textId="77777777" w:rsidR="00827A2F" w:rsidRPr="009B273A" w:rsidRDefault="00827A2F" w:rsidP="00827A2F">
            <w:pPr>
              <w:rPr>
                <w:sz w:val="18"/>
                <w:szCs w:val="18"/>
                <w:lang w:val="en-US"/>
              </w:rPr>
            </w:pPr>
            <w:r>
              <w:rPr>
                <w:sz w:val="18"/>
                <w:szCs w:val="18"/>
                <w:lang w:val="en-US"/>
              </w:rPr>
              <w:t xml:space="preserve">NO </w:t>
            </w:r>
            <w:r w:rsidRPr="009B273A">
              <w:rPr>
                <w:sz w:val="18"/>
                <w:szCs w:val="18"/>
                <w:lang w:val="en-US"/>
              </w:rPr>
              <w:t>evidence that any continuation</w:t>
            </w:r>
          </w:p>
          <w:p w14:paraId="258BC539" w14:textId="751044B0" w:rsidR="00827A2F" w:rsidRDefault="00827A2F" w:rsidP="00827A2F">
            <w:pPr>
              <w:rPr>
                <w:sz w:val="18"/>
                <w:szCs w:val="18"/>
                <w:lang w:val="en-US"/>
              </w:rPr>
            </w:pPr>
            <w:r w:rsidRPr="009B273A">
              <w:rPr>
                <w:sz w:val="18"/>
                <w:szCs w:val="18"/>
                <w:lang w:val="en-US"/>
              </w:rPr>
              <w:t>rule adds value to established initiation criteria for mepolizumab</w:t>
            </w:r>
          </w:p>
        </w:tc>
        <w:tc>
          <w:tcPr>
            <w:tcW w:w="3118" w:type="dxa"/>
          </w:tcPr>
          <w:p w14:paraId="5DD05670" w14:textId="04B6C9A0" w:rsidR="00827A2F" w:rsidRDefault="00827A2F" w:rsidP="00827A2F">
            <w:pPr>
              <w:rPr>
                <w:sz w:val="18"/>
                <w:szCs w:val="18"/>
                <w:lang w:val="en-US"/>
              </w:rPr>
            </w:pPr>
            <w:r>
              <w:rPr>
                <w:sz w:val="18"/>
                <w:szCs w:val="18"/>
                <w:lang w:val="en-US"/>
              </w:rPr>
              <w:t>No data</w:t>
            </w:r>
          </w:p>
        </w:tc>
      </w:tr>
      <w:tr w:rsidR="00827A2F" w:rsidRPr="00F22C2E" w14:paraId="29E16D4D" w14:textId="77777777" w:rsidTr="00827A2F">
        <w:tc>
          <w:tcPr>
            <w:tcW w:w="1296" w:type="dxa"/>
            <w:shd w:val="clear" w:color="auto" w:fill="FFC000"/>
          </w:tcPr>
          <w:p w14:paraId="6A7BF6DF" w14:textId="77777777" w:rsidR="00827A2F" w:rsidRPr="00F22C2E" w:rsidRDefault="00827A2F" w:rsidP="00827A2F">
            <w:pPr>
              <w:rPr>
                <w:sz w:val="18"/>
                <w:szCs w:val="18"/>
                <w:lang w:val="en-US"/>
              </w:rPr>
            </w:pPr>
          </w:p>
        </w:tc>
        <w:tc>
          <w:tcPr>
            <w:tcW w:w="1818" w:type="dxa"/>
            <w:shd w:val="clear" w:color="auto" w:fill="FFC000"/>
          </w:tcPr>
          <w:p w14:paraId="0FB67AFC" w14:textId="73C03EC3" w:rsidR="00827A2F" w:rsidRPr="00F22C2E" w:rsidRDefault="00827A2F" w:rsidP="00827A2F">
            <w:pPr>
              <w:rPr>
                <w:sz w:val="18"/>
                <w:szCs w:val="18"/>
                <w:lang w:val="en-US"/>
              </w:rPr>
            </w:pPr>
            <w:r w:rsidRPr="00F22C2E">
              <w:rPr>
                <w:sz w:val="18"/>
                <w:szCs w:val="18"/>
                <w:lang w:val="en-US"/>
              </w:rPr>
              <w:t>Benralizumab</w:t>
            </w:r>
          </w:p>
        </w:tc>
        <w:tc>
          <w:tcPr>
            <w:tcW w:w="1701" w:type="dxa"/>
            <w:shd w:val="clear" w:color="auto" w:fill="FFC000"/>
          </w:tcPr>
          <w:p w14:paraId="0DB5B474" w14:textId="03A1660A" w:rsidR="00827A2F" w:rsidRPr="00F22C2E" w:rsidRDefault="00827A2F" w:rsidP="00827A2F">
            <w:pPr>
              <w:rPr>
                <w:sz w:val="18"/>
                <w:szCs w:val="18"/>
                <w:lang w:val="en-US"/>
              </w:rPr>
            </w:pPr>
            <w:r w:rsidRPr="00F22C2E">
              <w:rPr>
                <w:sz w:val="18"/>
                <w:szCs w:val="18"/>
                <w:lang w:val="en-US"/>
              </w:rPr>
              <w:t>Dupilumab</w:t>
            </w:r>
          </w:p>
        </w:tc>
        <w:tc>
          <w:tcPr>
            <w:tcW w:w="1417" w:type="dxa"/>
            <w:shd w:val="clear" w:color="auto" w:fill="FFC000"/>
          </w:tcPr>
          <w:p w14:paraId="606B20CE" w14:textId="4F7CCE71" w:rsidR="00827A2F" w:rsidRPr="00F22C2E" w:rsidRDefault="00827A2F" w:rsidP="00827A2F">
            <w:pPr>
              <w:rPr>
                <w:sz w:val="18"/>
                <w:szCs w:val="18"/>
                <w:lang w:val="en-US"/>
              </w:rPr>
            </w:pPr>
            <w:r w:rsidRPr="00F22C2E">
              <w:rPr>
                <w:sz w:val="18"/>
                <w:szCs w:val="18"/>
                <w:lang w:val="en-US"/>
              </w:rPr>
              <w:t>Omalizumab</w:t>
            </w:r>
          </w:p>
        </w:tc>
        <w:tc>
          <w:tcPr>
            <w:tcW w:w="2552" w:type="dxa"/>
            <w:shd w:val="clear" w:color="auto" w:fill="FFC000"/>
          </w:tcPr>
          <w:p w14:paraId="44837251" w14:textId="0C2803EC" w:rsidR="00827A2F" w:rsidRPr="00F22C2E" w:rsidRDefault="00827A2F" w:rsidP="00827A2F">
            <w:pPr>
              <w:rPr>
                <w:sz w:val="18"/>
                <w:szCs w:val="18"/>
                <w:lang w:val="en-US"/>
              </w:rPr>
            </w:pPr>
            <w:r w:rsidRPr="00F22C2E">
              <w:rPr>
                <w:sz w:val="18"/>
                <w:szCs w:val="18"/>
                <w:lang w:val="en-US"/>
              </w:rPr>
              <w:t>Mepolizumab</w:t>
            </w:r>
          </w:p>
        </w:tc>
        <w:tc>
          <w:tcPr>
            <w:tcW w:w="3118" w:type="dxa"/>
            <w:shd w:val="clear" w:color="auto" w:fill="FFC000"/>
          </w:tcPr>
          <w:p w14:paraId="7FD6CC1F" w14:textId="7361C52E" w:rsidR="00827A2F" w:rsidRPr="00F22C2E" w:rsidRDefault="00827A2F" w:rsidP="00827A2F">
            <w:pPr>
              <w:rPr>
                <w:sz w:val="18"/>
                <w:szCs w:val="18"/>
                <w:lang w:val="en-US"/>
              </w:rPr>
            </w:pPr>
            <w:r w:rsidRPr="00F22C2E">
              <w:rPr>
                <w:sz w:val="18"/>
                <w:szCs w:val="18"/>
                <w:lang w:val="en-US"/>
              </w:rPr>
              <w:t>Reslizumab</w:t>
            </w:r>
          </w:p>
        </w:tc>
      </w:tr>
      <w:tr w:rsidR="00827A2F" w:rsidRPr="00F22C2E" w14:paraId="09CC9D1B" w14:textId="77777777" w:rsidTr="00827A2F">
        <w:tc>
          <w:tcPr>
            <w:tcW w:w="1296" w:type="dxa"/>
          </w:tcPr>
          <w:p w14:paraId="482ADFF7" w14:textId="77777777" w:rsidR="00827A2F" w:rsidRPr="00F22C2E" w:rsidRDefault="00827A2F" w:rsidP="00827A2F">
            <w:pPr>
              <w:rPr>
                <w:sz w:val="18"/>
                <w:szCs w:val="18"/>
                <w:lang w:val="en-US"/>
              </w:rPr>
            </w:pPr>
            <w:r w:rsidRPr="00F22C2E">
              <w:rPr>
                <w:sz w:val="18"/>
                <w:szCs w:val="18"/>
                <w:lang w:val="en-US"/>
              </w:rPr>
              <w:t>Combinations between biologicals</w:t>
            </w:r>
          </w:p>
        </w:tc>
        <w:tc>
          <w:tcPr>
            <w:tcW w:w="1818" w:type="dxa"/>
          </w:tcPr>
          <w:p w14:paraId="11AC1717" w14:textId="77777777" w:rsidR="00827A2F" w:rsidRDefault="00827A2F" w:rsidP="00827A2F">
            <w:pPr>
              <w:rPr>
                <w:sz w:val="18"/>
                <w:szCs w:val="18"/>
                <w:lang w:val="en-US"/>
              </w:rPr>
            </w:pPr>
          </w:p>
        </w:tc>
        <w:tc>
          <w:tcPr>
            <w:tcW w:w="1701" w:type="dxa"/>
          </w:tcPr>
          <w:p w14:paraId="2111FBD5" w14:textId="77777777" w:rsidR="00827A2F" w:rsidRDefault="00827A2F" w:rsidP="00827A2F">
            <w:pPr>
              <w:rPr>
                <w:sz w:val="18"/>
                <w:szCs w:val="18"/>
                <w:lang w:val="en-US"/>
              </w:rPr>
            </w:pPr>
          </w:p>
        </w:tc>
        <w:tc>
          <w:tcPr>
            <w:tcW w:w="1417" w:type="dxa"/>
          </w:tcPr>
          <w:p w14:paraId="2325CA3C" w14:textId="77777777" w:rsidR="00827A2F" w:rsidRDefault="00827A2F" w:rsidP="00827A2F">
            <w:pPr>
              <w:rPr>
                <w:sz w:val="18"/>
                <w:szCs w:val="18"/>
                <w:lang w:val="en-US"/>
              </w:rPr>
            </w:pPr>
          </w:p>
        </w:tc>
        <w:tc>
          <w:tcPr>
            <w:tcW w:w="2552" w:type="dxa"/>
          </w:tcPr>
          <w:p w14:paraId="762B26DC" w14:textId="77777777" w:rsidR="00827A2F" w:rsidRDefault="00827A2F" w:rsidP="00827A2F">
            <w:pPr>
              <w:rPr>
                <w:sz w:val="18"/>
                <w:szCs w:val="18"/>
                <w:lang w:val="en-US"/>
              </w:rPr>
            </w:pPr>
            <w:r>
              <w:rPr>
                <w:sz w:val="18"/>
                <w:szCs w:val="18"/>
                <w:lang w:val="en-US"/>
              </w:rPr>
              <w:t xml:space="preserve">Altman MC, JACI -P 2017: </w:t>
            </w:r>
          </w:p>
          <w:p w14:paraId="0CE3AFB5" w14:textId="707EB39D" w:rsidR="00827A2F" w:rsidRDefault="00827A2F" w:rsidP="00827A2F">
            <w:pPr>
              <w:rPr>
                <w:sz w:val="18"/>
                <w:szCs w:val="18"/>
                <w:lang w:val="en-US"/>
              </w:rPr>
            </w:pPr>
            <w:r w:rsidRPr="00F22C2E">
              <w:rPr>
                <w:sz w:val="18"/>
                <w:szCs w:val="18"/>
                <w:lang w:val="en-US"/>
              </w:rPr>
              <w:t>mepolizumab as an</w:t>
            </w:r>
            <w:r>
              <w:rPr>
                <w:sz w:val="18"/>
                <w:szCs w:val="18"/>
                <w:lang w:val="en-US"/>
              </w:rPr>
              <w:t xml:space="preserve"> </w:t>
            </w:r>
            <w:r w:rsidRPr="00F22C2E">
              <w:rPr>
                <w:sz w:val="18"/>
                <w:szCs w:val="18"/>
                <w:lang w:val="en-US"/>
              </w:rPr>
              <w:t>additional and effective treatment option for severe</w:t>
            </w:r>
            <w:r>
              <w:rPr>
                <w:sz w:val="18"/>
                <w:szCs w:val="18"/>
                <w:lang w:val="en-US"/>
              </w:rPr>
              <w:t xml:space="preserve"> ABPA</w:t>
            </w:r>
            <w:r w:rsidRPr="00F22C2E">
              <w:rPr>
                <w:sz w:val="18"/>
                <w:szCs w:val="18"/>
                <w:lang w:val="en-US"/>
              </w:rPr>
              <w:t xml:space="preserve"> resistant to</w:t>
            </w:r>
            <w:r>
              <w:rPr>
                <w:sz w:val="18"/>
                <w:szCs w:val="18"/>
                <w:lang w:val="en-US"/>
              </w:rPr>
              <w:t xml:space="preserve"> </w:t>
            </w:r>
            <w:r w:rsidRPr="00F22C2E">
              <w:rPr>
                <w:sz w:val="18"/>
                <w:szCs w:val="18"/>
                <w:lang w:val="en-US"/>
              </w:rPr>
              <w:t xml:space="preserve">corticosteroids, antifungal </w:t>
            </w:r>
            <w:r w:rsidRPr="00F22C2E">
              <w:rPr>
                <w:sz w:val="18"/>
                <w:szCs w:val="18"/>
                <w:lang w:val="en-US"/>
              </w:rPr>
              <w:lastRenderedPageBreak/>
              <w:t xml:space="preserve">therapy, and omalizumab. </w:t>
            </w:r>
            <w:r>
              <w:rPr>
                <w:sz w:val="18"/>
                <w:szCs w:val="18"/>
                <w:lang w:val="en-US"/>
              </w:rPr>
              <w:t>The</w:t>
            </w:r>
            <w:r w:rsidRPr="00F22C2E">
              <w:rPr>
                <w:sz w:val="18"/>
                <w:szCs w:val="18"/>
                <w:lang w:val="en-US"/>
              </w:rPr>
              <w:t xml:space="preserve"> </w:t>
            </w:r>
            <w:r>
              <w:rPr>
                <w:sz w:val="18"/>
                <w:szCs w:val="18"/>
                <w:lang w:val="en-US"/>
              </w:rPr>
              <w:t xml:space="preserve">case-report </w:t>
            </w:r>
            <w:r w:rsidRPr="00F22C2E">
              <w:rPr>
                <w:sz w:val="18"/>
                <w:szCs w:val="18"/>
                <w:lang w:val="en-US"/>
              </w:rPr>
              <w:t>demonstrates a potentially synergistic effect of using</w:t>
            </w:r>
            <w:r>
              <w:rPr>
                <w:sz w:val="18"/>
                <w:szCs w:val="18"/>
                <w:lang w:val="en-US"/>
              </w:rPr>
              <w:t xml:space="preserve"> </w:t>
            </w:r>
            <w:r w:rsidRPr="00F22C2E">
              <w:rPr>
                <w:sz w:val="18"/>
                <w:szCs w:val="18"/>
                <w:lang w:val="en-US"/>
              </w:rPr>
              <w:t>mepolizumab with omalizumab</w:t>
            </w:r>
          </w:p>
        </w:tc>
        <w:tc>
          <w:tcPr>
            <w:tcW w:w="3118" w:type="dxa"/>
          </w:tcPr>
          <w:p w14:paraId="36CF0969" w14:textId="77777777" w:rsidR="00827A2F" w:rsidRDefault="00827A2F" w:rsidP="00827A2F">
            <w:pPr>
              <w:rPr>
                <w:sz w:val="18"/>
                <w:szCs w:val="18"/>
                <w:lang w:val="en-US"/>
              </w:rPr>
            </w:pPr>
          </w:p>
        </w:tc>
      </w:tr>
      <w:tr w:rsidR="00827A2F" w:rsidRPr="00F22C2E" w14:paraId="5D5448C5" w14:textId="77777777" w:rsidTr="00827A2F">
        <w:tc>
          <w:tcPr>
            <w:tcW w:w="1296" w:type="dxa"/>
            <w:shd w:val="clear" w:color="auto" w:fill="FFC000"/>
          </w:tcPr>
          <w:p w14:paraId="09B3CF1B" w14:textId="77777777" w:rsidR="00827A2F" w:rsidRPr="00F22C2E" w:rsidRDefault="00827A2F" w:rsidP="00827A2F">
            <w:pPr>
              <w:rPr>
                <w:sz w:val="18"/>
                <w:szCs w:val="18"/>
                <w:lang w:val="en-US"/>
              </w:rPr>
            </w:pPr>
          </w:p>
        </w:tc>
        <w:tc>
          <w:tcPr>
            <w:tcW w:w="1818" w:type="dxa"/>
            <w:shd w:val="clear" w:color="auto" w:fill="FFC000"/>
          </w:tcPr>
          <w:p w14:paraId="6F3353EC" w14:textId="3134A844" w:rsidR="00827A2F" w:rsidRPr="00F22C2E" w:rsidRDefault="00827A2F" w:rsidP="00827A2F">
            <w:pPr>
              <w:rPr>
                <w:sz w:val="18"/>
                <w:szCs w:val="18"/>
                <w:lang w:val="en-US"/>
              </w:rPr>
            </w:pPr>
            <w:r w:rsidRPr="00F22C2E">
              <w:rPr>
                <w:sz w:val="18"/>
                <w:szCs w:val="18"/>
                <w:lang w:val="en-US"/>
              </w:rPr>
              <w:t>Benralizumab</w:t>
            </w:r>
          </w:p>
        </w:tc>
        <w:tc>
          <w:tcPr>
            <w:tcW w:w="1701" w:type="dxa"/>
            <w:shd w:val="clear" w:color="auto" w:fill="FFC000"/>
          </w:tcPr>
          <w:p w14:paraId="1EC23F86" w14:textId="61D4418E" w:rsidR="00827A2F" w:rsidRPr="00F22C2E" w:rsidRDefault="00827A2F" w:rsidP="00827A2F">
            <w:pPr>
              <w:rPr>
                <w:sz w:val="18"/>
                <w:szCs w:val="18"/>
                <w:lang w:val="en-US"/>
              </w:rPr>
            </w:pPr>
            <w:r w:rsidRPr="00F22C2E">
              <w:rPr>
                <w:sz w:val="18"/>
                <w:szCs w:val="18"/>
                <w:lang w:val="en-US"/>
              </w:rPr>
              <w:t>Dupilumab</w:t>
            </w:r>
          </w:p>
        </w:tc>
        <w:tc>
          <w:tcPr>
            <w:tcW w:w="1417" w:type="dxa"/>
            <w:shd w:val="clear" w:color="auto" w:fill="FFC000"/>
          </w:tcPr>
          <w:p w14:paraId="638CE23D" w14:textId="0208A304" w:rsidR="00827A2F" w:rsidRPr="00F22C2E" w:rsidRDefault="00827A2F" w:rsidP="00827A2F">
            <w:pPr>
              <w:rPr>
                <w:sz w:val="18"/>
                <w:szCs w:val="18"/>
                <w:lang w:val="en-US"/>
              </w:rPr>
            </w:pPr>
            <w:r w:rsidRPr="00F22C2E">
              <w:rPr>
                <w:sz w:val="18"/>
                <w:szCs w:val="18"/>
                <w:lang w:val="en-US"/>
              </w:rPr>
              <w:t>Omalizumab</w:t>
            </w:r>
          </w:p>
        </w:tc>
        <w:tc>
          <w:tcPr>
            <w:tcW w:w="2552" w:type="dxa"/>
            <w:shd w:val="clear" w:color="auto" w:fill="FFC000"/>
          </w:tcPr>
          <w:p w14:paraId="2963D346" w14:textId="47BD8B3D" w:rsidR="00827A2F" w:rsidRPr="00F22C2E" w:rsidRDefault="00827A2F" w:rsidP="00827A2F">
            <w:pPr>
              <w:rPr>
                <w:sz w:val="18"/>
                <w:szCs w:val="18"/>
                <w:lang w:val="en-US"/>
              </w:rPr>
            </w:pPr>
            <w:r w:rsidRPr="00F22C2E">
              <w:rPr>
                <w:sz w:val="18"/>
                <w:szCs w:val="18"/>
                <w:lang w:val="en-US"/>
              </w:rPr>
              <w:t>Mepolizumab</w:t>
            </w:r>
          </w:p>
        </w:tc>
        <w:tc>
          <w:tcPr>
            <w:tcW w:w="3118" w:type="dxa"/>
            <w:shd w:val="clear" w:color="auto" w:fill="FFC000"/>
          </w:tcPr>
          <w:p w14:paraId="4A141C2B" w14:textId="08D66F8C" w:rsidR="00827A2F" w:rsidRPr="00F22C2E" w:rsidRDefault="00827A2F" w:rsidP="00827A2F">
            <w:pPr>
              <w:rPr>
                <w:sz w:val="18"/>
                <w:szCs w:val="18"/>
                <w:lang w:val="en-US"/>
              </w:rPr>
            </w:pPr>
            <w:r w:rsidRPr="00F22C2E">
              <w:rPr>
                <w:sz w:val="18"/>
                <w:szCs w:val="18"/>
                <w:lang w:val="en-US"/>
              </w:rPr>
              <w:t>Reslizumab</w:t>
            </w:r>
          </w:p>
        </w:tc>
      </w:tr>
      <w:tr w:rsidR="00827A2F" w:rsidRPr="00F22C2E" w14:paraId="22AF90DE" w14:textId="77777777" w:rsidTr="00827A2F">
        <w:tc>
          <w:tcPr>
            <w:tcW w:w="1296" w:type="dxa"/>
          </w:tcPr>
          <w:p w14:paraId="0578A84E" w14:textId="77777777" w:rsidR="00827A2F" w:rsidRPr="00F22C2E" w:rsidRDefault="00827A2F" w:rsidP="00827A2F">
            <w:pPr>
              <w:rPr>
                <w:sz w:val="18"/>
                <w:szCs w:val="18"/>
                <w:lang w:val="en-US"/>
              </w:rPr>
            </w:pPr>
            <w:r>
              <w:rPr>
                <w:sz w:val="18"/>
                <w:szCs w:val="18"/>
                <w:lang w:val="en-US"/>
              </w:rPr>
              <w:t xml:space="preserve">Other potential indications </w:t>
            </w:r>
          </w:p>
        </w:tc>
        <w:tc>
          <w:tcPr>
            <w:tcW w:w="1818" w:type="dxa"/>
          </w:tcPr>
          <w:p w14:paraId="4C28020F" w14:textId="77777777" w:rsidR="00827A2F" w:rsidRDefault="00827A2F" w:rsidP="00827A2F">
            <w:pPr>
              <w:rPr>
                <w:sz w:val="18"/>
                <w:szCs w:val="18"/>
                <w:lang w:val="en-US"/>
              </w:rPr>
            </w:pPr>
            <w:r>
              <w:rPr>
                <w:sz w:val="18"/>
                <w:szCs w:val="18"/>
                <w:lang w:val="en-US"/>
              </w:rPr>
              <w:t>Nowak 2015</w:t>
            </w:r>
          </w:p>
          <w:p w14:paraId="35E3CC9F" w14:textId="77777777" w:rsidR="00827A2F" w:rsidRDefault="00827A2F" w:rsidP="00827A2F">
            <w:pPr>
              <w:rPr>
                <w:sz w:val="18"/>
                <w:szCs w:val="18"/>
                <w:lang w:val="en-US"/>
              </w:rPr>
            </w:pPr>
            <w:r w:rsidRPr="006F5157">
              <w:rPr>
                <w:sz w:val="18"/>
                <w:szCs w:val="18"/>
                <w:lang w:val="en-US"/>
              </w:rPr>
              <w:t>1 dose of benralizumab reduced the rate and severity of exacerbations experienced over 12 weeks by subjects who presented to the ED with acute asthma</w:t>
            </w:r>
          </w:p>
          <w:p w14:paraId="7F2DBB10" w14:textId="77777777" w:rsidR="00827A2F" w:rsidRDefault="00827A2F" w:rsidP="00827A2F">
            <w:pPr>
              <w:rPr>
                <w:sz w:val="18"/>
                <w:szCs w:val="18"/>
                <w:lang w:val="en-US"/>
              </w:rPr>
            </w:pPr>
          </w:p>
          <w:p w14:paraId="186E43B6" w14:textId="77777777" w:rsidR="00827A2F" w:rsidRDefault="00827A2F" w:rsidP="00827A2F">
            <w:pPr>
              <w:rPr>
                <w:sz w:val="18"/>
                <w:szCs w:val="18"/>
                <w:lang w:val="en-US"/>
              </w:rPr>
            </w:pPr>
            <w:r>
              <w:rPr>
                <w:sz w:val="18"/>
                <w:szCs w:val="18"/>
                <w:lang w:val="en-US"/>
              </w:rPr>
              <w:t>Ferguson 2017 BISE trial in mild to moderate asthma</w:t>
            </w:r>
          </w:p>
          <w:p w14:paraId="4926C851" w14:textId="592849FF" w:rsidR="00827A2F" w:rsidRPr="00F22C2E" w:rsidRDefault="00827A2F" w:rsidP="00827A2F">
            <w:pPr>
              <w:rPr>
                <w:sz w:val="18"/>
                <w:szCs w:val="18"/>
                <w:lang w:val="en-US"/>
              </w:rPr>
            </w:pPr>
            <w:r>
              <w:rPr>
                <w:sz w:val="18"/>
                <w:szCs w:val="18"/>
                <w:lang w:val="en-US"/>
              </w:rPr>
              <w:t>Some effect on lung function although did not reach the MID</w:t>
            </w:r>
          </w:p>
        </w:tc>
        <w:tc>
          <w:tcPr>
            <w:tcW w:w="1701" w:type="dxa"/>
          </w:tcPr>
          <w:p w14:paraId="6480E5E4" w14:textId="77777777" w:rsidR="00827A2F" w:rsidRPr="00F22C2E" w:rsidRDefault="00827A2F" w:rsidP="00827A2F">
            <w:pPr>
              <w:rPr>
                <w:sz w:val="18"/>
                <w:szCs w:val="18"/>
                <w:lang w:val="en-US"/>
              </w:rPr>
            </w:pPr>
          </w:p>
        </w:tc>
        <w:tc>
          <w:tcPr>
            <w:tcW w:w="1417" w:type="dxa"/>
          </w:tcPr>
          <w:p w14:paraId="0576CD27" w14:textId="77777777" w:rsidR="00827A2F" w:rsidRPr="00F22C2E" w:rsidRDefault="00827A2F" w:rsidP="00827A2F">
            <w:pPr>
              <w:rPr>
                <w:sz w:val="18"/>
                <w:szCs w:val="18"/>
                <w:lang w:val="en-US"/>
              </w:rPr>
            </w:pPr>
          </w:p>
        </w:tc>
        <w:tc>
          <w:tcPr>
            <w:tcW w:w="2552" w:type="dxa"/>
          </w:tcPr>
          <w:p w14:paraId="06A255D4" w14:textId="77777777" w:rsidR="00827A2F" w:rsidRPr="00F22C2E" w:rsidRDefault="00827A2F" w:rsidP="00827A2F">
            <w:pPr>
              <w:rPr>
                <w:sz w:val="18"/>
                <w:szCs w:val="18"/>
                <w:lang w:val="en-US"/>
              </w:rPr>
            </w:pPr>
          </w:p>
        </w:tc>
        <w:tc>
          <w:tcPr>
            <w:tcW w:w="3118" w:type="dxa"/>
          </w:tcPr>
          <w:p w14:paraId="36F7A1AD" w14:textId="77777777" w:rsidR="00827A2F" w:rsidRPr="00F22C2E" w:rsidRDefault="00827A2F" w:rsidP="00827A2F">
            <w:pPr>
              <w:rPr>
                <w:sz w:val="18"/>
                <w:szCs w:val="18"/>
                <w:lang w:val="en-US"/>
              </w:rPr>
            </w:pPr>
          </w:p>
        </w:tc>
      </w:tr>
      <w:tr w:rsidR="002D374A" w:rsidRPr="00F22C2E" w14:paraId="7DC63085" w14:textId="77777777" w:rsidTr="00827A2F">
        <w:tc>
          <w:tcPr>
            <w:tcW w:w="1296" w:type="dxa"/>
          </w:tcPr>
          <w:p w14:paraId="5404A0DA" w14:textId="287794C1" w:rsidR="00440977" w:rsidRDefault="002D374A" w:rsidP="00440977">
            <w:pPr>
              <w:rPr>
                <w:sz w:val="18"/>
                <w:szCs w:val="18"/>
                <w:lang w:val="en-US"/>
              </w:rPr>
            </w:pPr>
            <w:r>
              <w:rPr>
                <w:sz w:val="18"/>
                <w:szCs w:val="18"/>
                <w:lang w:val="en-US"/>
              </w:rPr>
              <w:t>e</w:t>
            </w:r>
            <w:r w:rsidRPr="002D374A">
              <w:rPr>
                <w:sz w:val="18"/>
                <w:szCs w:val="18"/>
                <w:lang w:val="en-US"/>
              </w:rPr>
              <w:t>ffects after administration in ED</w:t>
            </w:r>
          </w:p>
          <w:p w14:paraId="3A0C93C6" w14:textId="773DF5C0" w:rsidR="002D374A" w:rsidRDefault="002D374A" w:rsidP="002D374A">
            <w:pPr>
              <w:rPr>
                <w:sz w:val="18"/>
                <w:szCs w:val="18"/>
                <w:lang w:val="en-US"/>
              </w:rPr>
            </w:pPr>
          </w:p>
        </w:tc>
        <w:tc>
          <w:tcPr>
            <w:tcW w:w="1818" w:type="dxa"/>
          </w:tcPr>
          <w:p w14:paraId="0391A320" w14:textId="691B3660" w:rsidR="00440977" w:rsidRPr="002D374A" w:rsidRDefault="00440977" w:rsidP="00440977">
            <w:pPr>
              <w:rPr>
                <w:sz w:val="18"/>
                <w:szCs w:val="18"/>
                <w:lang w:val="en-US"/>
              </w:rPr>
            </w:pPr>
            <w:r w:rsidRPr="002D374A">
              <w:rPr>
                <w:sz w:val="18"/>
                <w:szCs w:val="18"/>
                <w:lang w:val="en-US"/>
              </w:rPr>
              <w:t xml:space="preserve">Nowak RM, </w:t>
            </w:r>
            <w:r>
              <w:rPr>
                <w:sz w:val="18"/>
                <w:szCs w:val="18"/>
                <w:lang w:val="en-US"/>
              </w:rPr>
              <w:t>et al</w:t>
            </w:r>
            <w:r w:rsidRPr="002D374A">
              <w:rPr>
                <w:sz w:val="18"/>
                <w:szCs w:val="18"/>
                <w:lang w:val="en-US"/>
              </w:rPr>
              <w:t xml:space="preserve">. </w:t>
            </w:r>
          </w:p>
          <w:p w14:paraId="69160EC9" w14:textId="77777777" w:rsidR="002D374A" w:rsidRDefault="00440977" w:rsidP="00440977">
            <w:pPr>
              <w:rPr>
                <w:sz w:val="18"/>
                <w:szCs w:val="18"/>
                <w:lang w:val="en-US"/>
              </w:rPr>
            </w:pPr>
            <w:r w:rsidRPr="002D374A">
              <w:rPr>
                <w:sz w:val="18"/>
                <w:szCs w:val="18"/>
                <w:lang w:val="en-US"/>
              </w:rPr>
              <w:t xml:space="preserve">Am J Emerg Med. 2015;33(1):14-20. </w:t>
            </w:r>
          </w:p>
          <w:p w14:paraId="0F8DE7C0" w14:textId="1C014197" w:rsidR="00440977" w:rsidRDefault="00440977" w:rsidP="00440977">
            <w:pPr>
              <w:rPr>
                <w:sz w:val="18"/>
                <w:szCs w:val="18"/>
                <w:lang w:val="en-US"/>
              </w:rPr>
            </w:pPr>
            <w:r>
              <w:rPr>
                <w:sz w:val="18"/>
                <w:szCs w:val="18"/>
                <w:lang w:val="en-US"/>
              </w:rPr>
              <w:t>R</w:t>
            </w:r>
            <w:r w:rsidRPr="00440977">
              <w:rPr>
                <w:sz w:val="18"/>
                <w:szCs w:val="18"/>
                <w:lang w:val="en-US"/>
              </w:rPr>
              <w:t>andomized, double-blind, placebo-controlled study</w:t>
            </w:r>
            <w:r>
              <w:rPr>
                <w:sz w:val="18"/>
                <w:szCs w:val="18"/>
                <w:lang w:val="en-US"/>
              </w:rPr>
              <w:t xml:space="preserve">; </w:t>
            </w:r>
            <w:r w:rsidRPr="00440977">
              <w:rPr>
                <w:sz w:val="18"/>
                <w:szCs w:val="18"/>
                <w:lang w:val="en-US"/>
              </w:rPr>
              <w:t xml:space="preserve">subjects presented to the ED with an asthma exacerbation, had partial response to treatment, and greater than or equal to 1 additional exacerbation within the previous year. 1 </w:t>
            </w:r>
            <w:r>
              <w:rPr>
                <w:sz w:val="18"/>
                <w:szCs w:val="18"/>
                <w:lang w:val="en-US"/>
              </w:rPr>
              <w:t>iv</w:t>
            </w:r>
            <w:r w:rsidRPr="00440977">
              <w:rPr>
                <w:sz w:val="18"/>
                <w:szCs w:val="18"/>
                <w:lang w:val="en-US"/>
              </w:rPr>
              <w:t xml:space="preserve"> infusion </w:t>
            </w:r>
            <w:r>
              <w:rPr>
                <w:sz w:val="18"/>
                <w:szCs w:val="18"/>
                <w:lang w:val="en-US"/>
              </w:rPr>
              <w:t xml:space="preserve">of benralizumab </w:t>
            </w:r>
            <w:r w:rsidRPr="00440977">
              <w:rPr>
                <w:sz w:val="18"/>
                <w:szCs w:val="18"/>
                <w:lang w:val="en-US"/>
              </w:rPr>
              <w:t>added to outpatient management</w:t>
            </w:r>
            <w:r>
              <w:rPr>
                <w:sz w:val="18"/>
                <w:szCs w:val="18"/>
                <w:lang w:val="en-US"/>
              </w:rPr>
              <w:t xml:space="preserve"> </w:t>
            </w:r>
            <w:r w:rsidRPr="00440977">
              <w:rPr>
                <w:sz w:val="18"/>
                <w:szCs w:val="18"/>
                <w:lang w:val="en-US"/>
              </w:rPr>
              <w:t>reduced the rate and severity of exacerbations over</w:t>
            </w:r>
            <w:r>
              <w:rPr>
                <w:sz w:val="18"/>
                <w:szCs w:val="18"/>
                <w:lang w:val="en-US"/>
              </w:rPr>
              <w:t xml:space="preserve"> the next</w:t>
            </w:r>
            <w:r w:rsidRPr="00440977">
              <w:rPr>
                <w:sz w:val="18"/>
                <w:szCs w:val="18"/>
                <w:lang w:val="en-US"/>
              </w:rPr>
              <w:t xml:space="preserve"> 12 weeks</w:t>
            </w:r>
          </w:p>
        </w:tc>
        <w:tc>
          <w:tcPr>
            <w:tcW w:w="1701" w:type="dxa"/>
          </w:tcPr>
          <w:p w14:paraId="52007BE7" w14:textId="77777777" w:rsidR="002D374A" w:rsidRDefault="002D374A" w:rsidP="00827A2F">
            <w:pPr>
              <w:rPr>
                <w:sz w:val="18"/>
                <w:szCs w:val="18"/>
                <w:lang w:val="en-US"/>
              </w:rPr>
            </w:pPr>
          </w:p>
        </w:tc>
        <w:tc>
          <w:tcPr>
            <w:tcW w:w="1417" w:type="dxa"/>
          </w:tcPr>
          <w:p w14:paraId="779E2DDF" w14:textId="77777777" w:rsidR="002D374A" w:rsidRDefault="002D374A" w:rsidP="00827A2F">
            <w:pPr>
              <w:rPr>
                <w:sz w:val="18"/>
                <w:szCs w:val="18"/>
                <w:lang w:val="en-US"/>
              </w:rPr>
            </w:pPr>
          </w:p>
        </w:tc>
        <w:tc>
          <w:tcPr>
            <w:tcW w:w="2552" w:type="dxa"/>
          </w:tcPr>
          <w:p w14:paraId="0A52C5DE" w14:textId="77777777" w:rsidR="002D374A" w:rsidRDefault="002D374A" w:rsidP="00827A2F">
            <w:pPr>
              <w:rPr>
                <w:sz w:val="18"/>
                <w:szCs w:val="18"/>
                <w:lang w:val="en-US"/>
              </w:rPr>
            </w:pPr>
          </w:p>
        </w:tc>
        <w:tc>
          <w:tcPr>
            <w:tcW w:w="3118" w:type="dxa"/>
          </w:tcPr>
          <w:p w14:paraId="247D80E2" w14:textId="77777777" w:rsidR="002D374A" w:rsidRDefault="002D374A" w:rsidP="00827A2F">
            <w:pPr>
              <w:rPr>
                <w:sz w:val="18"/>
                <w:szCs w:val="18"/>
                <w:lang w:val="en-US"/>
              </w:rPr>
            </w:pPr>
          </w:p>
        </w:tc>
      </w:tr>
      <w:tr w:rsidR="00827A2F" w:rsidRPr="00F22C2E" w14:paraId="4D739EB1" w14:textId="77777777" w:rsidTr="00827A2F">
        <w:tc>
          <w:tcPr>
            <w:tcW w:w="1296" w:type="dxa"/>
          </w:tcPr>
          <w:p w14:paraId="445556A9" w14:textId="77777777" w:rsidR="00827A2F" w:rsidRPr="00F22C2E" w:rsidRDefault="00827A2F" w:rsidP="00827A2F">
            <w:pPr>
              <w:rPr>
                <w:sz w:val="18"/>
                <w:szCs w:val="18"/>
                <w:lang w:val="en-US"/>
              </w:rPr>
            </w:pPr>
            <w:r>
              <w:rPr>
                <w:sz w:val="18"/>
                <w:szCs w:val="18"/>
                <w:lang w:val="en-US"/>
              </w:rPr>
              <w:t>RWE</w:t>
            </w:r>
          </w:p>
        </w:tc>
        <w:tc>
          <w:tcPr>
            <w:tcW w:w="1818" w:type="dxa"/>
          </w:tcPr>
          <w:p w14:paraId="6FA92C55" w14:textId="77777777" w:rsidR="00827A2F" w:rsidRDefault="00827A2F" w:rsidP="00827A2F">
            <w:pPr>
              <w:rPr>
                <w:sz w:val="18"/>
                <w:szCs w:val="18"/>
                <w:lang w:val="en-US"/>
              </w:rPr>
            </w:pPr>
          </w:p>
        </w:tc>
        <w:tc>
          <w:tcPr>
            <w:tcW w:w="1701" w:type="dxa"/>
          </w:tcPr>
          <w:p w14:paraId="648D61FB" w14:textId="77777777" w:rsidR="00827A2F" w:rsidRDefault="00827A2F" w:rsidP="00827A2F">
            <w:pPr>
              <w:rPr>
                <w:sz w:val="18"/>
                <w:szCs w:val="18"/>
                <w:lang w:val="en-US"/>
              </w:rPr>
            </w:pPr>
          </w:p>
        </w:tc>
        <w:tc>
          <w:tcPr>
            <w:tcW w:w="1417" w:type="dxa"/>
          </w:tcPr>
          <w:p w14:paraId="20627B64" w14:textId="77777777" w:rsidR="00827A2F" w:rsidRDefault="00827A2F" w:rsidP="00827A2F">
            <w:pPr>
              <w:rPr>
                <w:sz w:val="18"/>
                <w:szCs w:val="18"/>
                <w:lang w:val="en-US"/>
              </w:rPr>
            </w:pPr>
            <w:r>
              <w:rPr>
                <w:sz w:val="18"/>
                <w:szCs w:val="18"/>
                <w:lang w:val="en-US"/>
              </w:rPr>
              <w:t xml:space="preserve">Brusselle 2009, PERSIST study: </w:t>
            </w:r>
            <w:r>
              <w:rPr>
                <w:sz w:val="18"/>
                <w:szCs w:val="18"/>
                <w:lang w:val="en-US"/>
              </w:rPr>
              <w:lastRenderedPageBreak/>
              <w:t>greater efficacy compared to RCTs</w:t>
            </w:r>
          </w:p>
          <w:p w14:paraId="7D2461E0" w14:textId="77777777" w:rsidR="00827A2F" w:rsidRDefault="00827A2F" w:rsidP="00827A2F">
            <w:pPr>
              <w:rPr>
                <w:sz w:val="18"/>
                <w:szCs w:val="18"/>
                <w:lang w:val="en-US"/>
              </w:rPr>
            </w:pPr>
            <w:r>
              <w:rPr>
                <w:sz w:val="18"/>
                <w:szCs w:val="18"/>
                <w:lang w:val="en-US"/>
              </w:rPr>
              <w:t xml:space="preserve">Pelaia 2019: </w:t>
            </w:r>
          </w:p>
          <w:p w14:paraId="77CBC835" w14:textId="77777777" w:rsidR="00827A2F" w:rsidRDefault="00827A2F" w:rsidP="00827A2F">
            <w:pPr>
              <w:rPr>
                <w:sz w:val="18"/>
                <w:szCs w:val="18"/>
                <w:lang w:val="en-US"/>
              </w:rPr>
            </w:pPr>
            <w:r>
              <w:rPr>
                <w:sz w:val="18"/>
                <w:szCs w:val="18"/>
                <w:lang w:val="en-US"/>
              </w:rPr>
              <w:t>5 years reduce exac, eos and OCS, improves ACT and LF</w:t>
            </w:r>
          </w:p>
          <w:p w14:paraId="5FCC8094" w14:textId="77777777" w:rsidR="00827A2F" w:rsidRDefault="00827A2F" w:rsidP="00827A2F">
            <w:pPr>
              <w:rPr>
                <w:sz w:val="18"/>
                <w:szCs w:val="18"/>
                <w:lang w:val="en-US"/>
              </w:rPr>
            </w:pPr>
            <w:r>
              <w:rPr>
                <w:sz w:val="18"/>
                <w:szCs w:val="18"/>
                <w:lang w:val="en-US"/>
              </w:rPr>
              <w:t>Bhutani 2017 ASTERIX study: reduce exac and OCS, improves control and QoL</w:t>
            </w:r>
          </w:p>
          <w:p w14:paraId="436D9A30" w14:textId="77777777" w:rsidR="00827A2F" w:rsidRDefault="00827A2F" w:rsidP="00827A2F">
            <w:pPr>
              <w:rPr>
                <w:sz w:val="18"/>
                <w:szCs w:val="18"/>
                <w:lang w:val="en-US"/>
              </w:rPr>
            </w:pPr>
            <w:r>
              <w:rPr>
                <w:sz w:val="18"/>
                <w:szCs w:val="18"/>
                <w:lang w:val="en-US"/>
              </w:rPr>
              <w:t>Adachi 2018 post-marketing surveillance for oma 52 weeks, safety and efficacy proved, including elderly population</w:t>
            </w:r>
          </w:p>
          <w:p w14:paraId="5EC0F6E8" w14:textId="77777777" w:rsidR="00827A2F" w:rsidRDefault="00827A2F" w:rsidP="00827A2F">
            <w:pPr>
              <w:rPr>
                <w:sz w:val="18"/>
                <w:szCs w:val="18"/>
                <w:lang w:val="en-US"/>
              </w:rPr>
            </w:pPr>
            <w:r>
              <w:rPr>
                <w:sz w:val="18"/>
                <w:szCs w:val="18"/>
                <w:lang w:val="en-US"/>
              </w:rPr>
              <w:t>Brodlie 2012 OCS-sparing effect equal in children &lt;12 and &gt;12</w:t>
            </w:r>
          </w:p>
          <w:p w14:paraId="2280527F" w14:textId="2BCD0976" w:rsidR="00827A2F" w:rsidRDefault="00827A2F" w:rsidP="00827A2F">
            <w:pPr>
              <w:rPr>
                <w:sz w:val="18"/>
                <w:szCs w:val="18"/>
                <w:lang w:val="en-US"/>
              </w:rPr>
            </w:pPr>
            <w:r>
              <w:rPr>
                <w:sz w:val="18"/>
                <w:szCs w:val="18"/>
                <w:lang w:val="en-US"/>
              </w:rPr>
              <w:t>Rottem 2012 RWE for reducing OCS</w:t>
            </w:r>
          </w:p>
        </w:tc>
        <w:tc>
          <w:tcPr>
            <w:tcW w:w="2552" w:type="dxa"/>
          </w:tcPr>
          <w:p w14:paraId="4D939114" w14:textId="77777777" w:rsidR="00827A2F" w:rsidRDefault="00827A2F" w:rsidP="00827A2F">
            <w:pPr>
              <w:rPr>
                <w:sz w:val="18"/>
                <w:szCs w:val="18"/>
                <w:lang w:val="en-US"/>
              </w:rPr>
            </w:pPr>
            <w:r>
              <w:rPr>
                <w:sz w:val="18"/>
                <w:szCs w:val="18"/>
                <w:lang w:val="en-US"/>
              </w:rPr>
              <w:lastRenderedPageBreak/>
              <w:t xml:space="preserve">Caminati 2019, RINOVA data, significant improvement in </w:t>
            </w:r>
            <w:r>
              <w:rPr>
                <w:sz w:val="18"/>
                <w:szCs w:val="18"/>
                <w:lang w:val="en-US"/>
              </w:rPr>
              <w:lastRenderedPageBreak/>
              <w:t>exacerbation rate and decrease in OCS + safety + ACT, FeNO, LF</w:t>
            </w:r>
          </w:p>
          <w:p w14:paraId="56A18C92" w14:textId="70477625" w:rsidR="00827A2F" w:rsidRDefault="00827A2F" w:rsidP="00827A2F">
            <w:pPr>
              <w:rPr>
                <w:sz w:val="18"/>
                <w:szCs w:val="18"/>
                <w:lang w:val="en-US"/>
              </w:rPr>
            </w:pPr>
            <w:r>
              <w:rPr>
                <w:sz w:val="18"/>
                <w:szCs w:val="18"/>
                <w:lang w:val="en-US"/>
              </w:rPr>
              <w:t xml:space="preserve">Bagnasco; </w:t>
            </w:r>
            <w:r w:rsidRPr="009B1798">
              <w:rPr>
                <w:sz w:val="18"/>
                <w:szCs w:val="18"/>
                <w:lang w:val="en-US"/>
              </w:rPr>
              <w:t xml:space="preserve">Pulm Pharmacol Ther. </w:t>
            </w:r>
            <w:proofErr w:type="gramStart"/>
            <w:r w:rsidRPr="009B1798">
              <w:rPr>
                <w:sz w:val="18"/>
                <w:szCs w:val="18"/>
                <w:lang w:val="en-US"/>
              </w:rPr>
              <w:t>2019 ;</w:t>
            </w:r>
            <w:proofErr w:type="gramEnd"/>
            <w:r w:rsidRPr="009B1798">
              <w:rPr>
                <w:sz w:val="18"/>
                <w:szCs w:val="18"/>
                <w:lang w:val="en-US"/>
              </w:rPr>
              <w:t xml:space="preserve">58:101836. retrospective analysis was performed on 138 patients, treated with </w:t>
            </w:r>
            <w:r w:rsidR="00816775">
              <w:rPr>
                <w:sz w:val="18"/>
                <w:szCs w:val="18"/>
                <w:lang w:val="en-US"/>
              </w:rPr>
              <w:t>mepolizumab</w:t>
            </w:r>
            <w:r w:rsidRPr="009B1798">
              <w:rPr>
                <w:sz w:val="18"/>
                <w:szCs w:val="18"/>
                <w:lang w:val="en-US"/>
              </w:rPr>
              <w:t xml:space="preserve"> for at least 12 months, and referred to eleven severe asthma clinics in Italy.</w:t>
            </w:r>
          </w:p>
          <w:p w14:paraId="0E9AA2F2" w14:textId="77777777" w:rsidR="00827A2F" w:rsidRDefault="00827A2F" w:rsidP="00827A2F">
            <w:pPr>
              <w:rPr>
                <w:sz w:val="18"/>
                <w:szCs w:val="18"/>
                <w:lang w:val="en-US"/>
              </w:rPr>
            </w:pPr>
            <w:r w:rsidRPr="009B1798">
              <w:rPr>
                <w:sz w:val="18"/>
                <w:szCs w:val="18"/>
                <w:lang w:val="en-US"/>
              </w:rPr>
              <w:t>exacerbation rate, systemic steroids intake and safety</w:t>
            </w:r>
            <w:r>
              <w:rPr>
                <w:sz w:val="18"/>
                <w:szCs w:val="18"/>
                <w:lang w:val="en-US"/>
              </w:rPr>
              <w:t xml:space="preserve"> similar to clinical trials</w:t>
            </w:r>
          </w:p>
          <w:p w14:paraId="5D69D296" w14:textId="77777777" w:rsidR="00827A2F" w:rsidRDefault="00827A2F" w:rsidP="00827A2F">
            <w:pPr>
              <w:rPr>
                <w:sz w:val="18"/>
                <w:szCs w:val="18"/>
                <w:lang w:val="en-US"/>
              </w:rPr>
            </w:pPr>
          </w:p>
          <w:p w14:paraId="3FC0B8EE" w14:textId="77777777" w:rsidR="00827A2F" w:rsidRDefault="00827A2F" w:rsidP="00827A2F">
            <w:pPr>
              <w:rPr>
                <w:sz w:val="18"/>
                <w:szCs w:val="18"/>
                <w:lang w:val="en-US"/>
              </w:rPr>
            </w:pPr>
            <w:r>
              <w:rPr>
                <w:sz w:val="18"/>
                <w:szCs w:val="18"/>
                <w:lang w:val="en-US"/>
              </w:rPr>
              <w:t xml:space="preserve">Pertzov, </w:t>
            </w:r>
            <w:r w:rsidRPr="00953108">
              <w:rPr>
                <w:sz w:val="18"/>
                <w:szCs w:val="18"/>
                <w:lang w:val="en-US"/>
              </w:rPr>
              <w:t>J Asthma. 2019 Sep 3:1-6</w:t>
            </w:r>
          </w:p>
          <w:p w14:paraId="689F9417" w14:textId="77777777" w:rsidR="00827A2F" w:rsidRDefault="00827A2F" w:rsidP="00827A2F">
            <w:pPr>
              <w:rPr>
                <w:sz w:val="18"/>
                <w:szCs w:val="18"/>
                <w:lang w:val="en-US"/>
              </w:rPr>
            </w:pPr>
            <w:r>
              <w:rPr>
                <w:sz w:val="18"/>
                <w:szCs w:val="18"/>
                <w:lang w:val="en-US"/>
              </w:rPr>
              <w:t>P</w:t>
            </w:r>
            <w:r w:rsidRPr="00953108">
              <w:rPr>
                <w:sz w:val="18"/>
                <w:szCs w:val="18"/>
                <w:lang w:val="en-US"/>
              </w:rPr>
              <w:t xml:space="preserve">rospective observational trial </w:t>
            </w:r>
            <w:r>
              <w:rPr>
                <w:sz w:val="18"/>
                <w:szCs w:val="18"/>
                <w:lang w:val="en-US"/>
              </w:rPr>
              <w:t>in 61</w:t>
            </w:r>
            <w:r w:rsidRPr="00953108">
              <w:rPr>
                <w:sz w:val="18"/>
                <w:szCs w:val="18"/>
                <w:lang w:val="en-US"/>
              </w:rPr>
              <w:t xml:space="preserve"> patients &gt;18 years treated with </w:t>
            </w:r>
            <w:r w:rsidR="00816775">
              <w:rPr>
                <w:sz w:val="18"/>
                <w:szCs w:val="18"/>
                <w:lang w:val="en-US"/>
              </w:rPr>
              <w:t>m</w:t>
            </w:r>
            <w:r w:rsidRPr="00953108">
              <w:rPr>
                <w:sz w:val="18"/>
                <w:szCs w:val="18"/>
                <w:lang w:val="en-US"/>
              </w:rPr>
              <w:t>epolizumab between March 2016 to March 2019</w:t>
            </w:r>
            <w:r>
              <w:rPr>
                <w:sz w:val="18"/>
                <w:szCs w:val="18"/>
                <w:lang w:val="en-US"/>
              </w:rPr>
              <w:t xml:space="preserve">; </w:t>
            </w:r>
            <w:r w:rsidRPr="00953108">
              <w:rPr>
                <w:sz w:val="18"/>
                <w:szCs w:val="18"/>
                <w:lang w:val="en-US"/>
              </w:rPr>
              <w:t>well tolerated and significantly lowered the exacerbation rate and OCS</w:t>
            </w:r>
          </w:p>
          <w:p w14:paraId="3D45CAD2" w14:textId="50B970FB" w:rsidR="00816775" w:rsidRDefault="00816775" w:rsidP="00827A2F">
            <w:pPr>
              <w:rPr>
                <w:sz w:val="18"/>
                <w:szCs w:val="18"/>
                <w:lang w:val="en-US"/>
              </w:rPr>
            </w:pPr>
          </w:p>
          <w:p w14:paraId="600623B0" w14:textId="79604314" w:rsidR="00816775" w:rsidRPr="00816775" w:rsidRDefault="00816775" w:rsidP="00816775">
            <w:pPr>
              <w:rPr>
                <w:sz w:val="18"/>
                <w:szCs w:val="18"/>
                <w:lang w:val="en-US"/>
              </w:rPr>
            </w:pPr>
            <w:r w:rsidRPr="00816775">
              <w:rPr>
                <w:sz w:val="18"/>
                <w:szCs w:val="18"/>
                <w:lang w:val="en-US"/>
              </w:rPr>
              <w:t xml:space="preserve">Harvey ES, </w:t>
            </w:r>
            <w:r>
              <w:rPr>
                <w:sz w:val="18"/>
                <w:szCs w:val="18"/>
                <w:lang w:val="en-US"/>
              </w:rPr>
              <w:t>et al.</w:t>
            </w:r>
            <w:r w:rsidRPr="00816775">
              <w:rPr>
                <w:sz w:val="18"/>
                <w:szCs w:val="18"/>
                <w:lang w:val="en-US"/>
              </w:rPr>
              <w:t xml:space="preserve"> [published online ahead of print, 2020 Mar 5]. Eur Respir J. 2020;1902420. doi:10.1183/13993003.02420-2019</w:t>
            </w:r>
          </w:p>
          <w:p w14:paraId="75303F26" w14:textId="6693F246" w:rsidR="00816775" w:rsidRDefault="00816775" w:rsidP="00816775">
            <w:pPr>
              <w:rPr>
                <w:sz w:val="18"/>
                <w:szCs w:val="18"/>
                <w:lang w:val="en-US"/>
              </w:rPr>
            </w:pPr>
            <w:r w:rsidRPr="00816775">
              <w:rPr>
                <w:sz w:val="18"/>
                <w:szCs w:val="18"/>
                <w:lang w:val="en-US"/>
              </w:rPr>
              <w:t>Format:</w:t>
            </w:r>
          </w:p>
          <w:p w14:paraId="0B5E9EB1" w14:textId="12E75BCD" w:rsidR="00816775" w:rsidRDefault="00816775" w:rsidP="00827A2F">
            <w:pPr>
              <w:rPr>
                <w:sz w:val="18"/>
                <w:szCs w:val="18"/>
                <w:lang w:val="en-US"/>
              </w:rPr>
            </w:pPr>
            <w:r>
              <w:rPr>
                <w:sz w:val="18"/>
                <w:szCs w:val="18"/>
                <w:lang w:val="en-US"/>
              </w:rPr>
              <w:t xml:space="preserve">Data from the </w:t>
            </w:r>
            <w:r w:rsidRPr="00816775">
              <w:rPr>
                <w:sz w:val="18"/>
                <w:szCs w:val="18"/>
                <w:lang w:val="en-US"/>
              </w:rPr>
              <w:t>Australian Mepolizumab Registry</w:t>
            </w:r>
            <w:r>
              <w:rPr>
                <w:sz w:val="18"/>
                <w:szCs w:val="18"/>
                <w:lang w:val="en-US"/>
              </w:rPr>
              <w:t xml:space="preserve"> show that m</w:t>
            </w:r>
            <w:r w:rsidRPr="00816775">
              <w:rPr>
                <w:sz w:val="18"/>
                <w:szCs w:val="18"/>
                <w:lang w:val="en-US"/>
              </w:rPr>
              <w:t>epolizumab therapy effectively reduces the significant and long-standing disease burden faced by patients with severe eosinophilic asthma in a real-world setting</w:t>
            </w:r>
          </w:p>
        </w:tc>
        <w:tc>
          <w:tcPr>
            <w:tcW w:w="3118" w:type="dxa"/>
          </w:tcPr>
          <w:p w14:paraId="501174EC" w14:textId="77777777" w:rsidR="00827A2F" w:rsidRDefault="00827A2F" w:rsidP="00827A2F">
            <w:pPr>
              <w:rPr>
                <w:sz w:val="18"/>
                <w:szCs w:val="18"/>
                <w:lang w:val="en-US"/>
              </w:rPr>
            </w:pPr>
          </w:p>
        </w:tc>
      </w:tr>
      <w:tr w:rsidR="00827A2F" w:rsidRPr="00F22C2E" w14:paraId="708420AA" w14:textId="77777777" w:rsidTr="00827A2F">
        <w:tc>
          <w:tcPr>
            <w:tcW w:w="1296" w:type="dxa"/>
            <w:shd w:val="clear" w:color="auto" w:fill="FFC000"/>
          </w:tcPr>
          <w:p w14:paraId="679BBC06" w14:textId="77777777" w:rsidR="00827A2F" w:rsidRPr="00F22C2E" w:rsidRDefault="00827A2F" w:rsidP="00827A2F">
            <w:pPr>
              <w:rPr>
                <w:sz w:val="18"/>
                <w:szCs w:val="18"/>
                <w:lang w:val="en-US"/>
              </w:rPr>
            </w:pPr>
          </w:p>
        </w:tc>
        <w:tc>
          <w:tcPr>
            <w:tcW w:w="1818" w:type="dxa"/>
            <w:shd w:val="clear" w:color="auto" w:fill="FFC000"/>
          </w:tcPr>
          <w:p w14:paraId="292EFEBE" w14:textId="79ABB445" w:rsidR="00827A2F" w:rsidRPr="00F22C2E" w:rsidRDefault="00827A2F" w:rsidP="00827A2F">
            <w:pPr>
              <w:rPr>
                <w:sz w:val="18"/>
                <w:szCs w:val="18"/>
                <w:lang w:val="en-US"/>
              </w:rPr>
            </w:pPr>
            <w:r w:rsidRPr="00F22C2E">
              <w:rPr>
                <w:sz w:val="18"/>
                <w:szCs w:val="18"/>
                <w:lang w:val="en-US"/>
              </w:rPr>
              <w:t>Benralizumab</w:t>
            </w:r>
          </w:p>
        </w:tc>
        <w:tc>
          <w:tcPr>
            <w:tcW w:w="1701" w:type="dxa"/>
            <w:shd w:val="clear" w:color="auto" w:fill="FFC000"/>
          </w:tcPr>
          <w:p w14:paraId="2CCD9A4D" w14:textId="26E3E012" w:rsidR="00827A2F" w:rsidRPr="00F22C2E" w:rsidRDefault="00827A2F" w:rsidP="00827A2F">
            <w:pPr>
              <w:rPr>
                <w:sz w:val="18"/>
                <w:szCs w:val="18"/>
                <w:lang w:val="en-US"/>
              </w:rPr>
            </w:pPr>
            <w:r w:rsidRPr="00F22C2E">
              <w:rPr>
                <w:sz w:val="18"/>
                <w:szCs w:val="18"/>
                <w:lang w:val="en-US"/>
              </w:rPr>
              <w:t>Dupilumab</w:t>
            </w:r>
          </w:p>
        </w:tc>
        <w:tc>
          <w:tcPr>
            <w:tcW w:w="1417" w:type="dxa"/>
            <w:shd w:val="clear" w:color="auto" w:fill="FFC000"/>
          </w:tcPr>
          <w:p w14:paraId="30947D38" w14:textId="73F0ABE9" w:rsidR="00827A2F" w:rsidRPr="00F22C2E" w:rsidRDefault="00827A2F" w:rsidP="00827A2F">
            <w:pPr>
              <w:rPr>
                <w:sz w:val="18"/>
                <w:szCs w:val="18"/>
                <w:lang w:val="en-US"/>
              </w:rPr>
            </w:pPr>
            <w:r w:rsidRPr="00F22C2E">
              <w:rPr>
                <w:sz w:val="18"/>
                <w:szCs w:val="18"/>
                <w:lang w:val="en-US"/>
              </w:rPr>
              <w:t>Omalizumab</w:t>
            </w:r>
          </w:p>
        </w:tc>
        <w:tc>
          <w:tcPr>
            <w:tcW w:w="2552" w:type="dxa"/>
            <w:shd w:val="clear" w:color="auto" w:fill="FFC000"/>
          </w:tcPr>
          <w:p w14:paraId="777C882F" w14:textId="4F0575CC" w:rsidR="00827A2F" w:rsidRPr="00F22C2E" w:rsidRDefault="00827A2F" w:rsidP="00827A2F">
            <w:pPr>
              <w:rPr>
                <w:sz w:val="18"/>
                <w:szCs w:val="18"/>
                <w:lang w:val="en-US"/>
              </w:rPr>
            </w:pPr>
            <w:r w:rsidRPr="00F22C2E">
              <w:rPr>
                <w:sz w:val="18"/>
                <w:szCs w:val="18"/>
                <w:lang w:val="en-US"/>
              </w:rPr>
              <w:t>Mepolizumab</w:t>
            </w:r>
          </w:p>
        </w:tc>
        <w:tc>
          <w:tcPr>
            <w:tcW w:w="3118" w:type="dxa"/>
            <w:shd w:val="clear" w:color="auto" w:fill="FFC000"/>
          </w:tcPr>
          <w:p w14:paraId="7087C3CE" w14:textId="25820ED3" w:rsidR="00827A2F" w:rsidRPr="00F22C2E" w:rsidRDefault="00827A2F" w:rsidP="00827A2F">
            <w:pPr>
              <w:rPr>
                <w:sz w:val="18"/>
                <w:szCs w:val="18"/>
                <w:lang w:val="en-US"/>
              </w:rPr>
            </w:pPr>
            <w:r w:rsidRPr="00F22C2E">
              <w:rPr>
                <w:sz w:val="18"/>
                <w:szCs w:val="18"/>
                <w:lang w:val="en-US"/>
              </w:rPr>
              <w:t>Reslizumab</w:t>
            </w:r>
          </w:p>
        </w:tc>
      </w:tr>
      <w:tr w:rsidR="00827A2F" w:rsidRPr="00F22C2E" w14:paraId="3C148F5A" w14:textId="77777777" w:rsidTr="00827A2F">
        <w:tc>
          <w:tcPr>
            <w:tcW w:w="1296" w:type="dxa"/>
          </w:tcPr>
          <w:p w14:paraId="17E61C10" w14:textId="77777777" w:rsidR="00827A2F" w:rsidRPr="00F22C2E" w:rsidRDefault="00827A2F" w:rsidP="00827A2F">
            <w:pPr>
              <w:rPr>
                <w:sz w:val="18"/>
                <w:szCs w:val="18"/>
                <w:lang w:val="en-US"/>
              </w:rPr>
            </w:pPr>
            <w:r>
              <w:rPr>
                <w:sz w:val="18"/>
                <w:szCs w:val="18"/>
                <w:lang w:val="en-US"/>
              </w:rPr>
              <w:t>Health economics</w:t>
            </w:r>
          </w:p>
        </w:tc>
        <w:tc>
          <w:tcPr>
            <w:tcW w:w="1818" w:type="dxa"/>
          </w:tcPr>
          <w:p w14:paraId="21782E1C" w14:textId="77777777" w:rsidR="00827A2F" w:rsidRPr="006E59DF" w:rsidRDefault="00827A2F" w:rsidP="00827A2F">
            <w:pPr>
              <w:rPr>
                <w:sz w:val="18"/>
                <w:szCs w:val="18"/>
                <w:lang w:val="en-US"/>
              </w:rPr>
            </w:pPr>
          </w:p>
        </w:tc>
        <w:tc>
          <w:tcPr>
            <w:tcW w:w="1701" w:type="dxa"/>
          </w:tcPr>
          <w:p w14:paraId="6E1F3226" w14:textId="77777777" w:rsidR="00827A2F" w:rsidRPr="006E59DF" w:rsidRDefault="00827A2F" w:rsidP="00827A2F">
            <w:pPr>
              <w:rPr>
                <w:sz w:val="18"/>
                <w:szCs w:val="18"/>
                <w:lang w:val="en-US"/>
              </w:rPr>
            </w:pPr>
          </w:p>
        </w:tc>
        <w:tc>
          <w:tcPr>
            <w:tcW w:w="1417" w:type="dxa"/>
          </w:tcPr>
          <w:p w14:paraId="730004C0" w14:textId="77777777" w:rsidR="00827A2F" w:rsidRDefault="00827A2F" w:rsidP="00827A2F">
            <w:pPr>
              <w:rPr>
                <w:sz w:val="18"/>
                <w:szCs w:val="18"/>
                <w:lang w:val="en-US"/>
              </w:rPr>
            </w:pPr>
            <w:r>
              <w:rPr>
                <w:sz w:val="18"/>
                <w:szCs w:val="18"/>
                <w:lang w:val="en-US"/>
              </w:rPr>
              <w:t xml:space="preserve">Shaker, </w:t>
            </w:r>
            <w:r w:rsidRPr="00710719">
              <w:rPr>
                <w:sz w:val="18"/>
                <w:szCs w:val="18"/>
                <w:lang w:val="en-US"/>
              </w:rPr>
              <w:t>J Allergy Clin Immunol Pract. 2019</w:t>
            </w:r>
            <w:r>
              <w:rPr>
                <w:sz w:val="18"/>
                <w:szCs w:val="18"/>
                <w:lang w:val="en-US"/>
              </w:rPr>
              <w:t xml:space="preserve">, </w:t>
            </w:r>
            <w:r w:rsidRPr="00710719">
              <w:rPr>
                <w:sz w:val="18"/>
                <w:szCs w:val="18"/>
                <w:lang w:val="en-US"/>
              </w:rPr>
              <w:t xml:space="preserve">at-home administration of </w:t>
            </w:r>
            <w:r>
              <w:rPr>
                <w:sz w:val="18"/>
                <w:szCs w:val="18"/>
                <w:lang w:val="en-US"/>
              </w:rPr>
              <w:t>omalizumab</w:t>
            </w:r>
            <w:r w:rsidRPr="00710719">
              <w:rPr>
                <w:sz w:val="18"/>
                <w:szCs w:val="18"/>
                <w:lang w:val="en-US"/>
              </w:rPr>
              <w:t xml:space="preserve"> may be a cost-</w:t>
            </w:r>
            <w:r w:rsidRPr="00710719">
              <w:rPr>
                <w:sz w:val="18"/>
                <w:szCs w:val="18"/>
                <w:lang w:val="en-US"/>
              </w:rPr>
              <w:lastRenderedPageBreak/>
              <w:t>effective strategy.</w:t>
            </w:r>
          </w:p>
          <w:p w14:paraId="62C3245F" w14:textId="77777777" w:rsidR="00827A2F" w:rsidRDefault="00827A2F" w:rsidP="00827A2F">
            <w:pPr>
              <w:rPr>
                <w:sz w:val="18"/>
                <w:szCs w:val="18"/>
                <w:lang w:val="en-US"/>
              </w:rPr>
            </w:pPr>
          </w:p>
          <w:p w14:paraId="73573CA1" w14:textId="77777777" w:rsidR="00827A2F" w:rsidRDefault="00827A2F" w:rsidP="00827A2F">
            <w:pPr>
              <w:rPr>
                <w:sz w:val="18"/>
                <w:szCs w:val="18"/>
                <w:lang w:val="en-US"/>
              </w:rPr>
            </w:pPr>
            <w:r>
              <w:rPr>
                <w:sz w:val="18"/>
                <w:szCs w:val="18"/>
                <w:lang w:val="en-US"/>
              </w:rPr>
              <w:t xml:space="preserve">Sullivan, </w:t>
            </w:r>
            <w:r w:rsidRPr="005C4DD4">
              <w:rPr>
                <w:sz w:val="18"/>
                <w:szCs w:val="18"/>
                <w:lang w:val="en-US"/>
              </w:rPr>
              <w:t>Curr Med Res Opin. 2019</w:t>
            </w:r>
          </w:p>
          <w:p w14:paraId="74BDF0CF" w14:textId="77777777" w:rsidR="00827A2F" w:rsidRDefault="00827A2F" w:rsidP="00827A2F">
            <w:pPr>
              <w:rPr>
                <w:sz w:val="18"/>
                <w:szCs w:val="18"/>
                <w:lang w:val="en-US"/>
              </w:rPr>
            </w:pPr>
            <w:r>
              <w:rPr>
                <w:sz w:val="18"/>
                <w:szCs w:val="18"/>
                <w:lang w:val="en-US"/>
              </w:rPr>
              <w:t xml:space="preserve">Based on RW outcomes </w:t>
            </w:r>
            <w:r w:rsidRPr="005C4DD4">
              <w:rPr>
                <w:sz w:val="18"/>
                <w:szCs w:val="18"/>
                <w:lang w:val="en-US"/>
              </w:rPr>
              <w:t>omalizumab may be cost-effective for uncontrolled asthma from the US payer perspective.</w:t>
            </w:r>
          </w:p>
          <w:p w14:paraId="35CC2D03" w14:textId="77777777" w:rsidR="00827A2F" w:rsidRDefault="00827A2F" w:rsidP="00827A2F">
            <w:pPr>
              <w:rPr>
                <w:sz w:val="18"/>
                <w:szCs w:val="18"/>
                <w:lang w:val="en-US"/>
              </w:rPr>
            </w:pPr>
          </w:p>
          <w:p w14:paraId="74E790A5" w14:textId="77777777" w:rsidR="00827A2F" w:rsidRDefault="00827A2F" w:rsidP="00827A2F">
            <w:pPr>
              <w:rPr>
                <w:sz w:val="18"/>
                <w:szCs w:val="18"/>
                <w:lang w:val="en-US"/>
              </w:rPr>
            </w:pPr>
            <w:r>
              <w:rPr>
                <w:sz w:val="18"/>
                <w:szCs w:val="18"/>
                <w:lang w:val="en-US"/>
              </w:rPr>
              <w:t xml:space="preserve">Entrenas, </w:t>
            </w:r>
            <w:r w:rsidRPr="00BF7947">
              <w:rPr>
                <w:sz w:val="18"/>
                <w:szCs w:val="18"/>
                <w:lang w:val="en-US"/>
              </w:rPr>
              <w:t xml:space="preserve">Pharmacoecon Open. </w:t>
            </w:r>
            <w:proofErr w:type="gramStart"/>
            <w:r w:rsidRPr="00BF7947">
              <w:rPr>
                <w:sz w:val="18"/>
                <w:szCs w:val="18"/>
                <w:lang w:val="en-US"/>
              </w:rPr>
              <w:t>2019 ;</w:t>
            </w:r>
            <w:proofErr w:type="gramEnd"/>
            <w:r>
              <w:rPr>
                <w:sz w:val="18"/>
                <w:szCs w:val="18"/>
                <w:lang w:val="en-US"/>
              </w:rPr>
              <w:t xml:space="preserve"> </w:t>
            </w:r>
            <w:r w:rsidRPr="00BF7947">
              <w:rPr>
                <w:sz w:val="18"/>
                <w:szCs w:val="18"/>
                <w:lang w:val="en-US"/>
              </w:rPr>
              <w:t>3(3):333-342</w:t>
            </w:r>
          </w:p>
          <w:p w14:paraId="72A511DC" w14:textId="77777777" w:rsidR="00827A2F" w:rsidRDefault="00827A2F" w:rsidP="00827A2F">
            <w:pPr>
              <w:rPr>
                <w:sz w:val="18"/>
                <w:szCs w:val="18"/>
                <w:lang w:val="en-US"/>
              </w:rPr>
            </w:pPr>
            <w:r>
              <w:rPr>
                <w:sz w:val="18"/>
                <w:szCs w:val="18"/>
                <w:lang w:val="en-US"/>
              </w:rPr>
              <w:t>RWE, 220 patients</w:t>
            </w:r>
          </w:p>
          <w:p w14:paraId="2112456C" w14:textId="41AB11F1" w:rsidR="00827A2F" w:rsidRPr="006E59DF" w:rsidRDefault="00827A2F" w:rsidP="00827A2F">
            <w:pPr>
              <w:rPr>
                <w:sz w:val="18"/>
                <w:szCs w:val="18"/>
                <w:lang w:val="en-US"/>
              </w:rPr>
            </w:pPr>
            <w:r w:rsidRPr="00BF7947">
              <w:rPr>
                <w:sz w:val="18"/>
                <w:szCs w:val="18"/>
                <w:lang w:val="en-US"/>
              </w:rPr>
              <w:t>Omalizumab effective add-on therapy for patients with persistent severe asthma allow</w:t>
            </w:r>
            <w:r>
              <w:rPr>
                <w:sz w:val="18"/>
                <w:szCs w:val="18"/>
                <w:lang w:val="en-US"/>
              </w:rPr>
              <w:t xml:space="preserve">ing </w:t>
            </w:r>
            <w:r w:rsidRPr="00BF7947">
              <w:rPr>
                <w:sz w:val="18"/>
                <w:szCs w:val="18"/>
                <w:lang w:val="en-US"/>
              </w:rPr>
              <w:t>reducing key drivers of asthma-related costs.</w:t>
            </w:r>
          </w:p>
        </w:tc>
        <w:tc>
          <w:tcPr>
            <w:tcW w:w="2552" w:type="dxa"/>
          </w:tcPr>
          <w:p w14:paraId="1F84F33F" w14:textId="77777777" w:rsidR="00827A2F" w:rsidRDefault="00827A2F" w:rsidP="00827A2F">
            <w:pPr>
              <w:rPr>
                <w:sz w:val="18"/>
                <w:szCs w:val="18"/>
                <w:lang w:val="en-US"/>
              </w:rPr>
            </w:pPr>
            <w:r w:rsidRPr="006E59DF">
              <w:rPr>
                <w:sz w:val="18"/>
                <w:szCs w:val="18"/>
                <w:lang w:val="en-US"/>
              </w:rPr>
              <w:lastRenderedPageBreak/>
              <w:t>García-Mochón</w:t>
            </w:r>
            <w:r>
              <w:rPr>
                <w:sz w:val="18"/>
                <w:szCs w:val="18"/>
                <w:lang w:val="en-US"/>
              </w:rPr>
              <w:t xml:space="preserve">, </w:t>
            </w:r>
            <w:r w:rsidRPr="00E751B9">
              <w:rPr>
                <w:sz w:val="18"/>
                <w:szCs w:val="18"/>
                <w:lang w:val="en-US"/>
              </w:rPr>
              <w:t>Farm Hosp. 2019;43(6):187-193.</w:t>
            </w:r>
          </w:p>
          <w:p w14:paraId="4A746D16" w14:textId="77777777" w:rsidR="00827A2F" w:rsidRDefault="00827A2F" w:rsidP="00827A2F">
            <w:pPr>
              <w:rPr>
                <w:sz w:val="18"/>
                <w:szCs w:val="18"/>
                <w:lang w:val="en-US"/>
              </w:rPr>
            </w:pPr>
            <w:r>
              <w:rPr>
                <w:sz w:val="18"/>
                <w:szCs w:val="18"/>
                <w:lang w:val="en-US"/>
              </w:rPr>
              <w:t>P</w:t>
            </w:r>
            <w:r w:rsidRPr="00E751B9">
              <w:rPr>
                <w:sz w:val="18"/>
                <w:szCs w:val="18"/>
                <w:lang w:val="en-US"/>
              </w:rPr>
              <w:t xml:space="preserve">rioritizing </w:t>
            </w:r>
            <w:r>
              <w:rPr>
                <w:sz w:val="18"/>
                <w:szCs w:val="18"/>
                <w:lang w:val="en-US"/>
              </w:rPr>
              <w:t>mepo</w:t>
            </w:r>
            <w:r w:rsidRPr="00E751B9">
              <w:rPr>
                <w:sz w:val="18"/>
                <w:szCs w:val="18"/>
                <w:lang w:val="en-US"/>
              </w:rPr>
              <w:t xml:space="preserve"> use </w:t>
            </w:r>
            <w:r>
              <w:rPr>
                <w:sz w:val="18"/>
                <w:szCs w:val="18"/>
                <w:lang w:val="en-US"/>
              </w:rPr>
              <w:t>for</w:t>
            </w:r>
            <w:r w:rsidRPr="00E751B9">
              <w:rPr>
                <w:sz w:val="18"/>
                <w:szCs w:val="18"/>
                <w:lang w:val="en-US"/>
              </w:rPr>
              <w:t xml:space="preserve"> non </w:t>
            </w:r>
            <w:r>
              <w:rPr>
                <w:sz w:val="18"/>
                <w:szCs w:val="18"/>
                <w:lang w:val="en-US"/>
              </w:rPr>
              <w:t>Ig</w:t>
            </w:r>
            <w:r w:rsidRPr="00E751B9">
              <w:rPr>
                <w:sz w:val="18"/>
                <w:szCs w:val="18"/>
                <w:lang w:val="en-US"/>
              </w:rPr>
              <w:t xml:space="preserve"> E-</w:t>
            </w:r>
            <w:proofErr w:type="gramStart"/>
            <w:r w:rsidRPr="00E751B9">
              <w:rPr>
                <w:sz w:val="18"/>
                <w:szCs w:val="18"/>
                <w:lang w:val="en-US"/>
              </w:rPr>
              <w:t>mediated  severe</w:t>
            </w:r>
            <w:proofErr w:type="gramEnd"/>
            <w:r w:rsidRPr="00E751B9">
              <w:rPr>
                <w:sz w:val="18"/>
                <w:szCs w:val="18"/>
                <w:lang w:val="en-US"/>
              </w:rPr>
              <w:t xml:space="preserve"> refractory eosinophilic asthma </w:t>
            </w:r>
            <w:r>
              <w:rPr>
                <w:sz w:val="18"/>
                <w:szCs w:val="18"/>
                <w:lang w:val="en-US"/>
              </w:rPr>
              <w:t>with</w:t>
            </w:r>
            <w:r w:rsidRPr="00E751B9">
              <w:rPr>
                <w:sz w:val="18"/>
                <w:szCs w:val="18"/>
                <w:lang w:val="en-US"/>
              </w:rPr>
              <w:t xml:space="preserve"> ≥ 500 eosinophils/μL  improve its </w:t>
            </w:r>
            <w:r w:rsidRPr="00E751B9">
              <w:rPr>
                <w:sz w:val="18"/>
                <w:szCs w:val="18"/>
                <w:lang w:val="en-US"/>
              </w:rPr>
              <w:lastRenderedPageBreak/>
              <w:t>efficiency as well as  reduc</w:t>
            </w:r>
            <w:r>
              <w:rPr>
                <w:sz w:val="18"/>
                <w:szCs w:val="18"/>
                <w:lang w:val="en-US"/>
              </w:rPr>
              <w:t>es</w:t>
            </w:r>
            <w:r w:rsidRPr="00E751B9">
              <w:rPr>
                <w:sz w:val="18"/>
                <w:szCs w:val="18"/>
                <w:lang w:val="en-US"/>
              </w:rPr>
              <w:t xml:space="preserve"> its budgetary impact.</w:t>
            </w:r>
          </w:p>
          <w:p w14:paraId="6F89BD7B" w14:textId="77777777" w:rsidR="00827A2F" w:rsidRDefault="00827A2F" w:rsidP="00827A2F">
            <w:pPr>
              <w:rPr>
                <w:sz w:val="18"/>
                <w:szCs w:val="18"/>
                <w:lang w:val="en-US"/>
              </w:rPr>
            </w:pPr>
          </w:p>
          <w:p w14:paraId="20DD62D3" w14:textId="12370562" w:rsidR="00827A2F" w:rsidRPr="006E59DF" w:rsidRDefault="00827A2F" w:rsidP="00827A2F">
            <w:pPr>
              <w:rPr>
                <w:sz w:val="18"/>
                <w:szCs w:val="18"/>
                <w:lang w:val="en-US"/>
              </w:rPr>
            </w:pPr>
            <w:r>
              <w:rPr>
                <w:sz w:val="18"/>
                <w:szCs w:val="18"/>
                <w:lang w:val="en-US"/>
              </w:rPr>
              <w:t xml:space="preserve">Shaker, </w:t>
            </w:r>
            <w:r w:rsidRPr="00710719">
              <w:rPr>
                <w:sz w:val="18"/>
                <w:szCs w:val="18"/>
                <w:lang w:val="en-US"/>
              </w:rPr>
              <w:t>J Allergy Clin Immunol Pract. 2019</w:t>
            </w:r>
            <w:r>
              <w:rPr>
                <w:sz w:val="18"/>
                <w:szCs w:val="18"/>
                <w:lang w:val="en-US"/>
              </w:rPr>
              <w:t xml:space="preserve">, </w:t>
            </w:r>
            <w:r w:rsidRPr="00710719">
              <w:rPr>
                <w:sz w:val="18"/>
                <w:szCs w:val="18"/>
                <w:lang w:val="en-US"/>
              </w:rPr>
              <w:t>at-home administration of mepolizumab may be a cost-effective strategy.</w:t>
            </w:r>
          </w:p>
        </w:tc>
        <w:tc>
          <w:tcPr>
            <w:tcW w:w="3118" w:type="dxa"/>
          </w:tcPr>
          <w:p w14:paraId="0C743451" w14:textId="77777777" w:rsidR="00827A2F" w:rsidRPr="006E59DF" w:rsidRDefault="00827A2F" w:rsidP="00827A2F">
            <w:pPr>
              <w:rPr>
                <w:sz w:val="18"/>
                <w:szCs w:val="18"/>
                <w:lang w:val="en-US"/>
              </w:rPr>
            </w:pPr>
          </w:p>
        </w:tc>
      </w:tr>
    </w:tbl>
    <w:p w14:paraId="66DAFA1E" w14:textId="2C8E39E6" w:rsidR="006B3C10" w:rsidRDefault="006B3C10">
      <w:pPr>
        <w:rPr>
          <w:b/>
          <w:bCs/>
          <w:color w:val="000000"/>
          <w:sz w:val="20"/>
          <w:szCs w:val="20"/>
          <w:lang w:val="en"/>
        </w:rPr>
      </w:pPr>
    </w:p>
    <w:p w14:paraId="4D4B9B1D" w14:textId="77777777" w:rsidR="00C718C3" w:rsidRDefault="00C718C3">
      <w:pPr>
        <w:rPr>
          <w:b/>
          <w:bCs/>
          <w:color w:val="000000"/>
          <w:sz w:val="20"/>
          <w:szCs w:val="20"/>
          <w:lang w:val="en"/>
        </w:rPr>
      </w:pPr>
    </w:p>
    <w:tbl>
      <w:tblPr>
        <w:tblW w:w="4378" w:type="pct"/>
        <w:tblCellMar>
          <w:top w:w="75" w:type="dxa"/>
          <w:left w:w="75" w:type="dxa"/>
          <w:bottom w:w="75" w:type="dxa"/>
          <w:right w:w="75" w:type="dxa"/>
        </w:tblCellMar>
        <w:tblLook w:val="00A0" w:firstRow="1" w:lastRow="0" w:firstColumn="1" w:lastColumn="0" w:noHBand="0" w:noVBand="0"/>
      </w:tblPr>
      <w:tblGrid>
        <w:gridCol w:w="2694"/>
        <w:gridCol w:w="2104"/>
        <w:gridCol w:w="1496"/>
        <w:gridCol w:w="1609"/>
        <w:gridCol w:w="2177"/>
        <w:gridCol w:w="123"/>
        <w:gridCol w:w="2057"/>
      </w:tblGrid>
      <w:tr w:rsidR="006B3C10" w:rsidRPr="00601402" w14:paraId="664BD6AB" w14:textId="77777777" w:rsidTr="00596BE0">
        <w:trPr>
          <w:cantSplit/>
          <w:tblHeader/>
        </w:trPr>
        <w:tc>
          <w:tcPr>
            <w:tcW w:w="5000" w:type="pct"/>
            <w:gridSpan w:val="7"/>
            <w:tcBorders>
              <w:top w:val="single" w:sz="6" w:space="0" w:color="000000"/>
              <w:left w:val="nil"/>
              <w:bottom w:val="single" w:sz="6" w:space="0" w:color="000000"/>
              <w:right w:val="nil"/>
            </w:tcBorders>
            <w:shd w:val="clear" w:color="auto" w:fill="92D050"/>
          </w:tcPr>
          <w:p w14:paraId="78DA35B8" w14:textId="37059C48" w:rsidR="006B3C10" w:rsidRPr="00601402" w:rsidRDefault="006B3C10" w:rsidP="00596BE0">
            <w:pPr>
              <w:pStyle w:val="Ttol1"/>
              <w:spacing w:before="0" w:beforeAutospacing="0" w:after="0" w:afterAutospacing="0"/>
              <w:rPr>
                <w:rFonts w:ascii="Arial" w:hAnsi="Arial" w:cs="Arial"/>
                <w:b/>
                <w:sz w:val="16"/>
                <w:szCs w:val="16"/>
              </w:rPr>
            </w:pPr>
            <w:r w:rsidRPr="00601402">
              <w:rPr>
                <w:rFonts w:ascii="Arial" w:hAnsi="Arial" w:cs="Arial"/>
                <w:b/>
                <w:sz w:val="16"/>
                <w:szCs w:val="16"/>
                <w:shd w:val="clear" w:color="auto" w:fill="FFFFFF"/>
              </w:rPr>
              <w:t xml:space="preserve">Table </w:t>
            </w:r>
            <w:r w:rsidR="00596BE0">
              <w:rPr>
                <w:rFonts w:ascii="Arial" w:hAnsi="Arial" w:cs="Arial"/>
                <w:b/>
                <w:sz w:val="16"/>
                <w:szCs w:val="16"/>
                <w:shd w:val="clear" w:color="auto" w:fill="FFFFFF"/>
              </w:rPr>
              <w:t>S</w:t>
            </w:r>
            <w:r w:rsidR="00827A2F">
              <w:rPr>
                <w:rFonts w:ascii="Arial" w:hAnsi="Arial" w:cs="Arial"/>
                <w:b/>
                <w:sz w:val="16"/>
                <w:szCs w:val="16"/>
                <w:shd w:val="clear" w:color="auto" w:fill="FFFFFF"/>
              </w:rPr>
              <w:t>3</w:t>
            </w:r>
            <w:r w:rsidRPr="00601402">
              <w:rPr>
                <w:rFonts w:ascii="Arial" w:hAnsi="Arial" w:cs="Arial"/>
                <w:b/>
                <w:sz w:val="16"/>
                <w:szCs w:val="16"/>
                <w:shd w:val="clear" w:color="auto" w:fill="FFFFFF"/>
              </w:rPr>
              <w:t xml:space="preserve">: Summary of findings for </w:t>
            </w:r>
            <w:r w:rsidR="00554CE7">
              <w:rPr>
                <w:rFonts w:ascii="Arial" w:hAnsi="Arial" w:cs="Arial"/>
                <w:b/>
                <w:sz w:val="16"/>
                <w:szCs w:val="16"/>
                <w:shd w:val="clear" w:color="auto" w:fill="FFFFFF"/>
              </w:rPr>
              <w:t>b</w:t>
            </w:r>
            <w:r w:rsidRPr="00601402">
              <w:rPr>
                <w:rFonts w:ascii="Arial" w:hAnsi="Arial" w:cs="Arial"/>
                <w:b/>
                <w:bCs/>
                <w:sz w:val="16"/>
                <w:szCs w:val="16"/>
              </w:rPr>
              <w:t>enralizumab compared to standard of care for eosinophilic asthma</w:t>
            </w:r>
          </w:p>
        </w:tc>
      </w:tr>
      <w:tr w:rsidR="006B3C10" w:rsidRPr="00601402" w14:paraId="646348A2" w14:textId="77777777" w:rsidTr="00596BE0">
        <w:trPr>
          <w:cantSplit/>
          <w:tblHeader/>
        </w:trPr>
        <w:tc>
          <w:tcPr>
            <w:tcW w:w="1099" w:type="pct"/>
            <w:vMerge w:val="restart"/>
            <w:tcBorders>
              <w:top w:val="single" w:sz="12" w:space="0" w:color="000000"/>
              <w:left w:val="nil"/>
              <w:bottom w:val="single" w:sz="6" w:space="0" w:color="000000"/>
              <w:right w:val="nil"/>
            </w:tcBorders>
            <w:shd w:val="clear" w:color="auto" w:fill="3271AA"/>
            <w:vAlign w:val="center"/>
          </w:tcPr>
          <w:p w14:paraId="06773DA9" w14:textId="77777777" w:rsidR="006B3C10" w:rsidRPr="00601402" w:rsidRDefault="006B3C10" w:rsidP="00596BE0">
            <w:pPr>
              <w:pStyle w:val="NormalWeb"/>
              <w:spacing w:before="0" w:beforeAutospacing="0" w:after="0" w:afterAutospacing="0"/>
              <w:rPr>
                <w:rFonts w:ascii="Arial" w:hAnsi="Arial" w:cs="Arial"/>
                <w:b/>
                <w:bCs/>
                <w:color w:val="FFFFFF"/>
                <w:sz w:val="16"/>
                <w:szCs w:val="16"/>
              </w:rPr>
            </w:pPr>
            <w:r w:rsidRPr="00601402">
              <w:rPr>
                <w:rFonts w:ascii="Arial" w:hAnsi="Arial" w:cs="Arial"/>
                <w:b/>
                <w:bCs/>
                <w:color w:val="FFFFFF"/>
                <w:sz w:val="16"/>
                <w:szCs w:val="16"/>
              </w:rPr>
              <w:t>Outcomes</w:t>
            </w:r>
          </w:p>
        </w:tc>
        <w:tc>
          <w:tcPr>
            <w:tcW w:w="858" w:type="pct"/>
            <w:vMerge w:val="restart"/>
            <w:tcBorders>
              <w:top w:val="single" w:sz="12" w:space="0" w:color="000000"/>
              <w:left w:val="nil"/>
              <w:bottom w:val="single" w:sz="6" w:space="0" w:color="000000"/>
              <w:right w:val="nil"/>
            </w:tcBorders>
            <w:shd w:val="clear" w:color="auto" w:fill="3271AA"/>
            <w:vAlign w:val="center"/>
          </w:tcPr>
          <w:p w14:paraId="27852036" w14:textId="77777777" w:rsidR="006B3C10" w:rsidRPr="00601402" w:rsidRDefault="006B3C10" w:rsidP="00596BE0">
            <w:pPr>
              <w:pStyle w:val="NormalWeb"/>
              <w:spacing w:before="0" w:beforeAutospacing="0" w:after="0" w:afterAutospacing="0"/>
              <w:rPr>
                <w:rFonts w:ascii="Arial" w:hAnsi="Arial" w:cs="Arial"/>
                <w:b/>
                <w:bCs/>
                <w:color w:val="FFFFFF"/>
                <w:sz w:val="16"/>
                <w:szCs w:val="16"/>
              </w:rPr>
            </w:pPr>
            <w:r w:rsidRPr="00601402">
              <w:rPr>
                <w:rFonts w:ascii="Arial" w:hAnsi="Arial" w:cs="Arial"/>
                <w:b/>
                <w:bCs/>
                <w:color w:val="FFFFFF"/>
                <w:sz w:val="16"/>
                <w:szCs w:val="16"/>
              </w:rPr>
              <w:t>№ of participants</w:t>
            </w:r>
            <w:r w:rsidRPr="00601402">
              <w:rPr>
                <w:rFonts w:ascii="Arial" w:hAnsi="Arial" w:cs="Arial"/>
                <w:b/>
                <w:bCs/>
                <w:color w:val="FFFFFF"/>
                <w:sz w:val="16"/>
                <w:szCs w:val="16"/>
              </w:rPr>
              <w:br/>
              <w:t>(studies)</w:t>
            </w:r>
            <w:r w:rsidRPr="00601402">
              <w:rPr>
                <w:rFonts w:ascii="Arial" w:hAnsi="Arial" w:cs="Arial"/>
                <w:b/>
                <w:bCs/>
                <w:color w:val="FFFFFF"/>
                <w:sz w:val="16"/>
                <w:szCs w:val="16"/>
              </w:rPr>
              <w:br/>
              <w:t>Follow-up (range)</w:t>
            </w:r>
          </w:p>
        </w:tc>
        <w:tc>
          <w:tcPr>
            <w:tcW w:w="610" w:type="pct"/>
            <w:vMerge w:val="restart"/>
            <w:tcBorders>
              <w:top w:val="single" w:sz="12" w:space="0" w:color="000000"/>
              <w:left w:val="nil"/>
              <w:bottom w:val="single" w:sz="6" w:space="0" w:color="000000"/>
              <w:right w:val="nil"/>
            </w:tcBorders>
            <w:shd w:val="clear" w:color="auto" w:fill="3271AA"/>
            <w:vAlign w:val="center"/>
          </w:tcPr>
          <w:p w14:paraId="39318AB7" w14:textId="77777777" w:rsidR="006B3C10" w:rsidRPr="00601402" w:rsidRDefault="006B3C10" w:rsidP="00596BE0">
            <w:pPr>
              <w:pStyle w:val="NormalWeb"/>
              <w:spacing w:before="0" w:beforeAutospacing="0" w:after="0" w:afterAutospacing="0"/>
              <w:rPr>
                <w:rFonts w:ascii="Arial" w:hAnsi="Arial" w:cs="Arial"/>
                <w:b/>
                <w:bCs/>
                <w:color w:val="FFFFFF"/>
                <w:sz w:val="16"/>
                <w:szCs w:val="16"/>
              </w:rPr>
            </w:pPr>
            <w:r w:rsidRPr="00601402">
              <w:rPr>
                <w:rFonts w:ascii="Arial" w:hAnsi="Arial" w:cs="Arial"/>
                <w:b/>
                <w:bCs/>
                <w:color w:val="FFFFFF"/>
                <w:sz w:val="16"/>
                <w:szCs w:val="16"/>
              </w:rPr>
              <w:t>Certainty of the evidence</w:t>
            </w:r>
            <w:r w:rsidRPr="00601402">
              <w:rPr>
                <w:rFonts w:ascii="Arial" w:hAnsi="Arial" w:cs="Arial"/>
                <w:b/>
                <w:bCs/>
                <w:color w:val="FFFFFF"/>
                <w:sz w:val="16"/>
                <w:szCs w:val="16"/>
              </w:rPr>
              <w:br/>
              <w:t>(GRADE)</w:t>
            </w:r>
          </w:p>
        </w:tc>
        <w:tc>
          <w:tcPr>
            <w:tcW w:w="656" w:type="pct"/>
            <w:vMerge w:val="restart"/>
            <w:tcBorders>
              <w:top w:val="single" w:sz="12" w:space="0" w:color="000000"/>
              <w:left w:val="nil"/>
              <w:bottom w:val="single" w:sz="6" w:space="0" w:color="000000"/>
              <w:right w:val="nil"/>
            </w:tcBorders>
            <w:shd w:val="clear" w:color="auto" w:fill="3271AA"/>
            <w:vAlign w:val="center"/>
          </w:tcPr>
          <w:p w14:paraId="3CA352D1" w14:textId="77777777" w:rsidR="006B3C10" w:rsidRPr="00601402" w:rsidRDefault="006B3C10" w:rsidP="00596BE0">
            <w:pPr>
              <w:pStyle w:val="NormalWeb"/>
              <w:spacing w:before="0" w:beforeAutospacing="0" w:after="0" w:afterAutospacing="0"/>
              <w:rPr>
                <w:rFonts w:ascii="Arial" w:hAnsi="Arial" w:cs="Arial"/>
                <w:b/>
                <w:bCs/>
                <w:color w:val="FFFFFF"/>
                <w:sz w:val="16"/>
                <w:szCs w:val="16"/>
              </w:rPr>
            </w:pPr>
            <w:r w:rsidRPr="00601402">
              <w:rPr>
                <w:rFonts w:ascii="Arial" w:hAnsi="Arial" w:cs="Arial"/>
                <w:b/>
                <w:bCs/>
                <w:color w:val="FFFFFF"/>
                <w:sz w:val="16"/>
                <w:szCs w:val="16"/>
              </w:rPr>
              <w:t>Relative effect</w:t>
            </w:r>
            <w:r w:rsidRPr="00601402">
              <w:rPr>
                <w:rFonts w:ascii="Arial" w:hAnsi="Arial" w:cs="Arial"/>
                <w:b/>
                <w:bCs/>
                <w:color w:val="FFFFFF"/>
                <w:sz w:val="16"/>
                <w:szCs w:val="16"/>
              </w:rPr>
              <w:br/>
              <w:t>(95% CI)</w:t>
            </w:r>
          </w:p>
        </w:tc>
        <w:tc>
          <w:tcPr>
            <w:tcW w:w="1777" w:type="pct"/>
            <w:gridSpan w:val="3"/>
            <w:tcBorders>
              <w:top w:val="single" w:sz="12" w:space="0" w:color="000000"/>
              <w:left w:val="nil"/>
              <w:bottom w:val="single" w:sz="6" w:space="0" w:color="000000"/>
              <w:right w:val="nil"/>
            </w:tcBorders>
            <w:shd w:val="clear" w:color="auto" w:fill="D3D3D3"/>
            <w:vAlign w:val="center"/>
          </w:tcPr>
          <w:p w14:paraId="60ACE893" w14:textId="77777777" w:rsidR="006B3C10" w:rsidRPr="00601402" w:rsidRDefault="006B3C10" w:rsidP="00596BE0">
            <w:pPr>
              <w:pStyle w:val="NormalWeb"/>
              <w:spacing w:before="0" w:beforeAutospacing="0" w:after="0" w:afterAutospacing="0"/>
              <w:rPr>
                <w:rFonts w:ascii="Arial" w:hAnsi="Arial" w:cs="Arial"/>
                <w:b/>
                <w:bCs/>
                <w:color w:val="000000"/>
                <w:sz w:val="16"/>
                <w:szCs w:val="16"/>
              </w:rPr>
            </w:pPr>
            <w:r w:rsidRPr="00601402">
              <w:rPr>
                <w:rFonts w:ascii="Arial" w:hAnsi="Arial" w:cs="Arial"/>
                <w:b/>
                <w:bCs/>
                <w:color w:val="000000"/>
                <w:sz w:val="16"/>
                <w:szCs w:val="16"/>
              </w:rPr>
              <w:t>Anticipated absolute effects</w:t>
            </w:r>
          </w:p>
        </w:tc>
      </w:tr>
      <w:tr w:rsidR="006B3C10" w:rsidRPr="00601402" w14:paraId="17779825" w14:textId="77777777" w:rsidTr="00596BE0">
        <w:trPr>
          <w:cantSplit/>
          <w:tblHeader/>
        </w:trPr>
        <w:tc>
          <w:tcPr>
            <w:tcW w:w="1099" w:type="pct"/>
            <w:vMerge/>
            <w:tcBorders>
              <w:top w:val="single" w:sz="12" w:space="0" w:color="000000"/>
              <w:left w:val="nil"/>
              <w:bottom w:val="single" w:sz="6" w:space="0" w:color="000000"/>
              <w:right w:val="nil"/>
            </w:tcBorders>
            <w:vAlign w:val="center"/>
          </w:tcPr>
          <w:p w14:paraId="4FE66B02" w14:textId="77777777" w:rsidR="006B3C10" w:rsidRPr="00601402" w:rsidRDefault="006B3C10" w:rsidP="00596BE0">
            <w:pPr>
              <w:rPr>
                <w:rFonts w:ascii="Arial" w:hAnsi="Arial" w:cs="Arial"/>
                <w:b/>
                <w:bCs/>
                <w:color w:val="FFFFFF"/>
                <w:sz w:val="16"/>
                <w:szCs w:val="16"/>
              </w:rPr>
            </w:pPr>
          </w:p>
        </w:tc>
        <w:tc>
          <w:tcPr>
            <w:tcW w:w="858" w:type="pct"/>
            <w:vMerge/>
            <w:tcBorders>
              <w:top w:val="single" w:sz="12" w:space="0" w:color="000000"/>
              <w:left w:val="nil"/>
              <w:bottom w:val="single" w:sz="6" w:space="0" w:color="000000"/>
              <w:right w:val="nil"/>
            </w:tcBorders>
            <w:vAlign w:val="center"/>
          </w:tcPr>
          <w:p w14:paraId="55A404BE" w14:textId="77777777" w:rsidR="006B3C10" w:rsidRPr="00601402" w:rsidRDefault="006B3C10" w:rsidP="00596BE0">
            <w:pPr>
              <w:rPr>
                <w:rFonts w:ascii="Arial" w:hAnsi="Arial" w:cs="Arial"/>
                <w:b/>
                <w:bCs/>
                <w:color w:val="FFFFFF"/>
                <w:sz w:val="16"/>
                <w:szCs w:val="16"/>
              </w:rPr>
            </w:pPr>
          </w:p>
        </w:tc>
        <w:tc>
          <w:tcPr>
            <w:tcW w:w="610" w:type="pct"/>
            <w:vMerge/>
            <w:tcBorders>
              <w:top w:val="single" w:sz="12" w:space="0" w:color="000000"/>
              <w:left w:val="nil"/>
              <w:bottom w:val="single" w:sz="6" w:space="0" w:color="000000"/>
              <w:right w:val="nil"/>
            </w:tcBorders>
            <w:vAlign w:val="center"/>
          </w:tcPr>
          <w:p w14:paraId="1056BEC6" w14:textId="77777777" w:rsidR="006B3C10" w:rsidRPr="00601402" w:rsidRDefault="006B3C10" w:rsidP="00596BE0">
            <w:pPr>
              <w:rPr>
                <w:rFonts w:ascii="Arial" w:hAnsi="Arial" w:cs="Arial"/>
                <w:b/>
                <w:bCs/>
                <w:color w:val="FFFFFF"/>
                <w:sz w:val="16"/>
                <w:szCs w:val="16"/>
              </w:rPr>
            </w:pPr>
          </w:p>
        </w:tc>
        <w:tc>
          <w:tcPr>
            <w:tcW w:w="656" w:type="pct"/>
            <w:vMerge/>
            <w:tcBorders>
              <w:top w:val="single" w:sz="12" w:space="0" w:color="000000"/>
              <w:left w:val="nil"/>
              <w:bottom w:val="single" w:sz="6" w:space="0" w:color="000000"/>
              <w:right w:val="nil"/>
            </w:tcBorders>
            <w:vAlign w:val="center"/>
          </w:tcPr>
          <w:p w14:paraId="6AE16BEC" w14:textId="77777777" w:rsidR="006B3C10" w:rsidRPr="00601402" w:rsidRDefault="006B3C10" w:rsidP="00596BE0">
            <w:pPr>
              <w:rPr>
                <w:rFonts w:ascii="Arial" w:hAnsi="Arial" w:cs="Arial"/>
                <w:b/>
                <w:bCs/>
                <w:color w:val="FFFFFF"/>
                <w:sz w:val="16"/>
                <w:szCs w:val="16"/>
              </w:rPr>
            </w:pPr>
          </w:p>
        </w:tc>
        <w:tc>
          <w:tcPr>
            <w:tcW w:w="938" w:type="pct"/>
            <w:gridSpan w:val="2"/>
            <w:tcBorders>
              <w:top w:val="single" w:sz="12" w:space="0" w:color="000000"/>
              <w:left w:val="nil"/>
              <w:bottom w:val="single" w:sz="6" w:space="0" w:color="000000"/>
              <w:right w:val="nil"/>
            </w:tcBorders>
            <w:shd w:val="clear" w:color="auto" w:fill="D3D3D3"/>
            <w:vAlign w:val="center"/>
          </w:tcPr>
          <w:p w14:paraId="64F62D33" w14:textId="77777777" w:rsidR="006B3C10" w:rsidRPr="00601402" w:rsidRDefault="006B3C10" w:rsidP="00596BE0">
            <w:pPr>
              <w:pStyle w:val="NormalWeb"/>
              <w:spacing w:before="0" w:beforeAutospacing="0" w:after="0" w:afterAutospacing="0"/>
              <w:rPr>
                <w:rFonts w:ascii="Arial" w:hAnsi="Arial" w:cs="Arial"/>
                <w:b/>
                <w:bCs/>
                <w:color w:val="000000"/>
                <w:sz w:val="16"/>
                <w:szCs w:val="16"/>
              </w:rPr>
            </w:pPr>
            <w:r w:rsidRPr="00601402">
              <w:rPr>
                <w:rFonts w:ascii="Arial" w:hAnsi="Arial" w:cs="Arial"/>
                <w:b/>
                <w:bCs/>
                <w:color w:val="000000"/>
                <w:sz w:val="16"/>
                <w:szCs w:val="16"/>
              </w:rPr>
              <w:t>Risk with standard of care</w:t>
            </w:r>
          </w:p>
        </w:tc>
        <w:tc>
          <w:tcPr>
            <w:tcW w:w="839" w:type="pct"/>
            <w:tcBorders>
              <w:top w:val="single" w:sz="12" w:space="0" w:color="000000"/>
              <w:left w:val="nil"/>
              <w:bottom w:val="single" w:sz="6" w:space="0" w:color="000000"/>
              <w:right w:val="nil"/>
            </w:tcBorders>
            <w:shd w:val="clear" w:color="auto" w:fill="D3D3D3"/>
            <w:vAlign w:val="center"/>
          </w:tcPr>
          <w:p w14:paraId="5330F018" w14:textId="77777777" w:rsidR="006B3C10" w:rsidRPr="00601402" w:rsidRDefault="006B3C10" w:rsidP="00596BE0">
            <w:pPr>
              <w:pStyle w:val="NormalWeb"/>
              <w:spacing w:before="0" w:beforeAutospacing="0" w:after="0" w:afterAutospacing="0"/>
              <w:rPr>
                <w:rFonts w:ascii="Arial" w:hAnsi="Arial" w:cs="Arial"/>
                <w:b/>
                <w:bCs/>
                <w:color w:val="000000"/>
                <w:sz w:val="16"/>
                <w:szCs w:val="16"/>
              </w:rPr>
            </w:pPr>
            <w:r w:rsidRPr="00601402">
              <w:rPr>
                <w:rFonts w:ascii="Arial" w:hAnsi="Arial" w:cs="Arial"/>
                <w:b/>
                <w:bCs/>
                <w:color w:val="000000"/>
                <w:sz w:val="16"/>
                <w:szCs w:val="16"/>
              </w:rPr>
              <w:t>Risk difference with benralizumab</w:t>
            </w:r>
          </w:p>
        </w:tc>
      </w:tr>
      <w:tr w:rsidR="006B3C10" w:rsidRPr="00601402" w14:paraId="3BBCA234" w14:textId="77777777" w:rsidTr="00596BE0">
        <w:trPr>
          <w:cantSplit/>
          <w:trHeight w:val="533"/>
        </w:trPr>
        <w:tc>
          <w:tcPr>
            <w:tcW w:w="1099" w:type="pct"/>
            <w:tcBorders>
              <w:top w:val="single" w:sz="6" w:space="0" w:color="000000"/>
              <w:left w:val="nil"/>
              <w:bottom w:val="single" w:sz="6" w:space="0" w:color="000000"/>
              <w:right w:val="nil"/>
            </w:tcBorders>
            <w:vAlign w:val="center"/>
          </w:tcPr>
          <w:p w14:paraId="62148B98" w14:textId="77777777" w:rsidR="006B3C10" w:rsidRPr="00601402" w:rsidRDefault="006B3C10" w:rsidP="00596BE0">
            <w:pPr>
              <w:rPr>
                <w:rFonts w:ascii="Arial" w:hAnsi="Arial" w:cs="Arial"/>
                <w:sz w:val="16"/>
                <w:szCs w:val="16"/>
              </w:rPr>
            </w:pPr>
            <w:r w:rsidRPr="00601402">
              <w:rPr>
                <w:rStyle w:val="label"/>
                <w:rFonts w:ascii="Arial" w:hAnsi="Arial" w:cs="Arial"/>
                <w:b/>
                <w:sz w:val="16"/>
                <w:szCs w:val="16"/>
              </w:rPr>
              <w:t>Exacerbations</w:t>
            </w:r>
            <w:r w:rsidRPr="00601402">
              <w:rPr>
                <w:rStyle w:val="label"/>
                <w:rFonts w:ascii="Arial" w:hAnsi="Arial" w:cs="Arial"/>
                <w:sz w:val="16"/>
                <w:szCs w:val="16"/>
              </w:rPr>
              <w:t xml:space="preserve"> </w:t>
            </w:r>
            <w:r w:rsidRPr="00601402">
              <w:rPr>
                <w:rFonts w:ascii="Arial" w:hAnsi="Arial" w:cs="Arial"/>
                <w:sz w:val="16"/>
                <w:szCs w:val="16"/>
              </w:rPr>
              <w:br/>
            </w:r>
            <w:r w:rsidRPr="00601402">
              <w:rPr>
                <w:rStyle w:val="label"/>
                <w:rFonts w:ascii="Arial" w:hAnsi="Arial" w:cs="Arial"/>
                <w:sz w:val="16"/>
                <w:szCs w:val="16"/>
              </w:rPr>
              <w:t>Assessed with annualised asthma exacerbation rate</w:t>
            </w:r>
            <w:r w:rsidRPr="00601402">
              <w:rPr>
                <w:rFonts w:ascii="Arial" w:hAnsi="Arial" w:cs="Arial"/>
                <w:sz w:val="16"/>
                <w:szCs w:val="16"/>
              </w:rPr>
              <w:br/>
            </w:r>
          </w:p>
        </w:tc>
        <w:tc>
          <w:tcPr>
            <w:tcW w:w="858" w:type="pct"/>
            <w:tcBorders>
              <w:top w:val="single" w:sz="6" w:space="0" w:color="000000"/>
              <w:left w:val="nil"/>
              <w:bottom w:val="single" w:sz="6" w:space="0" w:color="000000"/>
              <w:right w:val="nil"/>
            </w:tcBorders>
            <w:vAlign w:val="center"/>
          </w:tcPr>
          <w:p w14:paraId="493C4359" w14:textId="77777777" w:rsidR="006B3C10" w:rsidRPr="00601402" w:rsidRDefault="006B3C10" w:rsidP="00596BE0">
            <w:pPr>
              <w:rPr>
                <w:rFonts w:ascii="Arial" w:hAnsi="Arial" w:cs="Arial"/>
                <w:sz w:val="16"/>
                <w:szCs w:val="16"/>
                <w:vertAlign w:val="superscript"/>
              </w:rPr>
            </w:pPr>
            <w:r w:rsidRPr="00601402">
              <w:rPr>
                <w:rFonts w:ascii="Arial" w:hAnsi="Arial" w:cs="Arial"/>
                <w:sz w:val="16"/>
                <w:szCs w:val="16"/>
              </w:rPr>
              <w:t>1373</w:t>
            </w:r>
            <w:r w:rsidRPr="00601402">
              <w:rPr>
                <w:rFonts w:ascii="Arial" w:hAnsi="Arial" w:cs="Arial"/>
                <w:sz w:val="16"/>
                <w:szCs w:val="16"/>
              </w:rPr>
              <w:br/>
              <w:t xml:space="preserve">(3 RCTs) </w:t>
            </w:r>
            <w:proofErr w:type="gramStart"/>
            <w:r w:rsidRPr="00601402">
              <w:rPr>
                <w:rFonts w:ascii="Arial" w:hAnsi="Arial" w:cs="Arial"/>
                <w:sz w:val="16"/>
                <w:szCs w:val="16"/>
                <w:vertAlign w:val="superscript"/>
              </w:rPr>
              <w:t>39,40,</w:t>
            </w:r>
            <w:r w:rsidRPr="00601402">
              <w:rPr>
                <w:rStyle w:val="comma"/>
                <w:rFonts w:ascii="Arial" w:hAnsi="Arial" w:cs="Arial"/>
                <w:sz w:val="16"/>
                <w:szCs w:val="16"/>
                <w:vertAlign w:val="superscript"/>
              </w:rPr>
              <w:t>,</w:t>
            </w:r>
            <w:proofErr w:type="gramEnd"/>
            <w:r w:rsidRPr="00601402">
              <w:rPr>
                <w:rStyle w:val="comma"/>
                <w:rFonts w:ascii="Arial" w:hAnsi="Arial" w:cs="Arial"/>
                <w:sz w:val="16"/>
                <w:szCs w:val="16"/>
                <w:vertAlign w:val="superscript"/>
              </w:rPr>
              <w:t>41</w:t>
            </w:r>
          </w:p>
          <w:p w14:paraId="27F09436" w14:textId="77777777" w:rsidR="006B3C10" w:rsidRPr="00601402" w:rsidRDefault="006B3C10" w:rsidP="00596BE0">
            <w:pPr>
              <w:rPr>
                <w:rFonts w:ascii="Arial" w:hAnsi="Arial" w:cs="Arial"/>
                <w:sz w:val="16"/>
                <w:szCs w:val="16"/>
              </w:rPr>
            </w:pPr>
            <w:r w:rsidRPr="00601402">
              <w:rPr>
                <w:rStyle w:val="label"/>
                <w:rFonts w:ascii="Arial" w:hAnsi="Arial" w:cs="Arial"/>
                <w:sz w:val="16"/>
                <w:szCs w:val="16"/>
              </w:rPr>
              <w:t>28 to 56 weeks</w:t>
            </w:r>
          </w:p>
        </w:tc>
        <w:tc>
          <w:tcPr>
            <w:tcW w:w="610" w:type="pct"/>
            <w:tcBorders>
              <w:top w:val="single" w:sz="6" w:space="0" w:color="000000"/>
              <w:left w:val="nil"/>
              <w:bottom w:val="single" w:sz="6" w:space="0" w:color="000000"/>
              <w:right w:val="nil"/>
            </w:tcBorders>
            <w:vAlign w:val="center"/>
          </w:tcPr>
          <w:p w14:paraId="53729E27" w14:textId="77777777" w:rsidR="006B3C10" w:rsidRPr="00601402" w:rsidRDefault="006B3C10" w:rsidP="00596BE0">
            <w:pPr>
              <w:rPr>
                <w:rFonts w:ascii="Arial" w:hAnsi="Arial" w:cs="Arial"/>
                <w:sz w:val="16"/>
                <w:szCs w:val="16"/>
              </w:rPr>
            </w:pPr>
            <w:r w:rsidRPr="00601402">
              <w:rPr>
                <w:rStyle w:val="quality-sign"/>
                <w:rFonts w:ascii="Cambria Math" w:hAnsi="Cambria Math" w:cs="Cambria Math"/>
                <w:sz w:val="16"/>
                <w:szCs w:val="16"/>
              </w:rPr>
              <w:t>⨁⨁⨁⨁</w:t>
            </w:r>
            <w:r w:rsidRPr="00601402">
              <w:rPr>
                <w:rFonts w:ascii="Arial" w:hAnsi="Arial" w:cs="Arial"/>
                <w:sz w:val="16"/>
                <w:szCs w:val="16"/>
              </w:rPr>
              <w:br/>
            </w:r>
            <w:r w:rsidRPr="00601402">
              <w:rPr>
                <w:rStyle w:val="quality-text"/>
                <w:rFonts w:ascii="Arial" w:hAnsi="Arial" w:cs="Arial"/>
                <w:sz w:val="16"/>
                <w:szCs w:val="16"/>
              </w:rPr>
              <w:t>HIGH</w:t>
            </w:r>
            <w:r w:rsidRPr="00601402">
              <w:rPr>
                <w:rFonts w:ascii="Arial" w:hAnsi="Arial" w:cs="Arial"/>
                <w:sz w:val="16"/>
                <w:szCs w:val="16"/>
              </w:rPr>
              <w:t xml:space="preserve"> </w:t>
            </w:r>
            <w:proofErr w:type="gramStart"/>
            <w:r w:rsidRPr="00601402">
              <w:rPr>
                <w:rFonts w:ascii="Arial" w:hAnsi="Arial" w:cs="Arial"/>
                <w:sz w:val="16"/>
                <w:szCs w:val="16"/>
                <w:vertAlign w:val="superscript"/>
              </w:rPr>
              <w:t>3</w:t>
            </w:r>
            <w:r w:rsidRPr="00601402">
              <w:rPr>
                <w:rStyle w:val="comma"/>
                <w:rFonts w:ascii="Arial" w:hAnsi="Arial" w:cs="Arial"/>
                <w:sz w:val="16"/>
                <w:szCs w:val="16"/>
                <w:vertAlign w:val="superscript"/>
              </w:rPr>
              <w:t>,</w:t>
            </w:r>
            <w:r w:rsidRPr="00601402">
              <w:rPr>
                <w:rFonts w:ascii="Arial" w:hAnsi="Arial" w:cs="Arial"/>
                <w:sz w:val="16"/>
                <w:szCs w:val="16"/>
                <w:vertAlign w:val="superscript"/>
              </w:rPr>
              <w:t>a</w:t>
            </w:r>
            <w:proofErr w:type="gramEnd"/>
            <w:r w:rsidRPr="00601402">
              <w:rPr>
                <w:rStyle w:val="comma"/>
                <w:rFonts w:ascii="Arial" w:hAnsi="Arial" w:cs="Arial"/>
                <w:sz w:val="16"/>
                <w:szCs w:val="16"/>
                <w:vertAlign w:val="superscript"/>
              </w:rPr>
              <w:t>,</w:t>
            </w:r>
            <w:r w:rsidRPr="00601402">
              <w:rPr>
                <w:rFonts w:ascii="Arial" w:hAnsi="Arial" w:cs="Arial"/>
                <w:sz w:val="16"/>
                <w:szCs w:val="16"/>
                <w:vertAlign w:val="superscript"/>
              </w:rPr>
              <w:t>b</w:t>
            </w:r>
          </w:p>
        </w:tc>
        <w:tc>
          <w:tcPr>
            <w:tcW w:w="656" w:type="pct"/>
            <w:tcBorders>
              <w:top w:val="single" w:sz="6" w:space="0" w:color="000000"/>
              <w:left w:val="nil"/>
              <w:bottom w:val="single" w:sz="6" w:space="0" w:color="000000"/>
              <w:right w:val="nil"/>
            </w:tcBorders>
            <w:vAlign w:val="center"/>
          </w:tcPr>
          <w:p w14:paraId="6F2A2365" w14:textId="62F272B4" w:rsidR="006B3C10" w:rsidRPr="00601402" w:rsidRDefault="00256864" w:rsidP="00596BE0">
            <w:pPr>
              <w:rPr>
                <w:rFonts w:ascii="Arial" w:hAnsi="Arial" w:cs="Arial"/>
                <w:sz w:val="16"/>
                <w:szCs w:val="16"/>
              </w:rPr>
            </w:pPr>
            <w:r w:rsidRPr="00256864">
              <w:rPr>
                <w:rStyle w:val="block"/>
                <w:rFonts w:ascii="Arial" w:hAnsi="Arial" w:cs="Arial"/>
                <w:bCs/>
                <w:sz w:val="16"/>
                <w:szCs w:val="16"/>
              </w:rPr>
              <w:t>Incidence</w:t>
            </w:r>
            <w:r>
              <w:rPr>
                <w:rStyle w:val="block"/>
                <w:rFonts w:ascii="Arial" w:hAnsi="Arial" w:cs="Arial"/>
                <w:bCs/>
                <w:sz w:val="16"/>
                <w:szCs w:val="16"/>
              </w:rPr>
              <w:t xml:space="preserve"> r</w:t>
            </w:r>
            <w:r w:rsidR="006B3C10" w:rsidRPr="00601402">
              <w:rPr>
                <w:rStyle w:val="block"/>
                <w:rFonts w:ascii="Arial" w:hAnsi="Arial" w:cs="Arial"/>
                <w:b/>
                <w:bCs/>
                <w:sz w:val="16"/>
                <w:szCs w:val="16"/>
              </w:rPr>
              <w:t>ate ratio 0.53</w:t>
            </w:r>
            <w:r w:rsidR="006B3C10" w:rsidRPr="00601402">
              <w:rPr>
                <w:rFonts w:ascii="Arial" w:hAnsi="Arial" w:cs="Arial"/>
                <w:sz w:val="16"/>
                <w:szCs w:val="16"/>
              </w:rPr>
              <w:br/>
            </w:r>
            <w:r w:rsidR="006B3C10" w:rsidRPr="00601402">
              <w:rPr>
                <w:rStyle w:val="cell"/>
                <w:rFonts w:ascii="Arial" w:hAnsi="Arial" w:cs="Arial"/>
                <w:sz w:val="16"/>
                <w:szCs w:val="16"/>
              </w:rPr>
              <w:t>(0.39 to 0.72)</w:t>
            </w:r>
            <w:r w:rsidR="006B3C10" w:rsidRPr="00601402">
              <w:rPr>
                <w:rFonts w:ascii="Arial" w:hAnsi="Arial" w:cs="Arial"/>
                <w:sz w:val="16"/>
                <w:szCs w:val="16"/>
              </w:rPr>
              <w:t xml:space="preserve"> </w:t>
            </w:r>
            <w:proofErr w:type="gramStart"/>
            <w:r w:rsidR="006B3C10" w:rsidRPr="00601402">
              <w:rPr>
                <w:rFonts w:ascii="Arial" w:hAnsi="Arial" w:cs="Arial"/>
                <w:sz w:val="16"/>
                <w:szCs w:val="16"/>
                <w:vertAlign w:val="superscript"/>
              </w:rPr>
              <w:t>c</w:t>
            </w:r>
            <w:r w:rsidR="006B3C10" w:rsidRPr="00601402">
              <w:rPr>
                <w:rStyle w:val="comma"/>
                <w:rFonts w:ascii="Arial" w:hAnsi="Arial" w:cs="Arial"/>
                <w:sz w:val="16"/>
                <w:szCs w:val="16"/>
                <w:vertAlign w:val="superscript"/>
              </w:rPr>
              <w:t>,</w:t>
            </w:r>
            <w:r w:rsidR="006B3C10" w:rsidRPr="00601402">
              <w:rPr>
                <w:rFonts w:ascii="Arial" w:hAnsi="Arial" w:cs="Arial"/>
                <w:sz w:val="16"/>
                <w:szCs w:val="16"/>
                <w:vertAlign w:val="superscript"/>
              </w:rPr>
              <w:t>d</w:t>
            </w:r>
            <w:proofErr w:type="gramEnd"/>
          </w:p>
        </w:tc>
        <w:tc>
          <w:tcPr>
            <w:tcW w:w="888" w:type="pct"/>
            <w:tcBorders>
              <w:top w:val="single" w:sz="6" w:space="0" w:color="000000"/>
              <w:left w:val="nil"/>
              <w:right w:val="nil"/>
            </w:tcBorders>
            <w:shd w:val="clear" w:color="auto" w:fill="E0E0E0"/>
            <w:vAlign w:val="center"/>
          </w:tcPr>
          <w:p w14:paraId="3E9CC2BE" w14:textId="77777777" w:rsidR="006B3C10" w:rsidRPr="00601402" w:rsidRDefault="006B3C10" w:rsidP="00596BE0">
            <w:pPr>
              <w:rPr>
                <w:rFonts w:ascii="Arial" w:hAnsi="Arial" w:cs="Arial"/>
                <w:b/>
                <w:bCs/>
                <w:sz w:val="16"/>
                <w:szCs w:val="16"/>
              </w:rPr>
            </w:pPr>
            <w:r w:rsidRPr="00601402">
              <w:rPr>
                <w:rFonts w:ascii="Arial" w:hAnsi="Arial" w:cs="Arial"/>
                <w:sz w:val="16"/>
                <w:szCs w:val="16"/>
              </w:rPr>
              <w:t xml:space="preserve">1500 exacerbations per 1000 patients per year  </w:t>
            </w:r>
          </w:p>
        </w:tc>
        <w:tc>
          <w:tcPr>
            <w:tcW w:w="889" w:type="pct"/>
            <w:gridSpan w:val="2"/>
            <w:tcBorders>
              <w:top w:val="single" w:sz="6" w:space="0" w:color="000000"/>
              <w:left w:val="nil"/>
              <w:right w:val="nil"/>
            </w:tcBorders>
            <w:shd w:val="clear" w:color="auto" w:fill="E0E0E0"/>
            <w:vAlign w:val="center"/>
          </w:tcPr>
          <w:p w14:paraId="1EE7BFFA" w14:textId="77777777" w:rsidR="006B3C10" w:rsidRPr="00601402" w:rsidRDefault="006B3C10" w:rsidP="00596BE0">
            <w:pPr>
              <w:rPr>
                <w:rFonts w:ascii="Arial" w:hAnsi="Arial" w:cs="Arial"/>
                <w:b/>
                <w:bCs/>
                <w:sz w:val="16"/>
                <w:szCs w:val="16"/>
              </w:rPr>
            </w:pPr>
            <w:r w:rsidRPr="00601402">
              <w:rPr>
                <w:rStyle w:val="cell-value"/>
                <w:rFonts w:ascii="Arial" w:hAnsi="Arial" w:cs="Arial"/>
                <w:b/>
                <w:bCs/>
                <w:sz w:val="16"/>
                <w:szCs w:val="16"/>
              </w:rPr>
              <w:t>705 fewer exacerbations per 1.000 patients per year</w:t>
            </w:r>
            <w:r w:rsidRPr="00601402">
              <w:rPr>
                <w:rFonts w:ascii="Arial" w:hAnsi="Arial" w:cs="Arial"/>
                <w:sz w:val="16"/>
                <w:szCs w:val="16"/>
              </w:rPr>
              <w:br/>
            </w:r>
            <w:r w:rsidRPr="00601402">
              <w:rPr>
                <w:rStyle w:val="cell-value"/>
                <w:rFonts w:ascii="Arial" w:hAnsi="Arial" w:cs="Arial"/>
                <w:sz w:val="16"/>
                <w:szCs w:val="16"/>
              </w:rPr>
              <w:t>(915 fewer to 420 fewer)</w:t>
            </w:r>
          </w:p>
        </w:tc>
      </w:tr>
      <w:tr w:rsidR="006B3C10" w:rsidRPr="00601402" w14:paraId="6C613D1C" w14:textId="77777777" w:rsidTr="00596BE0">
        <w:trPr>
          <w:cantSplit/>
          <w:trHeight w:val="876"/>
        </w:trPr>
        <w:tc>
          <w:tcPr>
            <w:tcW w:w="1099" w:type="pct"/>
            <w:tcBorders>
              <w:top w:val="single" w:sz="6" w:space="0" w:color="000000"/>
              <w:left w:val="nil"/>
              <w:bottom w:val="single" w:sz="6" w:space="0" w:color="000000"/>
              <w:right w:val="nil"/>
            </w:tcBorders>
            <w:vAlign w:val="center"/>
          </w:tcPr>
          <w:p w14:paraId="4EA76A33" w14:textId="77777777" w:rsidR="006B3C10" w:rsidRPr="00601402" w:rsidRDefault="006B3C10" w:rsidP="00596BE0">
            <w:pPr>
              <w:rPr>
                <w:rFonts w:ascii="Arial" w:hAnsi="Arial" w:cs="Arial"/>
                <w:sz w:val="16"/>
                <w:szCs w:val="16"/>
              </w:rPr>
            </w:pPr>
            <w:r w:rsidRPr="00601402">
              <w:rPr>
                <w:rStyle w:val="label"/>
                <w:rFonts w:ascii="Arial" w:hAnsi="Arial" w:cs="Arial"/>
                <w:b/>
                <w:sz w:val="16"/>
                <w:szCs w:val="16"/>
              </w:rPr>
              <w:lastRenderedPageBreak/>
              <w:t>Asthma Control</w:t>
            </w:r>
            <w:r w:rsidRPr="00601402">
              <w:rPr>
                <w:rStyle w:val="label"/>
                <w:rFonts w:ascii="Arial" w:hAnsi="Arial" w:cs="Arial"/>
                <w:sz w:val="16"/>
                <w:szCs w:val="16"/>
              </w:rPr>
              <w:t xml:space="preserve"> </w:t>
            </w:r>
            <w:r w:rsidRPr="00601402">
              <w:rPr>
                <w:rFonts w:ascii="Arial" w:hAnsi="Arial" w:cs="Arial"/>
                <w:sz w:val="16"/>
                <w:szCs w:val="16"/>
              </w:rPr>
              <w:br/>
            </w:r>
            <w:r w:rsidRPr="00601402">
              <w:rPr>
                <w:rStyle w:val="label"/>
                <w:rFonts w:ascii="Arial" w:hAnsi="Arial" w:cs="Arial"/>
                <w:sz w:val="16"/>
                <w:szCs w:val="16"/>
              </w:rPr>
              <w:t>Assessed with ACQ-6 score between-group-difference at the end of the study</w:t>
            </w:r>
            <w:r w:rsidRPr="00601402">
              <w:rPr>
                <w:rFonts w:ascii="Arial" w:hAnsi="Arial" w:cs="Arial"/>
                <w:sz w:val="16"/>
                <w:szCs w:val="16"/>
              </w:rPr>
              <w:br/>
            </w:r>
          </w:p>
        </w:tc>
        <w:tc>
          <w:tcPr>
            <w:tcW w:w="858" w:type="pct"/>
            <w:tcBorders>
              <w:top w:val="single" w:sz="6" w:space="0" w:color="000000"/>
              <w:left w:val="nil"/>
              <w:bottom w:val="single" w:sz="6" w:space="0" w:color="000000"/>
              <w:right w:val="nil"/>
            </w:tcBorders>
            <w:vAlign w:val="center"/>
          </w:tcPr>
          <w:p w14:paraId="07A2010B" w14:textId="77777777" w:rsidR="006B3C10" w:rsidRPr="00601402" w:rsidRDefault="006B3C10" w:rsidP="00596BE0">
            <w:pPr>
              <w:rPr>
                <w:rStyle w:val="comma"/>
                <w:rFonts w:ascii="Arial" w:hAnsi="Arial" w:cs="Arial"/>
                <w:sz w:val="16"/>
                <w:szCs w:val="16"/>
                <w:vertAlign w:val="superscript"/>
              </w:rPr>
            </w:pPr>
            <w:r w:rsidRPr="00601402">
              <w:rPr>
                <w:rFonts w:ascii="Arial" w:hAnsi="Arial" w:cs="Arial"/>
                <w:sz w:val="16"/>
                <w:szCs w:val="16"/>
              </w:rPr>
              <w:t>1373</w:t>
            </w:r>
            <w:r w:rsidRPr="00601402">
              <w:rPr>
                <w:rFonts w:ascii="Arial" w:hAnsi="Arial" w:cs="Arial"/>
                <w:sz w:val="16"/>
                <w:szCs w:val="16"/>
              </w:rPr>
              <w:br/>
              <w:t xml:space="preserve">(3 RCTs) </w:t>
            </w:r>
            <w:proofErr w:type="gramStart"/>
            <w:r w:rsidRPr="00601402">
              <w:rPr>
                <w:rFonts w:ascii="Arial" w:hAnsi="Arial" w:cs="Arial"/>
                <w:sz w:val="16"/>
                <w:szCs w:val="16"/>
                <w:vertAlign w:val="superscript"/>
              </w:rPr>
              <w:t>39,40,</w:t>
            </w:r>
            <w:r w:rsidRPr="00601402">
              <w:rPr>
                <w:rStyle w:val="comma"/>
                <w:rFonts w:ascii="Arial" w:hAnsi="Arial" w:cs="Arial"/>
                <w:sz w:val="16"/>
                <w:szCs w:val="16"/>
                <w:vertAlign w:val="superscript"/>
              </w:rPr>
              <w:t>,</w:t>
            </w:r>
            <w:proofErr w:type="gramEnd"/>
            <w:r w:rsidRPr="00601402">
              <w:rPr>
                <w:rStyle w:val="comma"/>
                <w:rFonts w:ascii="Arial" w:hAnsi="Arial" w:cs="Arial"/>
                <w:sz w:val="16"/>
                <w:szCs w:val="16"/>
                <w:vertAlign w:val="superscript"/>
              </w:rPr>
              <w:t>41</w:t>
            </w:r>
          </w:p>
          <w:p w14:paraId="6D0EC6A7" w14:textId="77777777" w:rsidR="006B3C10" w:rsidRPr="00601402" w:rsidRDefault="006B3C10" w:rsidP="00596BE0">
            <w:pPr>
              <w:rPr>
                <w:rFonts w:ascii="Arial" w:hAnsi="Arial" w:cs="Arial"/>
                <w:sz w:val="16"/>
                <w:szCs w:val="16"/>
              </w:rPr>
            </w:pPr>
            <w:r w:rsidRPr="00601402">
              <w:rPr>
                <w:rStyle w:val="label"/>
                <w:rFonts w:ascii="Arial" w:hAnsi="Arial" w:cs="Arial"/>
                <w:sz w:val="16"/>
                <w:szCs w:val="16"/>
              </w:rPr>
              <w:t>28 to 56 weeks</w:t>
            </w:r>
          </w:p>
        </w:tc>
        <w:tc>
          <w:tcPr>
            <w:tcW w:w="610" w:type="pct"/>
            <w:tcBorders>
              <w:top w:val="single" w:sz="6" w:space="0" w:color="000000"/>
              <w:left w:val="nil"/>
              <w:bottom w:val="single" w:sz="6" w:space="0" w:color="000000"/>
              <w:right w:val="nil"/>
            </w:tcBorders>
            <w:vAlign w:val="center"/>
          </w:tcPr>
          <w:p w14:paraId="6AE7F5B1" w14:textId="77777777" w:rsidR="006B3C10" w:rsidRPr="00601402" w:rsidRDefault="006B3C10" w:rsidP="00596BE0">
            <w:pPr>
              <w:rPr>
                <w:rFonts w:ascii="Arial" w:hAnsi="Arial" w:cs="Arial"/>
                <w:sz w:val="16"/>
                <w:szCs w:val="16"/>
              </w:rPr>
            </w:pPr>
            <w:r w:rsidRPr="00601402">
              <w:rPr>
                <w:rStyle w:val="quality-sign"/>
                <w:rFonts w:ascii="Cambria Math" w:hAnsi="Cambria Math" w:cs="Cambria Math"/>
                <w:sz w:val="16"/>
                <w:szCs w:val="16"/>
              </w:rPr>
              <w:t>⨁⨁⨁⨁</w:t>
            </w:r>
            <w:r w:rsidRPr="00601402">
              <w:rPr>
                <w:rFonts w:ascii="Arial" w:hAnsi="Arial" w:cs="Arial"/>
                <w:sz w:val="16"/>
                <w:szCs w:val="16"/>
              </w:rPr>
              <w:br/>
            </w:r>
            <w:r w:rsidRPr="00601402">
              <w:rPr>
                <w:rStyle w:val="quality-text"/>
                <w:rFonts w:ascii="Arial" w:hAnsi="Arial" w:cs="Arial"/>
                <w:sz w:val="16"/>
                <w:szCs w:val="16"/>
              </w:rPr>
              <w:t>HIGH</w:t>
            </w:r>
            <w:r w:rsidRPr="00601402">
              <w:rPr>
                <w:rFonts w:ascii="Arial" w:hAnsi="Arial" w:cs="Arial"/>
                <w:sz w:val="16"/>
                <w:szCs w:val="16"/>
              </w:rPr>
              <w:t xml:space="preserve"> </w:t>
            </w:r>
            <w:r w:rsidRPr="00601402">
              <w:rPr>
                <w:rFonts w:ascii="Arial" w:hAnsi="Arial" w:cs="Arial"/>
                <w:sz w:val="16"/>
                <w:szCs w:val="16"/>
                <w:vertAlign w:val="superscript"/>
              </w:rPr>
              <w:t>3</w:t>
            </w:r>
            <w:r w:rsidRPr="00601402">
              <w:rPr>
                <w:rStyle w:val="comma"/>
                <w:rFonts w:ascii="Arial" w:hAnsi="Arial" w:cs="Arial"/>
                <w:sz w:val="16"/>
                <w:szCs w:val="16"/>
                <w:vertAlign w:val="superscript"/>
              </w:rPr>
              <w:t>,</w:t>
            </w:r>
            <w:proofErr w:type="gramStart"/>
            <w:r w:rsidRPr="00601402">
              <w:rPr>
                <w:rFonts w:ascii="Arial" w:hAnsi="Arial" w:cs="Arial"/>
                <w:sz w:val="16"/>
                <w:szCs w:val="16"/>
                <w:vertAlign w:val="superscript"/>
              </w:rPr>
              <w:t>4</w:t>
            </w:r>
            <w:r w:rsidRPr="00601402">
              <w:rPr>
                <w:rStyle w:val="comma"/>
                <w:rFonts w:ascii="Arial" w:hAnsi="Arial" w:cs="Arial"/>
                <w:sz w:val="16"/>
                <w:szCs w:val="16"/>
                <w:vertAlign w:val="superscript"/>
              </w:rPr>
              <w:t>,</w:t>
            </w:r>
            <w:r w:rsidRPr="00601402">
              <w:rPr>
                <w:rFonts w:ascii="Arial" w:hAnsi="Arial" w:cs="Arial"/>
                <w:sz w:val="16"/>
                <w:szCs w:val="16"/>
                <w:vertAlign w:val="superscript"/>
              </w:rPr>
              <w:t>b</w:t>
            </w:r>
            <w:proofErr w:type="gramEnd"/>
            <w:r w:rsidRPr="00601402">
              <w:rPr>
                <w:rStyle w:val="comma"/>
                <w:rFonts w:ascii="Arial" w:hAnsi="Arial" w:cs="Arial"/>
                <w:sz w:val="16"/>
                <w:szCs w:val="16"/>
                <w:vertAlign w:val="superscript"/>
              </w:rPr>
              <w:t>,</w:t>
            </w:r>
            <w:r w:rsidRPr="00601402">
              <w:rPr>
                <w:rFonts w:ascii="Arial" w:hAnsi="Arial" w:cs="Arial"/>
                <w:sz w:val="16"/>
                <w:szCs w:val="16"/>
                <w:vertAlign w:val="superscript"/>
              </w:rPr>
              <w:t>e</w:t>
            </w:r>
            <w:r w:rsidRPr="00601402">
              <w:rPr>
                <w:rStyle w:val="comma"/>
                <w:rFonts w:ascii="Arial" w:hAnsi="Arial" w:cs="Arial"/>
                <w:sz w:val="16"/>
                <w:szCs w:val="16"/>
                <w:vertAlign w:val="superscript"/>
              </w:rPr>
              <w:t>,</w:t>
            </w:r>
            <w:r w:rsidRPr="00601402">
              <w:rPr>
                <w:rFonts w:ascii="Arial" w:hAnsi="Arial" w:cs="Arial"/>
                <w:sz w:val="16"/>
                <w:szCs w:val="16"/>
                <w:vertAlign w:val="superscript"/>
              </w:rPr>
              <w:t>f</w:t>
            </w:r>
          </w:p>
        </w:tc>
        <w:tc>
          <w:tcPr>
            <w:tcW w:w="656" w:type="pct"/>
            <w:tcBorders>
              <w:top w:val="single" w:sz="6" w:space="0" w:color="000000"/>
              <w:left w:val="nil"/>
              <w:bottom w:val="single" w:sz="6" w:space="0" w:color="000000"/>
              <w:right w:val="nil"/>
            </w:tcBorders>
            <w:vAlign w:val="center"/>
          </w:tcPr>
          <w:p w14:paraId="5FC97F69" w14:textId="77777777" w:rsidR="006B3C10" w:rsidRPr="00601402" w:rsidRDefault="006B3C10" w:rsidP="00596BE0">
            <w:pPr>
              <w:rPr>
                <w:rFonts w:ascii="Arial" w:hAnsi="Arial" w:cs="Arial"/>
                <w:sz w:val="16"/>
                <w:szCs w:val="16"/>
              </w:rPr>
            </w:pPr>
            <w:r w:rsidRPr="00601402">
              <w:rPr>
                <w:rStyle w:val="cell"/>
                <w:rFonts w:ascii="Arial" w:hAnsi="Arial" w:cs="Arial"/>
                <w:sz w:val="16"/>
                <w:szCs w:val="16"/>
              </w:rPr>
              <w:t>-</w:t>
            </w:r>
            <w:r w:rsidRPr="00601402">
              <w:rPr>
                <w:rFonts w:ascii="Arial" w:hAnsi="Arial" w:cs="Arial"/>
                <w:sz w:val="16"/>
                <w:szCs w:val="16"/>
              </w:rPr>
              <w:t xml:space="preserve"> </w:t>
            </w:r>
          </w:p>
        </w:tc>
        <w:tc>
          <w:tcPr>
            <w:tcW w:w="938" w:type="pct"/>
            <w:gridSpan w:val="2"/>
            <w:tcBorders>
              <w:top w:val="single" w:sz="6" w:space="0" w:color="000000"/>
              <w:left w:val="nil"/>
              <w:bottom w:val="single" w:sz="6" w:space="0" w:color="000000"/>
              <w:right w:val="nil"/>
            </w:tcBorders>
            <w:shd w:val="clear" w:color="auto" w:fill="EDEDED"/>
            <w:vAlign w:val="center"/>
          </w:tcPr>
          <w:p w14:paraId="5029BF94" w14:textId="77777777" w:rsidR="006B3C10" w:rsidRPr="00601402" w:rsidRDefault="006B3C10" w:rsidP="00596BE0">
            <w:pPr>
              <w:rPr>
                <w:rFonts w:ascii="Arial" w:hAnsi="Arial" w:cs="Arial"/>
                <w:sz w:val="16"/>
                <w:szCs w:val="16"/>
              </w:rPr>
            </w:pPr>
          </w:p>
        </w:tc>
        <w:tc>
          <w:tcPr>
            <w:tcW w:w="839" w:type="pct"/>
            <w:tcBorders>
              <w:top w:val="single" w:sz="6" w:space="0" w:color="000000"/>
              <w:left w:val="nil"/>
              <w:bottom w:val="single" w:sz="6" w:space="0" w:color="000000"/>
              <w:right w:val="nil"/>
            </w:tcBorders>
            <w:shd w:val="clear" w:color="auto" w:fill="EDEDED"/>
            <w:vAlign w:val="center"/>
          </w:tcPr>
          <w:p w14:paraId="6CA761D6" w14:textId="3739544B" w:rsidR="006B3C10" w:rsidRPr="00601402" w:rsidRDefault="006B3C10" w:rsidP="00596BE0">
            <w:pPr>
              <w:rPr>
                <w:rFonts w:ascii="Arial" w:hAnsi="Arial" w:cs="Arial"/>
                <w:sz w:val="16"/>
                <w:szCs w:val="16"/>
              </w:rPr>
            </w:pPr>
            <w:r w:rsidRPr="00601402">
              <w:rPr>
                <w:rStyle w:val="cell-value"/>
                <w:rFonts w:ascii="Arial" w:hAnsi="Arial" w:cs="Arial"/>
                <w:sz w:val="16"/>
                <w:szCs w:val="16"/>
              </w:rPr>
              <w:t xml:space="preserve">mean difference </w:t>
            </w:r>
            <w:r w:rsidRPr="00601402">
              <w:rPr>
                <w:rStyle w:val="cell-value"/>
              </w:rPr>
              <w:t>-</w:t>
            </w:r>
            <w:r w:rsidRPr="00601402">
              <w:rPr>
                <w:rStyle w:val="cell-value"/>
                <w:rFonts w:ascii="Arial" w:hAnsi="Arial" w:cs="Arial"/>
                <w:sz w:val="16"/>
                <w:szCs w:val="16"/>
              </w:rPr>
              <w:t xml:space="preserve"> </w:t>
            </w:r>
            <w:r w:rsidRPr="00601402">
              <w:rPr>
                <w:rStyle w:val="cell-value"/>
                <w:rFonts w:ascii="Arial" w:hAnsi="Arial" w:cs="Arial"/>
                <w:b/>
                <w:bCs/>
                <w:sz w:val="16"/>
                <w:szCs w:val="16"/>
              </w:rPr>
              <w:t xml:space="preserve">0.26 </w:t>
            </w:r>
            <w:r w:rsidRPr="00601402">
              <w:rPr>
                <w:rFonts w:ascii="Arial" w:hAnsi="Arial" w:cs="Arial"/>
                <w:sz w:val="16"/>
                <w:szCs w:val="16"/>
              </w:rPr>
              <w:br/>
            </w:r>
            <w:r w:rsidRPr="00601402">
              <w:rPr>
                <w:rStyle w:val="cell-value"/>
                <w:rFonts w:ascii="Arial" w:hAnsi="Arial" w:cs="Arial"/>
                <w:sz w:val="16"/>
                <w:szCs w:val="16"/>
              </w:rPr>
              <w:t>(-</w:t>
            </w:r>
            <w:r w:rsidRPr="00601402">
              <w:rPr>
                <w:rStyle w:val="cell-value"/>
              </w:rPr>
              <w:t xml:space="preserve"> </w:t>
            </w:r>
            <w:r w:rsidRPr="00601402">
              <w:rPr>
                <w:rStyle w:val="cell-value"/>
                <w:rFonts w:ascii="Arial" w:hAnsi="Arial" w:cs="Arial"/>
                <w:sz w:val="16"/>
                <w:szCs w:val="16"/>
              </w:rPr>
              <w:t>0.46 to -</w:t>
            </w:r>
            <w:r w:rsidRPr="00601402">
              <w:rPr>
                <w:rStyle w:val="cell-value"/>
              </w:rPr>
              <w:t xml:space="preserve"> </w:t>
            </w:r>
            <w:r w:rsidRPr="00601402">
              <w:rPr>
                <w:rStyle w:val="cell-value"/>
                <w:rFonts w:ascii="Arial" w:hAnsi="Arial" w:cs="Arial"/>
                <w:sz w:val="16"/>
                <w:szCs w:val="16"/>
              </w:rPr>
              <w:t>0.07)</w:t>
            </w:r>
            <w:r w:rsidRPr="00601402">
              <w:rPr>
                <w:rFonts w:ascii="Arial" w:hAnsi="Arial" w:cs="Arial"/>
                <w:sz w:val="16"/>
                <w:szCs w:val="16"/>
              </w:rPr>
              <w:t xml:space="preserve"> </w:t>
            </w:r>
            <w:proofErr w:type="gramStart"/>
            <w:r w:rsidRPr="00601402">
              <w:rPr>
                <w:rFonts w:ascii="Arial" w:hAnsi="Arial" w:cs="Arial"/>
                <w:sz w:val="16"/>
                <w:szCs w:val="16"/>
                <w:vertAlign w:val="superscript"/>
              </w:rPr>
              <w:t>c</w:t>
            </w:r>
            <w:r w:rsidRPr="00601402">
              <w:rPr>
                <w:rStyle w:val="comma"/>
                <w:rFonts w:ascii="Arial" w:hAnsi="Arial" w:cs="Arial"/>
                <w:sz w:val="16"/>
                <w:szCs w:val="16"/>
                <w:vertAlign w:val="superscript"/>
              </w:rPr>
              <w:t>,</w:t>
            </w:r>
            <w:r w:rsidRPr="00601402">
              <w:rPr>
                <w:rFonts w:ascii="Arial" w:hAnsi="Arial" w:cs="Arial"/>
                <w:sz w:val="16"/>
                <w:szCs w:val="16"/>
                <w:vertAlign w:val="superscript"/>
              </w:rPr>
              <w:t>g</w:t>
            </w:r>
            <w:proofErr w:type="gramEnd"/>
          </w:p>
        </w:tc>
      </w:tr>
      <w:tr w:rsidR="006B3C10" w:rsidRPr="00601402" w14:paraId="11C543B0" w14:textId="77777777" w:rsidTr="00596BE0">
        <w:trPr>
          <w:cantSplit/>
          <w:trHeight w:val="876"/>
        </w:trPr>
        <w:tc>
          <w:tcPr>
            <w:tcW w:w="1099" w:type="pct"/>
            <w:tcBorders>
              <w:top w:val="single" w:sz="6" w:space="0" w:color="000000"/>
              <w:left w:val="nil"/>
              <w:bottom w:val="single" w:sz="6" w:space="0" w:color="000000"/>
              <w:right w:val="nil"/>
            </w:tcBorders>
            <w:vAlign w:val="center"/>
          </w:tcPr>
          <w:p w14:paraId="69724A70" w14:textId="77777777" w:rsidR="006B3C10" w:rsidRPr="00601402" w:rsidRDefault="006B3C10" w:rsidP="00596BE0">
            <w:pPr>
              <w:rPr>
                <w:rStyle w:val="label"/>
                <w:rFonts w:ascii="Arial" w:hAnsi="Arial" w:cs="Arial"/>
                <w:sz w:val="16"/>
                <w:szCs w:val="16"/>
              </w:rPr>
            </w:pPr>
            <w:r w:rsidRPr="00601402">
              <w:rPr>
                <w:rStyle w:val="label"/>
                <w:rFonts w:ascii="Arial" w:hAnsi="Arial" w:cs="Arial"/>
                <w:b/>
                <w:sz w:val="16"/>
                <w:szCs w:val="16"/>
              </w:rPr>
              <w:t>Quality of life</w:t>
            </w:r>
            <w:r w:rsidRPr="00601402">
              <w:rPr>
                <w:rFonts w:ascii="Arial" w:hAnsi="Arial" w:cs="Arial"/>
                <w:sz w:val="16"/>
                <w:szCs w:val="16"/>
              </w:rPr>
              <w:br/>
            </w:r>
            <w:r w:rsidRPr="00601402">
              <w:rPr>
                <w:rStyle w:val="label"/>
                <w:rFonts w:ascii="Arial" w:hAnsi="Arial" w:cs="Arial"/>
                <w:sz w:val="16"/>
                <w:szCs w:val="16"/>
              </w:rPr>
              <w:t>Assessed with Asthma Quality of Life Questionnaire for 12 years and older</w:t>
            </w:r>
            <w:r w:rsidRPr="00601402">
              <w:rPr>
                <w:rFonts w:ascii="Arial" w:hAnsi="Arial" w:cs="Arial"/>
                <w:sz w:val="16"/>
                <w:szCs w:val="16"/>
              </w:rPr>
              <w:br/>
            </w:r>
          </w:p>
        </w:tc>
        <w:tc>
          <w:tcPr>
            <w:tcW w:w="858" w:type="pct"/>
            <w:tcBorders>
              <w:top w:val="single" w:sz="6" w:space="0" w:color="000000"/>
              <w:left w:val="nil"/>
              <w:bottom w:val="single" w:sz="6" w:space="0" w:color="000000"/>
              <w:right w:val="nil"/>
            </w:tcBorders>
            <w:vAlign w:val="center"/>
          </w:tcPr>
          <w:p w14:paraId="609EA0D9" w14:textId="77777777" w:rsidR="006B3C10" w:rsidRPr="00601402" w:rsidRDefault="006B3C10" w:rsidP="00596BE0">
            <w:pPr>
              <w:rPr>
                <w:rStyle w:val="comma"/>
                <w:rFonts w:ascii="Arial" w:hAnsi="Arial" w:cs="Arial"/>
                <w:sz w:val="16"/>
                <w:szCs w:val="16"/>
                <w:vertAlign w:val="superscript"/>
              </w:rPr>
            </w:pPr>
            <w:r w:rsidRPr="00601402">
              <w:rPr>
                <w:rFonts w:ascii="Arial" w:hAnsi="Arial" w:cs="Arial"/>
                <w:sz w:val="16"/>
                <w:szCs w:val="16"/>
              </w:rPr>
              <w:t>1333</w:t>
            </w:r>
            <w:r w:rsidRPr="00601402">
              <w:rPr>
                <w:rFonts w:ascii="Arial" w:hAnsi="Arial" w:cs="Arial"/>
                <w:sz w:val="16"/>
                <w:szCs w:val="16"/>
              </w:rPr>
              <w:br/>
              <w:t xml:space="preserve">(3 RCTs) </w:t>
            </w:r>
            <w:proofErr w:type="gramStart"/>
            <w:r w:rsidRPr="00601402">
              <w:rPr>
                <w:rFonts w:ascii="Arial" w:hAnsi="Arial" w:cs="Arial"/>
                <w:sz w:val="16"/>
                <w:szCs w:val="16"/>
                <w:vertAlign w:val="superscript"/>
              </w:rPr>
              <w:t>39,40,</w:t>
            </w:r>
            <w:r w:rsidRPr="00601402">
              <w:rPr>
                <w:rStyle w:val="comma"/>
                <w:rFonts w:ascii="Arial" w:hAnsi="Arial" w:cs="Arial"/>
                <w:sz w:val="16"/>
                <w:szCs w:val="16"/>
                <w:vertAlign w:val="superscript"/>
              </w:rPr>
              <w:t>,</w:t>
            </w:r>
            <w:proofErr w:type="gramEnd"/>
            <w:r w:rsidRPr="00601402">
              <w:rPr>
                <w:rStyle w:val="comma"/>
                <w:rFonts w:ascii="Arial" w:hAnsi="Arial" w:cs="Arial"/>
                <w:sz w:val="16"/>
                <w:szCs w:val="16"/>
                <w:vertAlign w:val="superscript"/>
              </w:rPr>
              <w:t>41</w:t>
            </w:r>
          </w:p>
          <w:p w14:paraId="408D8FD4" w14:textId="77777777" w:rsidR="006B3C10" w:rsidRPr="00601402" w:rsidRDefault="006B3C10" w:rsidP="00596BE0">
            <w:pPr>
              <w:rPr>
                <w:rFonts w:ascii="Arial" w:hAnsi="Arial" w:cs="Arial"/>
                <w:sz w:val="16"/>
                <w:szCs w:val="16"/>
              </w:rPr>
            </w:pPr>
            <w:r w:rsidRPr="00601402">
              <w:rPr>
                <w:rStyle w:val="label"/>
                <w:rFonts w:ascii="Arial" w:hAnsi="Arial" w:cs="Arial"/>
                <w:sz w:val="16"/>
                <w:szCs w:val="16"/>
              </w:rPr>
              <w:t>28 to 52 weeks</w:t>
            </w:r>
          </w:p>
        </w:tc>
        <w:tc>
          <w:tcPr>
            <w:tcW w:w="610" w:type="pct"/>
            <w:tcBorders>
              <w:top w:val="single" w:sz="6" w:space="0" w:color="000000"/>
              <w:left w:val="nil"/>
              <w:bottom w:val="single" w:sz="6" w:space="0" w:color="000000"/>
              <w:right w:val="nil"/>
            </w:tcBorders>
            <w:vAlign w:val="center"/>
          </w:tcPr>
          <w:p w14:paraId="11D3A08B" w14:textId="77777777" w:rsidR="006B3C10" w:rsidRPr="00601402" w:rsidRDefault="006B3C10" w:rsidP="00596BE0">
            <w:pPr>
              <w:rPr>
                <w:rStyle w:val="quality-sign"/>
                <w:rFonts w:ascii="Cambria Math" w:hAnsi="Cambria Math" w:cs="Cambria Math"/>
                <w:sz w:val="16"/>
                <w:szCs w:val="16"/>
              </w:rPr>
            </w:pPr>
            <w:r w:rsidRPr="00601402">
              <w:rPr>
                <w:rStyle w:val="quality-sign"/>
                <w:rFonts w:ascii="Cambria Math" w:hAnsi="Cambria Math" w:cs="Cambria Math"/>
                <w:sz w:val="16"/>
                <w:szCs w:val="16"/>
              </w:rPr>
              <w:t>⨁⨁⨁⨁</w:t>
            </w:r>
            <w:r w:rsidRPr="00601402">
              <w:rPr>
                <w:rFonts w:ascii="Arial" w:hAnsi="Arial" w:cs="Arial"/>
                <w:sz w:val="16"/>
                <w:szCs w:val="16"/>
              </w:rPr>
              <w:br/>
            </w:r>
            <w:r w:rsidRPr="00601402">
              <w:rPr>
                <w:rStyle w:val="quality-text"/>
                <w:rFonts w:ascii="Arial" w:hAnsi="Arial" w:cs="Arial"/>
                <w:sz w:val="16"/>
                <w:szCs w:val="16"/>
              </w:rPr>
              <w:t>HIGH</w:t>
            </w:r>
            <w:r w:rsidRPr="00601402">
              <w:rPr>
                <w:rFonts w:ascii="Arial" w:hAnsi="Arial" w:cs="Arial"/>
                <w:sz w:val="16"/>
                <w:szCs w:val="16"/>
              </w:rPr>
              <w:t xml:space="preserve"> </w:t>
            </w:r>
            <w:r w:rsidRPr="00601402">
              <w:rPr>
                <w:rFonts w:ascii="Arial" w:hAnsi="Arial" w:cs="Arial"/>
                <w:sz w:val="16"/>
                <w:szCs w:val="16"/>
                <w:vertAlign w:val="superscript"/>
              </w:rPr>
              <w:t>3</w:t>
            </w:r>
            <w:r w:rsidRPr="00601402">
              <w:rPr>
                <w:rStyle w:val="comma"/>
                <w:rFonts w:ascii="Arial" w:hAnsi="Arial" w:cs="Arial"/>
                <w:sz w:val="16"/>
                <w:szCs w:val="16"/>
                <w:vertAlign w:val="superscript"/>
              </w:rPr>
              <w:t>,</w:t>
            </w:r>
            <w:proofErr w:type="gramStart"/>
            <w:r w:rsidRPr="00601402">
              <w:rPr>
                <w:rFonts w:ascii="Arial" w:hAnsi="Arial" w:cs="Arial"/>
                <w:sz w:val="16"/>
                <w:szCs w:val="16"/>
                <w:vertAlign w:val="superscript"/>
              </w:rPr>
              <w:t>6</w:t>
            </w:r>
            <w:r w:rsidRPr="00601402">
              <w:rPr>
                <w:rStyle w:val="comma"/>
                <w:rFonts w:ascii="Arial" w:hAnsi="Arial" w:cs="Arial"/>
                <w:sz w:val="16"/>
                <w:szCs w:val="16"/>
                <w:vertAlign w:val="superscript"/>
              </w:rPr>
              <w:t>,</w:t>
            </w:r>
            <w:r w:rsidRPr="00601402">
              <w:rPr>
                <w:rFonts w:ascii="Arial" w:hAnsi="Arial" w:cs="Arial"/>
                <w:sz w:val="16"/>
                <w:szCs w:val="16"/>
                <w:vertAlign w:val="superscript"/>
              </w:rPr>
              <w:t>b</w:t>
            </w:r>
            <w:proofErr w:type="gramEnd"/>
            <w:r w:rsidRPr="00601402">
              <w:rPr>
                <w:rStyle w:val="comma"/>
                <w:rFonts w:ascii="Arial" w:hAnsi="Arial" w:cs="Arial"/>
                <w:sz w:val="16"/>
                <w:szCs w:val="16"/>
                <w:vertAlign w:val="superscript"/>
              </w:rPr>
              <w:t>,</w:t>
            </w:r>
            <w:r w:rsidRPr="00601402">
              <w:rPr>
                <w:rFonts w:ascii="Arial" w:hAnsi="Arial" w:cs="Arial"/>
                <w:sz w:val="16"/>
                <w:szCs w:val="16"/>
                <w:vertAlign w:val="superscript"/>
              </w:rPr>
              <w:t>j</w:t>
            </w:r>
            <w:r w:rsidRPr="00601402">
              <w:rPr>
                <w:rStyle w:val="comma"/>
                <w:rFonts w:ascii="Arial" w:hAnsi="Arial" w:cs="Arial"/>
                <w:sz w:val="16"/>
                <w:szCs w:val="16"/>
                <w:vertAlign w:val="superscript"/>
              </w:rPr>
              <w:t>,</w:t>
            </w:r>
            <w:r w:rsidRPr="00601402">
              <w:rPr>
                <w:rFonts w:ascii="Arial" w:hAnsi="Arial" w:cs="Arial"/>
                <w:sz w:val="16"/>
                <w:szCs w:val="16"/>
                <w:vertAlign w:val="superscript"/>
              </w:rPr>
              <w:t>k</w:t>
            </w:r>
          </w:p>
        </w:tc>
        <w:tc>
          <w:tcPr>
            <w:tcW w:w="656" w:type="pct"/>
            <w:tcBorders>
              <w:top w:val="single" w:sz="6" w:space="0" w:color="000000"/>
              <w:left w:val="nil"/>
              <w:bottom w:val="single" w:sz="6" w:space="0" w:color="000000"/>
              <w:right w:val="nil"/>
            </w:tcBorders>
            <w:vAlign w:val="center"/>
          </w:tcPr>
          <w:p w14:paraId="7EC2B6E1" w14:textId="77777777" w:rsidR="006B3C10" w:rsidRPr="00601402" w:rsidRDefault="006B3C10" w:rsidP="00596BE0">
            <w:pPr>
              <w:rPr>
                <w:rStyle w:val="cell"/>
                <w:rFonts w:ascii="Arial" w:hAnsi="Arial" w:cs="Arial"/>
                <w:sz w:val="16"/>
                <w:szCs w:val="16"/>
              </w:rPr>
            </w:pPr>
            <w:r w:rsidRPr="00601402">
              <w:rPr>
                <w:rStyle w:val="cell"/>
                <w:rFonts w:ascii="Arial" w:hAnsi="Arial" w:cs="Arial"/>
                <w:sz w:val="16"/>
                <w:szCs w:val="16"/>
              </w:rPr>
              <w:t>-</w:t>
            </w:r>
            <w:r w:rsidRPr="00601402">
              <w:rPr>
                <w:rFonts w:ascii="Arial" w:hAnsi="Arial" w:cs="Arial"/>
                <w:sz w:val="16"/>
                <w:szCs w:val="16"/>
              </w:rPr>
              <w:t xml:space="preserve"> </w:t>
            </w:r>
          </w:p>
        </w:tc>
        <w:tc>
          <w:tcPr>
            <w:tcW w:w="938" w:type="pct"/>
            <w:gridSpan w:val="2"/>
            <w:tcBorders>
              <w:top w:val="single" w:sz="6" w:space="0" w:color="000000"/>
              <w:left w:val="nil"/>
              <w:bottom w:val="single" w:sz="6" w:space="0" w:color="000000"/>
              <w:right w:val="nil"/>
            </w:tcBorders>
            <w:shd w:val="clear" w:color="auto" w:fill="EDEDED"/>
            <w:vAlign w:val="center"/>
          </w:tcPr>
          <w:p w14:paraId="0EEED365" w14:textId="77777777" w:rsidR="006B3C10" w:rsidRPr="00601402" w:rsidRDefault="006B3C10" w:rsidP="00596BE0">
            <w:pPr>
              <w:rPr>
                <w:rFonts w:ascii="Arial" w:hAnsi="Arial" w:cs="Arial"/>
                <w:sz w:val="16"/>
                <w:szCs w:val="16"/>
              </w:rPr>
            </w:pPr>
          </w:p>
        </w:tc>
        <w:tc>
          <w:tcPr>
            <w:tcW w:w="839" w:type="pct"/>
            <w:tcBorders>
              <w:top w:val="single" w:sz="6" w:space="0" w:color="000000"/>
              <w:left w:val="nil"/>
              <w:bottom w:val="single" w:sz="6" w:space="0" w:color="000000"/>
              <w:right w:val="nil"/>
            </w:tcBorders>
            <w:shd w:val="clear" w:color="auto" w:fill="EDEDED"/>
            <w:vAlign w:val="center"/>
          </w:tcPr>
          <w:p w14:paraId="7B3094B1" w14:textId="5EC9091D" w:rsidR="006B3C10" w:rsidRPr="00601402" w:rsidRDefault="006B3C10" w:rsidP="00596BE0">
            <w:pPr>
              <w:rPr>
                <w:rStyle w:val="cell-value"/>
                <w:rFonts w:ascii="Arial" w:hAnsi="Arial" w:cs="Arial"/>
                <w:sz w:val="16"/>
                <w:szCs w:val="16"/>
              </w:rPr>
            </w:pPr>
            <w:r w:rsidRPr="00601402">
              <w:rPr>
                <w:rStyle w:val="cell-value"/>
                <w:rFonts w:ascii="Arial" w:hAnsi="Arial" w:cs="Arial"/>
                <w:sz w:val="16"/>
                <w:szCs w:val="16"/>
              </w:rPr>
              <w:t xml:space="preserve">mean difference+ </w:t>
            </w:r>
            <w:r w:rsidRPr="00601402">
              <w:rPr>
                <w:rStyle w:val="cell-value"/>
                <w:rFonts w:ascii="Arial" w:hAnsi="Arial" w:cs="Arial"/>
                <w:b/>
                <w:bCs/>
                <w:sz w:val="16"/>
                <w:szCs w:val="16"/>
              </w:rPr>
              <w:t xml:space="preserve">0.23 </w:t>
            </w:r>
            <w:r w:rsidRPr="00601402">
              <w:rPr>
                <w:rFonts w:ascii="Arial" w:hAnsi="Arial" w:cs="Arial"/>
                <w:sz w:val="16"/>
                <w:szCs w:val="16"/>
              </w:rPr>
              <w:br/>
            </w:r>
            <w:r w:rsidRPr="00601402">
              <w:rPr>
                <w:rStyle w:val="cell-value"/>
                <w:rFonts w:ascii="Arial" w:hAnsi="Arial" w:cs="Arial"/>
                <w:sz w:val="16"/>
                <w:szCs w:val="16"/>
              </w:rPr>
              <w:t>(+0.11 to +0.36)</w:t>
            </w:r>
            <w:r w:rsidRPr="00601402">
              <w:rPr>
                <w:rFonts w:ascii="Arial" w:hAnsi="Arial" w:cs="Arial"/>
                <w:sz w:val="16"/>
                <w:szCs w:val="16"/>
              </w:rPr>
              <w:t xml:space="preserve"> </w:t>
            </w:r>
            <w:r w:rsidRPr="00601402">
              <w:rPr>
                <w:rFonts w:ascii="Arial" w:hAnsi="Arial" w:cs="Arial"/>
                <w:sz w:val="16"/>
                <w:szCs w:val="16"/>
                <w:vertAlign w:val="superscript"/>
              </w:rPr>
              <w:t>c</w:t>
            </w:r>
          </w:p>
        </w:tc>
      </w:tr>
      <w:tr w:rsidR="006B3C10" w:rsidRPr="00601402" w14:paraId="0DDC7E5A" w14:textId="77777777" w:rsidTr="00596BE0">
        <w:trPr>
          <w:cantSplit/>
          <w:trHeight w:val="876"/>
        </w:trPr>
        <w:tc>
          <w:tcPr>
            <w:tcW w:w="1099" w:type="pct"/>
            <w:tcBorders>
              <w:top w:val="single" w:sz="6" w:space="0" w:color="000000"/>
              <w:left w:val="nil"/>
              <w:bottom w:val="single" w:sz="6" w:space="0" w:color="000000"/>
              <w:right w:val="nil"/>
            </w:tcBorders>
            <w:vAlign w:val="center"/>
          </w:tcPr>
          <w:p w14:paraId="57C2744D" w14:textId="77777777" w:rsidR="006B3C10" w:rsidRPr="00601402" w:rsidRDefault="006B3C10" w:rsidP="00596BE0">
            <w:pPr>
              <w:rPr>
                <w:rStyle w:val="label"/>
                <w:rFonts w:ascii="Arial" w:hAnsi="Arial" w:cs="Arial"/>
                <w:b/>
                <w:sz w:val="16"/>
                <w:szCs w:val="16"/>
              </w:rPr>
            </w:pPr>
            <w:r w:rsidRPr="00601402">
              <w:rPr>
                <w:rStyle w:val="label"/>
                <w:rFonts w:ascii="Arial" w:hAnsi="Arial" w:cs="Arial"/>
                <w:b/>
                <w:sz w:val="16"/>
                <w:szCs w:val="16"/>
              </w:rPr>
              <w:t xml:space="preserve">Any drug related adverse event (AE) </w:t>
            </w:r>
          </w:p>
          <w:p w14:paraId="59F4A51B" w14:textId="77777777" w:rsidR="006B3C10" w:rsidRPr="00601402" w:rsidRDefault="006B3C10" w:rsidP="00596BE0">
            <w:pPr>
              <w:rPr>
                <w:rStyle w:val="label"/>
                <w:rFonts w:ascii="Arial" w:hAnsi="Arial" w:cs="Arial"/>
                <w:sz w:val="16"/>
                <w:szCs w:val="16"/>
              </w:rPr>
            </w:pPr>
            <w:r w:rsidRPr="00601402">
              <w:rPr>
                <w:rStyle w:val="label"/>
                <w:rFonts w:ascii="Arial" w:hAnsi="Arial" w:cs="Arial"/>
                <w:sz w:val="16"/>
                <w:szCs w:val="16"/>
              </w:rPr>
              <w:t>Assessed with number of events</w:t>
            </w:r>
            <w:r w:rsidRPr="00601402">
              <w:rPr>
                <w:rFonts w:ascii="Arial" w:hAnsi="Arial" w:cs="Arial"/>
                <w:sz w:val="16"/>
                <w:szCs w:val="16"/>
              </w:rPr>
              <w:br/>
            </w:r>
          </w:p>
        </w:tc>
        <w:tc>
          <w:tcPr>
            <w:tcW w:w="858" w:type="pct"/>
            <w:tcBorders>
              <w:top w:val="single" w:sz="6" w:space="0" w:color="000000"/>
              <w:left w:val="nil"/>
              <w:bottom w:val="single" w:sz="6" w:space="0" w:color="000000"/>
              <w:right w:val="nil"/>
            </w:tcBorders>
            <w:vAlign w:val="center"/>
          </w:tcPr>
          <w:p w14:paraId="196EF5AC" w14:textId="77777777" w:rsidR="006B3C10" w:rsidRPr="00601402" w:rsidRDefault="006B3C10" w:rsidP="00596BE0">
            <w:pPr>
              <w:rPr>
                <w:rFonts w:ascii="Arial" w:hAnsi="Arial" w:cs="Arial"/>
                <w:sz w:val="16"/>
                <w:szCs w:val="16"/>
                <w:vertAlign w:val="superscript"/>
              </w:rPr>
            </w:pPr>
            <w:r w:rsidRPr="00601402">
              <w:rPr>
                <w:rFonts w:ascii="Arial" w:hAnsi="Arial" w:cs="Arial"/>
                <w:sz w:val="16"/>
                <w:szCs w:val="16"/>
              </w:rPr>
              <w:t>478</w:t>
            </w:r>
            <w:r w:rsidRPr="00601402">
              <w:rPr>
                <w:rFonts w:ascii="Arial" w:hAnsi="Arial" w:cs="Arial"/>
                <w:sz w:val="16"/>
                <w:szCs w:val="16"/>
              </w:rPr>
              <w:br/>
              <w:t xml:space="preserve">(1 RCT) </w:t>
            </w:r>
            <w:r w:rsidRPr="00601402">
              <w:rPr>
                <w:rFonts w:ascii="Arial" w:hAnsi="Arial" w:cs="Arial"/>
                <w:sz w:val="16"/>
                <w:szCs w:val="16"/>
                <w:vertAlign w:val="superscript"/>
              </w:rPr>
              <w:t>40</w:t>
            </w:r>
          </w:p>
          <w:p w14:paraId="50D37A6F" w14:textId="77777777" w:rsidR="006B3C10" w:rsidRPr="00601402" w:rsidRDefault="006B3C10" w:rsidP="00596BE0">
            <w:pPr>
              <w:rPr>
                <w:rFonts w:ascii="Arial" w:hAnsi="Arial" w:cs="Arial"/>
                <w:sz w:val="16"/>
                <w:szCs w:val="16"/>
              </w:rPr>
            </w:pPr>
            <w:r w:rsidRPr="00601402">
              <w:rPr>
                <w:rStyle w:val="label"/>
                <w:rFonts w:ascii="Arial" w:hAnsi="Arial" w:cs="Arial"/>
                <w:sz w:val="16"/>
                <w:szCs w:val="16"/>
              </w:rPr>
              <w:t>56 weeks</w:t>
            </w:r>
          </w:p>
        </w:tc>
        <w:tc>
          <w:tcPr>
            <w:tcW w:w="610" w:type="pct"/>
            <w:tcBorders>
              <w:top w:val="single" w:sz="6" w:space="0" w:color="000000"/>
              <w:left w:val="nil"/>
              <w:bottom w:val="single" w:sz="6" w:space="0" w:color="000000"/>
              <w:right w:val="nil"/>
            </w:tcBorders>
            <w:vAlign w:val="center"/>
          </w:tcPr>
          <w:p w14:paraId="5C0CE1F1" w14:textId="77777777" w:rsidR="006B3C10" w:rsidRPr="00601402" w:rsidRDefault="006B3C10" w:rsidP="00596BE0">
            <w:pPr>
              <w:rPr>
                <w:rStyle w:val="quality-sign"/>
                <w:rFonts w:ascii="Cambria Math" w:hAnsi="Cambria Math" w:cs="Cambria Math"/>
                <w:sz w:val="16"/>
                <w:szCs w:val="16"/>
              </w:rPr>
            </w:pPr>
            <w:r w:rsidRPr="00601402">
              <w:rPr>
                <w:rStyle w:val="quality-sign"/>
                <w:rFonts w:ascii="Cambria Math" w:hAnsi="Cambria Math" w:cs="Cambria Math"/>
                <w:sz w:val="16"/>
                <w:szCs w:val="16"/>
              </w:rPr>
              <w:t>⨁⨁⨁</w:t>
            </w:r>
            <w:r w:rsidRPr="00601402">
              <w:rPr>
                <w:rStyle w:val="quality-sign"/>
                <w:rFonts w:ascii="Segoe UI Symbol" w:eastAsia="MS Mincho" w:hAnsi="Segoe UI Symbol" w:cs="Segoe UI Symbol"/>
                <w:sz w:val="16"/>
                <w:szCs w:val="16"/>
              </w:rPr>
              <w:t>◯</w:t>
            </w:r>
            <w:r w:rsidRPr="00601402">
              <w:rPr>
                <w:rFonts w:ascii="Arial" w:hAnsi="Arial" w:cs="Arial"/>
                <w:sz w:val="16"/>
                <w:szCs w:val="16"/>
              </w:rPr>
              <w:br/>
            </w:r>
            <w:r w:rsidRPr="00601402">
              <w:rPr>
                <w:rStyle w:val="quality-text"/>
                <w:rFonts w:ascii="Arial" w:hAnsi="Arial" w:cs="Arial"/>
                <w:sz w:val="16"/>
                <w:szCs w:val="16"/>
              </w:rPr>
              <w:t>MODERATE</w:t>
            </w:r>
            <w:r w:rsidRPr="00601402">
              <w:rPr>
                <w:rFonts w:ascii="Arial" w:hAnsi="Arial" w:cs="Arial"/>
                <w:sz w:val="16"/>
                <w:szCs w:val="16"/>
              </w:rPr>
              <w:t xml:space="preserve"> </w:t>
            </w:r>
            <w:proofErr w:type="gramStart"/>
            <w:r w:rsidRPr="00601402">
              <w:rPr>
                <w:rFonts w:ascii="Arial" w:hAnsi="Arial" w:cs="Arial"/>
                <w:sz w:val="16"/>
                <w:szCs w:val="16"/>
                <w:vertAlign w:val="superscript"/>
              </w:rPr>
              <w:t>3</w:t>
            </w:r>
            <w:r w:rsidRPr="00601402">
              <w:rPr>
                <w:rStyle w:val="comma"/>
                <w:rFonts w:ascii="Arial" w:hAnsi="Arial" w:cs="Arial"/>
                <w:sz w:val="16"/>
                <w:szCs w:val="16"/>
                <w:vertAlign w:val="superscript"/>
              </w:rPr>
              <w:t>,</w:t>
            </w:r>
            <w:r w:rsidRPr="00601402">
              <w:rPr>
                <w:rFonts w:ascii="Arial" w:hAnsi="Arial" w:cs="Arial"/>
                <w:sz w:val="16"/>
                <w:szCs w:val="16"/>
                <w:vertAlign w:val="superscript"/>
              </w:rPr>
              <w:t>b</w:t>
            </w:r>
            <w:proofErr w:type="gramEnd"/>
            <w:r w:rsidRPr="00601402">
              <w:rPr>
                <w:rStyle w:val="comma"/>
                <w:rFonts w:ascii="Arial" w:hAnsi="Arial" w:cs="Arial"/>
                <w:sz w:val="16"/>
                <w:szCs w:val="16"/>
                <w:vertAlign w:val="superscript"/>
              </w:rPr>
              <w:t>,</w:t>
            </w:r>
            <w:r w:rsidRPr="00601402">
              <w:rPr>
                <w:rFonts w:ascii="Arial" w:hAnsi="Arial" w:cs="Arial"/>
                <w:sz w:val="16"/>
                <w:szCs w:val="16"/>
                <w:vertAlign w:val="superscript"/>
              </w:rPr>
              <w:t>l</w:t>
            </w:r>
          </w:p>
        </w:tc>
        <w:tc>
          <w:tcPr>
            <w:tcW w:w="656" w:type="pct"/>
            <w:tcBorders>
              <w:top w:val="single" w:sz="6" w:space="0" w:color="000000"/>
              <w:left w:val="nil"/>
              <w:bottom w:val="single" w:sz="6" w:space="0" w:color="000000"/>
              <w:right w:val="nil"/>
            </w:tcBorders>
            <w:vAlign w:val="center"/>
          </w:tcPr>
          <w:p w14:paraId="7544D0C9" w14:textId="346C85B5" w:rsidR="006B3C10" w:rsidRPr="00601402" w:rsidRDefault="00256864" w:rsidP="00596BE0">
            <w:pPr>
              <w:rPr>
                <w:rStyle w:val="cell"/>
                <w:rFonts w:ascii="Arial" w:hAnsi="Arial" w:cs="Arial"/>
                <w:sz w:val="16"/>
                <w:szCs w:val="16"/>
              </w:rPr>
            </w:pPr>
            <w:r>
              <w:rPr>
                <w:rStyle w:val="block"/>
                <w:rFonts w:ascii="Arial" w:hAnsi="Arial" w:cs="Arial"/>
                <w:b/>
                <w:bCs/>
                <w:sz w:val="16"/>
                <w:szCs w:val="16"/>
              </w:rPr>
              <w:t>Risk</w:t>
            </w:r>
            <w:r w:rsidR="006B3C10" w:rsidRPr="00601402">
              <w:rPr>
                <w:rStyle w:val="block"/>
                <w:rFonts w:ascii="Arial" w:hAnsi="Arial" w:cs="Arial"/>
                <w:b/>
                <w:bCs/>
                <w:sz w:val="16"/>
                <w:szCs w:val="16"/>
              </w:rPr>
              <w:t xml:space="preserve"> ratio 1.41</w:t>
            </w:r>
            <w:r w:rsidR="006B3C10" w:rsidRPr="00601402">
              <w:rPr>
                <w:rFonts w:ascii="Arial" w:hAnsi="Arial" w:cs="Arial"/>
                <w:sz w:val="16"/>
                <w:szCs w:val="16"/>
              </w:rPr>
              <w:br/>
            </w:r>
            <w:r w:rsidR="006B3C10" w:rsidRPr="00601402">
              <w:rPr>
                <w:rStyle w:val="cell"/>
                <w:rFonts w:ascii="Arial" w:hAnsi="Arial" w:cs="Arial"/>
                <w:sz w:val="16"/>
                <w:szCs w:val="16"/>
              </w:rPr>
              <w:t>(0.87 to 2.27)</w:t>
            </w:r>
            <w:r w:rsidR="006B3C10" w:rsidRPr="00601402">
              <w:rPr>
                <w:rFonts w:ascii="Arial" w:hAnsi="Arial" w:cs="Arial"/>
                <w:sz w:val="16"/>
                <w:szCs w:val="16"/>
              </w:rPr>
              <w:t xml:space="preserve"> </w:t>
            </w:r>
          </w:p>
        </w:tc>
        <w:tc>
          <w:tcPr>
            <w:tcW w:w="938" w:type="pct"/>
            <w:gridSpan w:val="2"/>
            <w:tcBorders>
              <w:top w:val="single" w:sz="6" w:space="0" w:color="000000"/>
              <w:left w:val="nil"/>
              <w:bottom w:val="single" w:sz="6" w:space="0" w:color="000000"/>
              <w:right w:val="nil"/>
            </w:tcBorders>
            <w:shd w:val="clear" w:color="auto" w:fill="EDEDED"/>
            <w:vAlign w:val="center"/>
          </w:tcPr>
          <w:p w14:paraId="6C0AA0FC" w14:textId="77777777" w:rsidR="006B3C10" w:rsidRPr="00601402" w:rsidRDefault="006B3C10" w:rsidP="00596BE0">
            <w:pPr>
              <w:rPr>
                <w:rFonts w:ascii="Arial" w:hAnsi="Arial" w:cs="Arial"/>
                <w:sz w:val="16"/>
                <w:szCs w:val="16"/>
              </w:rPr>
            </w:pPr>
            <w:r w:rsidRPr="00601402">
              <w:rPr>
                <w:rFonts w:ascii="Arial" w:hAnsi="Arial" w:cs="Arial"/>
                <w:sz w:val="16"/>
                <w:szCs w:val="16"/>
              </w:rPr>
              <w:t xml:space="preserve">105 per 1.000 </w:t>
            </w:r>
          </w:p>
        </w:tc>
        <w:tc>
          <w:tcPr>
            <w:tcW w:w="839" w:type="pct"/>
            <w:tcBorders>
              <w:top w:val="single" w:sz="6" w:space="0" w:color="000000"/>
              <w:left w:val="nil"/>
              <w:bottom w:val="single" w:sz="6" w:space="0" w:color="000000"/>
              <w:right w:val="nil"/>
            </w:tcBorders>
            <w:shd w:val="clear" w:color="auto" w:fill="EDEDED"/>
            <w:vAlign w:val="center"/>
          </w:tcPr>
          <w:p w14:paraId="6ECEC806" w14:textId="77777777" w:rsidR="006B3C10" w:rsidRPr="00601402" w:rsidRDefault="006B3C10" w:rsidP="00596BE0">
            <w:pPr>
              <w:rPr>
                <w:rStyle w:val="cell-value"/>
                <w:rFonts w:ascii="Arial" w:hAnsi="Arial" w:cs="Arial"/>
                <w:sz w:val="16"/>
                <w:szCs w:val="16"/>
              </w:rPr>
            </w:pPr>
            <w:r w:rsidRPr="00601402">
              <w:rPr>
                <w:rStyle w:val="cell-value"/>
                <w:rFonts w:ascii="Arial" w:hAnsi="Arial" w:cs="Arial"/>
                <w:b/>
                <w:bCs/>
                <w:sz w:val="16"/>
                <w:szCs w:val="16"/>
              </w:rPr>
              <w:t>43 more per 1.000</w:t>
            </w:r>
            <w:r w:rsidRPr="00601402">
              <w:rPr>
                <w:rFonts w:ascii="Arial" w:hAnsi="Arial" w:cs="Arial"/>
                <w:sz w:val="16"/>
                <w:szCs w:val="16"/>
              </w:rPr>
              <w:br/>
            </w:r>
            <w:r w:rsidRPr="00601402">
              <w:rPr>
                <w:rStyle w:val="cell-value"/>
                <w:rFonts w:ascii="Arial" w:hAnsi="Arial" w:cs="Arial"/>
                <w:sz w:val="16"/>
                <w:szCs w:val="16"/>
              </w:rPr>
              <w:t>(14 fewer to 133 more)</w:t>
            </w:r>
            <w:r w:rsidRPr="00601402">
              <w:rPr>
                <w:rFonts w:ascii="Arial" w:hAnsi="Arial" w:cs="Arial"/>
                <w:sz w:val="16"/>
                <w:szCs w:val="16"/>
              </w:rPr>
              <w:t xml:space="preserve"> </w:t>
            </w:r>
          </w:p>
        </w:tc>
      </w:tr>
      <w:tr w:rsidR="006B3C10" w:rsidRPr="00601402" w14:paraId="3FB00296" w14:textId="77777777" w:rsidTr="00596BE0">
        <w:trPr>
          <w:cantSplit/>
          <w:trHeight w:val="876"/>
        </w:trPr>
        <w:tc>
          <w:tcPr>
            <w:tcW w:w="1099" w:type="pct"/>
            <w:tcBorders>
              <w:top w:val="single" w:sz="6" w:space="0" w:color="000000"/>
              <w:left w:val="nil"/>
              <w:bottom w:val="single" w:sz="6" w:space="0" w:color="000000"/>
              <w:right w:val="nil"/>
            </w:tcBorders>
            <w:vAlign w:val="center"/>
          </w:tcPr>
          <w:p w14:paraId="5EE7F306" w14:textId="77777777" w:rsidR="006B3C10" w:rsidRPr="00601402" w:rsidRDefault="006B3C10" w:rsidP="00596BE0">
            <w:pPr>
              <w:rPr>
                <w:rStyle w:val="label"/>
                <w:rFonts w:ascii="Arial" w:hAnsi="Arial" w:cs="Arial"/>
                <w:sz w:val="16"/>
                <w:szCs w:val="16"/>
              </w:rPr>
            </w:pPr>
            <w:r w:rsidRPr="00601402">
              <w:rPr>
                <w:rStyle w:val="label"/>
                <w:rFonts w:ascii="Arial" w:hAnsi="Arial" w:cs="Arial"/>
                <w:b/>
                <w:sz w:val="16"/>
                <w:szCs w:val="16"/>
              </w:rPr>
              <w:t>Any serious adverse event (SAE) unrelated to asthma exacerbation</w:t>
            </w:r>
            <w:r w:rsidRPr="00601402">
              <w:rPr>
                <w:rStyle w:val="label"/>
                <w:rFonts w:ascii="Arial" w:hAnsi="Arial" w:cs="Arial"/>
                <w:sz w:val="16"/>
                <w:szCs w:val="16"/>
              </w:rPr>
              <w:t xml:space="preserve"> </w:t>
            </w:r>
          </w:p>
          <w:p w14:paraId="03630D18" w14:textId="77777777" w:rsidR="006B3C10" w:rsidRPr="00601402" w:rsidRDefault="006B3C10" w:rsidP="00596BE0">
            <w:pPr>
              <w:rPr>
                <w:rStyle w:val="label"/>
                <w:rFonts w:ascii="Arial" w:hAnsi="Arial" w:cs="Arial"/>
                <w:sz w:val="16"/>
                <w:szCs w:val="16"/>
              </w:rPr>
            </w:pPr>
            <w:r w:rsidRPr="00601402">
              <w:rPr>
                <w:rStyle w:val="label"/>
                <w:rFonts w:ascii="Arial" w:hAnsi="Arial" w:cs="Arial"/>
                <w:sz w:val="16"/>
                <w:szCs w:val="16"/>
              </w:rPr>
              <w:t>Assessed with number of events</w:t>
            </w:r>
            <w:r w:rsidRPr="00601402">
              <w:rPr>
                <w:rFonts w:ascii="Arial" w:hAnsi="Arial" w:cs="Arial"/>
                <w:sz w:val="16"/>
                <w:szCs w:val="16"/>
              </w:rPr>
              <w:br/>
            </w:r>
          </w:p>
        </w:tc>
        <w:tc>
          <w:tcPr>
            <w:tcW w:w="858" w:type="pct"/>
            <w:tcBorders>
              <w:top w:val="single" w:sz="6" w:space="0" w:color="000000"/>
              <w:left w:val="nil"/>
              <w:bottom w:val="single" w:sz="6" w:space="0" w:color="000000"/>
              <w:right w:val="nil"/>
            </w:tcBorders>
            <w:vAlign w:val="center"/>
          </w:tcPr>
          <w:p w14:paraId="09F9F204" w14:textId="77777777" w:rsidR="006B3C10" w:rsidRPr="00601402" w:rsidRDefault="006B3C10" w:rsidP="00596BE0">
            <w:pPr>
              <w:rPr>
                <w:rFonts w:ascii="Arial" w:hAnsi="Arial" w:cs="Arial"/>
                <w:sz w:val="16"/>
                <w:szCs w:val="16"/>
                <w:vertAlign w:val="superscript"/>
              </w:rPr>
            </w:pPr>
            <w:r w:rsidRPr="00601402">
              <w:rPr>
                <w:rFonts w:ascii="Arial" w:hAnsi="Arial" w:cs="Arial"/>
                <w:sz w:val="16"/>
                <w:szCs w:val="16"/>
              </w:rPr>
              <w:t>148</w:t>
            </w:r>
            <w:r w:rsidRPr="00601402">
              <w:rPr>
                <w:rFonts w:ascii="Arial" w:hAnsi="Arial" w:cs="Arial"/>
                <w:sz w:val="16"/>
                <w:szCs w:val="16"/>
              </w:rPr>
              <w:br/>
              <w:t xml:space="preserve">(1 RCT) </w:t>
            </w:r>
            <w:r w:rsidRPr="00601402">
              <w:rPr>
                <w:rFonts w:ascii="Arial" w:hAnsi="Arial" w:cs="Arial"/>
                <w:sz w:val="16"/>
                <w:szCs w:val="16"/>
                <w:vertAlign w:val="superscript"/>
              </w:rPr>
              <w:t>41</w:t>
            </w:r>
          </w:p>
          <w:p w14:paraId="54C641F1" w14:textId="77777777" w:rsidR="006B3C10" w:rsidRPr="00601402" w:rsidRDefault="006B3C10" w:rsidP="00596BE0">
            <w:pPr>
              <w:rPr>
                <w:rFonts w:ascii="Arial" w:hAnsi="Arial" w:cs="Arial"/>
                <w:sz w:val="16"/>
                <w:szCs w:val="16"/>
              </w:rPr>
            </w:pPr>
            <w:r w:rsidRPr="00601402">
              <w:rPr>
                <w:rStyle w:val="label"/>
                <w:rFonts w:ascii="Arial" w:hAnsi="Arial" w:cs="Arial"/>
                <w:sz w:val="16"/>
                <w:szCs w:val="16"/>
              </w:rPr>
              <w:t>28 weeks</w:t>
            </w:r>
          </w:p>
        </w:tc>
        <w:tc>
          <w:tcPr>
            <w:tcW w:w="610" w:type="pct"/>
            <w:tcBorders>
              <w:top w:val="single" w:sz="6" w:space="0" w:color="000000"/>
              <w:left w:val="nil"/>
              <w:bottom w:val="single" w:sz="6" w:space="0" w:color="000000"/>
              <w:right w:val="nil"/>
            </w:tcBorders>
            <w:vAlign w:val="center"/>
          </w:tcPr>
          <w:p w14:paraId="54DCA71F" w14:textId="77777777" w:rsidR="006B3C10" w:rsidRPr="00601402" w:rsidRDefault="006B3C10" w:rsidP="00596BE0">
            <w:pPr>
              <w:rPr>
                <w:rStyle w:val="quality-sign"/>
                <w:rFonts w:ascii="Cambria Math" w:hAnsi="Cambria Math" w:cs="Cambria Math"/>
                <w:sz w:val="16"/>
                <w:szCs w:val="16"/>
              </w:rPr>
            </w:pPr>
            <w:r w:rsidRPr="00601402">
              <w:rPr>
                <w:rStyle w:val="quality-sign"/>
                <w:rFonts w:ascii="Cambria Math" w:hAnsi="Cambria Math" w:cs="Cambria Math"/>
                <w:sz w:val="16"/>
                <w:szCs w:val="16"/>
              </w:rPr>
              <w:t>⨁⨁</w:t>
            </w:r>
            <w:r w:rsidRPr="00601402">
              <w:rPr>
                <w:rStyle w:val="quality-sign"/>
                <w:rFonts w:ascii="Segoe UI Symbol" w:eastAsia="MS Mincho" w:hAnsi="Segoe UI Symbol" w:cs="Segoe UI Symbol"/>
                <w:sz w:val="16"/>
                <w:szCs w:val="16"/>
              </w:rPr>
              <w:t>◯◯</w:t>
            </w:r>
            <w:r w:rsidRPr="00601402">
              <w:rPr>
                <w:rFonts w:ascii="Arial" w:hAnsi="Arial" w:cs="Arial"/>
                <w:sz w:val="16"/>
                <w:szCs w:val="16"/>
              </w:rPr>
              <w:br/>
            </w:r>
            <w:r w:rsidRPr="00601402">
              <w:rPr>
                <w:rStyle w:val="quality-text"/>
                <w:rFonts w:ascii="Arial" w:hAnsi="Arial" w:cs="Arial"/>
                <w:sz w:val="16"/>
                <w:szCs w:val="16"/>
              </w:rPr>
              <w:t>LOW</w:t>
            </w:r>
            <w:r w:rsidRPr="00601402">
              <w:rPr>
                <w:rFonts w:ascii="Arial" w:hAnsi="Arial" w:cs="Arial"/>
                <w:sz w:val="16"/>
                <w:szCs w:val="16"/>
              </w:rPr>
              <w:t xml:space="preserve"> </w:t>
            </w:r>
            <w:proofErr w:type="gramStart"/>
            <w:r w:rsidRPr="00601402">
              <w:rPr>
                <w:rFonts w:ascii="Arial" w:hAnsi="Arial" w:cs="Arial"/>
                <w:sz w:val="16"/>
                <w:szCs w:val="16"/>
                <w:vertAlign w:val="superscript"/>
              </w:rPr>
              <w:t>3</w:t>
            </w:r>
            <w:r w:rsidRPr="00601402">
              <w:rPr>
                <w:rStyle w:val="comma"/>
                <w:rFonts w:ascii="Arial" w:hAnsi="Arial" w:cs="Arial"/>
                <w:sz w:val="16"/>
                <w:szCs w:val="16"/>
                <w:vertAlign w:val="superscript"/>
              </w:rPr>
              <w:t>,</w:t>
            </w:r>
            <w:r w:rsidRPr="00601402">
              <w:rPr>
                <w:rFonts w:ascii="Arial" w:hAnsi="Arial" w:cs="Arial"/>
                <w:sz w:val="16"/>
                <w:szCs w:val="16"/>
                <w:vertAlign w:val="superscript"/>
              </w:rPr>
              <w:t>b</w:t>
            </w:r>
            <w:proofErr w:type="gramEnd"/>
            <w:r w:rsidRPr="00601402">
              <w:rPr>
                <w:rStyle w:val="comma"/>
                <w:rFonts w:ascii="Arial" w:hAnsi="Arial" w:cs="Arial"/>
                <w:sz w:val="16"/>
                <w:szCs w:val="16"/>
                <w:vertAlign w:val="superscript"/>
              </w:rPr>
              <w:t>,</w:t>
            </w:r>
            <w:r w:rsidRPr="00601402">
              <w:rPr>
                <w:rFonts w:ascii="Arial" w:hAnsi="Arial" w:cs="Arial"/>
                <w:sz w:val="16"/>
                <w:szCs w:val="16"/>
                <w:vertAlign w:val="superscript"/>
              </w:rPr>
              <w:t>l</w:t>
            </w:r>
          </w:p>
        </w:tc>
        <w:tc>
          <w:tcPr>
            <w:tcW w:w="656" w:type="pct"/>
            <w:tcBorders>
              <w:top w:val="single" w:sz="6" w:space="0" w:color="000000"/>
              <w:left w:val="nil"/>
              <w:bottom w:val="single" w:sz="6" w:space="0" w:color="000000"/>
              <w:right w:val="nil"/>
            </w:tcBorders>
            <w:vAlign w:val="center"/>
          </w:tcPr>
          <w:p w14:paraId="300431AB" w14:textId="78228B5E" w:rsidR="006B3C10" w:rsidRPr="00601402" w:rsidRDefault="00256864" w:rsidP="00596BE0">
            <w:pPr>
              <w:rPr>
                <w:rStyle w:val="cell"/>
                <w:rFonts w:ascii="Arial" w:hAnsi="Arial" w:cs="Arial"/>
                <w:sz w:val="16"/>
                <w:szCs w:val="16"/>
              </w:rPr>
            </w:pPr>
            <w:r>
              <w:rPr>
                <w:rStyle w:val="block"/>
                <w:rFonts w:ascii="Arial" w:hAnsi="Arial" w:cs="Arial"/>
                <w:b/>
                <w:bCs/>
                <w:sz w:val="16"/>
                <w:szCs w:val="16"/>
              </w:rPr>
              <w:t>Risk</w:t>
            </w:r>
            <w:r w:rsidR="006B3C10" w:rsidRPr="00601402">
              <w:rPr>
                <w:rStyle w:val="block"/>
                <w:rFonts w:ascii="Arial" w:hAnsi="Arial" w:cs="Arial"/>
                <w:b/>
                <w:bCs/>
                <w:sz w:val="16"/>
                <w:szCs w:val="16"/>
              </w:rPr>
              <w:t xml:space="preserve"> ratio 0.56</w:t>
            </w:r>
            <w:r w:rsidR="006B3C10" w:rsidRPr="00601402">
              <w:rPr>
                <w:rFonts w:ascii="Arial" w:hAnsi="Arial" w:cs="Arial"/>
                <w:sz w:val="16"/>
                <w:szCs w:val="16"/>
              </w:rPr>
              <w:br/>
            </w:r>
            <w:r w:rsidR="006B3C10" w:rsidRPr="00601402">
              <w:rPr>
                <w:rStyle w:val="cell"/>
                <w:rFonts w:ascii="Arial" w:hAnsi="Arial" w:cs="Arial"/>
                <w:sz w:val="16"/>
                <w:szCs w:val="16"/>
              </w:rPr>
              <w:t>(0.22 to 1.44)</w:t>
            </w:r>
            <w:r w:rsidR="006B3C10" w:rsidRPr="00601402">
              <w:rPr>
                <w:rFonts w:ascii="Arial" w:hAnsi="Arial" w:cs="Arial"/>
                <w:sz w:val="16"/>
                <w:szCs w:val="16"/>
              </w:rPr>
              <w:t xml:space="preserve"> </w:t>
            </w:r>
          </w:p>
        </w:tc>
        <w:tc>
          <w:tcPr>
            <w:tcW w:w="938" w:type="pct"/>
            <w:gridSpan w:val="2"/>
            <w:tcBorders>
              <w:top w:val="single" w:sz="6" w:space="0" w:color="000000"/>
              <w:left w:val="nil"/>
              <w:bottom w:val="single" w:sz="6" w:space="0" w:color="000000"/>
              <w:right w:val="nil"/>
            </w:tcBorders>
            <w:shd w:val="clear" w:color="auto" w:fill="EDEDED"/>
            <w:vAlign w:val="center"/>
          </w:tcPr>
          <w:p w14:paraId="2BF24C0F" w14:textId="77777777" w:rsidR="006B3C10" w:rsidRPr="00601402" w:rsidRDefault="006B3C10" w:rsidP="00596BE0">
            <w:pPr>
              <w:rPr>
                <w:rFonts w:ascii="Arial" w:hAnsi="Arial" w:cs="Arial"/>
                <w:sz w:val="16"/>
                <w:szCs w:val="16"/>
              </w:rPr>
            </w:pPr>
            <w:r w:rsidRPr="00601402">
              <w:rPr>
                <w:rFonts w:ascii="Arial" w:hAnsi="Arial" w:cs="Arial"/>
                <w:sz w:val="16"/>
                <w:szCs w:val="16"/>
              </w:rPr>
              <w:t xml:space="preserve">147 per 1.000 </w:t>
            </w:r>
          </w:p>
        </w:tc>
        <w:tc>
          <w:tcPr>
            <w:tcW w:w="839" w:type="pct"/>
            <w:tcBorders>
              <w:top w:val="single" w:sz="6" w:space="0" w:color="000000"/>
              <w:left w:val="nil"/>
              <w:bottom w:val="single" w:sz="6" w:space="0" w:color="000000"/>
              <w:right w:val="nil"/>
            </w:tcBorders>
            <w:shd w:val="clear" w:color="auto" w:fill="EDEDED"/>
            <w:vAlign w:val="center"/>
          </w:tcPr>
          <w:p w14:paraId="095C9440" w14:textId="77777777" w:rsidR="006B3C10" w:rsidRPr="00601402" w:rsidRDefault="006B3C10" w:rsidP="00596BE0">
            <w:pPr>
              <w:rPr>
                <w:rStyle w:val="cell-value"/>
                <w:rFonts w:ascii="Arial" w:hAnsi="Arial" w:cs="Arial"/>
                <w:sz w:val="16"/>
                <w:szCs w:val="16"/>
              </w:rPr>
            </w:pPr>
            <w:r w:rsidRPr="00601402">
              <w:rPr>
                <w:rStyle w:val="cell-value"/>
                <w:rFonts w:ascii="Arial" w:hAnsi="Arial" w:cs="Arial"/>
                <w:b/>
                <w:bCs/>
                <w:sz w:val="16"/>
                <w:szCs w:val="16"/>
              </w:rPr>
              <w:t>65 fewer per 1.000</w:t>
            </w:r>
            <w:r w:rsidRPr="00601402">
              <w:rPr>
                <w:rFonts w:ascii="Arial" w:hAnsi="Arial" w:cs="Arial"/>
                <w:sz w:val="16"/>
                <w:szCs w:val="16"/>
              </w:rPr>
              <w:br/>
            </w:r>
            <w:r w:rsidRPr="00601402">
              <w:rPr>
                <w:rStyle w:val="cell-value"/>
                <w:rFonts w:ascii="Arial" w:hAnsi="Arial" w:cs="Arial"/>
                <w:sz w:val="16"/>
                <w:szCs w:val="16"/>
              </w:rPr>
              <w:t>(114 fewer to 65 more)</w:t>
            </w:r>
            <w:r w:rsidRPr="00601402">
              <w:rPr>
                <w:rFonts w:ascii="Arial" w:hAnsi="Arial" w:cs="Arial"/>
                <w:sz w:val="16"/>
                <w:szCs w:val="16"/>
              </w:rPr>
              <w:t xml:space="preserve"> </w:t>
            </w:r>
          </w:p>
        </w:tc>
      </w:tr>
      <w:tr w:rsidR="006B3C10" w:rsidRPr="00601402" w14:paraId="36405039" w14:textId="77777777" w:rsidTr="00596BE0">
        <w:trPr>
          <w:cantSplit/>
        </w:trPr>
        <w:tc>
          <w:tcPr>
            <w:tcW w:w="1099" w:type="pct"/>
            <w:tcBorders>
              <w:top w:val="single" w:sz="6" w:space="0" w:color="000000"/>
              <w:left w:val="nil"/>
              <w:bottom w:val="single" w:sz="6" w:space="0" w:color="000000"/>
              <w:right w:val="nil"/>
            </w:tcBorders>
            <w:vAlign w:val="center"/>
          </w:tcPr>
          <w:p w14:paraId="5E601C31" w14:textId="77777777" w:rsidR="006B3C10" w:rsidRPr="00601402" w:rsidRDefault="006B3C10" w:rsidP="00596BE0">
            <w:pPr>
              <w:rPr>
                <w:rStyle w:val="label"/>
                <w:rFonts w:ascii="Arial" w:hAnsi="Arial" w:cs="Arial"/>
                <w:b/>
                <w:sz w:val="16"/>
                <w:szCs w:val="16"/>
              </w:rPr>
            </w:pPr>
            <w:r w:rsidRPr="00601402">
              <w:rPr>
                <w:rStyle w:val="label"/>
                <w:rFonts w:ascii="Arial" w:hAnsi="Arial" w:cs="Arial"/>
                <w:b/>
                <w:sz w:val="16"/>
                <w:szCs w:val="16"/>
              </w:rPr>
              <w:t xml:space="preserve">Decrease in OCS use </w:t>
            </w:r>
          </w:p>
          <w:p w14:paraId="28266CA1" w14:textId="77777777" w:rsidR="006B3C10" w:rsidRPr="00601402" w:rsidRDefault="006B3C10" w:rsidP="00596BE0">
            <w:pPr>
              <w:rPr>
                <w:rStyle w:val="label"/>
                <w:rFonts w:ascii="Arial" w:hAnsi="Arial" w:cs="Arial"/>
                <w:sz w:val="16"/>
                <w:szCs w:val="16"/>
              </w:rPr>
            </w:pPr>
            <w:r w:rsidRPr="00601402">
              <w:rPr>
                <w:rStyle w:val="label"/>
                <w:rFonts w:ascii="Arial" w:hAnsi="Arial" w:cs="Arial"/>
                <w:sz w:val="16"/>
                <w:szCs w:val="16"/>
              </w:rPr>
              <w:t>Assessed with reduction in daily OCS dose of ≥50%</w:t>
            </w:r>
            <w:r w:rsidRPr="00601402">
              <w:rPr>
                <w:rFonts w:ascii="Arial" w:hAnsi="Arial" w:cs="Arial"/>
                <w:sz w:val="16"/>
                <w:szCs w:val="16"/>
              </w:rPr>
              <w:br/>
            </w:r>
          </w:p>
        </w:tc>
        <w:tc>
          <w:tcPr>
            <w:tcW w:w="858" w:type="pct"/>
            <w:tcBorders>
              <w:top w:val="single" w:sz="6" w:space="0" w:color="000000"/>
              <w:left w:val="nil"/>
              <w:bottom w:val="single" w:sz="6" w:space="0" w:color="000000"/>
              <w:right w:val="nil"/>
            </w:tcBorders>
            <w:vAlign w:val="center"/>
          </w:tcPr>
          <w:p w14:paraId="65221462" w14:textId="77777777" w:rsidR="006B3C10" w:rsidRPr="00601402" w:rsidRDefault="006B3C10" w:rsidP="00596BE0">
            <w:pPr>
              <w:rPr>
                <w:rFonts w:ascii="Arial" w:hAnsi="Arial" w:cs="Arial"/>
                <w:sz w:val="16"/>
                <w:szCs w:val="16"/>
                <w:vertAlign w:val="superscript"/>
              </w:rPr>
            </w:pPr>
            <w:r w:rsidRPr="00601402">
              <w:rPr>
                <w:rFonts w:ascii="Arial" w:hAnsi="Arial" w:cs="Arial"/>
                <w:sz w:val="16"/>
                <w:szCs w:val="16"/>
              </w:rPr>
              <w:t>148</w:t>
            </w:r>
            <w:r w:rsidRPr="00601402">
              <w:rPr>
                <w:rFonts w:ascii="Arial" w:hAnsi="Arial" w:cs="Arial"/>
                <w:sz w:val="16"/>
                <w:szCs w:val="16"/>
              </w:rPr>
              <w:br/>
              <w:t xml:space="preserve">(1 RCT) </w:t>
            </w:r>
            <w:r w:rsidRPr="00601402">
              <w:rPr>
                <w:rFonts w:ascii="Arial" w:hAnsi="Arial" w:cs="Arial"/>
                <w:sz w:val="16"/>
                <w:szCs w:val="16"/>
                <w:vertAlign w:val="superscript"/>
              </w:rPr>
              <w:t>41</w:t>
            </w:r>
          </w:p>
          <w:p w14:paraId="6774E0C5" w14:textId="77777777" w:rsidR="006B3C10" w:rsidRPr="00601402" w:rsidRDefault="006B3C10" w:rsidP="00596BE0">
            <w:pPr>
              <w:rPr>
                <w:rFonts w:ascii="Arial" w:hAnsi="Arial" w:cs="Arial"/>
                <w:sz w:val="16"/>
                <w:szCs w:val="16"/>
              </w:rPr>
            </w:pPr>
            <w:r w:rsidRPr="00601402">
              <w:rPr>
                <w:rStyle w:val="label"/>
                <w:rFonts w:ascii="Arial" w:hAnsi="Arial" w:cs="Arial"/>
                <w:sz w:val="16"/>
                <w:szCs w:val="16"/>
              </w:rPr>
              <w:t>28 weeks</w:t>
            </w:r>
          </w:p>
        </w:tc>
        <w:tc>
          <w:tcPr>
            <w:tcW w:w="610" w:type="pct"/>
            <w:tcBorders>
              <w:top w:val="single" w:sz="6" w:space="0" w:color="000000"/>
              <w:left w:val="nil"/>
              <w:bottom w:val="single" w:sz="6" w:space="0" w:color="000000"/>
              <w:right w:val="nil"/>
            </w:tcBorders>
            <w:vAlign w:val="center"/>
          </w:tcPr>
          <w:p w14:paraId="09DFD85C" w14:textId="77777777" w:rsidR="006B3C10" w:rsidRPr="00601402" w:rsidRDefault="006B3C10" w:rsidP="00596BE0">
            <w:pPr>
              <w:rPr>
                <w:rStyle w:val="quality-sign"/>
                <w:rFonts w:ascii="Cambria Math" w:hAnsi="Cambria Math" w:cs="Cambria Math"/>
                <w:sz w:val="16"/>
                <w:szCs w:val="16"/>
              </w:rPr>
            </w:pPr>
            <w:r w:rsidRPr="00601402">
              <w:rPr>
                <w:rStyle w:val="quality-sign"/>
                <w:rFonts w:ascii="Cambria Math" w:hAnsi="Cambria Math" w:cs="Cambria Math"/>
                <w:sz w:val="16"/>
                <w:szCs w:val="16"/>
              </w:rPr>
              <w:t>⨁⨁⨁⨁</w:t>
            </w:r>
            <w:r w:rsidRPr="00601402">
              <w:rPr>
                <w:rFonts w:ascii="Arial" w:hAnsi="Arial" w:cs="Arial"/>
                <w:sz w:val="16"/>
                <w:szCs w:val="16"/>
              </w:rPr>
              <w:br/>
            </w:r>
            <w:r w:rsidRPr="00601402">
              <w:rPr>
                <w:rStyle w:val="quality-text"/>
                <w:rFonts w:ascii="Arial" w:hAnsi="Arial" w:cs="Arial"/>
                <w:sz w:val="16"/>
                <w:szCs w:val="16"/>
              </w:rPr>
              <w:t>HIGH</w:t>
            </w:r>
            <w:r w:rsidRPr="00601402">
              <w:rPr>
                <w:rFonts w:ascii="Arial" w:hAnsi="Arial" w:cs="Arial"/>
                <w:sz w:val="16"/>
                <w:szCs w:val="16"/>
              </w:rPr>
              <w:t xml:space="preserve"> </w:t>
            </w:r>
            <w:proofErr w:type="gramStart"/>
            <w:r w:rsidRPr="00601402">
              <w:rPr>
                <w:rFonts w:ascii="Arial" w:hAnsi="Arial" w:cs="Arial"/>
                <w:sz w:val="16"/>
                <w:szCs w:val="16"/>
                <w:vertAlign w:val="superscript"/>
              </w:rPr>
              <w:t>3</w:t>
            </w:r>
            <w:r w:rsidRPr="00601402">
              <w:rPr>
                <w:rStyle w:val="comma"/>
                <w:rFonts w:ascii="Arial" w:hAnsi="Arial" w:cs="Arial"/>
                <w:sz w:val="16"/>
                <w:szCs w:val="16"/>
                <w:vertAlign w:val="superscript"/>
              </w:rPr>
              <w:t>,</w:t>
            </w:r>
            <w:r w:rsidRPr="00601402">
              <w:rPr>
                <w:rFonts w:ascii="Arial" w:hAnsi="Arial" w:cs="Arial"/>
                <w:sz w:val="16"/>
                <w:szCs w:val="16"/>
                <w:vertAlign w:val="superscript"/>
              </w:rPr>
              <w:t>b</w:t>
            </w:r>
            <w:proofErr w:type="gramEnd"/>
          </w:p>
        </w:tc>
        <w:tc>
          <w:tcPr>
            <w:tcW w:w="656" w:type="pct"/>
            <w:tcBorders>
              <w:top w:val="single" w:sz="6" w:space="0" w:color="000000"/>
              <w:left w:val="nil"/>
              <w:bottom w:val="single" w:sz="6" w:space="0" w:color="000000"/>
              <w:right w:val="nil"/>
            </w:tcBorders>
            <w:vAlign w:val="center"/>
          </w:tcPr>
          <w:p w14:paraId="6B7BFF63" w14:textId="42B0ECDC" w:rsidR="006B3C10" w:rsidRPr="00601402" w:rsidRDefault="00256864" w:rsidP="00596BE0">
            <w:pPr>
              <w:rPr>
                <w:rStyle w:val="cell"/>
                <w:rFonts w:ascii="Arial" w:hAnsi="Arial" w:cs="Arial"/>
                <w:sz w:val="16"/>
                <w:szCs w:val="16"/>
              </w:rPr>
            </w:pPr>
            <w:r>
              <w:rPr>
                <w:rStyle w:val="block"/>
                <w:rFonts w:ascii="Arial" w:hAnsi="Arial" w:cs="Arial"/>
                <w:b/>
                <w:bCs/>
                <w:sz w:val="16"/>
                <w:szCs w:val="16"/>
              </w:rPr>
              <w:t>Risk</w:t>
            </w:r>
            <w:r w:rsidR="006B3C10" w:rsidRPr="00601402">
              <w:rPr>
                <w:rStyle w:val="block"/>
                <w:rFonts w:ascii="Arial" w:hAnsi="Arial" w:cs="Arial"/>
                <w:b/>
                <w:bCs/>
                <w:sz w:val="16"/>
                <w:szCs w:val="16"/>
              </w:rPr>
              <w:t xml:space="preserve"> ratio 1.76</w:t>
            </w:r>
            <w:r w:rsidR="006B3C10" w:rsidRPr="00601402">
              <w:rPr>
                <w:rFonts w:ascii="Arial" w:hAnsi="Arial" w:cs="Arial"/>
                <w:sz w:val="16"/>
                <w:szCs w:val="16"/>
              </w:rPr>
              <w:br/>
            </w:r>
            <w:r w:rsidR="006B3C10" w:rsidRPr="00601402">
              <w:rPr>
                <w:rStyle w:val="cell"/>
                <w:rFonts w:ascii="Arial" w:hAnsi="Arial" w:cs="Arial"/>
                <w:sz w:val="16"/>
                <w:szCs w:val="16"/>
              </w:rPr>
              <w:t>(1.26 to 2.47)</w:t>
            </w:r>
            <w:r w:rsidR="006B3C10" w:rsidRPr="00601402">
              <w:rPr>
                <w:rFonts w:ascii="Arial" w:hAnsi="Arial" w:cs="Arial"/>
                <w:sz w:val="16"/>
                <w:szCs w:val="16"/>
              </w:rPr>
              <w:t xml:space="preserve"> </w:t>
            </w:r>
          </w:p>
        </w:tc>
        <w:tc>
          <w:tcPr>
            <w:tcW w:w="938" w:type="pct"/>
            <w:gridSpan w:val="2"/>
            <w:tcBorders>
              <w:top w:val="single" w:sz="6" w:space="0" w:color="000000"/>
              <w:left w:val="nil"/>
              <w:bottom w:val="single" w:sz="6" w:space="0" w:color="000000"/>
              <w:right w:val="nil"/>
            </w:tcBorders>
            <w:shd w:val="clear" w:color="auto" w:fill="EDEDED"/>
            <w:vAlign w:val="center"/>
          </w:tcPr>
          <w:p w14:paraId="0F015B20" w14:textId="77777777" w:rsidR="006B3C10" w:rsidRPr="00601402" w:rsidRDefault="006B3C10" w:rsidP="00596BE0">
            <w:pPr>
              <w:rPr>
                <w:rFonts w:ascii="Arial" w:hAnsi="Arial" w:cs="Arial"/>
                <w:sz w:val="16"/>
                <w:szCs w:val="16"/>
              </w:rPr>
            </w:pPr>
            <w:r w:rsidRPr="00601402">
              <w:rPr>
                <w:rFonts w:ascii="Arial" w:hAnsi="Arial" w:cs="Arial"/>
                <w:sz w:val="16"/>
                <w:szCs w:val="16"/>
              </w:rPr>
              <w:t xml:space="preserve">373 per 1.000 </w:t>
            </w:r>
          </w:p>
        </w:tc>
        <w:tc>
          <w:tcPr>
            <w:tcW w:w="839" w:type="pct"/>
            <w:tcBorders>
              <w:top w:val="single" w:sz="6" w:space="0" w:color="000000"/>
              <w:left w:val="nil"/>
              <w:bottom w:val="single" w:sz="6" w:space="0" w:color="000000"/>
              <w:right w:val="nil"/>
            </w:tcBorders>
            <w:shd w:val="clear" w:color="auto" w:fill="EDEDED"/>
            <w:vAlign w:val="center"/>
          </w:tcPr>
          <w:p w14:paraId="42118C4D" w14:textId="77777777" w:rsidR="006B3C10" w:rsidRPr="00601402" w:rsidRDefault="006B3C10" w:rsidP="00596BE0">
            <w:pPr>
              <w:rPr>
                <w:rStyle w:val="cell-value"/>
                <w:rFonts w:ascii="Arial" w:hAnsi="Arial" w:cs="Arial"/>
                <w:sz w:val="16"/>
                <w:szCs w:val="16"/>
              </w:rPr>
            </w:pPr>
            <w:r w:rsidRPr="00601402">
              <w:rPr>
                <w:rStyle w:val="cell-value"/>
                <w:rFonts w:ascii="Arial" w:hAnsi="Arial" w:cs="Arial"/>
                <w:b/>
                <w:bCs/>
                <w:sz w:val="16"/>
                <w:szCs w:val="16"/>
              </w:rPr>
              <w:t>284 more per 1.000</w:t>
            </w:r>
            <w:r w:rsidRPr="00601402">
              <w:rPr>
                <w:rFonts w:ascii="Arial" w:hAnsi="Arial" w:cs="Arial"/>
                <w:sz w:val="16"/>
                <w:szCs w:val="16"/>
              </w:rPr>
              <w:br/>
            </w:r>
            <w:r w:rsidRPr="00601402">
              <w:rPr>
                <w:rStyle w:val="cell-value"/>
                <w:rFonts w:ascii="Arial" w:hAnsi="Arial" w:cs="Arial"/>
                <w:sz w:val="16"/>
                <w:szCs w:val="16"/>
              </w:rPr>
              <w:t>(97 more to 549 more)</w:t>
            </w:r>
            <w:r w:rsidRPr="00601402">
              <w:rPr>
                <w:rFonts w:ascii="Arial" w:hAnsi="Arial" w:cs="Arial"/>
                <w:sz w:val="16"/>
                <w:szCs w:val="16"/>
              </w:rPr>
              <w:t xml:space="preserve"> </w:t>
            </w:r>
          </w:p>
        </w:tc>
      </w:tr>
      <w:tr w:rsidR="006B3C10" w:rsidRPr="00601402" w14:paraId="7912FBF5" w14:textId="77777777" w:rsidTr="00596BE0">
        <w:trPr>
          <w:cantSplit/>
        </w:trPr>
        <w:tc>
          <w:tcPr>
            <w:tcW w:w="1099" w:type="pct"/>
            <w:tcBorders>
              <w:top w:val="single" w:sz="6" w:space="0" w:color="000000"/>
              <w:left w:val="nil"/>
              <w:bottom w:val="single" w:sz="6" w:space="0" w:color="000000"/>
              <w:right w:val="nil"/>
            </w:tcBorders>
            <w:vAlign w:val="center"/>
          </w:tcPr>
          <w:p w14:paraId="5C5263E9" w14:textId="77777777" w:rsidR="006B3C10" w:rsidRPr="00601402" w:rsidRDefault="006B3C10" w:rsidP="00596BE0">
            <w:pPr>
              <w:rPr>
                <w:rFonts w:ascii="Arial" w:hAnsi="Arial" w:cs="Arial"/>
                <w:sz w:val="16"/>
                <w:szCs w:val="16"/>
              </w:rPr>
            </w:pPr>
            <w:r w:rsidRPr="00601402">
              <w:rPr>
                <w:rStyle w:val="label"/>
                <w:rFonts w:ascii="Arial" w:hAnsi="Arial" w:cs="Arial"/>
                <w:b/>
                <w:sz w:val="16"/>
                <w:szCs w:val="16"/>
              </w:rPr>
              <w:t>Lung function</w:t>
            </w:r>
            <w:r w:rsidRPr="00601402">
              <w:rPr>
                <w:rStyle w:val="label"/>
                <w:rFonts w:ascii="Arial" w:hAnsi="Arial" w:cs="Arial"/>
                <w:sz w:val="16"/>
                <w:szCs w:val="16"/>
              </w:rPr>
              <w:t xml:space="preserve">  </w:t>
            </w:r>
            <w:r w:rsidRPr="00601402">
              <w:rPr>
                <w:rFonts w:ascii="Arial" w:hAnsi="Arial" w:cs="Arial"/>
                <w:sz w:val="16"/>
                <w:szCs w:val="16"/>
              </w:rPr>
              <w:br/>
            </w:r>
            <w:r w:rsidRPr="00601402">
              <w:rPr>
                <w:rStyle w:val="label"/>
                <w:rFonts w:ascii="Arial" w:hAnsi="Arial" w:cs="Arial"/>
                <w:sz w:val="16"/>
                <w:szCs w:val="16"/>
              </w:rPr>
              <w:t>Assessed with pre-bronchodilator FEV1 (mL) between-group-difference at the end of the study</w:t>
            </w:r>
            <w:r w:rsidRPr="00601402">
              <w:rPr>
                <w:rFonts w:ascii="Arial" w:hAnsi="Arial" w:cs="Arial"/>
                <w:sz w:val="16"/>
                <w:szCs w:val="16"/>
              </w:rPr>
              <w:br/>
            </w:r>
          </w:p>
        </w:tc>
        <w:tc>
          <w:tcPr>
            <w:tcW w:w="858" w:type="pct"/>
            <w:tcBorders>
              <w:top w:val="single" w:sz="6" w:space="0" w:color="000000"/>
              <w:left w:val="nil"/>
              <w:bottom w:val="single" w:sz="6" w:space="0" w:color="000000"/>
              <w:right w:val="nil"/>
            </w:tcBorders>
            <w:vAlign w:val="center"/>
          </w:tcPr>
          <w:p w14:paraId="5FCFCD3D" w14:textId="77777777" w:rsidR="006B3C10" w:rsidRPr="00601402" w:rsidRDefault="006B3C10" w:rsidP="00596BE0">
            <w:pPr>
              <w:rPr>
                <w:rFonts w:ascii="Arial" w:hAnsi="Arial" w:cs="Arial"/>
                <w:sz w:val="16"/>
                <w:szCs w:val="16"/>
                <w:vertAlign w:val="superscript"/>
              </w:rPr>
            </w:pPr>
            <w:r w:rsidRPr="00601402">
              <w:rPr>
                <w:rFonts w:ascii="Arial" w:hAnsi="Arial" w:cs="Arial"/>
                <w:sz w:val="16"/>
                <w:szCs w:val="16"/>
              </w:rPr>
              <w:t>1370</w:t>
            </w:r>
            <w:r w:rsidRPr="00601402">
              <w:rPr>
                <w:rFonts w:ascii="Arial" w:hAnsi="Arial" w:cs="Arial"/>
                <w:sz w:val="16"/>
                <w:szCs w:val="16"/>
              </w:rPr>
              <w:br/>
              <w:t xml:space="preserve">(3 RCTs) </w:t>
            </w:r>
            <w:proofErr w:type="gramStart"/>
            <w:r w:rsidRPr="00601402">
              <w:rPr>
                <w:rFonts w:ascii="Arial" w:hAnsi="Arial" w:cs="Arial"/>
                <w:sz w:val="16"/>
                <w:szCs w:val="16"/>
                <w:vertAlign w:val="superscript"/>
              </w:rPr>
              <w:t>39,40,</w:t>
            </w:r>
            <w:r w:rsidRPr="00601402">
              <w:rPr>
                <w:rStyle w:val="comma"/>
                <w:rFonts w:ascii="Arial" w:hAnsi="Arial" w:cs="Arial"/>
                <w:sz w:val="16"/>
                <w:szCs w:val="16"/>
                <w:vertAlign w:val="superscript"/>
              </w:rPr>
              <w:t>,</w:t>
            </w:r>
            <w:proofErr w:type="gramEnd"/>
            <w:r w:rsidRPr="00601402">
              <w:rPr>
                <w:rStyle w:val="comma"/>
                <w:rFonts w:ascii="Arial" w:hAnsi="Arial" w:cs="Arial"/>
                <w:sz w:val="16"/>
                <w:szCs w:val="16"/>
                <w:vertAlign w:val="superscript"/>
              </w:rPr>
              <w:t>41</w:t>
            </w:r>
          </w:p>
          <w:p w14:paraId="42019712" w14:textId="77777777" w:rsidR="006B3C10" w:rsidRPr="00601402" w:rsidRDefault="006B3C10" w:rsidP="00596BE0">
            <w:pPr>
              <w:rPr>
                <w:rFonts w:ascii="Arial" w:hAnsi="Arial" w:cs="Arial"/>
                <w:sz w:val="16"/>
                <w:szCs w:val="16"/>
              </w:rPr>
            </w:pPr>
            <w:r w:rsidRPr="00601402">
              <w:rPr>
                <w:rStyle w:val="label"/>
                <w:rFonts w:ascii="Arial" w:hAnsi="Arial" w:cs="Arial"/>
                <w:sz w:val="16"/>
                <w:szCs w:val="16"/>
              </w:rPr>
              <w:t>28 to 56 weeks</w:t>
            </w:r>
          </w:p>
        </w:tc>
        <w:tc>
          <w:tcPr>
            <w:tcW w:w="610" w:type="pct"/>
            <w:tcBorders>
              <w:top w:val="single" w:sz="6" w:space="0" w:color="000000"/>
              <w:left w:val="nil"/>
              <w:bottom w:val="single" w:sz="6" w:space="0" w:color="000000"/>
              <w:right w:val="nil"/>
            </w:tcBorders>
            <w:vAlign w:val="center"/>
          </w:tcPr>
          <w:p w14:paraId="520D5552" w14:textId="77777777" w:rsidR="006B3C10" w:rsidRPr="00601402" w:rsidRDefault="006B3C10" w:rsidP="00596BE0">
            <w:pPr>
              <w:rPr>
                <w:rFonts w:ascii="Arial" w:hAnsi="Arial" w:cs="Arial"/>
                <w:sz w:val="16"/>
                <w:szCs w:val="16"/>
              </w:rPr>
            </w:pPr>
            <w:r w:rsidRPr="00601402">
              <w:rPr>
                <w:rStyle w:val="quality-sign"/>
                <w:rFonts w:ascii="Cambria Math" w:hAnsi="Cambria Math" w:cs="Cambria Math"/>
                <w:sz w:val="16"/>
                <w:szCs w:val="16"/>
              </w:rPr>
              <w:t>⨁⨁⨁</w:t>
            </w:r>
            <w:r w:rsidRPr="00601402">
              <w:rPr>
                <w:rStyle w:val="quality-sign"/>
                <w:rFonts w:ascii="Segoe UI Symbol" w:eastAsia="MS Mincho" w:hAnsi="Segoe UI Symbol" w:cs="Segoe UI Symbol"/>
                <w:sz w:val="16"/>
                <w:szCs w:val="16"/>
              </w:rPr>
              <w:t>◯</w:t>
            </w:r>
            <w:r w:rsidRPr="00601402">
              <w:rPr>
                <w:rFonts w:ascii="Arial" w:hAnsi="Arial" w:cs="Arial"/>
                <w:sz w:val="16"/>
                <w:szCs w:val="16"/>
              </w:rPr>
              <w:br/>
            </w:r>
            <w:r w:rsidRPr="00601402">
              <w:rPr>
                <w:rStyle w:val="quality-text"/>
                <w:rFonts w:ascii="Arial" w:hAnsi="Arial" w:cs="Arial"/>
                <w:sz w:val="16"/>
                <w:szCs w:val="16"/>
              </w:rPr>
              <w:t>MODERATE</w:t>
            </w:r>
            <w:r w:rsidRPr="00601402">
              <w:rPr>
                <w:rFonts w:ascii="Arial" w:hAnsi="Arial" w:cs="Arial"/>
                <w:sz w:val="16"/>
                <w:szCs w:val="16"/>
              </w:rPr>
              <w:t xml:space="preserve"> </w:t>
            </w:r>
            <w:r w:rsidRPr="00601402">
              <w:rPr>
                <w:rFonts w:ascii="Arial" w:hAnsi="Arial" w:cs="Arial"/>
                <w:sz w:val="16"/>
                <w:szCs w:val="16"/>
                <w:vertAlign w:val="superscript"/>
              </w:rPr>
              <w:t>3</w:t>
            </w:r>
            <w:r w:rsidRPr="00601402">
              <w:rPr>
                <w:rStyle w:val="comma"/>
                <w:rFonts w:ascii="Arial" w:hAnsi="Arial" w:cs="Arial"/>
                <w:sz w:val="16"/>
                <w:szCs w:val="16"/>
                <w:vertAlign w:val="superscript"/>
              </w:rPr>
              <w:t>,</w:t>
            </w:r>
            <w:r w:rsidRPr="00601402">
              <w:rPr>
                <w:rFonts w:ascii="Arial" w:hAnsi="Arial" w:cs="Arial"/>
                <w:sz w:val="16"/>
                <w:szCs w:val="16"/>
                <w:vertAlign w:val="superscript"/>
              </w:rPr>
              <w:t>4</w:t>
            </w:r>
            <w:r w:rsidRPr="00601402">
              <w:rPr>
                <w:rStyle w:val="comma"/>
                <w:rFonts w:ascii="Arial" w:hAnsi="Arial" w:cs="Arial"/>
                <w:sz w:val="16"/>
                <w:szCs w:val="16"/>
                <w:vertAlign w:val="superscript"/>
              </w:rPr>
              <w:t>,</w:t>
            </w:r>
            <w:proofErr w:type="gramStart"/>
            <w:r w:rsidRPr="00601402">
              <w:rPr>
                <w:rFonts w:ascii="Arial" w:hAnsi="Arial" w:cs="Arial"/>
                <w:sz w:val="16"/>
                <w:szCs w:val="16"/>
                <w:vertAlign w:val="superscript"/>
              </w:rPr>
              <w:t>5</w:t>
            </w:r>
            <w:r w:rsidRPr="00601402">
              <w:rPr>
                <w:rStyle w:val="comma"/>
                <w:rFonts w:ascii="Arial" w:hAnsi="Arial" w:cs="Arial"/>
                <w:sz w:val="16"/>
                <w:szCs w:val="16"/>
                <w:vertAlign w:val="superscript"/>
              </w:rPr>
              <w:t>,</w:t>
            </w:r>
            <w:r w:rsidRPr="00601402">
              <w:rPr>
                <w:rFonts w:ascii="Arial" w:hAnsi="Arial" w:cs="Arial"/>
                <w:sz w:val="16"/>
                <w:szCs w:val="16"/>
                <w:vertAlign w:val="superscript"/>
              </w:rPr>
              <w:t>b</w:t>
            </w:r>
            <w:proofErr w:type="gramEnd"/>
            <w:r w:rsidRPr="00601402">
              <w:rPr>
                <w:rStyle w:val="comma"/>
                <w:rFonts w:ascii="Arial" w:hAnsi="Arial" w:cs="Arial"/>
                <w:sz w:val="16"/>
                <w:szCs w:val="16"/>
                <w:vertAlign w:val="superscript"/>
              </w:rPr>
              <w:t>,</w:t>
            </w:r>
            <w:r w:rsidRPr="00601402">
              <w:rPr>
                <w:rFonts w:ascii="Arial" w:hAnsi="Arial" w:cs="Arial"/>
                <w:sz w:val="16"/>
                <w:szCs w:val="16"/>
                <w:vertAlign w:val="superscript"/>
              </w:rPr>
              <w:t>h</w:t>
            </w:r>
            <w:r w:rsidRPr="00601402">
              <w:rPr>
                <w:rStyle w:val="comma"/>
                <w:rFonts w:ascii="Arial" w:hAnsi="Arial" w:cs="Arial"/>
                <w:sz w:val="16"/>
                <w:szCs w:val="16"/>
                <w:vertAlign w:val="superscript"/>
              </w:rPr>
              <w:t>,</w:t>
            </w:r>
            <w:r w:rsidRPr="00601402">
              <w:rPr>
                <w:rFonts w:ascii="Arial" w:hAnsi="Arial" w:cs="Arial"/>
                <w:sz w:val="16"/>
                <w:szCs w:val="16"/>
                <w:vertAlign w:val="superscript"/>
              </w:rPr>
              <w:t>i</w:t>
            </w:r>
          </w:p>
        </w:tc>
        <w:tc>
          <w:tcPr>
            <w:tcW w:w="656" w:type="pct"/>
            <w:tcBorders>
              <w:top w:val="single" w:sz="6" w:space="0" w:color="000000"/>
              <w:left w:val="nil"/>
              <w:bottom w:val="single" w:sz="6" w:space="0" w:color="000000"/>
              <w:right w:val="nil"/>
            </w:tcBorders>
            <w:vAlign w:val="center"/>
          </w:tcPr>
          <w:p w14:paraId="648F0513" w14:textId="77777777" w:rsidR="006B3C10" w:rsidRPr="00601402" w:rsidRDefault="006B3C10" w:rsidP="00596BE0">
            <w:pPr>
              <w:rPr>
                <w:rFonts w:ascii="Arial" w:hAnsi="Arial" w:cs="Arial"/>
                <w:sz w:val="16"/>
                <w:szCs w:val="16"/>
              </w:rPr>
            </w:pPr>
            <w:r w:rsidRPr="00601402">
              <w:rPr>
                <w:rStyle w:val="cell"/>
                <w:rFonts w:ascii="Arial" w:hAnsi="Arial" w:cs="Arial"/>
                <w:sz w:val="16"/>
                <w:szCs w:val="16"/>
              </w:rPr>
              <w:t>-</w:t>
            </w:r>
            <w:r w:rsidRPr="00601402">
              <w:rPr>
                <w:rFonts w:ascii="Arial" w:hAnsi="Arial" w:cs="Arial"/>
                <w:sz w:val="16"/>
                <w:szCs w:val="16"/>
              </w:rPr>
              <w:t xml:space="preserve"> </w:t>
            </w:r>
          </w:p>
        </w:tc>
        <w:tc>
          <w:tcPr>
            <w:tcW w:w="938" w:type="pct"/>
            <w:gridSpan w:val="2"/>
            <w:tcBorders>
              <w:top w:val="single" w:sz="6" w:space="0" w:color="000000"/>
              <w:left w:val="nil"/>
              <w:bottom w:val="single" w:sz="6" w:space="0" w:color="000000"/>
              <w:right w:val="nil"/>
            </w:tcBorders>
            <w:shd w:val="clear" w:color="auto" w:fill="EDEDED"/>
            <w:vAlign w:val="center"/>
          </w:tcPr>
          <w:p w14:paraId="5DC2A562" w14:textId="77777777" w:rsidR="006B3C10" w:rsidRPr="00601402" w:rsidRDefault="006B3C10" w:rsidP="00596BE0">
            <w:pPr>
              <w:rPr>
                <w:rFonts w:ascii="Arial" w:hAnsi="Arial" w:cs="Arial"/>
                <w:sz w:val="16"/>
                <w:szCs w:val="16"/>
              </w:rPr>
            </w:pPr>
          </w:p>
        </w:tc>
        <w:tc>
          <w:tcPr>
            <w:tcW w:w="839" w:type="pct"/>
            <w:tcBorders>
              <w:top w:val="single" w:sz="6" w:space="0" w:color="000000"/>
              <w:left w:val="nil"/>
              <w:bottom w:val="single" w:sz="6" w:space="0" w:color="000000"/>
              <w:right w:val="nil"/>
            </w:tcBorders>
            <w:shd w:val="clear" w:color="auto" w:fill="EDEDED"/>
            <w:vAlign w:val="center"/>
          </w:tcPr>
          <w:p w14:paraId="0F4F87A2" w14:textId="2D638A9A" w:rsidR="006B3C10" w:rsidRPr="00601402" w:rsidRDefault="006B3C10" w:rsidP="00596BE0">
            <w:pPr>
              <w:rPr>
                <w:rFonts w:ascii="Arial" w:hAnsi="Arial" w:cs="Arial"/>
                <w:sz w:val="16"/>
                <w:szCs w:val="16"/>
              </w:rPr>
            </w:pPr>
            <w:r w:rsidRPr="00601402">
              <w:rPr>
                <w:rStyle w:val="cell-value"/>
                <w:rFonts w:ascii="Arial" w:hAnsi="Arial" w:cs="Arial"/>
                <w:sz w:val="16"/>
                <w:szCs w:val="16"/>
              </w:rPr>
              <w:t>mean difference +</w:t>
            </w:r>
            <w:r w:rsidRPr="00601402">
              <w:rPr>
                <w:rStyle w:val="cell-value"/>
                <w:rFonts w:ascii="Arial" w:hAnsi="Arial" w:cs="Arial"/>
                <w:b/>
                <w:bCs/>
                <w:sz w:val="16"/>
                <w:szCs w:val="16"/>
              </w:rPr>
              <w:t xml:space="preserve">140 mL </w:t>
            </w:r>
            <w:r w:rsidRPr="00601402">
              <w:rPr>
                <w:rFonts w:ascii="Arial" w:hAnsi="Arial" w:cs="Arial"/>
                <w:sz w:val="16"/>
                <w:szCs w:val="16"/>
              </w:rPr>
              <w:br/>
            </w:r>
            <w:r w:rsidRPr="00601402">
              <w:rPr>
                <w:rStyle w:val="cell-value"/>
                <w:rFonts w:ascii="Arial" w:hAnsi="Arial" w:cs="Arial"/>
                <w:sz w:val="16"/>
                <w:szCs w:val="16"/>
              </w:rPr>
              <w:t>(+90 to +190)</w:t>
            </w:r>
            <w:r w:rsidRPr="00601402">
              <w:rPr>
                <w:rFonts w:ascii="Arial" w:hAnsi="Arial" w:cs="Arial"/>
                <w:sz w:val="16"/>
                <w:szCs w:val="16"/>
              </w:rPr>
              <w:t xml:space="preserve"> </w:t>
            </w:r>
            <w:r w:rsidRPr="00601402">
              <w:rPr>
                <w:rFonts w:ascii="Arial" w:hAnsi="Arial" w:cs="Arial"/>
                <w:sz w:val="16"/>
                <w:szCs w:val="16"/>
                <w:vertAlign w:val="superscript"/>
              </w:rPr>
              <w:t>c</w:t>
            </w:r>
          </w:p>
        </w:tc>
      </w:tr>
      <w:tr w:rsidR="006B3C10" w:rsidRPr="00601402" w14:paraId="3B6C89AE" w14:textId="77777777" w:rsidTr="00596BE0">
        <w:trPr>
          <w:cantSplit/>
        </w:trPr>
        <w:tc>
          <w:tcPr>
            <w:tcW w:w="1099" w:type="pct"/>
            <w:tcBorders>
              <w:top w:val="single" w:sz="6" w:space="0" w:color="000000"/>
              <w:left w:val="nil"/>
              <w:bottom w:val="single" w:sz="6" w:space="0" w:color="000000"/>
              <w:right w:val="nil"/>
            </w:tcBorders>
            <w:vAlign w:val="center"/>
          </w:tcPr>
          <w:p w14:paraId="6858E95A" w14:textId="77777777" w:rsidR="006B3C10" w:rsidRPr="00601402" w:rsidRDefault="006B3C10" w:rsidP="00596BE0">
            <w:pPr>
              <w:rPr>
                <w:rStyle w:val="label"/>
                <w:rFonts w:ascii="Arial" w:hAnsi="Arial" w:cs="Arial"/>
                <w:sz w:val="16"/>
                <w:szCs w:val="16"/>
              </w:rPr>
            </w:pPr>
            <w:r w:rsidRPr="00601402">
              <w:rPr>
                <w:rStyle w:val="label"/>
                <w:rFonts w:ascii="Arial" w:hAnsi="Arial" w:cs="Arial"/>
                <w:b/>
                <w:sz w:val="16"/>
                <w:szCs w:val="16"/>
              </w:rPr>
              <w:t>Rescue medication use</w:t>
            </w:r>
            <w:r w:rsidRPr="00601402">
              <w:rPr>
                <w:rStyle w:val="label"/>
                <w:rFonts w:ascii="Arial" w:hAnsi="Arial" w:cs="Arial"/>
                <w:sz w:val="16"/>
                <w:szCs w:val="16"/>
              </w:rPr>
              <w:t xml:space="preserve"> </w:t>
            </w:r>
          </w:p>
          <w:p w14:paraId="35FD0B92" w14:textId="0D92B07C" w:rsidR="006B3C10" w:rsidRPr="00601402" w:rsidRDefault="00554CE7" w:rsidP="00596BE0">
            <w:pPr>
              <w:rPr>
                <w:rFonts w:ascii="Arial" w:hAnsi="Arial" w:cs="Arial"/>
                <w:sz w:val="16"/>
                <w:szCs w:val="16"/>
              </w:rPr>
            </w:pPr>
            <w:r w:rsidRPr="00601402">
              <w:rPr>
                <w:rFonts w:ascii="Arial" w:hAnsi="Arial" w:cs="Arial"/>
                <w:sz w:val="16"/>
                <w:szCs w:val="16"/>
              </w:rPr>
              <w:t>Assessed</w:t>
            </w:r>
            <w:r w:rsidR="006B3C10" w:rsidRPr="00601402">
              <w:rPr>
                <w:rFonts w:ascii="Arial" w:hAnsi="Arial" w:cs="Arial"/>
                <w:sz w:val="16"/>
                <w:szCs w:val="16"/>
              </w:rPr>
              <w:t xml:space="preserve"> with puffs/day</w:t>
            </w:r>
          </w:p>
        </w:tc>
        <w:tc>
          <w:tcPr>
            <w:tcW w:w="858" w:type="pct"/>
            <w:tcBorders>
              <w:top w:val="single" w:sz="6" w:space="0" w:color="000000"/>
              <w:left w:val="nil"/>
              <w:bottom w:val="single" w:sz="6" w:space="0" w:color="000000"/>
              <w:right w:val="nil"/>
            </w:tcBorders>
            <w:vAlign w:val="center"/>
          </w:tcPr>
          <w:p w14:paraId="47B1ACC4" w14:textId="77777777" w:rsidR="006B3C10" w:rsidRPr="00601402" w:rsidRDefault="006B3C10" w:rsidP="00596BE0">
            <w:pPr>
              <w:rPr>
                <w:rFonts w:ascii="Arial" w:hAnsi="Arial" w:cs="Arial"/>
                <w:sz w:val="16"/>
                <w:szCs w:val="16"/>
              </w:rPr>
            </w:pPr>
            <w:r w:rsidRPr="00601402">
              <w:rPr>
                <w:rFonts w:ascii="Arial" w:hAnsi="Arial" w:cs="Arial"/>
                <w:sz w:val="16"/>
                <w:szCs w:val="16"/>
              </w:rPr>
              <w:t xml:space="preserve"> 0 studies </w:t>
            </w:r>
          </w:p>
        </w:tc>
        <w:tc>
          <w:tcPr>
            <w:tcW w:w="610" w:type="pct"/>
            <w:tcBorders>
              <w:top w:val="single" w:sz="6" w:space="0" w:color="000000"/>
              <w:left w:val="nil"/>
              <w:bottom w:val="single" w:sz="6" w:space="0" w:color="000000"/>
              <w:right w:val="nil"/>
            </w:tcBorders>
            <w:vAlign w:val="center"/>
          </w:tcPr>
          <w:p w14:paraId="063DB50C" w14:textId="77777777" w:rsidR="006B3C10" w:rsidRPr="00601402" w:rsidRDefault="006B3C10" w:rsidP="00596BE0">
            <w:pPr>
              <w:rPr>
                <w:rFonts w:ascii="Arial" w:hAnsi="Arial" w:cs="Arial"/>
                <w:sz w:val="16"/>
                <w:szCs w:val="16"/>
              </w:rPr>
            </w:pPr>
            <w:r w:rsidRPr="00601402">
              <w:rPr>
                <w:rFonts w:ascii="Arial" w:hAnsi="Arial" w:cs="Arial"/>
                <w:sz w:val="16"/>
                <w:szCs w:val="16"/>
              </w:rPr>
              <w:t xml:space="preserve">- </w:t>
            </w:r>
          </w:p>
        </w:tc>
        <w:tc>
          <w:tcPr>
            <w:tcW w:w="656" w:type="pct"/>
            <w:tcBorders>
              <w:top w:val="single" w:sz="6" w:space="0" w:color="000000"/>
              <w:left w:val="nil"/>
              <w:bottom w:val="single" w:sz="6" w:space="0" w:color="000000"/>
              <w:right w:val="nil"/>
            </w:tcBorders>
            <w:vAlign w:val="center"/>
          </w:tcPr>
          <w:p w14:paraId="085738AC" w14:textId="77777777" w:rsidR="006B3C10" w:rsidRPr="00601402" w:rsidRDefault="006B3C10" w:rsidP="00596BE0">
            <w:pPr>
              <w:rPr>
                <w:rFonts w:ascii="Arial" w:hAnsi="Arial" w:cs="Arial"/>
                <w:sz w:val="16"/>
                <w:szCs w:val="16"/>
              </w:rPr>
            </w:pPr>
            <w:r w:rsidRPr="00601402">
              <w:rPr>
                <w:rStyle w:val="cell"/>
                <w:rFonts w:ascii="Arial" w:hAnsi="Arial" w:cs="Arial"/>
                <w:sz w:val="16"/>
                <w:szCs w:val="16"/>
              </w:rPr>
              <w:t>not estimable</w:t>
            </w:r>
            <w:r w:rsidRPr="00601402">
              <w:rPr>
                <w:rFonts w:ascii="Arial" w:hAnsi="Arial" w:cs="Arial"/>
                <w:sz w:val="16"/>
                <w:szCs w:val="16"/>
              </w:rPr>
              <w:t xml:space="preserve"> </w:t>
            </w:r>
          </w:p>
        </w:tc>
        <w:tc>
          <w:tcPr>
            <w:tcW w:w="938" w:type="pct"/>
            <w:gridSpan w:val="2"/>
            <w:tcBorders>
              <w:top w:val="single" w:sz="6" w:space="0" w:color="000000"/>
              <w:left w:val="nil"/>
              <w:bottom w:val="single" w:sz="6" w:space="0" w:color="000000"/>
              <w:right w:val="nil"/>
            </w:tcBorders>
            <w:shd w:val="clear" w:color="auto" w:fill="EDEDED"/>
            <w:vAlign w:val="center"/>
          </w:tcPr>
          <w:p w14:paraId="1525D183" w14:textId="77777777" w:rsidR="006B3C10" w:rsidRPr="00601402" w:rsidRDefault="006B3C10" w:rsidP="00596BE0">
            <w:pPr>
              <w:rPr>
                <w:rFonts w:ascii="Arial" w:hAnsi="Arial" w:cs="Arial"/>
                <w:sz w:val="16"/>
                <w:szCs w:val="16"/>
              </w:rPr>
            </w:pPr>
          </w:p>
        </w:tc>
        <w:tc>
          <w:tcPr>
            <w:tcW w:w="839" w:type="pct"/>
            <w:tcBorders>
              <w:top w:val="single" w:sz="6" w:space="0" w:color="000000"/>
              <w:left w:val="nil"/>
              <w:bottom w:val="single" w:sz="6" w:space="0" w:color="000000"/>
              <w:right w:val="nil"/>
            </w:tcBorders>
            <w:shd w:val="clear" w:color="auto" w:fill="EDEDED"/>
            <w:vAlign w:val="center"/>
          </w:tcPr>
          <w:p w14:paraId="66E35CD0" w14:textId="77777777" w:rsidR="006B3C10" w:rsidRPr="00601402" w:rsidRDefault="006B3C10" w:rsidP="00596BE0">
            <w:pPr>
              <w:rPr>
                <w:rFonts w:ascii="Arial" w:hAnsi="Arial" w:cs="Arial"/>
                <w:sz w:val="16"/>
                <w:szCs w:val="16"/>
              </w:rPr>
            </w:pPr>
          </w:p>
        </w:tc>
      </w:tr>
      <w:tr w:rsidR="006B3C10" w:rsidRPr="00601402" w14:paraId="3DA9A652" w14:textId="77777777" w:rsidTr="00596BE0">
        <w:trPr>
          <w:cantSplit/>
        </w:trPr>
        <w:tc>
          <w:tcPr>
            <w:tcW w:w="5000" w:type="pct"/>
            <w:gridSpan w:val="7"/>
            <w:tcBorders>
              <w:top w:val="single" w:sz="6" w:space="0" w:color="000000"/>
              <w:left w:val="nil"/>
              <w:bottom w:val="single" w:sz="6" w:space="0" w:color="000000"/>
              <w:right w:val="nil"/>
            </w:tcBorders>
          </w:tcPr>
          <w:p w14:paraId="4DEAA430" w14:textId="77777777" w:rsidR="006B3C10" w:rsidRPr="00601402" w:rsidRDefault="006B3C10" w:rsidP="00596BE0">
            <w:pPr>
              <w:rPr>
                <w:rFonts w:ascii="Arial" w:hAnsi="Arial" w:cs="Arial"/>
                <w:sz w:val="16"/>
                <w:szCs w:val="16"/>
              </w:rPr>
            </w:pPr>
            <w:r w:rsidRPr="00601402">
              <w:rPr>
                <w:rFonts w:ascii="Arial" w:hAnsi="Arial" w:cs="Arial"/>
                <w:sz w:val="16"/>
                <w:szCs w:val="16"/>
              </w:rPr>
              <w:t>*</w:t>
            </w:r>
            <w:r w:rsidRPr="00601402">
              <w:rPr>
                <w:rFonts w:ascii="Arial" w:hAnsi="Arial" w:cs="Arial"/>
                <w:b/>
                <w:bCs/>
                <w:sz w:val="16"/>
                <w:szCs w:val="16"/>
              </w:rPr>
              <w:t>The risk in the intervention group</w:t>
            </w:r>
            <w:r w:rsidRPr="00601402">
              <w:rPr>
                <w:rFonts w:ascii="Arial" w:hAnsi="Arial" w:cs="Arial"/>
                <w:sz w:val="16"/>
                <w:szCs w:val="16"/>
              </w:rPr>
              <w:t xml:space="preserve"> (and its 95% confidence interval) is based on the assumed risk in the comparison group and the </w:t>
            </w:r>
            <w:r w:rsidRPr="00601402">
              <w:rPr>
                <w:rFonts w:ascii="Arial" w:hAnsi="Arial" w:cs="Arial"/>
                <w:b/>
                <w:bCs/>
                <w:sz w:val="16"/>
                <w:szCs w:val="16"/>
              </w:rPr>
              <w:t>relative effect</w:t>
            </w:r>
            <w:r w:rsidRPr="00601402">
              <w:rPr>
                <w:rFonts w:ascii="Arial" w:hAnsi="Arial" w:cs="Arial"/>
                <w:sz w:val="16"/>
                <w:szCs w:val="16"/>
              </w:rPr>
              <w:t xml:space="preserve"> of the intervention (and its 95% CI). </w:t>
            </w:r>
          </w:p>
        </w:tc>
      </w:tr>
      <w:tr w:rsidR="006B3C10" w:rsidRPr="00601402" w14:paraId="316DE858" w14:textId="77777777" w:rsidTr="00596BE0">
        <w:trPr>
          <w:cantSplit/>
        </w:trPr>
        <w:tc>
          <w:tcPr>
            <w:tcW w:w="5000" w:type="pct"/>
            <w:gridSpan w:val="7"/>
            <w:tcBorders>
              <w:top w:val="single" w:sz="6" w:space="0" w:color="000000"/>
              <w:left w:val="nil"/>
              <w:bottom w:val="single" w:sz="6" w:space="0" w:color="000000"/>
              <w:right w:val="nil"/>
            </w:tcBorders>
          </w:tcPr>
          <w:p w14:paraId="305E6C4F" w14:textId="77777777" w:rsidR="006B3C10" w:rsidRPr="00601402" w:rsidRDefault="006B3C10" w:rsidP="00596BE0">
            <w:pPr>
              <w:rPr>
                <w:rFonts w:ascii="Arial" w:hAnsi="Arial" w:cs="Arial"/>
                <w:sz w:val="16"/>
                <w:szCs w:val="16"/>
              </w:rPr>
            </w:pPr>
            <w:r w:rsidRPr="00601402">
              <w:rPr>
                <w:rFonts w:ascii="Arial" w:hAnsi="Arial" w:cs="Arial"/>
                <w:b/>
                <w:bCs/>
                <w:sz w:val="16"/>
                <w:szCs w:val="16"/>
              </w:rPr>
              <w:lastRenderedPageBreak/>
              <w:t>GRADE Working Group grades of evidence</w:t>
            </w:r>
            <w:r w:rsidRPr="00601402">
              <w:rPr>
                <w:rFonts w:ascii="Arial" w:hAnsi="Arial" w:cs="Arial"/>
                <w:sz w:val="16"/>
                <w:szCs w:val="16"/>
              </w:rPr>
              <w:br/>
            </w:r>
            <w:r w:rsidRPr="00601402">
              <w:rPr>
                <w:rFonts w:ascii="Arial" w:hAnsi="Arial" w:cs="Arial"/>
                <w:b/>
                <w:bCs/>
                <w:sz w:val="16"/>
                <w:szCs w:val="16"/>
              </w:rPr>
              <w:t>High certainty:</w:t>
            </w:r>
            <w:r w:rsidRPr="00601402">
              <w:rPr>
                <w:rFonts w:ascii="Arial" w:hAnsi="Arial" w:cs="Arial"/>
                <w:sz w:val="16"/>
                <w:szCs w:val="16"/>
              </w:rPr>
              <w:t xml:space="preserve"> High confidence that the true effect lies close to that of the estimate of the effect</w:t>
            </w:r>
            <w:r w:rsidRPr="00601402">
              <w:rPr>
                <w:rFonts w:ascii="Arial" w:hAnsi="Arial" w:cs="Arial"/>
                <w:sz w:val="16"/>
                <w:szCs w:val="16"/>
              </w:rPr>
              <w:br/>
            </w:r>
            <w:r w:rsidRPr="00601402">
              <w:rPr>
                <w:rFonts w:ascii="Arial" w:hAnsi="Arial" w:cs="Arial"/>
                <w:b/>
                <w:bCs/>
                <w:sz w:val="16"/>
                <w:szCs w:val="16"/>
              </w:rPr>
              <w:t>Moderate certainty:</w:t>
            </w:r>
            <w:r w:rsidRPr="00601402">
              <w:rPr>
                <w:rFonts w:ascii="Arial" w:hAnsi="Arial" w:cs="Arial"/>
                <w:sz w:val="16"/>
                <w:szCs w:val="16"/>
              </w:rPr>
              <w:t xml:space="preserve"> Moderate confidence in the effect estimate: The true effect is likely to be close to the estimate of the effect, but there is a possibility that it is substantially different</w:t>
            </w:r>
            <w:r w:rsidRPr="00601402">
              <w:rPr>
                <w:rFonts w:ascii="Arial" w:hAnsi="Arial" w:cs="Arial"/>
                <w:sz w:val="16"/>
                <w:szCs w:val="16"/>
              </w:rPr>
              <w:br/>
            </w:r>
            <w:r w:rsidRPr="00601402">
              <w:rPr>
                <w:rFonts w:ascii="Arial" w:hAnsi="Arial" w:cs="Arial"/>
                <w:b/>
                <w:bCs/>
                <w:sz w:val="16"/>
                <w:szCs w:val="16"/>
              </w:rPr>
              <w:t>Low certainty:</w:t>
            </w:r>
            <w:r w:rsidRPr="00601402">
              <w:rPr>
                <w:rFonts w:ascii="Arial" w:hAnsi="Arial" w:cs="Arial"/>
                <w:sz w:val="16"/>
                <w:szCs w:val="16"/>
              </w:rPr>
              <w:t xml:space="preserve"> Limited confidence in the effect estimate: The true effect may be substantially different from the estimate of the effect</w:t>
            </w:r>
            <w:r w:rsidRPr="00601402">
              <w:rPr>
                <w:rFonts w:ascii="Arial" w:hAnsi="Arial" w:cs="Arial"/>
                <w:sz w:val="16"/>
                <w:szCs w:val="16"/>
              </w:rPr>
              <w:br/>
            </w:r>
            <w:r w:rsidRPr="00601402">
              <w:rPr>
                <w:rFonts w:ascii="Arial" w:hAnsi="Arial" w:cs="Arial"/>
                <w:b/>
                <w:bCs/>
                <w:sz w:val="16"/>
                <w:szCs w:val="16"/>
              </w:rPr>
              <w:t>Very low certainty:</w:t>
            </w:r>
            <w:r w:rsidRPr="00601402">
              <w:rPr>
                <w:rFonts w:ascii="Arial" w:hAnsi="Arial" w:cs="Arial"/>
                <w:sz w:val="16"/>
                <w:szCs w:val="16"/>
              </w:rPr>
              <w:t xml:space="preserve"> Little confidence in the effect estimate: The true effect is likely to be substantially different from the estimate of effect </w:t>
            </w:r>
          </w:p>
        </w:tc>
      </w:tr>
    </w:tbl>
    <w:p w14:paraId="5714760F" w14:textId="77777777" w:rsidR="006B3C10" w:rsidRPr="00554CE7" w:rsidRDefault="006B3C10" w:rsidP="006B3C10">
      <w:pPr>
        <w:pStyle w:val="Heading4"/>
        <w:jc w:val="both"/>
        <w:rPr>
          <w:rFonts w:ascii="Arial" w:hAnsi="Arial" w:cs="Arial"/>
          <w:color w:val="000000"/>
          <w:sz w:val="20"/>
          <w:szCs w:val="20"/>
        </w:rPr>
      </w:pPr>
      <w:r w:rsidRPr="00554CE7">
        <w:rPr>
          <w:rFonts w:ascii="Arial" w:hAnsi="Arial" w:cs="Arial"/>
          <w:color w:val="000000"/>
          <w:sz w:val="20"/>
          <w:szCs w:val="20"/>
        </w:rPr>
        <w:t>Explanations</w:t>
      </w:r>
    </w:p>
    <w:p w14:paraId="47020CA5" w14:textId="77777777" w:rsidR="006B3C10" w:rsidRPr="00601402" w:rsidRDefault="006B3C10" w:rsidP="006B3C10">
      <w:pPr>
        <w:jc w:val="both"/>
        <w:rPr>
          <w:rFonts w:ascii="Arial" w:hAnsi="Arial" w:cs="Arial"/>
          <w:color w:val="000000"/>
          <w:sz w:val="16"/>
          <w:szCs w:val="16"/>
        </w:rPr>
      </w:pPr>
      <w:r w:rsidRPr="00601402">
        <w:rPr>
          <w:rFonts w:ascii="Arial" w:hAnsi="Arial" w:cs="Arial"/>
          <w:color w:val="000000"/>
          <w:sz w:val="16"/>
          <w:szCs w:val="16"/>
        </w:rPr>
        <w:t xml:space="preserve">a. Statistically significant (I2=65%) but probably unimportant heterogeneity. </w:t>
      </w:r>
    </w:p>
    <w:p w14:paraId="34ABDEB3" w14:textId="0B6465D5" w:rsidR="006B3C10" w:rsidRPr="00601402" w:rsidRDefault="006B3C10" w:rsidP="006B3C10">
      <w:pPr>
        <w:jc w:val="both"/>
        <w:rPr>
          <w:rFonts w:ascii="Arial" w:hAnsi="Arial" w:cs="Arial"/>
          <w:color w:val="000000"/>
          <w:sz w:val="16"/>
          <w:szCs w:val="16"/>
        </w:rPr>
      </w:pPr>
      <w:r w:rsidRPr="00601402">
        <w:rPr>
          <w:rFonts w:ascii="Arial" w:hAnsi="Arial" w:cs="Arial"/>
          <w:color w:val="000000"/>
          <w:sz w:val="16"/>
          <w:szCs w:val="16"/>
        </w:rPr>
        <w:t xml:space="preserve">b. All included studies were funded by industry, and all showed positive results. No industry-independent observational or randomized studies were identified to contrast results. Therefore, the quality of the evidence was downgraded for potential publication bias  </w:t>
      </w:r>
    </w:p>
    <w:p w14:paraId="408B3AD1" w14:textId="77777777" w:rsidR="006B3C10" w:rsidRPr="00601402" w:rsidRDefault="006B3C10" w:rsidP="006B3C10">
      <w:pPr>
        <w:jc w:val="both"/>
        <w:rPr>
          <w:rFonts w:ascii="Arial" w:hAnsi="Arial" w:cs="Arial"/>
          <w:color w:val="000000"/>
          <w:sz w:val="16"/>
          <w:szCs w:val="16"/>
        </w:rPr>
      </w:pPr>
      <w:r w:rsidRPr="00601402">
        <w:rPr>
          <w:rFonts w:ascii="Arial" w:hAnsi="Arial" w:cs="Arial"/>
          <w:color w:val="000000"/>
          <w:sz w:val="16"/>
          <w:szCs w:val="16"/>
        </w:rPr>
        <w:t xml:space="preserve">c. The pooled data were assessed at 28 weeks (41) and at 48-52 weeks (71). Goldman 2017 included patients aged 12-17 years old. </w:t>
      </w:r>
    </w:p>
    <w:p w14:paraId="385C29D6" w14:textId="27BE1B8C" w:rsidR="006B3C10" w:rsidRPr="00601402" w:rsidRDefault="006B3C10" w:rsidP="006B3C10">
      <w:pPr>
        <w:jc w:val="both"/>
        <w:rPr>
          <w:rFonts w:ascii="Arial" w:hAnsi="Arial" w:cs="Arial"/>
          <w:color w:val="000000"/>
          <w:sz w:val="16"/>
          <w:szCs w:val="16"/>
        </w:rPr>
      </w:pPr>
      <w:r w:rsidRPr="00601402">
        <w:rPr>
          <w:rFonts w:ascii="Arial" w:hAnsi="Arial" w:cs="Arial"/>
          <w:color w:val="000000"/>
          <w:sz w:val="16"/>
          <w:szCs w:val="16"/>
        </w:rPr>
        <w:t xml:space="preserve">d. In the current systematic review 2 studies reporting the effect on exacerbation leading to emergency room visits or hospitalizations were also included. The pooled risk ratio was 0.24 (95% CI 0.03-1.72)  </w:t>
      </w:r>
    </w:p>
    <w:p w14:paraId="42BDBC47" w14:textId="77777777" w:rsidR="006B3C10" w:rsidRPr="00601402" w:rsidRDefault="006B3C10" w:rsidP="006B3C10">
      <w:pPr>
        <w:jc w:val="both"/>
        <w:rPr>
          <w:rFonts w:ascii="Arial" w:hAnsi="Arial" w:cs="Arial"/>
          <w:color w:val="000000"/>
          <w:sz w:val="16"/>
          <w:szCs w:val="16"/>
        </w:rPr>
      </w:pPr>
      <w:r w:rsidRPr="00601402">
        <w:rPr>
          <w:rFonts w:ascii="Arial" w:hAnsi="Arial" w:cs="Arial"/>
          <w:color w:val="000000"/>
          <w:sz w:val="16"/>
          <w:szCs w:val="16"/>
        </w:rPr>
        <w:t>e. Statistically significant (I</w:t>
      </w:r>
      <w:r w:rsidRPr="00601402">
        <w:rPr>
          <w:rFonts w:ascii="Arial" w:hAnsi="Arial" w:cs="Arial"/>
          <w:color w:val="000000"/>
          <w:sz w:val="16"/>
          <w:szCs w:val="16"/>
          <w:vertAlign w:val="superscript"/>
        </w:rPr>
        <w:t>2</w:t>
      </w:r>
      <w:r w:rsidRPr="00601402">
        <w:rPr>
          <w:rFonts w:ascii="Arial" w:hAnsi="Arial" w:cs="Arial"/>
          <w:color w:val="000000"/>
          <w:sz w:val="16"/>
          <w:szCs w:val="16"/>
        </w:rPr>
        <w:t xml:space="preserve">=61%) but probably unimportant heterogeneity. </w:t>
      </w:r>
    </w:p>
    <w:p w14:paraId="03ECB8DA" w14:textId="0038D218" w:rsidR="006B3C10" w:rsidRPr="00601402" w:rsidRDefault="006B3C10" w:rsidP="006B3C10">
      <w:pPr>
        <w:jc w:val="both"/>
        <w:rPr>
          <w:rFonts w:ascii="Arial" w:hAnsi="Arial" w:cs="Arial"/>
          <w:color w:val="000000"/>
          <w:sz w:val="16"/>
          <w:szCs w:val="16"/>
        </w:rPr>
      </w:pPr>
      <w:r w:rsidRPr="00601402">
        <w:rPr>
          <w:rFonts w:ascii="Arial" w:hAnsi="Arial" w:cs="Arial"/>
          <w:color w:val="000000"/>
          <w:sz w:val="16"/>
          <w:szCs w:val="16"/>
        </w:rPr>
        <w:t xml:space="preserve">f. The minimal important difference (MID) for ACQ-6 is 0.5 points  </w:t>
      </w:r>
    </w:p>
    <w:p w14:paraId="2B7C3A7E" w14:textId="77777777" w:rsidR="006B3C10" w:rsidRPr="00601402" w:rsidRDefault="006B3C10" w:rsidP="006B3C10">
      <w:pPr>
        <w:jc w:val="both"/>
        <w:rPr>
          <w:rFonts w:ascii="Arial" w:hAnsi="Arial" w:cs="Arial"/>
          <w:color w:val="000000"/>
          <w:sz w:val="16"/>
          <w:szCs w:val="16"/>
        </w:rPr>
      </w:pPr>
      <w:r w:rsidRPr="00601402">
        <w:rPr>
          <w:rFonts w:ascii="Arial" w:hAnsi="Arial" w:cs="Arial"/>
          <w:color w:val="000000"/>
          <w:sz w:val="16"/>
          <w:szCs w:val="16"/>
        </w:rPr>
        <w:t xml:space="preserve">g. In the current systematic review 3 studies reporting the effect on total asthma control score change </w:t>
      </w:r>
      <w:proofErr w:type="gramStart"/>
      <w:r w:rsidRPr="00601402">
        <w:rPr>
          <w:rFonts w:ascii="Arial" w:hAnsi="Arial" w:cs="Arial"/>
          <w:color w:val="000000"/>
          <w:sz w:val="16"/>
          <w:szCs w:val="16"/>
        </w:rPr>
        <w:t>were</w:t>
      </w:r>
      <w:proofErr w:type="gramEnd"/>
      <w:r w:rsidRPr="00601402">
        <w:rPr>
          <w:rFonts w:ascii="Arial" w:hAnsi="Arial" w:cs="Arial"/>
          <w:color w:val="000000"/>
          <w:sz w:val="16"/>
          <w:szCs w:val="16"/>
        </w:rPr>
        <w:t xml:space="preserve"> also included. The pooled mean difference was -0.19 (95CI% -0.31 to -0.08), see full text report. </w:t>
      </w:r>
    </w:p>
    <w:p w14:paraId="57DCCF8F" w14:textId="0BCE499B" w:rsidR="006B3C10" w:rsidRPr="00601402" w:rsidRDefault="006B3C10" w:rsidP="006B3C10">
      <w:pPr>
        <w:jc w:val="both"/>
        <w:rPr>
          <w:rFonts w:ascii="Arial" w:hAnsi="Arial" w:cs="Arial"/>
          <w:color w:val="000000"/>
          <w:sz w:val="16"/>
          <w:szCs w:val="16"/>
        </w:rPr>
      </w:pPr>
      <w:r w:rsidRPr="00601402">
        <w:rPr>
          <w:rFonts w:ascii="Arial" w:hAnsi="Arial" w:cs="Arial"/>
          <w:color w:val="000000"/>
          <w:sz w:val="16"/>
          <w:szCs w:val="16"/>
        </w:rPr>
        <w:t>h. Quality of the evidence was downgraded because FEV</w:t>
      </w:r>
      <w:r w:rsidRPr="00554CE7">
        <w:rPr>
          <w:rFonts w:ascii="Arial" w:hAnsi="Arial" w:cs="Arial"/>
          <w:color w:val="000000"/>
          <w:sz w:val="16"/>
          <w:szCs w:val="16"/>
          <w:vertAlign w:val="subscript"/>
        </w:rPr>
        <w:t>1</w:t>
      </w:r>
      <w:r w:rsidRPr="00601402">
        <w:rPr>
          <w:rFonts w:ascii="Arial" w:hAnsi="Arial" w:cs="Arial"/>
          <w:color w:val="000000"/>
          <w:sz w:val="16"/>
          <w:szCs w:val="16"/>
        </w:rPr>
        <w:t xml:space="preserve"> is considered a surrogate outcome for asthma control, with a variable correlation with asthma symptoms. </w:t>
      </w:r>
    </w:p>
    <w:p w14:paraId="4D138E58" w14:textId="2B6BD9E1" w:rsidR="006B3C10" w:rsidRPr="00601402" w:rsidRDefault="006B3C10" w:rsidP="006B3C10">
      <w:pPr>
        <w:jc w:val="both"/>
        <w:rPr>
          <w:rFonts w:ascii="Arial" w:hAnsi="Arial" w:cs="Arial"/>
          <w:color w:val="000000"/>
          <w:sz w:val="16"/>
          <w:szCs w:val="16"/>
        </w:rPr>
      </w:pPr>
      <w:r w:rsidRPr="00601402">
        <w:rPr>
          <w:rFonts w:ascii="Arial" w:hAnsi="Arial" w:cs="Arial"/>
          <w:color w:val="000000"/>
          <w:sz w:val="16"/>
          <w:szCs w:val="16"/>
        </w:rPr>
        <w:t xml:space="preserve">i. The </w:t>
      </w:r>
      <w:r w:rsidR="00554CE7">
        <w:rPr>
          <w:rFonts w:ascii="Arial" w:hAnsi="Arial" w:cs="Arial"/>
          <w:color w:val="000000"/>
          <w:sz w:val="16"/>
          <w:szCs w:val="16"/>
        </w:rPr>
        <w:t>GDG</w:t>
      </w:r>
      <w:r w:rsidRPr="00601402">
        <w:rPr>
          <w:rFonts w:ascii="Arial" w:hAnsi="Arial" w:cs="Arial"/>
          <w:color w:val="000000"/>
          <w:sz w:val="16"/>
          <w:szCs w:val="16"/>
        </w:rPr>
        <w:t xml:space="preserve"> agreed that minimal important difference for FEV</w:t>
      </w:r>
      <w:r w:rsidRPr="00554CE7">
        <w:rPr>
          <w:rFonts w:ascii="Arial" w:hAnsi="Arial" w:cs="Arial"/>
          <w:color w:val="000000"/>
          <w:sz w:val="16"/>
          <w:szCs w:val="16"/>
          <w:vertAlign w:val="subscript"/>
        </w:rPr>
        <w:t xml:space="preserve">1 </w:t>
      </w:r>
      <w:r w:rsidRPr="00601402">
        <w:rPr>
          <w:rFonts w:ascii="Arial" w:hAnsi="Arial" w:cs="Arial"/>
          <w:color w:val="000000"/>
          <w:sz w:val="16"/>
          <w:szCs w:val="16"/>
        </w:rPr>
        <w:t xml:space="preserve">is 0.20 L. </w:t>
      </w:r>
    </w:p>
    <w:p w14:paraId="0248A74E" w14:textId="77777777" w:rsidR="006B3C10" w:rsidRPr="00601402" w:rsidRDefault="006B3C10" w:rsidP="006B3C10">
      <w:pPr>
        <w:jc w:val="both"/>
        <w:rPr>
          <w:rFonts w:ascii="Arial" w:hAnsi="Arial" w:cs="Arial"/>
          <w:color w:val="000000"/>
          <w:sz w:val="16"/>
          <w:szCs w:val="16"/>
        </w:rPr>
      </w:pPr>
      <w:r w:rsidRPr="00601402">
        <w:rPr>
          <w:rFonts w:ascii="Arial" w:hAnsi="Arial" w:cs="Arial"/>
          <w:color w:val="000000"/>
          <w:sz w:val="16"/>
          <w:szCs w:val="16"/>
        </w:rPr>
        <w:t xml:space="preserve">j. Statistically significant (I2=55%) but probably unimportant heterogeneity. </w:t>
      </w:r>
    </w:p>
    <w:p w14:paraId="38470CF0" w14:textId="646E2E9A" w:rsidR="006B3C10" w:rsidRPr="00601402" w:rsidRDefault="006B3C10" w:rsidP="006B3C10">
      <w:pPr>
        <w:jc w:val="both"/>
        <w:rPr>
          <w:rFonts w:ascii="Arial" w:hAnsi="Arial" w:cs="Arial"/>
          <w:color w:val="000000"/>
          <w:sz w:val="16"/>
          <w:szCs w:val="16"/>
        </w:rPr>
      </w:pPr>
      <w:r w:rsidRPr="00601402">
        <w:rPr>
          <w:rFonts w:ascii="Arial" w:hAnsi="Arial" w:cs="Arial"/>
          <w:color w:val="000000"/>
          <w:sz w:val="16"/>
          <w:szCs w:val="16"/>
        </w:rPr>
        <w:t xml:space="preserve">k. For AQLQ(S)+12 the MID is 0.5 </w:t>
      </w:r>
    </w:p>
    <w:p w14:paraId="18C83679" w14:textId="77777777" w:rsidR="006B3C10" w:rsidRPr="00601402" w:rsidRDefault="006B3C10" w:rsidP="006B3C10">
      <w:pPr>
        <w:jc w:val="both"/>
        <w:rPr>
          <w:rFonts w:ascii="Arial" w:hAnsi="Arial" w:cs="Arial"/>
          <w:color w:val="000000"/>
          <w:sz w:val="16"/>
          <w:szCs w:val="16"/>
        </w:rPr>
      </w:pPr>
      <w:r w:rsidRPr="00601402">
        <w:rPr>
          <w:rFonts w:ascii="Arial" w:hAnsi="Arial" w:cs="Arial"/>
          <w:color w:val="000000"/>
          <w:sz w:val="16"/>
          <w:szCs w:val="16"/>
        </w:rPr>
        <w:t xml:space="preserve">l. The effect may both be harmful or beneficial. Small sample size and number of events. </w:t>
      </w:r>
    </w:p>
    <w:p w14:paraId="084ED4B4" w14:textId="53DE7DEC" w:rsidR="006B3C10" w:rsidRDefault="006B3C10">
      <w:pPr>
        <w:rPr>
          <w:b/>
          <w:bCs/>
          <w:color w:val="000000"/>
          <w:sz w:val="20"/>
          <w:szCs w:val="20"/>
          <w:lang w:val="en"/>
        </w:rPr>
      </w:pPr>
    </w:p>
    <w:p w14:paraId="306C93FF" w14:textId="140BEFEC" w:rsidR="00596BE0" w:rsidRPr="00805F7C" w:rsidRDefault="00596BE0" w:rsidP="00596BE0">
      <w:pPr>
        <w:rPr>
          <w:rFonts w:ascii="Arial" w:hAnsi="Arial" w:cs="Arial"/>
          <w:b/>
          <w:sz w:val="20"/>
          <w:szCs w:val="20"/>
        </w:rPr>
      </w:pPr>
      <w:r w:rsidRPr="00805F7C">
        <w:rPr>
          <w:rFonts w:ascii="Arial" w:hAnsi="Arial" w:cs="Arial"/>
          <w:b/>
          <w:sz w:val="20"/>
          <w:szCs w:val="20"/>
        </w:rPr>
        <w:t>Table S</w:t>
      </w:r>
      <w:r w:rsidR="002A55D2">
        <w:rPr>
          <w:rFonts w:ascii="Arial" w:hAnsi="Arial" w:cs="Arial"/>
          <w:b/>
          <w:sz w:val="20"/>
          <w:szCs w:val="20"/>
        </w:rPr>
        <w:t>4</w:t>
      </w:r>
      <w:r w:rsidRPr="00805F7C">
        <w:rPr>
          <w:rFonts w:ascii="Arial" w:hAnsi="Arial" w:cs="Arial"/>
          <w:b/>
          <w:sz w:val="20"/>
          <w:szCs w:val="20"/>
        </w:rPr>
        <w:t xml:space="preserve">: Economic </w:t>
      </w:r>
      <w:r w:rsidR="00114022">
        <w:rPr>
          <w:rFonts w:ascii="Arial" w:hAnsi="Arial" w:cs="Arial"/>
          <w:b/>
          <w:sz w:val="20"/>
          <w:szCs w:val="20"/>
        </w:rPr>
        <w:t>evaluation</w:t>
      </w:r>
      <w:r w:rsidRPr="00805F7C">
        <w:rPr>
          <w:rFonts w:ascii="Arial" w:hAnsi="Arial" w:cs="Arial"/>
          <w:b/>
          <w:sz w:val="20"/>
          <w:szCs w:val="20"/>
        </w:rPr>
        <w:t xml:space="preserve"> </w:t>
      </w:r>
      <w:r w:rsidR="00114022">
        <w:rPr>
          <w:rFonts w:ascii="Arial" w:hAnsi="Arial" w:cs="Arial"/>
          <w:b/>
          <w:sz w:val="20"/>
          <w:szCs w:val="20"/>
        </w:rPr>
        <w:t>of</w:t>
      </w:r>
      <w:r w:rsidRPr="00805F7C">
        <w:rPr>
          <w:rFonts w:ascii="Arial" w:hAnsi="Arial" w:cs="Arial"/>
          <w:b/>
          <w:sz w:val="20"/>
          <w:szCs w:val="20"/>
        </w:rPr>
        <w:t xml:space="preserve"> benralizumab add</w:t>
      </w:r>
      <w:r w:rsidR="00114022">
        <w:rPr>
          <w:rFonts w:ascii="Arial" w:hAnsi="Arial" w:cs="Arial"/>
          <w:b/>
          <w:sz w:val="20"/>
          <w:szCs w:val="20"/>
        </w:rPr>
        <w:t>ed</w:t>
      </w:r>
      <w:r w:rsidRPr="00805F7C">
        <w:rPr>
          <w:rFonts w:ascii="Arial" w:hAnsi="Arial" w:cs="Arial"/>
          <w:b/>
          <w:sz w:val="20"/>
          <w:szCs w:val="20"/>
        </w:rPr>
        <w:t xml:space="preserve"> to standard therapy vs. standard therapy</w:t>
      </w:r>
      <w:r w:rsidR="00114022">
        <w:rPr>
          <w:rFonts w:ascii="Arial" w:hAnsi="Arial" w:cs="Arial"/>
          <w:b/>
          <w:sz w:val="20"/>
          <w:szCs w:val="20"/>
        </w:rPr>
        <w:t xml:space="preserve"> – adults with eosinophilic asthma</w:t>
      </w:r>
    </w:p>
    <w:tbl>
      <w:tblPr>
        <w:tblW w:w="5000" w:type="pct"/>
        <w:jc w:val="center"/>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0A0" w:firstRow="1" w:lastRow="0" w:firstColumn="1" w:lastColumn="0" w:noHBand="0" w:noVBand="0"/>
      </w:tblPr>
      <w:tblGrid>
        <w:gridCol w:w="861"/>
        <w:gridCol w:w="1021"/>
        <w:gridCol w:w="1197"/>
        <w:gridCol w:w="1218"/>
        <w:gridCol w:w="1211"/>
        <w:gridCol w:w="1049"/>
        <w:gridCol w:w="1102"/>
        <w:gridCol w:w="1703"/>
        <w:gridCol w:w="1882"/>
        <w:gridCol w:w="1685"/>
        <w:gridCol w:w="1057"/>
      </w:tblGrid>
      <w:tr w:rsidR="00596BE0" w14:paraId="3C986AAE" w14:textId="77777777" w:rsidTr="00596BE0">
        <w:trPr>
          <w:cantSplit/>
          <w:trHeight w:val="222"/>
          <w:tblHeader/>
          <w:jc w:val="center"/>
        </w:trPr>
        <w:tc>
          <w:tcPr>
            <w:tcW w:w="2750" w:type="pct"/>
            <w:gridSpan w:val="7"/>
            <w:tcBorders>
              <w:top w:val="single" w:sz="6" w:space="0" w:color="000000"/>
              <w:left w:val="single" w:sz="6" w:space="0" w:color="000000"/>
              <w:bottom w:val="single" w:sz="6" w:space="0" w:color="000000"/>
              <w:right w:val="single" w:sz="6" w:space="0" w:color="000000"/>
            </w:tcBorders>
            <w:shd w:val="clear" w:color="auto" w:fill="DDDDDD"/>
            <w:hideMark/>
          </w:tcPr>
          <w:p w14:paraId="50766F3C" w14:textId="77777777" w:rsidR="00596BE0" w:rsidRPr="002A55D2" w:rsidRDefault="00596BE0" w:rsidP="00596BE0">
            <w:pPr>
              <w:jc w:val="center"/>
              <w:rPr>
                <w:rFonts w:ascii="Arial" w:hAnsi="Arial" w:cs="Arial"/>
                <w:b/>
                <w:bCs/>
                <w:sz w:val="16"/>
                <w:szCs w:val="16"/>
              </w:rPr>
            </w:pPr>
            <w:r w:rsidRPr="002A55D2">
              <w:rPr>
                <w:rFonts w:ascii="Arial" w:hAnsi="Arial" w:cs="Arial"/>
                <w:b/>
                <w:bCs/>
                <w:sz w:val="16"/>
                <w:szCs w:val="16"/>
              </w:rPr>
              <w:t>Quality assessment</w:t>
            </w:r>
          </w:p>
        </w:tc>
        <w:tc>
          <w:tcPr>
            <w:tcW w:w="1892" w:type="pct"/>
            <w:gridSpan w:val="3"/>
            <w:tcBorders>
              <w:top w:val="single" w:sz="6" w:space="0" w:color="000000"/>
              <w:left w:val="single" w:sz="6" w:space="0" w:color="000000"/>
              <w:bottom w:val="single" w:sz="6" w:space="0" w:color="000000"/>
              <w:right w:val="single" w:sz="6" w:space="0" w:color="000000"/>
            </w:tcBorders>
            <w:shd w:val="clear" w:color="auto" w:fill="DDDDDD"/>
            <w:hideMark/>
          </w:tcPr>
          <w:p w14:paraId="6A962337" w14:textId="77777777" w:rsidR="00596BE0" w:rsidRPr="002A55D2" w:rsidRDefault="00596BE0" w:rsidP="00596BE0">
            <w:pPr>
              <w:jc w:val="center"/>
              <w:rPr>
                <w:rFonts w:ascii="Arial" w:hAnsi="Arial" w:cs="Arial"/>
                <w:b/>
                <w:bCs/>
                <w:sz w:val="16"/>
                <w:szCs w:val="16"/>
              </w:rPr>
            </w:pPr>
            <w:r w:rsidRPr="002A55D2">
              <w:rPr>
                <w:rFonts w:ascii="Arial" w:hAnsi="Arial" w:cs="Arial"/>
                <w:b/>
                <w:bCs/>
                <w:sz w:val="16"/>
                <w:szCs w:val="16"/>
              </w:rPr>
              <w:t>Summary of resources and costs</w:t>
            </w:r>
          </w:p>
        </w:tc>
        <w:tc>
          <w:tcPr>
            <w:tcW w:w="358" w:type="pct"/>
            <w:vMerge w:val="restart"/>
            <w:tcBorders>
              <w:top w:val="single" w:sz="6" w:space="0" w:color="000000"/>
              <w:left w:val="single" w:sz="6" w:space="0" w:color="000000"/>
              <w:bottom w:val="single" w:sz="6" w:space="0" w:color="000000"/>
              <w:right w:val="single" w:sz="6" w:space="0" w:color="000000"/>
            </w:tcBorders>
            <w:shd w:val="clear" w:color="auto" w:fill="DDDDDD"/>
            <w:hideMark/>
          </w:tcPr>
          <w:p w14:paraId="1CD1EDB1" w14:textId="77777777" w:rsidR="00596BE0" w:rsidRPr="002A55D2" w:rsidRDefault="00596BE0" w:rsidP="00596BE0">
            <w:pPr>
              <w:jc w:val="center"/>
              <w:rPr>
                <w:rFonts w:ascii="Arial" w:hAnsi="Arial" w:cs="Arial"/>
                <w:b/>
                <w:bCs/>
                <w:sz w:val="16"/>
                <w:szCs w:val="16"/>
              </w:rPr>
            </w:pPr>
            <w:r w:rsidRPr="002A55D2">
              <w:rPr>
                <w:rFonts w:ascii="Arial" w:hAnsi="Arial" w:cs="Arial"/>
                <w:b/>
                <w:bCs/>
                <w:sz w:val="16"/>
                <w:szCs w:val="16"/>
              </w:rPr>
              <w:t>Quality</w:t>
            </w:r>
          </w:p>
        </w:tc>
      </w:tr>
      <w:tr w:rsidR="00596BE0" w14:paraId="3133973F" w14:textId="77777777" w:rsidTr="00596BE0">
        <w:trPr>
          <w:cantSplit/>
          <w:trHeight w:val="519"/>
          <w:tblHeader/>
          <w:jc w:val="center"/>
        </w:trPr>
        <w:tc>
          <w:tcPr>
            <w:tcW w:w="310" w:type="pct"/>
            <w:tcBorders>
              <w:top w:val="single" w:sz="6" w:space="0" w:color="000000"/>
              <w:left w:val="single" w:sz="6" w:space="0" w:color="000000"/>
              <w:bottom w:val="single" w:sz="6" w:space="0" w:color="000000"/>
              <w:right w:val="single" w:sz="6" w:space="0" w:color="000000"/>
            </w:tcBorders>
            <w:shd w:val="clear" w:color="auto" w:fill="DDDDDD"/>
            <w:hideMark/>
          </w:tcPr>
          <w:p w14:paraId="3E4164B6" w14:textId="77777777" w:rsidR="00596BE0" w:rsidRPr="002A55D2" w:rsidRDefault="00596BE0" w:rsidP="00596BE0">
            <w:pPr>
              <w:jc w:val="center"/>
              <w:rPr>
                <w:rFonts w:ascii="Arial" w:hAnsi="Arial" w:cs="Arial"/>
                <w:b/>
                <w:bCs/>
                <w:sz w:val="16"/>
                <w:szCs w:val="16"/>
              </w:rPr>
            </w:pPr>
            <w:r w:rsidRPr="002A55D2">
              <w:rPr>
                <w:rFonts w:ascii="Arial" w:hAnsi="Arial" w:cs="Arial"/>
                <w:b/>
                <w:bCs/>
                <w:sz w:val="16"/>
                <w:szCs w:val="16"/>
              </w:rPr>
              <w:t>Nº. of studies</w:t>
            </w:r>
          </w:p>
        </w:tc>
        <w:tc>
          <w:tcPr>
            <w:tcW w:w="368" w:type="pct"/>
            <w:tcBorders>
              <w:top w:val="single" w:sz="6" w:space="0" w:color="000000"/>
              <w:left w:val="single" w:sz="6" w:space="0" w:color="000000"/>
              <w:bottom w:val="single" w:sz="6" w:space="0" w:color="000000"/>
              <w:right w:val="single" w:sz="6" w:space="0" w:color="000000"/>
            </w:tcBorders>
            <w:shd w:val="clear" w:color="auto" w:fill="DDDDDD"/>
            <w:hideMark/>
          </w:tcPr>
          <w:p w14:paraId="6DC1693D" w14:textId="77777777" w:rsidR="00596BE0" w:rsidRPr="002A55D2" w:rsidRDefault="00596BE0" w:rsidP="00596BE0">
            <w:pPr>
              <w:jc w:val="center"/>
              <w:rPr>
                <w:rFonts w:ascii="Arial" w:hAnsi="Arial" w:cs="Arial"/>
                <w:b/>
                <w:bCs/>
                <w:sz w:val="16"/>
                <w:szCs w:val="16"/>
              </w:rPr>
            </w:pPr>
            <w:r w:rsidRPr="002A55D2">
              <w:rPr>
                <w:rFonts w:ascii="Arial" w:hAnsi="Arial" w:cs="Arial"/>
                <w:b/>
                <w:bCs/>
                <w:sz w:val="16"/>
                <w:szCs w:val="16"/>
              </w:rPr>
              <w:t>Study design</w:t>
            </w:r>
          </w:p>
        </w:tc>
        <w:tc>
          <w:tcPr>
            <w:tcW w:w="431" w:type="pct"/>
            <w:tcBorders>
              <w:top w:val="single" w:sz="6" w:space="0" w:color="000000"/>
              <w:left w:val="single" w:sz="6" w:space="0" w:color="000000"/>
              <w:bottom w:val="single" w:sz="6" w:space="0" w:color="000000"/>
              <w:right w:val="single" w:sz="6" w:space="0" w:color="000000"/>
            </w:tcBorders>
            <w:shd w:val="clear" w:color="auto" w:fill="DDDDDD"/>
            <w:hideMark/>
          </w:tcPr>
          <w:p w14:paraId="2FEF422C" w14:textId="77777777" w:rsidR="00596BE0" w:rsidRPr="002A55D2" w:rsidRDefault="00596BE0" w:rsidP="00596BE0">
            <w:pPr>
              <w:jc w:val="center"/>
              <w:rPr>
                <w:rFonts w:ascii="Arial" w:hAnsi="Arial" w:cs="Arial"/>
                <w:b/>
                <w:bCs/>
                <w:sz w:val="16"/>
                <w:szCs w:val="16"/>
              </w:rPr>
            </w:pPr>
            <w:r w:rsidRPr="002A55D2">
              <w:rPr>
                <w:rFonts w:ascii="Arial" w:hAnsi="Arial" w:cs="Arial"/>
                <w:b/>
                <w:bCs/>
                <w:sz w:val="16"/>
                <w:szCs w:val="16"/>
              </w:rPr>
              <w:t>Limitations</w:t>
            </w:r>
          </w:p>
        </w:tc>
        <w:tc>
          <w:tcPr>
            <w:tcW w:w="431" w:type="pct"/>
            <w:tcBorders>
              <w:top w:val="single" w:sz="6" w:space="0" w:color="000000"/>
              <w:left w:val="single" w:sz="6" w:space="0" w:color="000000"/>
              <w:bottom w:val="single" w:sz="6" w:space="0" w:color="000000"/>
              <w:right w:val="single" w:sz="6" w:space="0" w:color="000000"/>
            </w:tcBorders>
            <w:shd w:val="clear" w:color="auto" w:fill="DDDDDD"/>
            <w:hideMark/>
          </w:tcPr>
          <w:p w14:paraId="08CA52F3" w14:textId="77777777" w:rsidR="00596BE0" w:rsidRPr="002A55D2" w:rsidRDefault="00596BE0" w:rsidP="00596BE0">
            <w:pPr>
              <w:jc w:val="center"/>
              <w:rPr>
                <w:rFonts w:ascii="Arial" w:hAnsi="Arial" w:cs="Arial"/>
                <w:b/>
                <w:bCs/>
                <w:sz w:val="16"/>
                <w:szCs w:val="16"/>
              </w:rPr>
            </w:pPr>
            <w:r w:rsidRPr="002A55D2">
              <w:rPr>
                <w:rFonts w:ascii="Arial" w:hAnsi="Arial" w:cs="Arial"/>
                <w:b/>
                <w:bCs/>
                <w:sz w:val="16"/>
                <w:szCs w:val="16"/>
              </w:rPr>
              <w:t>Inconsistency</w:t>
            </w:r>
          </w:p>
        </w:tc>
        <w:tc>
          <w:tcPr>
            <w:tcW w:w="436" w:type="pct"/>
            <w:tcBorders>
              <w:top w:val="single" w:sz="6" w:space="0" w:color="000000"/>
              <w:left w:val="single" w:sz="6" w:space="0" w:color="000000"/>
              <w:bottom w:val="single" w:sz="6" w:space="0" w:color="000000"/>
              <w:right w:val="single" w:sz="6" w:space="0" w:color="000000"/>
            </w:tcBorders>
            <w:shd w:val="clear" w:color="auto" w:fill="DDDDDD"/>
            <w:hideMark/>
          </w:tcPr>
          <w:p w14:paraId="54DCFA42" w14:textId="77777777" w:rsidR="00596BE0" w:rsidRPr="002A55D2" w:rsidRDefault="00596BE0" w:rsidP="00596BE0">
            <w:pPr>
              <w:jc w:val="center"/>
              <w:rPr>
                <w:rFonts w:ascii="Arial" w:hAnsi="Arial" w:cs="Arial"/>
                <w:b/>
                <w:bCs/>
                <w:sz w:val="16"/>
                <w:szCs w:val="16"/>
              </w:rPr>
            </w:pPr>
            <w:r w:rsidRPr="002A55D2">
              <w:rPr>
                <w:rFonts w:ascii="Arial" w:hAnsi="Arial" w:cs="Arial"/>
                <w:b/>
                <w:bCs/>
                <w:sz w:val="16"/>
                <w:szCs w:val="16"/>
              </w:rPr>
              <w:t>Indirectness</w:t>
            </w:r>
          </w:p>
        </w:tc>
        <w:tc>
          <w:tcPr>
            <w:tcW w:w="373" w:type="pct"/>
            <w:tcBorders>
              <w:top w:val="single" w:sz="6" w:space="0" w:color="000000"/>
              <w:left w:val="single" w:sz="6" w:space="0" w:color="000000"/>
              <w:bottom w:val="single" w:sz="6" w:space="0" w:color="000000"/>
              <w:right w:val="single" w:sz="6" w:space="0" w:color="000000"/>
            </w:tcBorders>
            <w:shd w:val="clear" w:color="auto" w:fill="DDDDDD"/>
            <w:hideMark/>
          </w:tcPr>
          <w:p w14:paraId="3C79A8D8" w14:textId="77777777" w:rsidR="00596BE0" w:rsidRPr="002A55D2" w:rsidRDefault="00596BE0" w:rsidP="00596BE0">
            <w:pPr>
              <w:jc w:val="center"/>
              <w:rPr>
                <w:rFonts w:ascii="Arial" w:hAnsi="Arial" w:cs="Arial"/>
                <w:b/>
                <w:bCs/>
                <w:sz w:val="16"/>
                <w:szCs w:val="16"/>
              </w:rPr>
            </w:pPr>
            <w:r w:rsidRPr="002A55D2">
              <w:rPr>
                <w:rFonts w:ascii="Arial" w:hAnsi="Arial" w:cs="Arial"/>
                <w:b/>
                <w:bCs/>
                <w:sz w:val="16"/>
                <w:szCs w:val="16"/>
              </w:rPr>
              <w:t>Imprecision</w:t>
            </w:r>
          </w:p>
        </w:tc>
        <w:tc>
          <w:tcPr>
            <w:tcW w:w="402" w:type="pct"/>
            <w:tcBorders>
              <w:top w:val="single" w:sz="6" w:space="0" w:color="000000"/>
              <w:left w:val="single" w:sz="6" w:space="0" w:color="000000"/>
              <w:bottom w:val="single" w:sz="6" w:space="0" w:color="000000"/>
              <w:right w:val="single" w:sz="6" w:space="0" w:color="000000"/>
            </w:tcBorders>
            <w:shd w:val="clear" w:color="auto" w:fill="DDDDDD"/>
            <w:hideMark/>
          </w:tcPr>
          <w:p w14:paraId="224F2B68" w14:textId="77777777" w:rsidR="00596BE0" w:rsidRPr="002A55D2" w:rsidRDefault="00596BE0" w:rsidP="00596BE0">
            <w:pPr>
              <w:jc w:val="center"/>
              <w:rPr>
                <w:rFonts w:ascii="Arial" w:hAnsi="Arial" w:cs="Arial"/>
                <w:b/>
                <w:bCs/>
                <w:sz w:val="16"/>
                <w:szCs w:val="16"/>
              </w:rPr>
            </w:pPr>
            <w:r w:rsidRPr="002A55D2">
              <w:rPr>
                <w:rFonts w:ascii="Arial" w:hAnsi="Arial" w:cs="Arial"/>
                <w:b/>
                <w:bCs/>
                <w:sz w:val="16"/>
                <w:szCs w:val="16"/>
              </w:rPr>
              <w:t>Publication bias</w:t>
            </w:r>
          </w:p>
        </w:tc>
        <w:tc>
          <w:tcPr>
            <w:tcW w:w="612" w:type="pct"/>
            <w:tcBorders>
              <w:top w:val="single" w:sz="6" w:space="0" w:color="000000"/>
              <w:left w:val="single" w:sz="6" w:space="0" w:color="000000"/>
              <w:bottom w:val="single" w:sz="6" w:space="0" w:color="000000"/>
              <w:right w:val="single" w:sz="6" w:space="0" w:color="000000"/>
            </w:tcBorders>
            <w:shd w:val="clear" w:color="auto" w:fill="DDDDDD"/>
            <w:hideMark/>
          </w:tcPr>
          <w:p w14:paraId="5240EC74" w14:textId="77777777" w:rsidR="00596BE0" w:rsidRPr="002A55D2" w:rsidRDefault="00596BE0" w:rsidP="00596BE0">
            <w:pPr>
              <w:jc w:val="center"/>
              <w:rPr>
                <w:rFonts w:ascii="Arial" w:hAnsi="Arial" w:cs="Arial"/>
                <w:b/>
                <w:bCs/>
                <w:sz w:val="16"/>
                <w:szCs w:val="16"/>
              </w:rPr>
            </w:pPr>
            <w:r w:rsidRPr="002A55D2">
              <w:rPr>
                <w:rFonts w:ascii="Arial" w:hAnsi="Arial" w:cs="Arial"/>
                <w:b/>
                <w:bCs/>
                <w:sz w:val="16"/>
                <w:szCs w:val="16"/>
              </w:rPr>
              <w:t>Incremental cost per patient*</w:t>
            </w:r>
          </w:p>
        </w:tc>
        <w:tc>
          <w:tcPr>
            <w:tcW w:w="676" w:type="pct"/>
            <w:tcBorders>
              <w:top w:val="single" w:sz="6" w:space="0" w:color="000000"/>
              <w:left w:val="single" w:sz="6" w:space="0" w:color="000000"/>
              <w:bottom w:val="single" w:sz="6" w:space="0" w:color="000000"/>
              <w:right w:val="single" w:sz="6" w:space="0" w:color="000000"/>
            </w:tcBorders>
            <w:shd w:val="clear" w:color="auto" w:fill="DDDDDD"/>
            <w:hideMark/>
          </w:tcPr>
          <w:p w14:paraId="1FBBF669" w14:textId="77777777" w:rsidR="00596BE0" w:rsidRPr="002A55D2" w:rsidRDefault="00596BE0" w:rsidP="00596BE0">
            <w:pPr>
              <w:jc w:val="center"/>
              <w:rPr>
                <w:rFonts w:ascii="Arial" w:hAnsi="Arial" w:cs="Arial"/>
                <w:b/>
                <w:bCs/>
                <w:sz w:val="16"/>
                <w:szCs w:val="16"/>
              </w:rPr>
            </w:pPr>
            <w:r w:rsidRPr="002A55D2">
              <w:rPr>
                <w:rFonts w:ascii="Arial" w:hAnsi="Arial" w:cs="Arial"/>
                <w:b/>
                <w:bCs/>
                <w:sz w:val="16"/>
                <w:szCs w:val="16"/>
              </w:rPr>
              <w:t>Incremental effect per patient*</w:t>
            </w:r>
          </w:p>
        </w:tc>
        <w:tc>
          <w:tcPr>
            <w:tcW w:w="605" w:type="pct"/>
            <w:tcBorders>
              <w:top w:val="single" w:sz="6" w:space="0" w:color="000000"/>
              <w:left w:val="single" w:sz="6" w:space="0" w:color="000000"/>
              <w:bottom w:val="single" w:sz="6" w:space="0" w:color="000000"/>
              <w:right w:val="single" w:sz="6" w:space="0" w:color="000000"/>
            </w:tcBorders>
            <w:shd w:val="clear" w:color="auto" w:fill="DDDDDD"/>
            <w:hideMark/>
          </w:tcPr>
          <w:p w14:paraId="08E8CC93" w14:textId="77777777" w:rsidR="00596BE0" w:rsidRPr="002A55D2" w:rsidRDefault="00596BE0" w:rsidP="00596BE0">
            <w:pPr>
              <w:jc w:val="center"/>
              <w:rPr>
                <w:rFonts w:ascii="Arial" w:hAnsi="Arial" w:cs="Arial"/>
                <w:b/>
                <w:bCs/>
                <w:sz w:val="16"/>
                <w:szCs w:val="16"/>
              </w:rPr>
            </w:pPr>
            <w:r w:rsidRPr="002A55D2">
              <w:rPr>
                <w:rFonts w:ascii="Arial" w:hAnsi="Arial" w:cs="Arial"/>
                <w:b/>
                <w:bCs/>
                <w:sz w:val="16"/>
                <w:szCs w:val="16"/>
              </w:rPr>
              <w:t xml:space="preserve">ICER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5FCE03E" w14:textId="77777777" w:rsidR="00596BE0" w:rsidRPr="002A55D2" w:rsidRDefault="00596BE0" w:rsidP="00596BE0">
            <w:pPr>
              <w:rPr>
                <w:rFonts w:ascii="Arial" w:hAnsi="Arial" w:cs="Arial"/>
                <w:b/>
                <w:bCs/>
                <w:sz w:val="16"/>
                <w:szCs w:val="16"/>
              </w:rPr>
            </w:pPr>
          </w:p>
        </w:tc>
      </w:tr>
      <w:tr w:rsidR="00596BE0" w14:paraId="1FB35F58" w14:textId="77777777" w:rsidTr="00596BE0">
        <w:trPr>
          <w:cantSplit/>
          <w:trHeight w:val="238"/>
          <w:jc w:val="center"/>
        </w:trPr>
        <w:tc>
          <w:tcPr>
            <w:tcW w:w="5000" w:type="pct"/>
            <w:gridSpan w:val="11"/>
            <w:tcBorders>
              <w:top w:val="single" w:sz="6" w:space="0" w:color="000000"/>
              <w:left w:val="single" w:sz="6" w:space="0" w:color="000000"/>
              <w:bottom w:val="single" w:sz="6" w:space="0" w:color="000000"/>
              <w:right w:val="single" w:sz="6" w:space="0" w:color="000000"/>
            </w:tcBorders>
            <w:shd w:val="clear" w:color="auto" w:fill="EDEDED"/>
            <w:hideMark/>
          </w:tcPr>
          <w:p w14:paraId="233E14DE" w14:textId="77777777" w:rsidR="00596BE0" w:rsidRPr="002A55D2" w:rsidRDefault="00596BE0" w:rsidP="00596BE0">
            <w:pPr>
              <w:rPr>
                <w:rFonts w:ascii="Arial" w:hAnsi="Arial" w:cs="Arial"/>
                <w:sz w:val="16"/>
                <w:szCs w:val="16"/>
              </w:rPr>
            </w:pPr>
            <w:r w:rsidRPr="002A55D2">
              <w:rPr>
                <w:rStyle w:val="label"/>
                <w:rFonts w:ascii="Arial" w:hAnsi="Arial" w:cs="Arial"/>
                <w:sz w:val="16"/>
                <w:szCs w:val="16"/>
              </w:rPr>
              <w:t xml:space="preserve">ICER per </w:t>
            </w:r>
            <w:r w:rsidRPr="002A55D2">
              <w:rPr>
                <w:rFonts w:ascii="Arial" w:hAnsi="Arial" w:cs="Arial"/>
                <w:color w:val="1A1718"/>
                <w:sz w:val="16"/>
                <w:szCs w:val="16"/>
                <w:lang w:eastAsia="en-GB"/>
              </w:rPr>
              <w:t xml:space="preserve">QALY (high quality </w:t>
            </w:r>
            <w:proofErr w:type="gramStart"/>
            <w:r w:rsidRPr="002A55D2">
              <w:rPr>
                <w:rFonts w:ascii="Arial" w:hAnsi="Arial" w:cs="Arial"/>
                <w:color w:val="1A1718"/>
                <w:sz w:val="16"/>
                <w:szCs w:val="16"/>
                <w:lang w:eastAsia="en-GB"/>
              </w:rPr>
              <w:t>study  -</w:t>
            </w:r>
            <w:proofErr w:type="gramEnd"/>
            <w:r w:rsidRPr="002A55D2">
              <w:rPr>
                <w:rFonts w:ascii="Arial" w:hAnsi="Arial" w:cs="Arial"/>
                <w:color w:val="1A1718"/>
                <w:sz w:val="16"/>
                <w:szCs w:val="16"/>
                <w:lang w:eastAsia="en-GB"/>
              </w:rPr>
              <w:t xml:space="preserve"> not funded by Industry)</w:t>
            </w:r>
          </w:p>
        </w:tc>
      </w:tr>
      <w:tr w:rsidR="00596BE0" w14:paraId="3F0F31C8" w14:textId="77777777" w:rsidTr="00596BE0">
        <w:trPr>
          <w:cantSplit/>
          <w:trHeight w:val="408"/>
          <w:jc w:val="center"/>
        </w:trPr>
        <w:tc>
          <w:tcPr>
            <w:tcW w:w="314" w:type="pct"/>
            <w:tcBorders>
              <w:top w:val="nil"/>
              <w:left w:val="single" w:sz="6" w:space="0" w:color="000000"/>
              <w:bottom w:val="nil"/>
              <w:right w:val="single" w:sz="6" w:space="0" w:color="000000"/>
            </w:tcBorders>
            <w:hideMark/>
          </w:tcPr>
          <w:p w14:paraId="3F5D6C84" w14:textId="77777777" w:rsidR="00596BE0" w:rsidRPr="002A55D2" w:rsidRDefault="00596BE0" w:rsidP="00596BE0">
            <w:pPr>
              <w:jc w:val="center"/>
              <w:rPr>
                <w:rFonts w:ascii="Arial" w:hAnsi="Arial" w:cs="Arial"/>
                <w:sz w:val="16"/>
                <w:szCs w:val="16"/>
              </w:rPr>
            </w:pPr>
            <w:r w:rsidRPr="002A55D2">
              <w:rPr>
                <w:rFonts w:ascii="Arial" w:hAnsi="Arial" w:cs="Arial"/>
                <w:sz w:val="16"/>
                <w:szCs w:val="16"/>
              </w:rPr>
              <w:t>1</w:t>
            </w:r>
            <w:r w:rsidRPr="002A55D2">
              <w:rPr>
                <w:rFonts w:ascii="Arial" w:hAnsi="Arial" w:cs="Arial"/>
                <w:sz w:val="16"/>
                <w:szCs w:val="16"/>
                <w:vertAlign w:val="superscript"/>
              </w:rPr>
              <w:t>a</w:t>
            </w:r>
          </w:p>
        </w:tc>
        <w:tc>
          <w:tcPr>
            <w:tcW w:w="371" w:type="pct"/>
            <w:tcBorders>
              <w:top w:val="nil"/>
              <w:left w:val="single" w:sz="6" w:space="0" w:color="000000"/>
              <w:bottom w:val="nil"/>
              <w:right w:val="single" w:sz="6" w:space="0" w:color="000000"/>
            </w:tcBorders>
            <w:hideMark/>
          </w:tcPr>
          <w:p w14:paraId="7E18CA9B" w14:textId="77777777" w:rsidR="00596BE0" w:rsidRPr="002A55D2" w:rsidRDefault="00596BE0" w:rsidP="00596BE0">
            <w:pPr>
              <w:jc w:val="center"/>
              <w:rPr>
                <w:rFonts w:ascii="Arial" w:hAnsi="Arial" w:cs="Arial"/>
                <w:sz w:val="16"/>
                <w:szCs w:val="16"/>
              </w:rPr>
            </w:pPr>
            <w:r w:rsidRPr="002A55D2">
              <w:rPr>
                <w:rFonts w:ascii="Arial" w:hAnsi="Arial" w:cs="Arial"/>
                <w:sz w:val="16"/>
                <w:szCs w:val="16"/>
              </w:rPr>
              <w:t>Cost-utility,</w:t>
            </w:r>
          </w:p>
          <w:p w14:paraId="1821A787" w14:textId="77777777" w:rsidR="00596BE0" w:rsidRPr="002A55D2" w:rsidRDefault="00596BE0" w:rsidP="00596BE0">
            <w:pPr>
              <w:jc w:val="center"/>
              <w:rPr>
                <w:rFonts w:ascii="Arial" w:hAnsi="Arial" w:cs="Arial"/>
                <w:sz w:val="16"/>
                <w:szCs w:val="16"/>
              </w:rPr>
            </w:pPr>
            <w:r w:rsidRPr="002A55D2">
              <w:rPr>
                <w:rFonts w:ascii="Arial" w:hAnsi="Arial" w:cs="Arial"/>
                <w:sz w:val="16"/>
                <w:szCs w:val="16"/>
              </w:rPr>
              <w:t>Markov model</w:t>
            </w:r>
          </w:p>
        </w:tc>
        <w:tc>
          <w:tcPr>
            <w:tcW w:w="434" w:type="pct"/>
            <w:tcBorders>
              <w:top w:val="nil"/>
              <w:left w:val="single" w:sz="6" w:space="0" w:color="000000"/>
              <w:bottom w:val="nil"/>
              <w:right w:val="single" w:sz="6" w:space="0" w:color="000000"/>
            </w:tcBorders>
            <w:hideMark/>
          </w:tcPr>
          <w:p w14:paraId="5E24AC66" w14:textId="77777777" w:rsidR="00596BE0" w:rsidRPr="002A55D2" w:rsidRDefault="00596BE0" w:rsidP="00596BE0">
            <w:pPr>
              <w:jc w:val="center"/>
              <w:rPr>
                <w:rFonts w:ascii="Arial" w:hAnsi="Arial" w:cs="Arial"/>
                <w:sz w:val="16"/>
                <w:szCs w:val="16"/>
              </w:rPr>
            </w:pPr>
            <w:r w:rsidRPr="002A55D2">
              <w:rPr>
                <w:rFonts w:ascii="Arial" w:hAnsi="Arial" w:cs="Arial"/>
                <w:sz w:val="16"/>
                <w:szCs w:val="16"/>
              </w:rPr>
              <w:t>Not serious</w:t>
            </w:r>
            <w:r w:rsidRPr="002A55D2">
              <w:rPr>
                <w:rFonts w:ascii="Arial" w:hAnsi="Arial" w:cs="Arial"/>
                <w:sz w:val="16"/>
                <w:szCs w:val="16"/>
                <w:vertAlign w:val="superscript"/>
              </w:rPr>
              <w:t>1</w:t>
            </w:r>
          </w:p>
        </w:tc>
        <w:tc>
          <w:tcPr>
            <w:tcW w:w="434" w:type="pct"/>
            <w:tcBorders>
              <w:top w:val="nil"/>
              <w:left w:val="single" w:sz="6" w:space="0" w:color="000000"/>
              <w:bottom w:val="nil"/>
              <w:right w:val="single" w:sz="6" w:space="0" w:color="000000"/>
            </w:tcBorders>
            <w:hideMark/>
          </w:tcPr>
          <w:p w14:paraId="3FF6B466" w14:textId="77777777" w:rsidR="00596BE0" w:rsidRPr="002A55D2" w:rsidRDefault="00596BE0" w:rsidP="00596BE0">
            <w:pPr>
              <w:jc w:val="center"/>
              <w:rPr>
                <w:rFonts w:ascii="Arial" w:hAnsi="Arial" w:cs="Arial"/>
                <w:sz w:val="16"/>
                <w:szCs w:val="16"/>
              </w:rPr>
            </w:pPr>
            <w:r w:rsidRPr="002A55D2">
              <w:rPr>
                <w:rFonts w:ascii="Arial" w:hAnsi="Arial" w:cs="Arial"/>
                <w:sz w:val="16"/>
                <w:szCs w:val="16"/>
              </w:rPr>
              <w:t>Not serious</w:t>
            </w:r>
          </w:p>
        </w:tc>
        <w:tc>
          <w:tcPr>
            <w:tcW w:w="439" w:type="pct"/>
            <w:tcBorders>
              <w:top w:val="nil"/>
              <w:left w:val="single" w:sz="6" w:space="0" w:color="000000"/>
              <w:bottom w:val="nil"/>
              <w:right w:val="single" w:sz="6" w:space="0" w:color="000000"/>
            </w:tcBorders>
            <w:hideMark/>
          </w:tcPr>
          <w:p w14:paraId="767383BE" w14:textId="77777777" w:rsidR="00596BE0" w:rsidRPr="002A55D2" w:rsidRDefault="00596BE0" w:rsidP="00596BE0">
            <w:pPr>
              <w:jc w:val="center"/>
              <w:rPr>
                <w:rFonts w:ascii="Arial" w:hAnsi="Arial" w:cs="Arial"/>
                <w:sz w:val="16"/>
                <w:szCs w:val="16"/>
              </w:rPr>
            </w:pPr>
            <w:r w:rsidRPr="002A55D2">
              <w:rPr>
                <w:rFonts w:ascii="Arial" w:hAnsi="Arial" w:cs="Arial"/>
                <w:sz w:val="16"/>
                <w:szCs w:val="16"/>
              </w:rPr>
              <w:t>Serious</w:t>
            </w:r>
            <w:r w:rsidRPr="002A55D2">
              <w:rPr>
                <w:rFonts w:ascii="Arial" w:hAnsi="Arial" w:cs="Arial"/>
                <w:sz w:val="16"/>
                <w:szCs w:val="16"/>
                <w:vertAlign w:val="superscript"/>
              </w:rPr>
              <w:t>2</w:t>
            </w:r>
          </w:p>
        </w:tc>
        <w:tc>
          <w:tcPr>
            <w:tcW w:w="376" w:type="pct"/>
            <w:tcBorders>
              <w:top w:val="nil"/>
              <w:left w:val="single" w:sz="6" w:space="0" w:color="000000"/>
              <w:bottom w:val="nil"/>
              <w:right w:val="single" w:sz="6" w:space="0" w:color="000000"/>
            </w:tcBorders>
            <w:hideMark/>
          </w:tcPr>
          <w:p w14:paraId="4892164B" w14:textId="77777777" w:rsidR="00596BE0" w:rsidRPr="002A55D2" w:rsidRDefault="00596BE0" w:rsidP="00596BE0">
            <w:pPr>
              <w:jc w:val="center"/>
              <w:rPr>
                <w:rFonts w:ascii="Arial" w:hAnsi="Arial" w:cs="Arial"/>
                <w:sz w:val="16"/>
                <w:szCs w:val="16"/>
              </w:rPr>
            </w:pPr>
            <w:r w:rsidRPr="002A55D2">
              <w:rPr>
                <w:rFonts w:ascii="Arial" w:hAnsi="Arial" w:cs="Arial"/>
                <w:sz w:val="16"/>
                <w:szCs w:val="16"/>
              </w:rPr>
              <w:t>Serious</w:t>
            </w:r>
            <w:r w:rsidRPr="002A55D2">
              <w:rPr>
                <w:rFonts w:ascii="Arial" w:hAnsi="Arial" w:cs="Arial"/>
                <w:sz w:val="16"/>
                <w:szCs w:val="16"/>
                <w:vertAlign w:val="superscript"/>
              </w:rPr>
              <w:t>3</w:t>
            </w:r>
          </w:p>
        </w:tc>
        <w:tc>
          <w:tcPr>
            <w:tcW w:w="405" w:type="pct"/>
            <w:tcBorders>
              <w:top w:val="nil"/>
              <w:left w:val="single" w:sz="6" w:space="0" w:color="000000"/>
              <w:bottom w:val="nil"/>
              <w:right w:val="single" w:sz="6" w:space="0" w:color="000000"/>
            </w:tcBorders>
            <w:hideMark/>
          </w:tcPr>
          <w:p w14:paraId="276E2845" w14:textId="77777777" w:rsidR="00596BE0" w:rsidRPr="002A55D2" w:rsidRDefault="00596BE0" w:rsidP="00596BE0">
            <w:pPr>
              <w:jc w:val="center"/>
              <w:rPr>
                <w:rFonts w:ascii="Arial" w:hAnsi="Arial" w:cs="Arial"/>
                <w:sz w:val="16"/>
                <w:szCs w:val="16"/>
              </w:rPr>
            </w:pPr>
            <w:r w:rsidRPr="002A55D2">
              <w:rPr>
                <w:rFonts w:ascii="Arial" w:hAnsi="Arial" w:cs="Arial"/>
                <w:sz w:val="16"/>
                <w:szCs w:val="16"/>
              </w:rPr>
              <w:t>Not serious</w:t>
            </w:r>
          </w:p>
        </w:tc>
        <w:tc>
          <w:tcPr>
            <w:tcW w:w="615" w:type="pct"/>
            <w:tcBorders>
              <w:top w:val="nil"/>
              <w:left w:val="single" w:sz="6" w:space="0" w:color="000000"/>
              <w:bottom w:val="nil"/>
              <w:right w:val="single" w:sz="6" w:space="0" w:color="000000"/>
            </w:tcBorders>
            <w:hideMark/>
          </w:tcPr>
          <w:p w14:paraId="480B9D8E" w14:textId="77777777" w:rsidR="00596BE0" w:rsidRPr="002A55D2" w:rsidRDefault="00596BE0" w:rsidP="00596BE0">
            <w:pPr>
              <w:pStyle w:val="Default"/>
              <w:spacing w:line="276" w:lineRule="auto"/>
              <w:jc w:val="center"/>
              <w:rPr>
                <w:rFonts w:ascii="Arial" w:hAnsi="Arial" w:cs="Arial"/>
                <w:sz w:val="16"/>
                <w:szCs w:val="16"/>
                <w:lang w:val="en-GB"/>
              </w:rPr>
            </w:pPr>
            <w:r w:rsidRPr="002A55D2">
              <w:rPr>
                <w:rFonts w:ascii="Arial" w:hAnsi="Arial" w:cs="Arial"/>
                <w:sz w:val="16"/>
                <w:szCs w:val="16"/>
                <w:lang w:val="en-GB"/>
              </w:rPr>
              <w:t>581,000 $</w:t>
            </w:r>
          </w:p>
          <w:p w14:paraId="00A83D29" w14:textId="77777777" w:rsidR="00596BE0" w:rsidRPr="002A55D2" w:rsidRDefault="00596BE0" w:rsidP="00596BE0">
            <w:pPr>
              <w:pStyle w:val="Default"/>
              <w:spacing w:line="276" w:lineRule="auto"/>
              <w:jc w:val="center"/>
              <w:rPr>
                <w:rFonts w:ascii="Arial" w:hAnsi="Arial" w:cs="Arial"/>
                <w:sz w:val="16"/>
                <w:szCs w:val="16"/>
                <w:lang w:val="en-GB"/>
              </w:rPr>
            </w:pPr>
            <w:r w:rsidRPr="002A55D2">
              <w:rPr>
                <w:rFonts w:ascii="Arial" w:hAnsi="Arial" w:cs="Arial"/>
                <w:sz w:val="16"/>
                <w:szCs w:val="16"/>
                <w:lang w:val="en-GB"/>
              </w:rPr>
              <w:t>(lifetime horizon)</w:t>
            </w:r>
          </w:p>
        </w:tc>
        <w:tc>
          <w:tcPr>
            <w:tcW w:w="679" w:type="pct"/>
            <w:tcBorders>
              <w:top w:val="single" w:sz="6" w:space="0" w:color="000000"/>
              <w:left w:val="single" w:sz="6" w:space="0" w:color="000000"/>
              <w:bottom w:val="single" w:sz="6" w:space="0" w:color="000000"/>
              <w:right w:val="single" w:sz="6" w:space="0" w:color="000000"/>
            </w:tcBorders>
          </w:tcPr>
          <w:p w14:paraId="513F08F0" w14:textId="77777777" w:rsidR="00596BE0" w:rsidRPr="002A55D2" w:rsidRDefault="00596BE0" w:rsidP="00596BE0">
            <w:pPr>
              <w:pStyle w:val="Default"/>
              <w:spacing w:line="276" w:lineRule="auto"/>
              <w:jc w:val="center"/>
              <w:rPr>
                <w:rFonts w:ascii="Arial" w:hAnsi="Arial" w:cs="Arial"/>
                <w:color w:val="auto"/>
                <w:sz w:val="16"/>
                <w:szCs w:val="16"/>
                <w:lang w:val="en-GB"/>
              </w:rPr>
            </w:pPr>
            <w:r w:rsidRPr="002A55D2">
              <w:rPr>
                <w:rFonts w:ascii="Arial" w:hAnsi="Arial" w:cs="Arial"/>
                <w:color w:val="auto"/>
                <w:sz w:val="16"/>
                <w:szCs w:val="16"/>
                <w:lang w:val="en-GB"/>
              </w:rPr>
              <w:t>1.41 QALYs</w:t>
            </w:r>
          </w:p>
          <w:p w14:paraId="7A46BE1F" w14:textId="77777777" w:rsidR="00596BE0" w:rsidRPr="002A55D2" w:rsidRDefault="00596BE0" w:rsidP="00596BE0">
            <w:pPr>
              <w:pStyle w:val="Default"/>
              <w:spacing w:line="276" w:lineRule="auto"/>
              <w:jc w:val="center"/>
              <w:rPr>
                <w:rFonts w:ascii="Arial" w:hAnsi="Arial" w:cs="Arial"/>
                <w:color w:val="auto"/>
                <w:sz w:val="16"/>
                <w:szCs w:val="16"/>
                <w:lang w:val="en-GB"/>
              </w:rPr>
            </w:pPr>
            <w:r w:rsidRPr="002A55D2">
              <w:rPr>
                <w:rFonts w:ascii="Arial" w:hAnsi="Arial" w:cs="Arial"/>
                <w:sz w:val="16"/>
                <w:szCs w:val="16"/>
                <w:lang w:val="en-GB"/>
              </w:rPr>
              <w:t>(lifetime horizon)</w:t>
            </w:r>
          </w:p>
          <w:p w14:paraId="06F895E3" w14:textId="77777777" w:rsidR="00596BE0" w:rsidRPr="002A55D2" w:rsidRDefault="00596BE0" w:rsidP="00596BE0">
            <w:pPr>
              <w:pStyle w:val="Default"/>
              <w:spacing w:line="276" w:lineRule="auto"/>
              <w:jc w:val="center"/>
              <w:rPr>
                <w:rFonts w:ascii="Arial" w:hAnsi="Arial" w:cs="Arial"/>
                <w:sz w:val="16"/>
                <w:szCs w:val="16"/>
                <w:lang w:val="en-GB"/>
              </w:rPr>
            </w:pPr>
          </w:p>
        </w:tc>
        <w:tc>
          <w:tcPr>
            <w:tcW w:w="608" w:type="pct"/>
            <w:tcBorders>
              <w:top w:val="single" w:sz="6" w:space="0" w:color="000000"/>
              <w:left w:val="single" w:sz="6" w:space="0" w:color="000000"/>
              <w:bottom w:val="single" w:sz="6" w:space="0" w:color="000000"/>
              <w:right w:val="single" w:sz="6" w:space="0" w:color="000000"/>
            </w:tcBorders>
            <w:hideMark/>
          </w:tcPr>
          <w:p w14:paraId="099AEB3A" w14:textId="1134E753" w:rsidR="00596BE0" w:rsidRPr="002A55D2" w:rsidRDefault="00596BE0" w:rsidP="00596BE0">
            <w:pPr>
              <w:jc w:val="center"/>
              <w:rPr>
                <w:rFonts w:ascii="Arial" w:hAnsi="Arial" w:cs="Arial"/>
                <w:sz w:val="16"/>
                <w:szCs w:val="16"/>
              </w:rPr>
            </w:pPr>
            <w:r w:rsidRPr="002A55D2">
              <w:rPr>
                <w:rFonts w:ascii="Arial" w:hAnsi="Arial" w:cs="Arial"/>
                <w:sz w:val="16"/>
                <w:szCs w:val="16"/>
              </w:rPr>
              <w:t>412,000 $ / QALY</w:t>
            </w:r>
            <w:r w:rsidR="00111973" w:rsidRPr="00FD3FC4">
              <w:rPr>
                <w:rFonts w:ascii="Arial" w:hAnsi="Arial" w:cs="Arial"/>
                <w:sz w:val="16"/>
                <w:szCs w:val="16"/>
                <w:vertAlign w:val="superscript"/>
              </w:rPr>
              <w:t>4</w:t>
            </w:r>
          </w:p>
        </w:tc>
        <w:tc>
          <w:tcPr>
            <w:tcW w:w="325" w:type="pct"/>
            <w:tcBorders>
              <w:top w:val="nil"/>
              <w:left w:val="single" w:sz="6" w:space="0" w:color="000000"/>
              <w:bottom w:val="nil"/>
              <w:right w:val="single" w:sz="6" w:space="0" w:color="000000"/>
            </w:tcBorders>
            <w:hideMark/>
          </w:tcPr>
          <w:p w14:paraId="173EC7AC" w14:textId="77777777" w:rsidR="00596BE0" w:rsidRPr="002A55D2" w:rsidRDefault="00596BE0" w:rsidP="00596BE0">
            <w:pPr>
              <w:jc w:val="center"/>
              <w:rPr>
                <w:rStyle w:val="quality-sign"/>
                <w:rFonts w:ascii="Arial" w:hAnsi="Arial" w:cs="Arial"/>
                <w:sz w:val="16"/>
                <w:szCs w:val="16"/>
              </w:rPr>
            </w:pPr>
            <w:r w:rsidRPr="002A55D2">
              <w:rPr>
                <w:rStyle w:val="quality-sign"/>
                <w:rFonts w:ascii="Cambria Math" w:hAnsi="Cambria Math" w:cs="Cambria Math"/>
                <w:sz w:val="16"/>
                <w:szCs w:val="16"/>
              </w:rPr>
              <w:t>⨁⨁⨁</w:t>
            </w:r>
            <w:r w:rsidRPr="002A55D2">
              <w:rPr>
                <w:rStyle w:val="quality-sign"/>
                <w:rFonts w:ascii="Segoe UI Symbol" w:eastAsia="ヒラギノ角ゴシック W3" w:hAnsi="Segoe UI Symbol" w:cs="Segoe UI Symbol"/>
                <w:sz w:val="16"/>
                <w:szCs w:val="16"/>
              </w:rPr>
              <w:t>◯</w:t>
            </w:r>
          </w:p>
          <w:p w14:paraId="5E7EBC6B" w14:textId="77777777" w:rsidR="00596BE0" w:rsidRPr="002A55D2" w:rsidRDefault="00596BE0" w:rsidP="00596BE0">
            <w:pPr>
              <w:jc w:val="center"/>
              <w:rPr>
                <w:rStyle w:val="quality-sign"/>
                <w:rFonts w:ascii="Arial" w:hAnsi="Arial" w:cs="Arial"/>
                <w:sz w:val="16"/>
                <w:szCs w:val="16"/>
              </w:rPr>
            </w:pPr>
            <w:r w:rsidRPr="002A55D2">
              <w:rPr>
                <w:rStyle w:val="quality-sign"/>
                <w:rFonts w:ascii="Arial" w:hAnsi="Arial" w:cs="Arial"/>
                <w:sz w:val="16"/>
                <w:szCs w:val="16"/>
              </w:rPr>
              <w:t xml:space="preserve">MODERATE </w:t>
            </w:r>
          </w:p>
        </w:tc>
      </w:tr>
      <w:tr w:rsidR="00596BE0" w14:paraId="1F4D8D4B" w14:textId="77777777" w:rsidTr="00596BE0">
        <w:trPr>
          <w:cantSplit/>
          <w:trHeight w:val="238"/>
          <w:jc w:val="center"/>
        </w:trPr>
        <w:tc>
          <w:tcPr>
            <w:tcW w:w="5000" w:type="pct"/>
            <w:gridSpan w:val="11"/>
            <w:tcBorders>
              <w:top w:val="single" w:sz="6" w:space="0" w:color="000000"/>
              <w:left w:val="single" w:sz="6" w:space="0" w:color="000000"/>
              <w:bottom w:val="single" w:sz="6" w:space="0" w:color="000000"/>
              <w:right w:val="single" w:sz="6" w:space="0" w:color="000000"/>
            </w:tcBorders>
            <w:shd w:val="clear" w:color="auto" w:fill="EDEDED"/>
            <w:hideMark/>
          </w:tcPr>
          <w:p w14:paraId="44F5A87D" w14:textId="77777777" w:rsidR="00596BE0" w:rsidRPr="002A55D2" w:rsidRDefault="00596BE0" w:rsidP="00596BE0">
            <w:pPr>
              <w:rPr>
                <w:rFonts w:ascii="Arial" w:hAnsi="Arial" w:cs="Arial"/>
                <w:sz w:val="16"/>
                <w:szCs w:val="16"/>
              </w:rPr>
            </w:pPr>
            <w:r w:rsidRPr="002A55D2">
              <w:rPr>
                <w:rStyle w:val="label"/>
                <w:rFonts w:ascii="Arial" w:hAnsi="Arial" w:cs="Arial"/>
                <w:sz w:val="16"/>
                <w:szCs w:val="16"/>
              </w:rPr>
              <w:t xml:space="preserve">ICER per </w:t>
            </w:r>
            <w:r w:rsidRPr="002A55D2">
              <w:rPr>
                <w:rFonts w:ascii="Arial" w:hAnsi="Arial" w:cs="Arial"/>
                <w:color w:val="1A1718"/>
                <w:sz w:val="16"/>
                <w:szCs w:val="16"/>
                <w:lang w:eastAsia="en-GB"/>
              </w:rPr>
              <w:t xml:space="preserve">QALY (high quality </w:t>
            </w:r>
            <w:proofErr w:type="gramStart"/>
            <w:r w:rsidRPr="002A55D2">
              <w:rPr>
                <w:rFonts w:ascii="Arial" w:hAnsi="Arial" w:cs="Arial"/>
                <w:color w:val="1A1718"/>
                <w:sz w:val="16"/>
                <w:szCs w:val="16"/>
                <w:lang w:eastAsia="en-GB"/>
              </w:rPr>
              <w:t>study  -</w:t>
            </w:r>
            <w:proofErr w:type="gramEnd"/>
            <w:r w:rsidRPr="002A55D2">
              <w:rPr>
                <w:rFonts w:ascii="Arial" w:hAnsi="Arial" w:cs="Arial"/>
                <w:color w:val="1A1718"/>
                <w:sz w:val="16"/>
                <w:szCs w:val="16"/>
                <w:lang w:eastAsia="en-GB"/>
              </w:rPr>
              <w:t xml:space="preserve"> funded by Industry)</w:t>
            </w:r>
          </w:p>
        </w:tc>
      </w:tr>
      <w:tr w:rsidR="00596BE0" w14:paraId="7D9B6F29" w14:textId="77777777" w:rsidTr="00596BE0">
        <w:trPr>
          <w:cantSplit/>
          <w:trHeight w:val="408"/>
          <w:jc w:val="center"/>
        </w:trPr>
        <w:tc>
          <w:tcPr>
            <w:tcW w:w="310" w:type="pct"/>
            <w:tcBorders>
              <w:top w:val="nil"/>
              <w:left w:val="single" w:sz="6" w:space="0" w:color="000000"/>
              <w:bottom w:val="single" w:sz="6" w:space="0" w:color="000000"/>
              <w:right w:val="single" w:sz="6" w:space="0" w:color="000000"/>
            </w:tcBorders>
            <w:hideMark/>
          </w:tcPr>
          <w:p w14:paraId="7D322D77" w14:textId="77777777" w:rsidR="00596BE0" w:rsidRPr="002A55D2" w:rsidRDefault="00596BE0" w:rsidP="00596BE0">
            <w:pPr>
              <w:jc w:val="center"/>
              <w:rPr>
                <w:rFonts w:ascii="Arial" w:hAnsi="Arial" w:cs="Arial"/>
                <w:sz w:val="16"/>
                <w:szCs w:val="16"/>
              </w:rPr>
            </w:pPr>
            <w:r w:rsidRPr="002A55D2">
              <w:rPr>
                <w:rFonts w:ascii="Arial" w:hAnsi="Arial" w:cs="Arial"/>
                <w:sz w:val="16"/>
                <w:szCs w:val="16"/>
              </w:rPr>
              <w:lastRenderedPageBreak/>
              <w:t>1</w:t>
            </w:r>
            <w:r w:rsidRPr="002A55D2">
              <w:rPr>
                <w:rFonts w:ascii="Arial" w:hAnsi="Arial" w:cs="Arial"/>
                <w:sz w:val="16"/>
                <w:szCs w:val="16"/>
                <w:vertAlign w:val="superscript"/>
              </w:rPr>
              <w:t>b</w:t>
            </w:r>
          </w:p>
        </w:tc>
        <w:tc>
          <w:tcPr>
            <w:tcW w:w="368" w:type="pct"/>
            <w:tcBorders>
              <w:top w:val="nil"/>
              <w:left w:val="single" w:sz="6" w:space="0" w:color="000000"/>
              <w:bottom w:val="single" w:sz="6" w:space="0" w:color="000000"/>
              <w:right w:val="single" w:sz="6" w:space="0" w:color="000000"/>
            </w:tcBorders>
            <w:hideMark/>
          </w:tcPr>
          <w:p w14:paraId="0907296B" w14:textId="77777777" w:rsidR="00596BE0" w:rsidRPr="002A55D2" w:rsidRDefault="00596BE0" w:rsidP="00596BE0">
            <w:pPr>
              <w:jc w:val="center"/>
              <w:rPr>
                <w:rFonts w:ascii="Arial" w:hAnsi="Arial" w:cs="Arial"/>
                <w:sz w:val="16"/>
                <w:szCs w:val="16"/>
              </w:rPr>
            </w:pPr>
            <w:r w:rsidRPr="002A55D2">
              <w:rPr>
                <w:rFonts w:ascii="Arial" w:hAnsi="Arial" w:cs="Arial"/>
                <w:sz w:val="16"/>
                <w:szCs w:val="16"/>
              </w:rPr>
              <w:t>Cost-utility,</w:t>
            </w:r>
          </w:p>
          <w:p w14:paraId="72CC92A8" w14:textId="77777777" w:rsidR="00596BE0" w:rsidRPr="002A55D2" w:rsidRDefault="00596BE0" w:rsidP="00596BE0">
            <w:pPr>
              <w:jc w:val="center"/>
              <w:rPr>
                <w:rFonts w:ascii="Arial" w:hAnsi="Arial" w:cs="Arial"/>
                <w:sz w:val="16"/>
                <w:szCs w:val="16"/>
              </w:rPr>
            </w:pPr>
            <w:r w:rsidRPr="002A55D2">
              <w:rPr>
                <w:rFonts w:ascii="Arial" w:hAnsi="Arial" w:cs="Arial"/>
                <w:sz w:val="16"/>
                <w:szCs w:val="16"/>
              </w:rPr>
              <w:t>Markov model</w:t>
            </w:r>
          </w:p>
        </w:tc>
        <w:tc>
          <w:tcPr>
            <w:tcW w:w="431" w:type="pct"/>
            <w:tcBorders>
              <w:top w:val="nil"/>
              <w:left w:val="single" w:sz="6" w:space="0" w:color="000000"/>
              <w:bottom w:val="single" w:sz="6" w:space="0" w:color="000000"/>
              <w:right w:val="single" w:sz="6" w:space="0" w:color="000000"/>
            </w:tcBorders>
            <w:hideMark/>
          </w:tcPr>
          <w:p w14:paraId="2D233E5A" w14:textId="7CF8A852" w:rsidR="00596BE0" w:rsidRPr="002A55D2" w:rsidRDefault="00596BE0" w:rsidP="00596BE0">
            <w:pPr>
              <w:jc w:val="center"/>
              <w:rPr>
                <w:rFonts w:ascii="Arial" w:hAnsi="Arial" w:cs="Arial"/>
                <w:sz w:val="16"/>
                <w:szCs w:val="16"/>
              </w:rPr>
            </w:pPr>
            <w:r w:rsidRPr="002A55D2">
              <w:rPr>
                <w:rFonts w:ascii="Arial" w:hAnsi="Arial" w:cs="Arial"/>
                <w:sz w:val="16"/>
                <w:szCs w:val="16"/>
              </w:rPr>
              <w:t>Not serious</w:t>
            </w:r>
            <w:r w:rsidR="00111973">
              <w:rPr>
                <w:rFonts w:ascii="Arial" w:hAnsi="Arial" w:cs="Arial"/>
                <w:sz w:val="16"/>
                <w:szCs w:val="16"/>
                <w:vertAlign w:val="superscript"/>
              </w:rPr>
              <w:t>5</w:t>
            </w:r>
          </w:p>
        </w:tc>
        <w:tc>
          <w:tcPr>
            <w:tcW w:w="431" w:type="pct"/>
            <w:tcBorders>
              <w:top w:val="nil"/>
              <w:left w:val="single" w:sz="6" w:space="0" w:color="000000"/>
              <w:bottom w:val="single" w:sz="6" w:space="0" w:color="000000"/>
              <w:right w:val="single" w:sz="6" w:space="0" w:color="000000"/>
            </w:tcBorders>
            <w:hideMark/>
          </w:tcPr>
          <w:p w14:paraId="3C1BDE55" w14:textId="77777777" w:rsidR="00596BE0" w:rsidRPr="002A55D2" w:rsidRDefault="00596BE0" w:rsidP="00596BE0">
            <w:pPr>
              <w:jc w:val="center"/>
              <w:rPr>
                <w:rFonts w:ascii="Arial" w:hAnsi="Arial" w:cs="Arial"/>
                <w:sz w:val="16"/>
                <w:szCs w:val="16"/>
              </w:rPr>
            </w:pPr>
            <w:r w:rsidRPr="002A55D2">
              <w:rPr>
                <w:rFonts w:ascii="Arial" w:hAnsi="Arial" w:cs="Arial"/>
                <w:sz w:val="16"/>
                <w:szCs w:val="16"/>
              </w:rPr>
              <w:t>Not serious</w:t>
            </w:r>
          </w:p>
        </w:tc>
        <w:tc>
          <w:tcPr>
            <w:tcW w:w="436" w:type="pct"/>
            <w:tcBorders>
              <w:top w:val="nil"/>
              <w:left w:val="single" w:sz="6" w:space="0" w:color="000000"/>
              <w:bottom w:val="single" w:sz="6" w:space="0" w:color="000000"/>
              <w:right w:val="single" w:sz="6" w:space="0" w:color="000000"/>
            </w:tcBorders>
            <w:hideMark/>
          </w:tcPr>
          <w:p w14:paraId="142D4257" w14:textId="6A5E5F40" w:rsidR="00596BE0" w:rsidRPr="002A55D2" w:rsidRDefault="00596BE0" w:rsidP="00596BE0">
            <w:pPr>
              <w:jc w:val="center"/>
              <w:rPr>
                <w:rFonts w:ascii="Arial" w:hAnsi="Arial" w:cs="Arial"/>
                <w:sz w:val="16"/>
                <w:szCs w:val="16"/>
              </w:rPr>
            </w:pPr>
            <w:r w:rsidRPr="002A55D2">
              <w:rPr>
                <w:rFonts w:ascii="Arial" w:hAnsi="Arial" w:cs="Arial"/>
                <w:sz w:val="16"/>
                <w:szCs w:val="16"/>
              </w:rPr>
              <w:t>Serious</w:t>
            </w:r>
            <w:r w:rsidR="00111973">
              <w:rPr>
                <w:rFonts w:ascii="Arial" w:hAnsi="Arial" w:cs="Arial"/>
                <w:sz w:val="16"/>
                <w:szCs w:val="16"/>
                <w:vertAlign w:val="superscript"/>
              </w:rPr>
              <w:t>6</w:t>
            </w:r>
          </w:p>
        </w:tc>
        <w:tc>
          <w:tcPr>
            <w:tcW w:w="373" w:type="pct"/>
            <w:tcBorders>
              <w:top w:val="nil"/>
              <w:left w:val="single" w:sz="6" w:space="0" w:color="000000"/>
              <w:bottom w:val="single" w:sz="6" w:space="0" w:color="000000"/>
              <w:right w:val="single" w:sz="6" w:space="0" w:color="000000"/>
            </w:tcBorders>
            <w:hideMark/>
          </w:tcPr>
          <w:p w14:paraId="2756C6D1" w14:textId="4179180E" w:rsidR="00596BE0" w:rsidRPr="002A55D2" w:rsidRDefault="00596BE0" w:rsidP="00596BE0">
            <w:pPr>
              <w:jc w:val="center"/>
              <w:rPr>
                <w:rFonts w:ascii="Arial" w:hAnsi="Arial" w:cs="Arial"/>
                <w:sz w:val="16"/>
                <w:szCs w:val="16"/>
              </w:rPr>
            </w:pPr>
            <w:r w:rsidRPr="002A55D2">
              <w:rPr>
                <w:rFonts w:ascii="Arial" w:hAnsi="Arial" w:cs="Arial"/>
                <w:sz w:val="16"/>
                <w:szCs w:val="16"/>
              </w:rPr>
              <w:t>Serious</w:t>
            </w:r>
            <w:r w:rsidR="00111973">
              <w:rPr>
                <w:rFonts w:ascii="Arial" w:hAnsi="Arial" w:cs="Arial"/>
                <w:sz w:val="16"/>
                <w:szCs w:val="16"/>
                <w:vertAlign w:val="superscript"/>
              </w:rPr>
              <w:t>7</w:t>
            </w:r>
          </w:p>
        </w:tc>
        <w:tc>
          <w:tcPr>
            <w:tcW w:w="402" w:type="pct"/>
            <w:tcBorders>
              <w:top w:val="nil"/>
              <w:left w:val="single" w:sz="6" w:space="0" w:color="000000"/>
              <w:bottom w:val="single" w:sz="6" w:space="0" w:color="000000"/>
              <w:right w:val="single" w:sz="6" w:space="0" w:color="000000"/>
            </w:tcBorders>
            <w:hideMark/>
          </w:tcPr>
          <w:p w14:paraId="47161724" w14:textId="77777777" w:rsidR="00596BE0" w:rsidRPr="002A55D2" w:rsidRDefault="00596BE0" w:rsidP="00596BE0">
            <w:pPr>
              <w:jc w:val="center"/>
              <w:rPr>
                <w:rFonts w:ascii="Arial" w:hAnsi="Arial" w:cs="Arial"/>
                <w:sz w:val="16"/>
                <w:szCs w:val="16"/>
              </w:rPr>
            </w:pPr>
            <w:r w:rsidRPr="002A55D2">
              <w:rPr>
                <w:rFonts w:ascii="Arial" w:hAnsi="Arial" w:cs="Arial"/>
                <w:sz w:val="16"/>
                <w:szCs w:val="16"/>
              </w:rPr>
              <w:t>Not serious</w:t>
            </w:r>
          </w:p>
        </w:tc>
        <w:tc>
          <w:tcPr>
            <w:tcW w:w="612" w:type="pct"/>
            <w:tcBorders>
              <w:top w:val="nil"/>
              <w:left w:val="single" w:sz="6" w:space="0" w:color="000000"/>
              <w:bottom w:val="single" w:sz="6" w:space="0" w:color="000000"/>
              <w:right w:val="single" w:sz="6" w:space="0" w:color="000000"/>
            </w:tcBorders>
            <w:hideMark/>
          </w:tcPr>
          <w:p w14:paraId="3582AA67" w14:textId="77777777" w:rsidR="00596BE0" w:rsidRPr="002A55D2" w:rsidRDefault="00596BE0" w:rsidP="00596BE0">
            <w:pPr>
              <w:pStyle w:val="Default"/>
              <w:spacing w:line="276" w:lineRule="auto"/>
              <w:jc w:val="center"/>
              <w:rPr>
                <w:rFonts w:ascii="Arial" w:hAnsi="Arial" w:cs="Arial"/>
                <w:sz w:val="16"/>
                <w:szCs w:val="16"/>
                <w:lang w:val="en-GB"/>
              </w:rPr>
            </w:pPr>
            <w:r w:rsidRPr="002A55D2">
              <w:rPr>
                <w:rFonts w:ascii="Arial" w:hAnsi="Arial" w:cs="Arial"/>
                <w:sz w:val="16"/>
                <w:szCs w:val="16"/>
                <w:lang w:val="en-GB"/>
              </w:rPr>
              <w:t>NR £</w:t>
            </w:r>
          </w:p>
          <w:p w14:paraId="70D00197" w14:textId="77777777" w:rsidR="00596BE0" w:rsidRPr="002A55D2" w:rsidRDefault="00596BE0" w:rsidP="00596BE0">
            <w:pPr>
              <w:pStyle w:val="Default"/>
              <w:spacing w:line="276" w:lineRule="auto"/>
              <w:jc w:val="center"/>
              <w:rPr>
                <w:rFonts w:ascii="Arial" w:hAnsi="Arial" w:cs="Arial"/>
                <w:sz w:val="16"/>
                <w:szCs w:val="16"/>
                <w:lang w:val="en-GB"/>
              </w:rPr>
            </w:pPr>
            <w:r w:rsidRPr="002A55D2">
              <w:rPr>
                <w:rFonts w:ascii="Arial" w:hAnsi="Arial" w:cs="Arial"/>
                <w:sz w:val="16"/>
                <w:szCs w:val="16"/>
                <w:lang w:val="en-GB"/>
              </w:rPr>
              <w:t>(lifetime horizon)</w:t>
            </w:r>
          </w:p>
        </w:tc>
        <w:tc>
          <w:tcPr>
            <w:tcW w:w="676" w:type="pct"/>
            <w:tcBorders>
              <w:top w:val="single" w:sz="6" w:space="0" w:color="000000"/>
              <w:left w:val="single" w:sz="6" w:space="0" w:color="000000"/>
              <w:bottom w:val="single" w:sz="6" w:space="0" w:color="000000"/>
              <w:right w:val="single" w:sz="6" w:space="0" w:color="000000"/>
            </w:tcBorders>
          </w:tcPr>
          <w:p w14:paraId="76D9E554" w14:textId="77777777" w:rsidR="00596BE0" w:rsidRPr="002A55D2" w:rsidRDefault="00596BE0" w:rsidP="00596BE0">
            <w:pPr>
              <w:pStyle w:val="Default"/>
              <w:spacing w:line="276" w:lineRule="auto"/>
              <w:jc w:val="center"/>
              <w:rPr>
                <w:rFonts w:ascii="Arial" w:hAnsi="Arial" w:cs="Arial"/>
                <w:color w:val="auto"/>
                <w:sz w:val="16"/>
                <w:szCs w:val="16"/>
                <w:lang w:val="en-GB"/>
              </w:rPr>
            </w:pPr>
            <w:r w:rsidRPr="002A55D2">
              <w:rPr>
                <w:rFonts w:ascii="Arial" w:hAnsi="Arial" w:cs="Arial"/>
                <w:color w:val="auto"/>
                <w:sz w:val="16"/>
                <w:szCs w:val="16"/>
                <w:lang w:val="en-GB"/>
              </w:rPr>
              <w:t>NR QALYs</w:t>
            </w:r>
          </w:p>
          <w:p w14:paraId="203FC1E0" w14:textId="77777777" w:rsidR="00596BE0" w:rsidRPr="002A55D2" w:rsidRDefault="00596BE0" w:rsidP="00596BE0">
            <w:pPr>
              <w:pStyle w:val="Default"/>
              <w:spacing w:line="276" w:lineRule="auto"/>
              <w:jc w:val="center"/>
              <w:rPr>
                <w:rFonts w:ascii="Arial" w:hAnsi="Arial" w:cs="Arial"/>
                <w:color w:val="auto"/>
                <w:sz w:val="16"/>
                <w:szCs w:val="16"/>
                <w:lang w:val="en-GB"/>
              </w:rPr>
            </w:pPr>
            <w:r w:rsidRPr="002A55D2">
              <w:rPr>
                <w:rFonts w:ascii="Arial" w:hAnsi="Arial" w:cs="Arial"/>
                <w:sz w:val="16"/>
                <w:szCs w:val="16"/>
                <w:lang w:val="en-GB"/>
              </w:rPr>
              <w:t>(lifetime horizon)</w:t>
            </w:r>
          </w:p>
          <w:p w14:paraId="48FD79AD" w14:textId="77777777" w:rsidR="00596BE0" w:rsidRPr="002A55D2" w:rsidRDefault="00596BE0" w:rsidP="00596BE0">
            <w:pPr>
              <w:pStyle w:val="Default"/>
              <w:spacing w:line="276" w:lineRule="auto"/>
              <w:jc w:val="center"/>
              <w:rPr>
                <w:rFonts w:ascii="Arial" w:hAnsi="Arial" w:cs="Arial"/>
                <w:sz w:val="16"/>
                <w:szCs w:val="16"/>
                <w:lang w:val="en-GB"/>
              </w:rPr>
            </w:pPr>
          </w:p>
        </w:tc>
        <w:tc>
          <w:tcPr>
            <w:tcW w:w="605" w:type="pct"/>
            <w:tcBorders>
              <w:top w:val="single" w:sz="6" w:space="0" w:color="000000"/>
              <w:left w:val="single" w:sz="6" w:space="0" w:color="000000"/>
              <w:bottom w:val="single" w:sz="6" w:space="0" w:color="000000"/>
              <w:right w:val="single" w:sz="6" w:space="0" w:color="000000"/>
            </w:tcBorders>
            <w:hideMark/>
          </w:tcPr>
          <w:p w14:paraId="3F31D0BE" w14:textId="6AF01197" w:rsidR="00596BE0" w:rsidRPr="002A55D2" w:rsidRDefault="00596BE0" w:rsidP="00596BE0">
            <w:pPr>
              <w:pStyle w:val="Default"/>
              <w:spacing w:line="276" w:lineRule="auto"/>
              <w:jc w:val="center"/>
              <w:rPr>
                <w:rFonts w:ascii="Arial" w:hAnsi="Arial" w:cs="Arial"/>
                <w:sz w:val="16"/>
                <w:szCs w:val="16"/>
                <w:lang w:val="en-GB"/>
              </w:rPr>
            </w:pPr>
            <w:r w:rsidRPr="002A55D2">
              <w:rPr>
                <w:rFonts w:ascii="Arial" w:hAnsi="Arial" w:cs="Arial"/>
                <w:sz w:val="16"/>
                <w:szCs w:val="16"/>
                <w:lang w:val="en-GB"/>
              </w:rPr>
              <w:t xml:space="preserve">39,135 </w:t>
            </w:r>
            <w:proofErr w:type="gramStart"/>
            <w:r w:rsidRPr="002A55D2">
              <w:rPr>
                <w:rFonts w:ascii="Arial" w:hAnsi="Arial" w:cs="Arial"/>
                <w:sz w:val="16"/>
                <w:szCs w:val="16"/>
                <w:lang w:val="en-GB"/>
              </w:rPr>
              <w:t>£  /</w:t>
            </w:r>
            <w:proofErr w:type="gramEnd"/>
            <w:r w:rsidRPr="002A55D2">
              <w:rPr>
                <w:rFonts w:ascii="Arial" w:hAnsi="Arial" w:cs="Arial"/>
                <w:sz w:val="16"/>
                <w:szCs w:val="16"/>
                <w:lang w:val="en-GB"/>
              </w:rPr>
              <w:t xml:space="preserve"> QALY</w:t>
            </w:r>
            <w:r w:rsidR="00111973" w:rsidRPr="00FD3FC4">
              <w:rPr>
                <w:rFonts w:ascii="Arial" w:hAnsi="Arial" w:cs="Arial"/>
                <w:sz w:val="16"/>
                <w:szCs w:val="16"/>
                <w:vertAlign w:val="superscript"/>
                <w:lang w:val="en-GB"/>
              </w:rPr>
              <w:t>4</w:t>
            </w:r>
          </w:p>
        </w:tc>
        <w:tc>
          <w:tcPr>
            <w:tcW w:w="358" w:type="pct"/>
            <w:tcBorders>
              <w:top w:val="nil"/>
              <w:left w:val="single" w:sz="6" w:space="0" w:color="000000"/>
              <w:bottom w:val="single" w:sz="6" w:space="0" w:color="000000"/>
              <w:right w:val="single" w:sz="6" w:space="0" w:color="000000"/>
            </w:tcBorders>
            <w:hideMark/>
          </w:tcPr>
          <w:p w14:paraId="7521DC44" w14:textId="77777777" w:rsidR="00596BE0" w:rsidRPr="002A55D2" w:rsidRDefault="00596BE0" w:rsidP="00596BE0">
            <w:pPr>
              <w:jc w:val="center"/>
              <w:rPr>
                <w:rStyle w:val="quality-sign"/>
                <w:rFonts w:ascii="Arial" w:hAnsi="Arial" w:cs="Arial"/>
                <w:sz w:val="16"/>
                <w:szCs w:val="16"/>
              </w:rPr>
            </w:pPr>
            <w:r w:rsidRPr="002A55D2">
              <w:rPr>
                <w:rStyle w:val="quality-sign"/>
                <w:rFonts w:ascii="Cambria Math" w:hAnsi="Cambria Math" w:cs="Cambria Math"/>
                <w:sz w:val="16"/>
                <w:szCs w:val="16"/>
              </w:rPr>
              <w:t>⨁⨁</w:t>
            </w:r>
            <w:r w:rsidRPr="002A55D2">
              <w:rPr>
                <w:rStyle w:val="quality-sign"/>
                <w:rFonts w:ascii="Segoe UI Symbol" w:eastAsia="ヒラギノ角ゴシック W3" w:hAnsi="Segoe UI Symbol" w:cs="Segoe UI Symbol"/>
                <w:sz w:val="16"/>
                <w:szCs w:val="16"/>
              </w:rPr>
              <w:t>◯◯</w:t>
            </w:r>
          </w:p>
          <w:p w14:paraId="2F0C1557" w14:textId="77777777" w:rsidR="00596BE0" w:rsidRPr="002A55D2" w:rsidRDefault="00596BE0" w:rsidP="00596BE0">
            <w:pPr>
              <w:jc w:val="center"/>
              <w:rPr>
                <w:rStyle w:val="quality-sign"/>
                <w:rFonts w:ascii="Arial" w:hAnsi="Arial" w:cs="Arial"/>
                <w:sz w:val="16"/>
                <w:szCs w:val="16"/>
              </w:rPr>
            </w:pPr>
            <w:r w:rsidRPr="002A55D2">
              <w:rPr>
                <w:rStyle w:val="quality-sign"/>
                <w:rFonts w:ascii="Arial" w:hAnsi="Arial" w:cs="Arial"/>
                <w:sz w:val="16"/>
                <w:szCs w:val="16"/>
              </w:rPr>
              <w:t>LOW</w:t>
            </w:r>
          </w:p>
        </w:tc>
      </w:tr>
    </w:tbl>
    <w:p w14:paraId="4F047FD0" w14:textId="52091A3E" w:rsidR="00596BE0" w:rsidRDefault="00596BE0" w:rsidP="00596BE0">
      <w:pPr>
        <w:rPr>
          <w:sz w:val="18"/>
          <w:szCs w:val="18"/>
        </w:rPr>
      </w:pPr>
      <w:r>
        <w:rPr>
          <w:sz w:val="18"/>
          <w:szCs w:val="18"/>
        </w:rPr>
        <w:t>*Incremental cost and effect</w:t>
      </w:r>
      <w:r>
        <w:t xml:space="preserve"> </w:t>
      </w:r>
      <w:r>
        <w:rPr>
          <w:sz w:val="18"/>
          <w:szCs w:val="18"/>
        </w:rPr>
        <w:t xml:space="preserve">due to the addition of </w:t>
      </w:r>
      <w:r w:rsidR="00554CE7">
        <w:rPr>
          <w:sz w:val="18"/>
          <w:szCs w:val="18"/>
        </w:rPr>
        <w:t>b</w:t>
      </w:r>
      <w:r>
        <w:rPr>
          <w:sz w:val="18"/>
          <w:szCs w:val="18"/>
        </w:rPr>
        <w:t xml:space="preserve">enralizumab. </w:t>
      </w:r>
    </w:p>
    <w:p w14:paraId="7AA83B94" w14:textId="77777777" w:rsidR="00596BE0" w:rsidRDefault="00596BE0" w:rsidP="00596BE0">
      <w:pPr>
        <w:rPr>
          <w:sz w:val="18"/>
          <w:szCs w:val="18"/>
        </w:rPr>
      </w:pPr>
      <w:r>
        <w:rPr>
          <w:sz w:val="18"/>
          <w:szCs w:val="18"/>
        </w:rPr>
        <w:t>ICER: Incremental cost-effectiveness ratio. QALY: Quality adjusted life years. $: US Dollar</w:t>
      </w:r>
      <w:r>
        <w:rPr>
          <w:color w:val="000000"/>
          <w:sz w:val="18"/>
          <w:szCs w:val="16"/>
          <w:lang w:eastAsia="en-GB"/>
        </w:rPr>
        <w:t>. £: British pounds. NR: Not reported.</w:t>
      </w:r>
    </w:p>
    <w:p w14:paraId="2302A7FC" w14:textId="77777777" w:rsidR="00596BE0" w:rsidRDefault="00596BE0" w:rsidP="00596BE0">
      <w:pPr>
        <w:pStyle w:val="ListParagraph"/>
        <w:numPr>
          <w:ilvl w:val="0"/>
          <w:numId w:val="3"/>
        </w:numPr>
        <w:rPr>
          <w:sz w:val="18"/>
          <w:szCs w:val="18"/>
        </w:rPr>
      </w:pPr>
      <w:r>
        <w:rPr>
          <w:sz w:val="18"/>
          <w:szCs w:val="18"/>
        </w:rPr>
        <w:t xml:space="preserve">Markov model study with low risk of bias (CHEC score 13 or higher). </w:t>
      </w:r>
    </w:p>
    <w:p w14:paraId="37F334E8" w14:textId="77777777" w:rsidR="00596BE0" w:rsidRDefault="00596BE0" w:rsidP="00596BE0">
      <w:pPr>
        <w:pStyle w:val="ListParagraph"/>
        <w:numPr>
          <w:ilvl w:val="0"/>
          <w:numId w:val="3"/>
        </w:numPr>
        <w:rPr>
          <w:sz w:val="18"/>
          <w:szCs w:val="18"/>
        </w:rPr>
      </w:pPr>
      <w:r>
        <w:rPr>
          <w:sz w:val="18"/>
          <w:szCs w:val="18"/>
        </w:rPr>
        <w:t>One single study performed in the USA. The results may not be applicable to other countries.</w:t>
      </w:r>
    </w:p>
    <w:p w14:paraId="08417144" w14:textId="16DFC1D9" w:rsidR="00596BE0" w:rsidRDefault="00596BE0" w:rsidP="00596BE0">
      <w:pPr>
        <w:pStyle w:val="ListParagraph"/>
        <w:numPr>
          <w:ilvl w:val="0"/>
          <w:numId w:val="3"/>
        </w:numPr>
        <w:rPr>
          <w:sz w:val="18"/>
          <w:szCs w:val="18"/>
        </w:rPr>
      </w:pPr>
      <w:r>
        <w:rPr>
          <w:sz w:val="18"/>
          <w:szCs w:val="18"/>
        </w:rPr>
        <w:t>The deterministic sensitivity analysis showed large variations in the ICER value from 250,000 $ to 950,000 $ (0.85 to 0.81 utilities gained, respectively). Furthermore, at a threshold of 50,000, the probability for benralizumab to be cost-effective was 0%.</w:t>
      </w:r>
    </w:p>
    <w:p w14:paraId="211C5C34" w14:textId="124DE8D8" w:rsidR="00111973" w:rsidRDefault="00111973" w:rsidP="00596BE0">
      <w:pPr>
        <w:pStyle w:val="ListParagraph"/>
        <w:numPr>
          <w:ilvl w:val="0"/>
          <w:numId w:val="3"/>
        </w:numPr>
        <w:rPr>
          <w:sz w:val="18"/>
          <w:szCs w:val="18"/>
        </w:rPr>
      </w:pPr>
      <w:r>
        <w:rPr>
          <w:rFonts w:ascii="Arial" w:hAnsi="Arial" w:cs="Arial"/>
          <w:sz w:val="16"/>
          <w:szCs w:val="16"/>
        </w:rPr>
        <w:t>T</w:t>
      </w:r>
      <w:r w:rsidRPr="00383491">
        <w:rPr>
          <w:rFonts w:ascii="Arial" w:hAnsi="Arial" w:cs="Arial"/>
          <w:sz w:val="16"/>
          <w:szCs w:val="16"/>
        </w:rPr>
        <w:t>he incremental cost-effectiveness ratio drops substantially from ~400k/ QALY to ~200k/QALY when the responder definition is factored into the cost-effectiveness model.</w:t>
      </w:r>
    </w:p>
    <w:p w14:paraId="51A2EE08" w14:textId="77777777" w:rsidR="00596BE0" w:rsidRDefault="00596BE0" w:rsidP="00596BE0">
      <w:pPr>
        <w:pStyle w:val="ListParagraph"/>
        <w:numPr>
          <w:ilvl w:val="0"/>
          <w:numId w:val="3"/>
        </w:numPr>
        <w:rPr>
          <w:sz w:val="18"/>
          <w:szCs w:val="18"/>
        </w:rPr>
      </w:pPr>
      <w:r>
        <w:rPr>
          <w:sz w:val="18"/>
          <w:szCs w:val="18"/>
        </w:rPr>
        <w:t>One single study performed in the UK. The results may not be applicable to other countries.</w:t>
      </w:r>
    </w:p>
    <w:p w14:paraId="729288D0" w14:textId="77777777" w:rsidR="00596BE0" w:rsidRDefault="00596BE0" w:rsidP="00596BE0">
      <w:pPr>
        <w:pStyle w:val="ListParagraph"/>
        <w:numPr>
          <w:ilvl w:val="0"/>
          <w:numId w:val="3"/>
        </w:numPr>
        <w:rPr>
          <w:sz w:val="18"/>
          <w:szCs w:val="18"/>
        </w:rPr>
      </w:pPr>
      <w:r>
        <w:rPr>
          <w:sz w:val="18"/>
          <w:szCs w:val="18"/>
        </w:rPr>
        <w:t>The ICER varied from 34,270 £ reported by AstraZeneca to 73,560 £ found by the University of Exter in the deterministic sensitivity analysis (zero asthma related mortality).</w:t>
      </w:r>
    </w:p>
    <w:p w14:paraId="7A978094" w14:textId="77777777" w:rsidR="00596BE0" w:rsidRDefault="00596BE0" w:rsidP="00596BE0">
      <w:pPr>
        <w:pStyle w:val="ListParagraph"/>
        <w:numPr>
          <w:ilvl w:val="0"/>
          <w:numId w:val="3"/>
        </w:numPr>
        <w:rPr>
          <w:sz w:val="18"/>
          <w:szCs w:val="18"/>
        </w:rPr>
      </w:pPr>
      <w:r>
        <w:rPr>
          <w:sz w:val="18"/>
          <w:szCs w:val="18"/>
        </w:rPr>
        <w:t>AstraZeneca financed the original model critiqued by the University of Exeter. The University explored ICER sensitivity through changes in the age-stratified probabilities for hospitalised patients, oral corticosteroids use at baseline (42%), administration cost of benralizumab, and treatment discontinuation rate (0.0041/cycle).</w:t>
      </w:r>
    </w:p>
    <w:p w14:paraId="212CB90F" w14:textId="77777777" w:rsidR="00596BE0" w:rsidRDefault="00596BE0" w:rsidP="00596BE0">
      <w:pPr>
        <w:rPr>
          <w:b/>
          <w:sz w:val="18"/>
          <w:szCs w:val="18"/>
        </w:rPr>
      </w:pPr>
      <w:r>
        <w:rPr>
          <w:b/>
          <w:sz w:val="18"/>
          <w:szCs w:val="18"/>
        </w:rPr>
        <w:t>References</w:t>
      </w:r>
    </w:p>
    <w:p w14:paraId="4BC441B3" w14:textId="77777777" w:rsidR="00596BE0" w:rsidRDefault="00596BE0" w:rsidP="00596BE0">
      <w:pPr>
        <w:pStyle w:val="ListParagraph"/>
        <w:numPr>
          <w:ilvl w:val="0"/>
          <w:numId w:val="4"/>
        </w:numPr>
        <w:rPr>
          <w:sz w:val="18"/>
          <w:szCs w:val="18"/>
        </w:rPr>
      </w:pPr>
      <w:r>
        <w:rPr>
          <w:sz w:val="18"/>
          <w:szCs w:val="18"/>
        </w:rPr>
        <w:t>ICER. Institute for Clinical and Economic Review. Biologic Therapies for Treatment of Asthma Associated with Type 2 inflammation: Effectiveness, Value, and Value-Based Price Benchmarks. Available at: https://icer-review.org/material/asthma-final-evidence-report/. Accessed Sept, 2019</w:t>
      </w:r>
      <w:r>
        <w:rPr>
          <w:rFonts w:cs="Helvetica"/>
          <w:sz w:val="18"/>
          <w:szCs w:val="18"/>
        </w:rPr>
        <w:t>.</w:t>
      </w:r>
    </w:p>
    <w:p w14:paraId="43195448" w14:textId="77777777" w:rsidR="00596BE0" w:rsidRDefault="00596BE0" w:rsidP="00596BE0">
      <w:pPr>
        <w:pStyle w:val="ListParagraph"/>
        <w:numPr>
          <w:ilvl w:val="0"/>
          <w:numId w:val="4"/>
        </w:numPr>
        <w:rPr>
          <w:sz w:val="18"/>
          <w:szCs w:val="18"/>
        </w:rPr>
      </w:pPr>
      <w:r>
        <w:rPr>
          <w:sz w:val="18"/>
          <w:szCs w:val="18"/>
        </w:rPr>
        <w:t>Tikhonova I, et al. Benralizumab for treating severe asthma: A Single Technology Appraisal. Peninsula Technology Assessment Group (PenTAG), 2018.</w:t>
      </w:r>
    </w:p>
    <w:p w14:paraId="1991A8E5" w14:textId="2BF389E3" w:rsidR="006B3C10" w:rsidRDefault="006B3C10">
      <w:pPr>
        <w:rPr>
          <w:b/>
          <w:bCs/>
          <w:color w:val="000000"/>
          <w:sz w:val="20"/>
          <w:szCs w:val="20"/>
          <w:lang w:val="en"/>
        </w:rPr>
      </w:pPr>
    </w:p>
    <w:p w14:paraId="3C6FF156" w14:textId="4C002915" w:rsidR="00F07060" w:rsidRPr="00114022" w:rsidRDefault="00F07060">
      <w:pPr>
        <w:rPr>
          <w:rFonts w:ascii="Arial" w:hAnsi="Arial" w:cs="Arial"/>
          <w:b/>
          <w:sz w:val="20"/>
          <w:szCs w:val="20"/>
        </w:rPr>
      </w:pPr>
      <w:r w:rsidRPr="00805F7C">
        <w:rPr>
          <w:rFonts w:ascii="Arial" w:hAnsi="Arial" w:cs="Arial"/>
          <w:b/>
          <w:bCs/>
          <w:color w:val="000000"/>
          <w:sz w:val="20"/>
          <w:szCs w:val="20"/>
          <w:lang w:val="en"/>
        </w:rPr>
        <w:t>Table S</w:t>
      </w:r>
      <w:r w:rsidR="002A55D2">
        <w:rPr>
          <w:rFonts w:ascii="Arial" w:hAnsi="Arial" w:cs="Arial"/>
          <w:b/>
          <w:bCs/>
          <w:color w:val="000000"/>
          <w:sz w:val="20"/>
          <w:szCs w:val="20"/>
          <w:lang w:val="en"/>
        </w:rPr>
        <w:t>5</w:t>
      </w:r>
      <w:r w:rsidR="00554CE7" w:rsidRPr="00805F7C">
        <w:rPr>
          <w:rFonts w:ascii="Arial" w:hAnsi="Arial" w:cs="Arial"/>
          <w:b/>
          <w:bCs/>
          <w:color w:val="000000"/>
          <w:sz w:val="20"/>
          <w:szCs w:val="20"/>
          <w:lang w:val="en"/>
        </w:rPr>
        <w:t>:</w:t>
      </w:r>
      <w:r w:rsidRPr="00805F7C">
        <w:rPr>
          <w:rFonts w:ascii="Arial" w:hAnsi="Arial" w:cs="Arial"/>
          <w:b/>
          <w:bCs/>
          <w:color w:val="000000"/>
          <w:sz w:val="20"/>
          <w:szCs w:val="20"/>
          <w:lang w:val="en"/>
        </w:rPr>
        <w:t xml:space="preserve"> </w:t>
      </w:r>
      <w:r w:rsidRPr="00805F7C">
        <w:rPr>
          <w:rFonts w:ascii="Arial" w:hAnsi="Arial" w:cs="Arial"/>
          <w:b/>
          <w:sz w:val="20"/>
          <w:szCs w:val="20"/>
        </w:rPr>
        <w:t xml:space="preserve">Evidence to decision table supporting recommendations for benralizumab for severe eosinophilic asthma in adults </w:t>
      </w:r>
      <w:r w:rsidR="00805F7C">
        <w:rPr>
          <w:rFonts w:ascii="Arial" w:hAnsi="Arial" w:cs="Arial"/>
          <w:b/>
          <w:sz w:val="20"/>
          <w:szCs w:val="20"/>
        </w:rPr>
        <w:br/>
      </w:r>
      <w:r w:rsidRPr="00805F7C">
        <w:rPr>
          <w:rFonts w:ascii="Arial" w:hAnsi="Arial" w:cs="Arial"/>
          <w:b/>
          <w:sz w:val="20"/>
          <w:szCs w:val="20"/>
        </w:rPr>
        <w:t>(exacerbations and OCS reduction)</w:t>
      </w:r>
    </w:p>
    <w:tbl>
      <w:tblPr>
        <w:tblW w:w="0" w:type="auto"/>
        <w:tblCellMar>
          <w:left w:w="0" w:type="dxa"/>
          <w:right w:w="0" w:type="dxa"/>
        </w:tblCellMar>
        <w:tblLook w:val="04A0" w:firstRow="1" w:lastRow="0" w:firstColumn="1" w:lastColumn="0" w:noHBand="0" w:noVBand="1"/>
      </w:tblPr>
      <w:tblGrid>
        <w:gridCol w:w="1796"/>
        <w:gridCol w:w="1125"/>
        <w:gridCol w:w="1935"/>
        <w:gridCol w:w="1667"/>
        <w:gridCol w:w="1667"/>
        <w:gridCol w:w="1127"/>
        <w:gridCol w:w="1021"/>
        <w:gridCol w:w="1559"/>
      </w:tblGrid>
      <w:tr w:rsidR="00F07060" w:rsidRPr="00F07060" w14:paraId="682DE1C7" w14:textId="77777777" w:rsidTr="00805F7C">
        <w:trPr>
          <w:trHeight w:val="146"/>
        </w:trPr>
        <w:tc>
          <w:tcPr>
            <w:tcW w:w="1796" w:type="dxa"/>
            <w:tcBorders>
              <w:top w:val="single" w:sz="8" w:space="0" w:color="FFFFFF"/>
              <w:left w:val="single" w:sz="8" w:space="0" w:color="FFFFFF"/>
              <w:bottom w:val="single" w:sz="24" w:space="0" w:color="FFFFFF"/>
              <w:right w:val="single" w:sz="8" w:space="0" w:color="FFFFFF"/>
            </w:tcBorders>
            <w:shd w:val="clear" w:color="auto" w:fill="5B9BD5"/>
            <w:tcMar>
              <w:top w:w="74" w:type="dxa"/>
              <w:left w:w="74" w:type="dxa"/>
              <w:bottom w:w="74" w:type="dxa"/>
              <w:right w:w="74" w:type="dxa"/>
            </w:tcMar>
            <w:vAlign w:val="center"/>
            <w:hideMark/>
          </w:tcPr>
          <w:p w14:paraId="3A72C5DD" w14:textId="77777777" w:rsidR="00F07060" w:rsidRPr="00F07060" w:rsidRDefault="00F07060" w:rsidP="00F07060">
            <w:pPr>
              <w:rPr>
                <w:b/>
                <w:bCs/>
                <w:color w:val="000000"/>
                <w:sz w:val="16"/>
                <w:szCs w:val="16"/>
              </w:rPr>
            </w:pPr>
          </w:p>
        </w:tc>
        <w:tc>
          <w:tcPr>
            <w:tcW w:w="10101" w:type="dxa"/>
            <w:gridSpan w:val="7"/>
            <w:tcBorders>
              <w:top w:val="single" w:sz="8" w:space="0" w:color="FFFFFF"/>
              <w:left w:val="single" w:sz="8" w:space="0" w:color="FFFFFF"/>
              <w:bottom w:val="single" w:sz="24" w:space="0" w:color="FFFFFF"/>
              <w:right w:val="single" w:sz="8" w:space="0" w:color="FFFFFF"/>
            </w:tcBorders>
            <w:shd w:val="clear" w:color="auto" w:fill="5B9BD5"/>
            <w:tcMar>
              <w:top w:w="74" w:type="dxa"/>
              <w:left w:w="74" w:type="dxa"/>
              <w:bottom w:w="74" w:type="dxa"/>
              <w:right w:w="74" w:type="dxa"/>
            </w:tcMar>
            <w:vAlign w:val="center"/>
            <w:hideMark/>
          </w:tcPr>
          <w:p w14:paraId="601D896C" w14:textId="77777777" w:rsidR="00F07060" w:rsidRPr="00F07060" w:rsidRDefault="00F07060" w:rsidP="00F07060">
            <w:pPr>
              <w:rPr>
                <w:b/>
                <w:bCs/>
                <w:color w:val="000000"/>
                <w:sz w:val="16"/>
                <w:szCs w:val="16"/>
              </w:rPr>
            </w:pPr>
            <w:r w:rsidRPr="00F07060">
              <w:rPr>
                <w:b/>
                <w:bCs/>
                <w:color w:val="000000"/>
                <w:sz w:val="16"/>
                <w:szCs w:val="16"/>
              </w:rPr>
              <w:t>Judgement</w:t>
            </w:r>
          </w:p>
        </w:tc>
      </w:tr>
      <w:tr w:rsidR="00F07060" w:rsidRPr="00F07060" w14:paraId="3D039D30" w14:textId="77777777" w:rsidTr="00114022">
        <w:trPr>
          <w:trHeight w:val="182"/>
        </w:trPr>
        <w:tc>
          <w:tcPr>
            <w:tcW w:w="1796" w:type="dxa"/>
            <w:tcBorders>
              <w:top w:val="single" w:sz="24"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433B7E90" w14:textId="77777777" w:rsidR="00F07060" w:rsidRPr="00F07060" w:rsidRDefault="00F07060" w:rsidP="00F07060">
            <w:pPr>
              <w:rPr>
                <w:b/>
                <w:bCs/>
                <w:color w:val="000000"/>
                <w:sz w:val="16"/>
                <w:szCs w:val="16"/>
              </w:rPr>
            </w:pPr>
            <w:r w:rsidRPr="00F07060">
              <w:rPr>
                <w:b/>
                <w:bCs/>
                <w:color w:val="000000"/>
                <w:sz w:val="16"/>
                <w:szCs w:val="16"/>
              </w:rPr>
              <w:t>Problem (importance)</w:t>
            </w:r>
          </w:p>
        </w:tc>
        <w:tc>
          <w:tcPr>
            <w:tcW w:w="1125"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C732A09" w14:textId="77777777" w:rsidR="00F07060" w:rsidRPr="00F07060" w:rsidRDefault="00F07060" w:rsidP="00F07060">
            <w:pPr>
              <w:rPr>
                <w:b/>
                <w:bCs/>
                <w:color w:val="000000"/>
                <w:sz w:val="16"/>
                <w:szCs w:val="16"/>
              </w:rPr>
            </w:pPr>
            <w:r w:rsidRPr="00F07060">
              <w:rPr>
                <w:b/>
                <w:bCs/>
                <w:color w:val="000000"/>
                <w:sz w:val="16"/>
                <w:szCs w:val="16"/>
              </w:rPr>
              <w:t>No</w:t>
            </w:r>
          </w:p>
        </w:tc>
        <w:tc>
          <w:tcPr>
            <w:tcW w:w="1935"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9207F4C" w14:textId="77777777" w:rsidR="00F07060" w:rsidRPr="00F07060" w:rsidRDefault="00F07060" w:rsidP="00F07060">
            <w:pPr>
              <w:rPr>
                <w:b/>
                <w:bCs/>
                <w:color w:val="000000"/>
                <w:sz w:val="16"/>
                <w:szCs w:val="16"/>
              </w:rPr>
            </w:pPr>
            <w:r w:rsidRPr="00F07060">
              <w:rPr>
                <w:b/>
                <w:bCs/>
                <w:color w:val="000000"/>
                <w:sz w:val="16"/>
                <w:szCs w:val="16"/>
              </w:rPr>
              <w:t>Probably no</w:t>
            </w:r>
          </w:p>
        </w:tc>
        <w:tc>
          <w:tcPr>
            <w:tcW w:w="1667"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EC07340" w14:textId="77777777" w:rsidR="00F07060" w:rsidRPr="00F07060" w:rsidRDefault="00F07060" w:rsidP="00F07060">
            <w:pPr>
              <w:rPr>
                <w:b/>
                <w:bCs/>
                <w:color w:val="000000"/>
                <w:sz w:val="16"/>
                <w:szCs w:val="16"/>
              </w:rPr>
            </w:pPr>
            <w:r w:rsidRPr="00F07060">
              <w:rPr>
                <w:b/>
                <w:bCs/>
                <w:color w:val="000000"/>
                <w:sz w:val="16"/>
                <w:szCs w:val="16"/>
              </w:rPr>
              <w:t>Probably yes</w:t>
            </w:r>
          </w:p>
        </w:tc>
        <w:tc>
          <w:tcPr>
            <w:tcW w:w="1667" w:type="dxa"/>
            <w:tcBorders>
              <w:top w:val="single" w:sz="24"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38126CFD" w14:textId="77777777" w:rsidR="00F07060" w:rsidRPr="00F07060" w:rsidRDefault="00F07060" w:rsidP="00F07060">
            <w:pPr>
              <w:rPr>
                <w:b/>
                <w:bCs/>
                <w:color w:val="000000"/>
                <w:sz w:val="16"/>
                <w:szCs w:val="16"/>
              </w:rPr>
            </w:pPr>
            <w:r w:rsidRPr="00F07060">
              <w:rPr>
                <w:b/>
                <w:bCs/>
                <w:color w:val="000000"/>
                <w:sz w:val="16"/>
                <w:szCs w:val="16"/>
              </w:rPr>
              <w:t>Yes</w:t>
            </w:r>
          </w:p>
        </w:tc>
        <w:tc>
          <w:tcPr>
            <w:tcW w:w="1127"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5EC00CD" w14:textId="77777777" w:rsidR="00F07060" w:rsidRPr="00F07060" w:rsidRDefault="00F07060" w:rsidP="00F07060">
            <w:pPr>
              <w:rPr>
                <w:b/>
                <w:bCs/>
                <w:color w:val="000000"/>
                <w:sz w:val="16"/>
                <w:szCs w:val="16"/>
              </w:rPr>
            </w:pPr>
          </w:p>
        </w:tc>
        <w:tc>
          <w:tcPr>
            <w:tcW w:w="1021"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9E7789D" w14:textId="77777777" w:rsidR="00F07060" w:rsidRPr="00F07060" w:rsidRDefault="00F07060" w:rsidP="00F07060">
            <w:pPr>
              <w:rPr>
                <w:b/>
                <w:bCs/>
                <w:color w:val="000000"/>
                <w:sz w:val="16"/>
                <w:szCs w:val="16"/>
              </w:rPr>
            </w:pPr>
            <w:r w:rsidRPr="00F07060">
              <w:rPr>
                <w:b/>
                <w:bCs/>
                <w:color w:val="000000"/>
                <w:sz w:val="16"/>
                <w:szCs w:val="16"/>
              </w:rPr>
              <w:t>Varies</w:t>
            </w:r>
          </w:p>
        </w:tc>
        <w:tc>
          <w:tcPr>
            <w:tcW w:w="1559"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00AE519" w14:textId="77777777" w:rsidR="00F07060" w:rsidRPr="00F07060" w:rsidRDefault="00F07060" w:rsidP="00F07060">
            <w:pPr>
              <w:rPr>
                <w:b/>
                <w:bCs/>
                <w:color w:val="000000"/>
                <w:sz w:val="16"/>
                <w:szCs w:val="16"/>
              </w:rPr>
            </w:pPr>
            <w:r w:rsidRPr="00F07060">
              <w:rPr>
                <w:b/>
                <w:bCs/>
                <w:color w:val="000000"/>
                <w:sz w:val="16"/>
                <w:szCs w:val="16"/>
              </w:rPr>
              <w:t>Don't know</w:t>
            </w:r>
          </w:p>
        </w:tc>
      </w:tr>
      <w:tr w:rsidR="00F07060" w:rsidRPr="00F07060" w14:paraId="20912519" w14:textId="77777777" w:rsidTr="00114022">
        <w:trPr>
          <w:trHeight w:val="100"/>
        </w:trPr>
        <w:tc>
          <w:tcPr>
            <w:tcW w:w="1796"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4EB2219D" w14:textId="77777777" w:rsidR="00F07060" w:rsidRPr="00F07060" w:rsidRDefault="00F07060" w:rsidP="00F07060">
            <w:pPr>
              <w:rPr>
                <w:b/>
                <w:bCs/>
                <w:color w:val="000000"/>
                <w:sz w:val="16"/>
                <w:szCs w:val="16"/>
              </w:rPr>
            </w:pPr>
            <w:r w:rsidRPr="00F07060">
              <w:rPr>
                <w:b/>
                <w:bCs/>
                <w:color w:val="000000"/>
                <w:sz w:val="16"/>
                <w:szCs w:val="16"/>
              </w:rPr>
              <w:t>Desirable Effects</w:t>
            </w:r>
          </w:p>
        </w:tc>
        <w:tc>
          <w:tcPr>
            <w:tcW w:w="112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2C07015" w14:textId="77777777" w:rsidR="00F07060" w:rsidRPr="00F07060" w:rsidRDefault="00F07060" w:rsidP="00F07060">
            <w:pPr>
              <w:rPr>
                <w:b/>
                <w:bCs/>
                <w:color w:val="000000"/>
                <w:sz w:val="16"/>
                <w:szCs w:val="16"/>
              </w:rPr>
            </w:pPr>
            <w:r w:rsidRPr="00F07060">
              <w:rPr>
                <w:b/>
                <w:bCs/>
                <w:color w:val="000000"/>
                <w:sz w:val="16"/>
                <w:szCs w:val="16"/>
              </w:rPr>
              <w:t>Trivial</w:t>
            </w:r>
          </w:p>
        </w:tc>
        <w:tc>
          <w:tcPr>
            <w:tcW w:w="193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B98AC9F" w14:textId="77777777" w:rsidR="00F07060" w:rsidRPr="00F07060" w:rsidRDefault="00F07060" w:rsidP="00F07060">
            <w:pPr>
              <w:rPr>
                <w:b/>
                <w:bCs/>
                <w:color w:val="000000"/>
                <w:sz w:val="16"/>
                <w:szCs w:val="16"/>
              </w:rPr>
            </w:pPr>
            <w:r w:rsidRPr="00F07060">
              <w:rPr>
                <w:b/>
                <w:bCs/>
                <w:color w:val="000000"/>
                <w:sz w:val="16"/>
                <w:szCs w:val="16"/>
              </w:rPr>
              <w:t>Small</w:t>
            </w:r>
          </w:p>
        </w:tc>
        <w:tc>
          <w:tcPr>
            <w:tcW w:w="1667"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B23252E" w14:textId="77777777" w:rsidR="00F07060" w:rsidRPr="00F07060" w:rsidRDefault="00F07060" w:rsidP="00F07060">
            <w:pPr>
              <w:rPr>
                <w:b/>
                <w:bCs/>
                <w:color w:val="000000"/>
                <w:sz w:val="16"/>
                <w:szCs w:val="16"/>
              </w:rPr>
            </w:pPr>
            <w:r w:rsidRPr="00F07060">
              <w:rPr>
                <w:b/>
                <w:bCs/>
                <w:color w:val="000000"/>
                <w:sz w:val="16"/>
                <w:szCs w:val="16"/>
              </w:rPr>
              <w:t>Moderate</w:t>
            </w:r>
          </w:p>
        </w:tc>
        <w:tc>
          <w:tcPr>
            <w:tcW w:w="1667"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4E56323F" w14:textId="77777777" w:rsidR="00F07060" w:rsidRPr="00F07060" w:rsidRDefault="00F07060" w:rsidP="00F07060">
            <w:pPr>
              <w:rPr>
                <w:b/>
                <w:bCs/>
                <w:color w:val="000000"/>
                <w:sz w:val="16"/>
                <w:szCs w:val="16"/>
              </w:rPr>
            </w:pPr>
            <w:r w:rsidRPr="00F07060">
              <w:rPr>
                <w:b/>
                <w:bCs/>
                <w:color w:val="000000"/>
                <w:sz w:val="16"/>
                <w:szCs w:val="16"/>
              </w:rPr>
              <w:t>Large</w:t>
            </w:r>
          </w:p>
        </w:tc>
        <w:tc>
          <w:tcPr>
            <w:tcW w:w="1127"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BD2813D" w14:textId="77777777" w:rsidR="00F07060" w:rsidRPr="00F07060" w:rsidRDefault="00F07060" w:rsidP="00F07060">
            <w:pPr>
              <w:rPr>
                <w:b/>
                <w:bCs/>
                <w:color w:val="000000"/>
                <w:sz w:val="16"/>
                <w:szCs w:val="16"/>
              </w:rPr>
            </w:pPr>
          </w:p>
        </w:tc>
        <w:tc>
          <w:tcPr>
            <w:tcW w:w="1021"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5B4DFA5" w14:textId="77777777" w:rsidR="00F07060" w:rsidRPr="00F07060" w:rsidRDefault="00F07060" w:rsidP="00F07060">
            <w:pPr>
              <w:rPr>
                <w:b/>
                <w:bCs/>
                <w:color w:val="000000"/>
                <w:sz w:val="16"/>
                <w:szCs w:val="16"/>
              </w:rPr>
            </w:pPr>
            <w:r w:rsidRPr="00F07060">
              <w:rPr>
                <w:b/>
                <w:bCs/>
                <w:color w:val="000000"/>
                <w:sz w:val="16"/>
                <w:szCs w:val="16"/>
              </w:rPr>
              <w:t>Varies</w:t>
            </w:r>
          </w:p>
        </w:tc>
        <w:tc>
          <w:tcPr>
            <w:tcW w:w="1559"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6F498A7" w14:textId="77777777" w:rsidR="00F07060" w:rsidRPr="00F07060" w:rsidRDefault="00F07060" w:rsidP="00F07060">
            <w:pPr>
              <w:rPr>
                <w:b/>
                <w:bCs/>
                <w:color w:val="000000"/>
                <w:sz w:val="16"/>
                <w:szCs w:val="16"/>
              </w:rPr>
            </w:pPr>
            <w:r w:rsidRPr="00F07060">
              <w:rPr>
                <w:b/>
                <w:bCs/>
                <w:color w:val="000000"/>
                <w:sz w:val="16"/>
                <w:szCs w:val="16"/>
              </w:rPr>
              <w:t>Don't know</w:t>
            </w:r>
          </w:p>
        </w:tc>
      </w:tr>
      <w:tr w:rsidR="00F07060" w:rsidRPr="00F07060" w14:paraId="36AB6255" w14:textId="77777777" w:rsidTr="00114022">
        <w:trPr>
          <w:trHeight w:val="176"/>
        </w:trPr>
        <w:tc>
          <w:tcPr>
            <w:tcW w:w="1796"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7B48EF3E" w14:textId="77777777" w:rsidR="00F07060" w:rsidRPr="00F07060" w:rsidRDefault="00F07060" w:rsidP="00F07060">
            <w:pPr>
              <w:rPr>
                <w:b/>
                <w:bCs/>
                <w:color w:val="000000"/>
                <w:sz w:val="16"/>
                <w:szCs w:val="16"/>
              </w:rPr>
            </w:pPr>
            <w:r w:rsidRPr="00F07060">
              <w:rPr>
                <w:b/>
                <w:bCs/>
                <w:color w:val="000000"/>
                <w:sz w:val="16"/>
                <w:szCs w:val="16"/>
              </w:rPr>
              <w:t>Undesirable Effects</w:t>
            </w:r>
          </w:p>
        </w:tc>
        <w:tc>
          <w:tcPr>
            <w:tcW w:w="1125"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80F2272" w14:textId="77777777" w:rsidR="00F07060" w:rsidRPr="00F07060" w:rsidRDefault="00F07060" w:rsidP="00F07060">
            <w:pPr>
              <w:rPr>
                <w:b/>
                <w:bCs/>
                <w:color w:val="000000"/>
                <w:sz w:val="16"/>
                <w:szCs w:val="16"/>
              </w:rPr>
            </w:pPr>
            <w:r w:rsidRPr="00F07060">
              <w:rPr>
                <w:b/>
                <w:bCs/>
                <w:color w:val="000000"/>
                <w:sz w:val="16"/>
                <w:szCs w:val="16"/>
              </w:rPr>
              <w:t>Large</w:t>
            </w:r>
          </w:p>
        </w:tc>
        <w:tc>
          <w:tcPr>
            <w:tcW w:w="1935"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7A9523F" w14:textId="77777777" w:rsidR="00F07060" w:rsidRPr="00F07060" w:rsidRDefault="00F07060" w:rsidP="00F07060">
            <w:pPr>
              <w:rPr>
                <w:b/>
                <w:bCs/>
                <w:color w:val="000000"/>
                <w:sz w:val="16"/>
                <w:szCs w:val="16"/>
              </w:rPr>
            </w:pPr>
            <w:r w:rsidRPr="00F07060">
              <w:rPr>
                <w:b/>
                <w:bCs/>
                <w:color w:val="000000"/>
                <w:sz w:val="16"/>
                <w:szCs w:val="16"/>
              </w:rPr>
              <w:t>Moderate</w:t>
            </w:r>
          </w:p>
        </w:tc>
        <w:tc>
          <w:tcPr>
            <w:tcW w:w="1667"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75C504C3" w14:textId="77777777" w:rsidR="00F07060" w:rsidRPr="00F07060" w:rsidRDefault="00F07060" w:rsidP="00F07060">
            <w:pPr>
              <w:rPr>
                <w:b/>
                <w:bCs/>
                <w:color w:val="000000"/>
                <w:sz w:val="16"/>
                <w:szCs w:val="16"/>
              </w:rPr>
            </w:pPr>
            <w:r w:rsidRPr="00F07060">
              <w:rPr>
                <w:b/>
                <w:bCs/>
                <w:color w:val="000000"/>
                <w:sz w:val="16"/>
                <w:szCs w:val="16"/>
              </w:rPr>
              <w:t>Small</w:t>
            </w:r>
          </w:p>
        </w:tc>
        <w:tc>
          <w:tcPr>
            <w:tcW w:w="1667"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254B0CA" w14:textId="77777777" w:rsidR="00F07060" w:rsidRPr="00F07060" w:rsidRDefault="00F07060" w:rsidP="00F07060">
            <w:pPr>
              <w:rPr>
                <w:b/>
                <w:bCs/>
                <w:color w:val="000000"/>
                <w:sz w:val="16"/>
                <w:szCs w:val="16"/>
              </w:rPr>
            </w:pPr>
            <w:r w:rsidRPr="00F07060">
              <w:rPr>
                <w:b/>
                <w:bCs/>
                <w:color w:val="000000"/>
                <w:sz w:val="16"/>
                <w:szCs w:val="16"/>
              </w:rPr>
              <w:t>Trivial</w:t>
            </w:r>
          </w:p>
        </w:tc>
        <w:tc>
          <w:tcPr>
            <w:tcW w:w="1127"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60F0A47" w14:textId="77777777" w:rsidR="00F07060" w:rsidRPr="00F07060" w:rsidRDefault="00F07060" w:rsidP="00F07060">
            <w:pPr>
              <w:rPr>
                <w:b/>
                <w:bCs/>
                <w:color w:val="000000"/>
                <w:sz w:val="16"/>
                <w:szCs w:val="16"/>
              </w:rPr>
            </w:pPr>
          </w:p>
        </w:tc>
        <w:tc>
          <w:tcPr>
            <w:tcW w:w="1021"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A0A17EB" w14:textId="77777777" w:rsidR="00F07060" w:rsidRPr="00F07060" w:rsidRDefault="00F07060" w:rsidP="00F07060">
            <w:pPr>
              <w:rPr>
                <w:b/>
                <w:bCs/>
                <w:color w:val="000000"/>
                <w:sz w:val="16"/>
                <w:szCs w:val="16"/>
              </w:rPr>
            </w:pPr>
            <w:r w:rsidRPr="00F07060">
              <w:rPr>
                <w:b/>
                <w:bCs/>
                <w:color w:val="000000"/>
                <w:sz w:val="16"/>
                <w:szCs w:val="16"/>
              </w:rPr>
              <w:t>Varies</w:t>
            </w:r>
          </w:p>
        </w:tc>
        <w:tc>
          <w:tcPr>
            <w:tcW w:w="1559"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04448D8" w14:textId="77777777" w:rsidR="00F07060" w:rsidRPr="00F07060" w:rsidRDefault="00F07060" w:rsidP="00F07060">
            <w:pPr>
              <w:rPr>
                <w:b/>
                <w:bCs/>
                <w:color w:val="000000"/>
                <w:sz w:val="16"/>
                <w:szCs w:val="16"/>
              </w:rPr>
            </w:pPr>
            <w:r w:rsidRPr="00F07060">
              <w:rPr>
                <w:b/>
                <w:bCs/>
                <w:color w:val="000000"/>
                <w:sz w:val="16"/>
                <w:szCs w:val="16"/>
              </w:rPr>
              <w:t>Don't know</w:t>
            </w:r>
          </w:p>
        </w:tc>
      </w:tr>
      <w:tr w:rsidR="00F07060" w:rsidRPr="00F07060" w14:paraId="0B863A90" w14:textId="77777777" w:rsidTr="00114022">
        <w:trPr>
          <w:trHeight w:val="19"/>
        </w:trPr>
        <w:tc>
          <w:tcPr>
            <w:tcW w:w="1796"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67E824E1" w14:textId="77777777" w:rsidR="00F07060" w:rsidRPr="00F07060" w:rsidRDefault="00F07060" w:rsidP="00F07060">
            <w:pPr>
              <w:rPr>
                <w:b/>
                <w:bCs/>
                <w:color w:val="000000"/>
                <w:sz w:val="16"/>
                <w:szCs w:val="16"/>
              </w:rPr>
            </w:pPr>
            <w:r w:rsidRPr="00F07060">
              <w:rPr>
                <w:b/>
                <w:bCs/>
                <w:color w:val="000000"/>
                <w:sz w:val="16"/>
                <w:szCs w:val="16"/>
              </w:rPr>
              <w:t>Certainty of evidence</w:t>
            </w:r>
          </w:p>
        </w:tc>
        <w:tc>
          <w:tcPr>
            <w:tcW w:w="112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FDBA8F3" w14:textId="77777777" w:rsidR="00F07060" w:rsidRPr="00F07060" w:rsidRDefault="00F07060" w:rsidP="00F07060">
            <w:pPr>
              <w:rPr>
                <w:b/>
                <w:bCs/>
                <w:color w:val="000000"/>
                <w:sz w:val="16"/>
                <w:szCs w:val="16"/>
              </w:rPr>
            </w:pPr>
            <w:r w:rsidRPr="00F07060">
              <w:rPr>
                <w:b/>
                <w:bCs/>
                <w:color w:val="000000"/>
                <w:sz w:val="16"/>
                <w:szCs w:val="16"/>
              </w:rPr>
              <w:t>Very low</w:t>
            </w:r>
          </w:p>
        </w:tc>
        <w:tc>
          <w:tcPr>
            <w:tcW w:w="193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8ED4A9E" w14:textId="77777777" w:rsidR="00F07060" w:rsidRPr="00F07060" w:rsidRDefault="00F07060" w:rsidP="00F07060">
            <w:pPr>
              <w:rPr>
                <w:b/>
                <w:bCs/>
                <w:color w:val="000000"/>
                <w:sz w:val="16"/>
                <w:szCs w:val="16"/>
              </w:rPr>
            </w:pPr>
            <w:r w:rsidRPr="00F07060">
              <w:rPr>
                <w:b/>
                <w:bCs/>
                <w:color w:val="000000"/>
                <w:sz w:val="16"/>
                <w:szCs w:val="16"/>
              </w:rPr>
              <w:t>Low</w:t>
            </w:r>
          </w:p>
        </w:tc>
        <w:tc>
          <w:tcPr>
            <w:tcW w:w="166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4" w:type="dxa"/>
              <w:left w:w="74" w:type="dxa"/>
              <w:bottom w:w="74" w:type="dxa"/>
              <w:right w:w="74" w:type="dxa"/>
            </w:tcMar>
            <w:vAlign w:val="center"/>
            <w:hideMark/>
          </w:tcPr>
          <w:p w14:paraId="02546F29" w14:textId="77777777" w:rsidR="00F07060" w:rsidRPr="00F07060" w:rsidRDefault="00F07060" w:rsidP="00F07060">
            <w:pPr>
              <w:rPr>
                <w:b/>
                <w:bCs/>
                <w:color w:val="000000"/>
                <w:sz w:val="16"/>
                <w:szCs w:val="16"/>
              </w:rPr>
            </w:pPr>
            <w:r w:rsidRPr="00F07060">
              <w:rPr>
                <w:b/>
                <w:bCs/>
                <w:color w:val="000000"/>
                <w:sz w:val="16"/>
                <w:szCs w:val="16"/>
              </w:rPr>
              <w:t>Moderate</w:t>
            </w:r>
          </w:p>
        </w:tc>
        <w:tc>
          <w:tcPr>
            <w:tcW w:w="1667"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7C39309D" w14:textId="77777777" w:rsidR="00F07060" w:rsidRPr="00F07060" w:rsidRDefault="00F07060" w:rsidP="00F07060">
            <w:pPr>
              <w:rPr>
                <w:b/>
                <w:bCs/>
                <w:color w:val="000000"/>
                <w:sz w:val="16"/>
                <w:szCs w:val="16"/>
              </w:rPr>
            </w:pPr>
            <w:r w:rsidRPr="00F07060">
              <w:rPr>
                <w:b/>
                <w:bCs/>
                <w:color w:val="000000"/>
                <w:sz w:val="16"/>
                <w:szCs w:val="16"/>
              </w:rPr>
              <w:t>High</w:t>
            </w:r>
          </w:p>
        </w:tc>
        <w:tc>
          <w:tcPr>
            <w:tcW w:w="1127"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90AE422" w14:textId="77777777" w:rsidR="00F07060" w:rsidRPr="00F07060" w:rsidRDefault="00F07060" w:rsidP="00F07060">
            <w:pPr>
              <w:rPr>
                <w:b/>
                <w:bCs/>
                <w:color w:val="000000"/>
                <w:sz w:val="16"/>
                <w:szCs w:val="16"/>
              </w:rPr>
            </w:pPr>
          </w:p>
        </w:tc>
        <w:tc>
          <w:tcPr>
            <w:tcW w:w="1021"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1DEC8E3" w14:textId="77777777" w:rsidR="00F07060" w:rsidRPr="00F07060" w:rsidRDefault="00F07060" w:rsidP="00F07060">
            <w:pPr>
              <w:rPr>
                <w:b/>
                <w:bCs/>
                <w:color w:val="000000"/>
                <w:sz w:val="16"/>
                <w:szCs w:val="16"/>
              </w:rPr>
            </w:pPr>
          </w:p>
        </w:tc>
        <w:tc>
          <w:tcPr>
            <w:tcW w:w="1559"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ACD92D2" w14:textId="0CDCEC3E" w:rsidR="00F07060" w:rsidRPr="00F07060" w:rsidRDefault="00F07060" w:rsidP="00F07060">
            <w:pPr>
              <w:rPr>
                <w:b/>
                <w:bCs/>
                <w:color w:val="000000"/>
                <w:sz w:val="16"/>
                <w:szCs w:val="16"/>
              </w:rPr>
            </w:pPr>
            <w:r w:rsidRPr="00F07060">
              <w:rPr>
                <w:b/>
                <w:bCs/>
                <w:color w:val="000000"/>
                <w:sz w:val="16"/>
                <w:szCs w:val="16"/>
              </w:rPr>
              <w:t xml:space="preserve">No </w:t>
            </w:r>
            <w:r w:rsidR="00114022" w:rsidRPr="00F07060">
              <w:rPr>
                <w:b/>
                <w:bCs/>
                <w:color w:val="000000"/>
                <w:sz w:val="16"/>
                <w:szCs w:val="16"/>
              </w:rPr>
              <w:t xml:space="preserve">studies </w:t>
            </w:r>
            <w:r w:rsidRPr="00F07060">
              <w:rPr>
                <w:b/>
                <w:bCs/>
                <w:color w:val="000000"/>
                <w:sz w:val="16"/>
                <w:szCs w:val="16"/>
              </w:rPr>
              <w:t xml:space="preserve">included </w:t>
            </w:r>
          </w:p>
        </w:tc>
      </w:tr>
      <w:tr w:rsidR="00F07060" w:rsidRPr="00F07060" w14:paraId="3DA9E005" w14:textId="77777777" w:rsidTr="00114022">
        <w:trPr>
          <w:trHeight w:val="415"/>
        </w:trPr>
        <w:tc>
          <w:tcPr>
            <w:tcW w:w="1796"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37816999" w14:textId="77777777" w:rsidR="00F07060" w:rsidRPr="00F07060" w:rsidRDefault="00F07060" w:rsidP="00F07060">
            <w:pPr>
              <w:rPr>
                <w:b/>
                <w:bCs/>
                <w:color w:val="000000"/>
                <w:sz w:val="16"/>
                <w:szCs w:val="16"/>
              </w:rPr>
            </w:pPr>
            <w:r w:rsidRPr="00F07060">
              <w:rPr>
                <w:b/>
                <w:bCs/>
                <w:color w:val="000000"/>
                <w:sz w:val="16"/>
                <w:szCs w:val="16"/>
              </w:rPr>
              <w:t>Values</w:t>
            </w:r>
          </w:p>
        </w:tc>
        <w:tc>
          <w:tcPr>
            <w:tcW w:w="1125"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ABCF0C3" w14:textId="77777777" w:rsidR="00F07060" w:rsidRPr="00F07060" w:rsidRDefault="00F07060" w:rsidP="00F07060">
            <w:pPr>
              <w:rPr>
                <w:b/>
                <w:bCs/>
                <w:color w:val="000000"/>
                <w:sz w:val="16"/>
                <w:szCs w:val="16"/>
              </w:rPr>
            </w:pPr>
            <w:r w:rsidRPr="00F07060">
              <w:rPr>
                <w:b/>
                <w:bCs/>
                <w:color w:val="000000"/>
                <w:sz w:val="16"/>
                <w:szCs w:val="16"/>
              </w:rPr>
              <w:t>Important uncertainty or variability</w:t>
            </w:r>
          </w:p>
        </w:tc>
        <w:tc>
          <w:tcPr>
            <w:tcW w:w="1935"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D6D7568" w14:textId="77777777" w:rsidR="00F07060" w:rsidRPr="00F07060" w:rsidRDefault="00F07060" w:rsidP="00F07060">
            <w:pPr>
              <w:rPr>
                <w:b/>
                <w:bCs/>
                <w:color w:val="000000"/>
                <w:sz w:val="16"/>
                <w:szCs w:val="16"/>
              </w:rPr>
            </w:pPr>
            <w:r w:rsidRPr="00F07060">
              <w:rPr>
                <w:b/>
                <w:bCs/>
                <w:color w:val="000000"/>
                <w:sz w:val="16"/>
                <w:szCs w:val="16"/>
              </w:rPr>
              <w:t>Possibly important uncertainty or variability</w:t>
            </w:r>
          </w:p>
        </w:tc>
        <w:tc>
          <w:tcPr>
            <w:tcW w:w="1667"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B3DE755" w14:textId="77777777" w:rsidR="00F07060" w:rsidRPr="00F07060" w:rsidRDefault="00F07060" w:rsidP="00F07060">
            <w:pPr>
              <w:rPr>
                <w:b/>
                <w:bCs/>
                <w:color w:val="000000"/>
                <w:sz w:val="16"/>
                <w:szCs w:val="16"/>
              </w:rPr>
            </w:pPr>
            <w:r w:rsidRPr="00F07060">
              <w:rPr>
                <w:b/>
                <w:bCs/>
                <w:color w:val="000000"/>
                <w:sz w:val="16"/>
                <w:szCs w:val="16"/>
              </w:rPr>
              <w:t>Probably no important uncertainty or variability</w:t>
            </w:r>
          </w:p>
        </w:tc>
        <w:tc>
          <w:tcPr>
            <w:tcW w:w="1667"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00E06579" w14:textId="77777777" w:rsidR="00F07060" w:rsidRPr="00F07060" w:rsidRDefault="00F07060" w:rsidP="00F07060">
            <w:pPr>
              <w:rPr>
                <w:b/>
                <w:bCs/>
                <w:color w:val="000000"/>
                <w:sz w:val="16"/>
                <w:szCs w:val="16"/>
              </w:rPr>
            </w:pPr>
            <w:r w:rsidRPr="00F07060">
              <w:rPr>
                <w:b/>
                <w:bCs/>
                <w:color w:val="000000"/>
                <w:sz w:val="16"/>
                <w:szCs w:val="16"/>
              </w:rPr>
              <w:t>no important uncertainty or variability</w:t>
            </w:r>
          </w:p>
        </w:tc>
        <w:tc>
          <w:tcPr>
            <w:tcW w:w="1127"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BA19246" w14:textId="77777777" w:rsidR="00F07060" w:rsidRPr="00F07060" w:rsidRDefault="00F07060" w:rsidP="00F07060">
            <w:pPr>
              <w:rPr>
                <w:b/>
                <w:bCs/>
                <w:color w:val="000000"/>
                <w:sz w:val="16"/>
                <w:szCs w:val="16"/>
              </w:rPr>
            </w:pPr>
          </w:p>
        </w:tc>
        <w:tc>
          <w:tcPr>
            <w:tcW w:w="1021"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0754D90" w14:textId="77777777" w:rsidR="00F07060" w:rsidRPr="00F07060" w:rsidRDefault="00F07060" w:rsidP="00F07060">
            <w:pPr>
              <w:rPr>
                <w:b/>
                <w:bCs/>
                <w:color w:val="000000"/>
                <w:sz w:val="16"/>
                <w:szCs w:val="16"/>
              </w:rPr>
            </w:pPr>
          </w:p>
        </w:tc>
        <w:tc>
          <w:tcPr>
            <w:tcW w:w="1559"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F2D7336" w14:textId="77777777" w:rsidR="00F07060" w:rsidRPr="00F07060" w:rsidRDefault="00F07060" w:rsidP="00F07060">
            <w:pPr>
              <w:rPr>
                <w:b/>
                <w:bCs/>
                <w:color w:val="000000"/>
                <w:sz w:val="16"/>
                <w:szCs w:val="16"/>
              </w:rPr>
            </w:pPr>
          </w:p>
        </w:tc>
      </w:tr>
      <w:tr w:rsidR="00F07060" w:rsidRPr="00F07060" w14:paraId="6EFC7E9E" w14:textId="77777777" w:rsidTr="00114022">
        <w:trPr>
          <w:trHeight w:val="297"/>
        </w:trPr>
        <w:tc>
          <w:tcPr>
            <w:tcW w:w="1796"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3903EDF8" w14:textId="77777777" w:rsidR="00F07060" w:rsidRPr="00F07060" w:rsidRDefault="00F07060" w:rsidP="00F07060">
            <w:pPr>
              <w:rPr>
                <w:b/>
                <w:bCs/>
                <w:color w:val="000000"/>
                <w:sz w:val="16"/>
                <w:szCs w:val="16"/>
              </w:rPr>
            </w:pPr>
            <w:r w:rsidRPr="00F07060">
              <w:rPr>
                <w:b/>
                <w:bCs/>
                <w:color w:val="000000"/>
                <w:sz w:val="16"/>
                <w:szCs w:val="16"/>
              </w:rPr>
              <w:t>Balance of effects</w:t>
            </w:r>
          </w:p>
        </w:tc>
        <w:tc>
          <w:tcPr>
            <w:tcW w:w="112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6CD07E0" w14:textId="77777777" w:rsidR="00F07060" w:rsidRPr="00F07060" w:rsidRDefault="00F07060" w:rsidP="00F07060">
            <w:pPr>
              <w:rPr>
                <w:b/>
                <w:bCs/>
                <w:color w:val="000000"/>
                <w:sz w:val="16"/>
                <w:szCs w:val="16"/>
              </w:rPr>
            </w:pPr>
            <w:r w:rsidRPr="00F07060">
              <w:rPr>
                <w:b/>
                <w:bCs/>
                <w:color w:val="000000"/>
                <w:sz w:val="16"/>
                <w:szCs w:val="16"/>
              </w:rPr>
              <w:t>Favors the comparison</w:t>
            </w:r>
          </w:p>
        </w:tc>
        <w:tc>
          <w:tcPr>
            <w:tcW w:w="193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2B412D6" w14:textId="77777777" w:rsidR="00F07060" w:rsidRPr="00F07060" w:rsidRDefault="00F07060" w:rsidP="00F07060">
            <w:pPr>
              <w:rPr>
                <w:b/>
                <w:bCs/>
                <w:color w:val="000000"/>
                <w:sz w:val="16"/>
                <w:szCs w:val="16"/>
              </w:rPr>
            </w:pPr>
            <w:r w:rsidRPr="00F07060">
              <w:rPr>
                <w:b/>
                <w:bCs/>
                <w:color w:val="000000"/>
                <w:sz w:val="16"/>
                <w:szCs w:val="16"/>
              </w:rPr>
              <w:t>Probably favors the comparison</w:t>
            </w:r>
          </w:p>
        </w:tc>
        <w:tc>
          <w:tcPr>
            <w:tcW w:w="1667"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1437C40" w14:textId="77777777" w:rsidR="00F07060" w:rsidRPr="00F07060" w:rsidRDefault="00F07060" w:rsidP="00F07060">
            <w:pPr>
              <w:rPr>
                <w:b/>
                <w:bCs/>
                <w:color w:val="000000"/>
                <w:sz w:val="16"/>
                <w:szCs w:val="16"/>
              </w:rPr>
            </w:pPr>
            <w:r w:rsidRPr="00F07060">
              <w:rPr>
                <w:b/>
                <w:bCs/>
                <w:color w:val="000000"/>
                <w:sz w:val="16"/>
                <w:szCs w:val="16"/>
              </w:rPr>
              <w:t>Does not favor either the intervention or the comparison</w:t>
            </w:r>
          </w:p>
        </w:tc>
        <w:tc>
          <w:tcPr>
            <w:tcW w:w="1667"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5027B4B" w14:textId="77777777" w:rsidR="00F07060" w:rsidRPr="00F07060" w:rsidRDefault="00F07060" w:rsidP="00F07060">
            <w:pPr>
              <w:rPr>
                <w:b/>
                <w:bCs/>
                <w:color w:val="000000"/>
                <w:sz w:val="16"/>
                <w:szCs w:val="16"/>
              </w:rPr>
            </w:pPr>
            <w:r w:rsidRPr="00F07060">
              <w:rPr>
                <w:b/>
                <w:bCs/>
                <w:color w:val="000000"/>
                <w:sz w:val="16"/>
                <w:szCs w:val="16"/>
              </w:rPr>
              <w:t>Probably favors the intervention</w:t>
            </w:r>
          </w:p>
        </w:tc>
        <w:tc>
          <w:tcPr>
            <w:tcW w:w="1127"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4B40B021" w14:textId="77777777" w:rsidR="00F07060" w:rsidRPr="00F07060" w:rsidRDefault="00F07060" w:rsidP="00F07060">
            <w:pPr>
              <w:rPr>
                <w:b/>
                <w:bCs/>
                <w:color w:val="000000"/>
                <w:sz w:val="16"/>
                <w:szCs w:val="16"/>
              </w:rPr>
            </w:pPr>
            <w:r w:rsidRPr="00F07060">
              <w:rPr>
                <w:b/>
                <w:bCs/>
                <w:color w:val="000000"/>
                <w:sz w:val="16"/>
                <w:szCs w:val="16"/>
              </w:rPr>
              <w:t>Favors the intervention</w:t>
            </w:r>
          </w:p>
        </w:tc>
        <w:tc>
          <w:tcPr>
            <w:tcW w:w="1021"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BB1D18F" w14:textId="77777777" w:rsidR="00F07060" w:rsidRPr="00F07060" w:rsidRDefault="00F07060" w:rsidP="00F07060">
            <w:pPr>
              <w:rPr>
                <w:b/>
                <w:bCs/>
                <w:color w:val="000000"/>
                <w:sz w:val="16"/>
                <w:szCs w:val="16"/>
              </w:rPr>
            </w:pPr>
            <w:r w:rsidRPr="00F07060">
              <w:rPr>
                <w:b/>
                <w:bCs/>
                <w:color w:val="000000"/>
                <w:sz w:val="16"/>
                <w:szCs w:val="16"/>
              </w:rPr>
              <w:t>Varies</w:t>
            </w:r>
          </w:p>
        </w:tc>
        <w:tc>
          <w:tcPr>
            <w:tcW w:w="1559"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FC1202F" w14:textId="77777777" w:rsidR="00F07060" w:rsidRPr="00F07060" w:rsidRDefault="00F07060" w:rsidP="00F07060">
            <w:pPr>
              <w:rPr>
                <w:b/>
                <w:bCs/>
                <w:color w:val="000000"/>
                <w:sz w:val="16"/>
                <w:szCs w:val="16"/>
              </w:rPr>
            </w:pPr>
            <w:r w:rsidRPr="00F07060">
              <w:rPr>
                <w:b/>
                <w:bCs/>
                <w:color w:val="000000"/>
                <w:sz w:val="16"/>
                <w:szCs w:val="16"/>
              </w:rPr>
              <w:t>Don't know</w:t>
            </w:r>
          </w:p>
        </w:tc>
      </w:tr>
      <w:tr w:rsidR="00F07060" w:rsidRPr="00F07060" w14:paraId="30B0F2A9" w14:textId="77777777" w:rsidTr="00114022">
        <w:trPr>
          <w:trHeight w:val="19"/>
        </w:trPr>
        <w:tc>
          <w:tcPr>
            <w:tcW w:w="1796"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6792618A" w14:textId="77777777" w:rsidR="00F07060" w:rsidRPr="00F07060" w:rsidRDefault="00F07060" w:rsidP="00F07060">
            <w:pPr>
              <w:rPr>
                <w:b/>
                <w:bCs/>
                <w:color w:val="000000"/>
                <w:sz w:val="16"/>
                <w:szCs w:val="16"/>
              </w:rPr>
            </w:pPr>
            <w:r w:rsidRPr="00F07060">
              <w:rPr>
                <w:b/>
                <w:bCs/>
                <w:color w:val="000000"/>
                <w:sz w:val="16"/>
                <w:szCs w:val="16"/>
              </w:rPr>
              <w:t>Resources required</w:t>
            </w:r>
          </w:p>
        </w:tc>
        <w:tc>
          <w:tcPr>
            <w:tcW w:w="1125"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5B4EBEE" w14:textId="77777777" w:rsidR="00F07060" w:rsidRPr="00F07060" w:rsidRDefault="00F07060" w:rsidP="00F07060">
            <w:pPr>
              <w:rPr>
                <w:b/>
                <w:bCs/>
                <w:color w:val="000000"/>
                <w:sz w:val="16"/>
                <w:szCs w:val="16"/>
              </w:rPr>
            </w:pPr>
            <w:r w:rsidRPr="00F07060">
              <w:rPr>
                <w:b/>
                <w:bCs/>
                <w:color w:val="000000"/>
                <w:sz w:val="16"/>
                <w:szCs w:val="16"/>
              </w:rPr>
              <w:t>Large costs</w:t>
            </w:r>
          </w:p>
        </w:tc>
        <w:tc>
          <w:tcPr>
            <w:tcW w:w="1935"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8CC12E1" w14:textId="77777777" w:rsidR="00F07060" w:rsidRPr="00F07060" w:rsidRDefault="00F07060" w:rsidP="00F07060">
            <w:pPr>
              <w:rPr>
                <w:b/>
                <w:bCs/>
                <w:color w:val="000000"/>
                <w:sz w:val="16"/>
                <w:szCs w:val="16"/>
              </w:rPr>
            </w:pPr>
            <w:r w:rsidRPr="00F07060">
              <w:rPr>
                <w:b/>
                <w:bCs/>
                <w:color w:val="000000"/>
                <w:sz w:val="16"/>
                <w:szCs w:val="16"/>
              </w:rPr>
              <w:t>Moderate costs</w:t>
            </w:r>
          </w:p>
        </w:tc>
        <w:tc>
          <w:tcPr>
            <w:tcW w:w="1667"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7FD20AD" w14:textId="77777777" w:rsidR="00F07060" w:rsidRPr="00F07060" w:rsidRDefault="00F07060" w:rsidP="00F07060">
            <w:pPr>
              <w:rPr>
                <w:b/>
                <w:bCs/>
                <w:color w:val="000000"/>
                <w:sz w:val="16"/>
                <w:szCs w:val="16"/>
              </w:rPr>
            </w:pPr>
            <w:r w:rsidRPr="00F07060">
              <w:rPr>
                <w:b/>
                <w:bCs/>
                <w:color w:val="000000"/>
                <w:sz w:val="16"/>
                <w:szCs w:val="16"/>
              </w:rPr>
              <w:t>Negligible costs and savings</w:t>
            </w:r>
          </w:p>
        </w:tc>
        <w:tc>
          <w:tcPr>
            <w:tcW w:w="1667"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4DB45A5" w14:textId="77777777" w:rsidR="00F07060" w:rsidRPr="00F07060" w:rsidRDefault="00F07060" w:rsidP="00F07060">
            <w:pPr>
              <w:rPr>
                <w:b/>
                <w:bCs/>
                <w:color w:val="000000"/>
                <w:sz w:val="16"/>
                <w:szCs w:val="16"/>
              </w:rPr>
            </w:pPr>
            <w:r w:rsidRPr="00F07060">
              <w:rPr>
                <w:b/>
                <w:bCs/>
                <w:color w:val="000000"/>
                <w:sz w:val="16"/>
                <w:szCs w:val="16"/>
              </w:rPr>
              <w:t>Moderate savings</w:t>
            </w:r>
          </w:p>
        </w:tc>
        <w:tc>
          <w:tcPr>
            <w:tcW w:w="1127"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B0B98A5" w14:textId="77777777" w:rsidR="00F07060" w:rsidRPr="00F07060" w:rsidRDefault="00F07060" w:rsidP="00F07060">
            <w:pPr>
              <w:rPr>
                <w:b/>
                <w:bCs/>
                <w:color w:val="000000"/>
                <w:sz w:val="16"/>
                <w:szCs w:val="16"/>
              </w:rPr>
            </w:pPr>
            <w:r w:rsidRPr="00F07060">
              <w:rPr>
                <w:b/>
                <w:bCs/>
                <w:color w:val="000000"/>
                <w:sz w:val="16"/>
                <w:szCs w:val="16"/>
              </w:rPr>
              <w:t>Large savings</w:t>
            </w:r>
          </w:p>
        </w:tc>
        <w:tc>
          <w:tcPr>
            <w:tcW w:w="1021"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46EBB347" w14:textId="77777777" w:rsidR="00F07060" w:rsidRPr="00F07060" w:rsidRDefault="00F07060" w:rsidP="00F07060">
            <w:pPr>
              <w:rPr>
                <w:b/>
                <w:bCs/>
                <w:color w:val="000000"/>
                <w:sz w:val="16"/>
                <w:szCs w:val="16"/>
              </w:rPr>
            </w:pPr>
            <w:r w:rsidRPr="00F07060">
              <w:rPr>
                <w:b/>
                <w:bCs/>
                <w:color w:val="000000"/>
                <w:sz w:val="16"/>
                <w:szCs w:val="16"/>
              </w:rPr>
              <w:t>Varies</w:t>
            </w:r>
          </w:p>
        </w:tc>
        <w:tc>
          <w:tcPr>
            <w:tcW w:w="1559"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B49939E" w14:textId="77777777" w:rsidR="00F07060" w:rsidRPr="00F07060" w:rsidRDefault="00F07060" w:rsidP="00F07060">
            <w:pPr>
              <w:rPr>
                <w:b/>
                <w:bCs/>
                <w:color w:val="000000"/>
                <w:sz w:val="16"/>
                <w:szCs w:val="16"/>
              </w:rPr>
            </w:pPr>
            <w:r w:rsidRPr="00F07060">
              <w:rPr>
                <w:b/>
                <w:bCs/>
                <w:color w:val="000000"/>
                <w:sz w:val="16"/>
                <w:szCs w:val="16"/>
              </w:rPr>
              <w:t>Don't know</w:t>
            </w:r>
          </w:p>
        </w:tc>
      </w:tr>
      <w:tr w:rsidR="00F07060" w:rsidRPr="00F07060" w14:paraId="2ECF62FA" w14:textId="77777777" w:rsidTr="00114022">
        <w:trPr>
          <w:trHeight w:val="19"/>
        </w:trPr>
        <w:tc>
          <w:tcPr>
            <w:tcW w:w="1796"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0F5A0434" w14:textId="77777777" w:rsidR="00F07060" w:rsidRPr="00F07060" w:rsidRDefault="00F07060" w:rsidP="00F07060">
            <w:pPr>
              <w:rPr>
                <w:b/>
                <w:bCs/>
                <w:color w:val="000000"/>
                <w:sz w:val="16"/>
                <w:szCs w:val="16"/>
              </w:rPr>
            </w:pPr>
            <w:r w:rsidRPr="00F07060">
              <w:rPr>
                <w:b/>
                <w:bCs/>
                <w:color w:val="000000"/>
                <w:sz w:val="16"/>
                <w:szCs w:val="16"/>
              </w:rPr>
              <w:lastRenderedPageBreak/>
              <w:t>Certainty of evidence of required resources</w:t>
            </w:r>
          </w:p>
        </w:tc>
        <w:tc>
          <w:tcPr>
            <w:tcW w:w="112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B600B52" w14:textId="77777777" w:rsidR="00F07060" w:rsidRPr="00F07060" w:rsidRDefault="00F07060" w:rsidP="00F07060">
            <w:pPr>
              <w:rPr>
                <w:b/>
                <w:bCs/>
                <w:color w:val="000000"/>
                <w:sz w:val="16"/>
                <w:szCs w:val="16"/>
              </w:rPr>
            </w:pPr>
            <w:r w:rsidRPr="00F07060">
              <w:rPr>
                <w:b/>
                <w:bCs/>
                <w:color w:val="000000"/>
                <w:sz w:val="16"/>
                <w:szCs w:val="16"/>
              </w:rPr>
              <w:t>Very low</w:t>
            </w:r>
          </w:p>
        </w:tc>
        <w:tc>
          <w:tcPr>
            <w:tcW w:w="193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E9F06C0" w14:textId="77777777" w:rsidR="00F07060" w:rsidRPr="00F07060" w:rsidRDefault="00F07060" w:rsidP="00F07060">
            <w:pPr>
              <w:rPr>
                <w:b/>
                <w:bCs/>
                <w:color w:val="000000"/>
                <w:sz w:val="16"/>
                <w:szCs w:val="16"/>
              </w:rPr>
            </w:pPr>
            <w:r w:rsidRPr="00F07060">
              <w:rPr>
                <w:b/>
                <w:bCs/>
                <w:color w:val="000000"/>
                <w:sz w:val="16"/>
                <w:szCs w:val="16"/>
              </w:rPr>
              <w:t>Low</w:t>
            </w:r>
          </w:p>
        </w:tc>
        <w:tc>
          <w:tcPr>
            <w:tcW w:w="1667"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5D2FC45" w14:textId="77777777" w:rsidR="00F07060" w:rsidRPr="00F07060" w:rsidRDefault="00F07060" w:rsidP="00F07060">
            <w:pPr>
              <w:rPr>
                <w:b/>
                <w:bCs/>
                <w:color w:val="000000"/>
                <w:sz w:val="16"/>
                <w:szCs w:val="16"/>
              </w:rPr>
            </w:pPr>
            <w:r w:rsidRPr="00F07060">
              <w:rPr>
                <w:b/>
                <w:bCs/>
                <w:color w:val="000000"/>
                <w:sz w:val="16"/>
                <w:szCs w:val="16"/>
              </w:rPr>
              <w:t>Moderate</w:t>
            </w:r>
          </w:p>
        </w:tc>
        <w:tc>
          <w:tcPr>
            <w:tcW w:w="1667"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A24BB1B" w14:textId="77777777" w:rsidR="00F07060" w:rsidRPr="00F07060" w:rsidRDefault="00F07060" w:rsidP="00F07060">
            <w:pPr>
              <w:rPr>
                <w:b/>
                <w:bCs/>
                <w:color w:val="000000"/>
                <w:sz w:val="16"/>
                <w:szCs w:val="16"/>
              </w:rPr>
            </w:pPr>
            <w:r w:rsidRPr="00F07060">
              <w:rPr>
                <w:b/>
                <w:bCs/>
                <w:color w:val="000000"/>
                <w:sz w:val="16"/>
                <w:szCs w:val="16"/>
              </w:rPr>
              <w:t>High</w:t>
            </w:r>
          </w:p>
        </w:tc>
        <w:tc>
          <w:tcPr>
            <w:tcW w:w="1127"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E2AE50E" w14:textId="77777777" w:rsidR="00F07060" w:rsidRPr="00F07060" w:rsidRDefault="00F07060" w:rsidP="00F07060">
            <w:pPr>
              <w:rPr>
                <w:b/>
                <w:bCs/>
                <w:color w:val="000000"/>
                <w:sz w:val="16"/>
                <w:szCs w:val="16"/>
              </w:rPr>
            </w:pPr>
          </w:p>
        </w:tc>
        <w:tc>
          <w:tcPr>
            <w:tcW w:w="1021"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EA239CD" w14:textId="77777777" w:rsidR="00F07060" w:rsidRPr="00F07060" w:rsidRDefault="00F07060" w:rsidP="00F07060">
            <w:pPr>
              <w:rPr>
                <w:b/>
                <w:bCs/>
                <w:color w:val="000000"/>
                <w:sz w:val="16"/>
                <w:szCs w:val="16"/>
              </w:rPr>
            </w:pPr>
          </w:p>
        </w:tc>
        <w:tc>
          <w:tcPr>
            <w:tcW w:w="1559"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30906715" w14:textId="5AA79428" w:rsidR="00F07060" w:rsidRPr="00F07060" w:rsidRDefault="00F07060" w:rsidP="00F07060">
            <w:pPr>
              <w:rPr>
                <w:b/>
                <w:bCs/>
                <w:color w:val="000000"/>
                <w:sz w:val="16"/>
                <w:szCs w:val="16"/>
              </w:rPr>
            </w:pPr>
            <w:r w:rsidRPr="00F07060">
              <w:rPr>
                <w:b/>
                <w:bCs/>
                <w:color w:val="000000"/>
                <w:sz w:val="16"/>
                <w:szCs w:val="16"/>
              </w:rPr>
              <w:t xml:space="preserve">No </w:t>
            </w:r>
            <w:r w:rsidR="00114022" w:rsidRPr="00F07060">
              <w:rPr>
                <w:b/>
                <w:bCs/>
                <w:color w:val="000000"/>
                <w:sz w:val="16"/>
                <w:szCs w:val="16"/>
              </w:rPr>
              <w:t xml:space="preserve">studies </w:t>
            </w:r>
            <w:r w:rsidRPr="00F07060">
              <w:rPr>
                <w:b/>
                <w:bCs/>
                <w:color w:val="000000"/>
                <w:sz w:val="16"/>
                <w:szCs w:val="16"/>
              </w:rPr>
              <w:t xml:space="preserve">included </w:t>
            </w:r>
          </w:p>
        </w:tc>
      </w:tr>
      <w:tr w:rsidR="00F07060" w:rsidRPr="00F07060" w14:paraId="5A815222" w14:textId="77777777" w:rsidTr="0090666E">
        <w:trPr>
          <w:trHeight w:val="469"/>
        </w:trPr>
        <w:tc>
          <w:tcPr>
            <w:tcW w:w="1796"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6514DC32" w14:textId="77777777" w:rsidR="00F07060" w:rsidRPr="00F07060" w:rsidRDefault="00F07060" w:rsidP="00F07060">
            <w:pPr>
              <w:rPr>
                <w:b/>
                <w:bCs/>
                <w:color w:val="000000"/>
                <w:sz w:val="16"/>
                <w:szCs w:val="16"/>
              </w:rPr>
            </w:pPr>
            <w:r w:rsidRPr="00F07060">
              <w:rPr>
                <w:b/>
                <w:bCs/>
                <w:color w:val="000000"/>
                <w:sz w:val="16"/>
                <w:szCs w:val="16"/>
              </w:rPr>
              <w:t>Cost effectiveness</w:t>
            </w:r>
          </w:p>
        </w:tc>
        <w:tc>
          <w:tcPr>
            <w:tcW w:w="1125"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C506006" w14:textId="77777777" w:rsidR="00F07060" w:rsidRPr="00F07060" w:rsidRDefault="00F07060" w:rsidP="00F07060">
            <w:pPr>
              <w:rPr>
                <w:b/>
                <w:bCs/>
                <w:color w:val="000000"/>
                <w:sz w:val="16"/>
                <w:szCs w:val="16"/>
              </w:rPr>
            </w:pPr>
            <w:r w:rsidRPr="00F07060">
              <w:rPr>
                <w:b/>
                <w:bCs/>
                <w:color w:val="000000"/>
                <w:sz w:val="16"/>
                <w:szCs w:val="16"/>
              </w:rPr>
              <w:t>Favors the comparison</w:t>
            </w:r>
          </w:p>
        </w:tc>
        <w:tc>
          <w:tcPr>
            <w:tcW w:w="1935"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280BBAA" w14:textId="77777777" w:rsidR="00F07060" w:rsidRPr="00F07060" w:rsidRDefault="00F07060" w:rsidP="00F07060">
            <w:pPr>
              <w:rPr>
                <w:b/>
                <w:bCs/>
                <w:color w:val="000000"/>
                <w:sz w:val="16"/>
                <w:szCs w:val="16"/>
              </w:rPr>
            </w:pPr>
            <w:r w:rsidRPr="00F07060">
              <w:rPr>
                <w:b/>
                <w:bCs/>
                <w:color w:val="000000"/>
                <w:sz w:val="16"/>
                <w:szCs w:val="16"/>
              </w:rPr>
              <w:t>Probably favors the comparison</w:t>
            </w:r>
          </w:p>
        </w:tc>
        <w:tc>
          <w:tcPr>
            <w:tcW w:w="1667"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FAC61C3" w14:textId="77777777" w:rsidR="00F07060" w:rsidRPr="00F07060" w:rsidRDefault="00F07060" w:rsidP="00F07060">
            <w:pPr>
              <w:rPr>
                <w:b/>
                <w:bCs/>
                <w:color w:val="000000"/>
                <w:sz w:val="16"/>
                <w:szCs w:val="16"/>
              </w:rPr>
            </w:pPr>
            <w:r w:rsidRPr="00F07060">
              <w:rPr>
                <w:b/>
                <w:bCs/>
                <w:color w:val="000000"/>
                <w:sz w:val="16"/>
                <w:szCs w:val="16"/>
              </w:rPr>
              <w:t>Does not favor either the intervention or the comparison</w:t>
            </w:r>
          </w:p>
        </w:tc>
        <w:tc>
          <w:tcPr>
            <w:tcW w:w="166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4" w:type="dxa"/>
              <w:left w:w="74" w:type="dxa"/>
              <w:bottom w:w="74" w:type="dxa"/>
              <w:right w:w="74" w:type="dxa"/>
            </w:tcMar>
            <w:vAlign w:val="center"/>
            <w:hideMark/>
          </w:tcPr>
          <w:p w14:paraId="132F8375" w14:textId="77777777" w:rsidR="00F07060" w:rsidRPr="00F07060" w:rsidRDefault="00F07060" w:rsidP="00F07060">
            <w:pPr>
              <w:rPr>
                <w:b/>
                <w:bCs/>
                <w:color w:val="000000"/>
                <w:sz w:val="16"/>
                <w:szCs w:val="16"/>
              </w:rPr>
            </w:pPr>
            <w:r w:rsidRPr="00F07060">
              <w:rPr>
                <w:b/>
                <w:bCs/>
                <w:color w:val="000000"/>
                <w:sz w:val="16"/>
                <w:szCs w:val="16"/>
              </w:rPr>
              <w:t>Probably favors the intervention</w:t>
            </w:r>
          </w:p>
        </w:tc>
        <w:tc>
          <w:tcPr>
            <w:tcW w:w="1127"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0D2DEAC" w14:textId="77777777" w:rsidR="00F07060" w:rsidRPr="00F07060" w:rsidRDefault="00F07060" w:rsidP="00F07060">
            <w:pPr>
              <w:rPr>
                <w:b/>
                <w:bCs/>
                <w:color w:val="000000"/>
                <w:sz w:val="16"/>
                <w:szCs w:val="16"/>
              </w:rPr>
            </w:pPr>
            <w:r w:rsidRPr="00F07060">
              <w:rPr>
                <w:b/>
                <w:bCs/>
                <w:color w:val="000000"/>
                <w:sz w:val="16"/>
                <w:szCs w:val="16"/>
              </w:rPr>
              <w:t>Favors the intervention</w:t>
            </w:r>
          </w:p>
        </w:tc>
        <w:tc>
          <w:tcPr>
            <w:tcW w:w="1021"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54B524AE" w14:textId="77777777" w:rsidR="00F07060" w:rsidRPr="00F07060" w:rsidRDefault="00F07060" w:rsidP="00F07060">
            <w:pPr>
              <w:rPr>
                <w:b/>
                <w:bCs/>
                <w:color w:val="000000"/>
                <w:sz w:val="16"/>
                <w:szCs w:val="16"/>
              </w:rPr>
            </w:pPr>
            <w:r w:rsidRPr="00F07060">
              <w:rPr>
                <w:b/>
                <w:bCs/>
                <w:color w:val="000000"/>
                <w:sz w:val="16"/>
                <w:szCs w:val="16"/>
              </w:rPr>
              <w:t>Varies</w:t>
            </w:r>
          </w:p>
        </w:tc>
        <w:tc>
          <w:tcPr>
            <w:tcW w:w="1559"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4" w:type="dxa"/>
              <w:left w:w="74" w:type="dxa"/>
              <w:bottom w:w="74" w:type="dxa"/>
              <w:right w:w="74" w:type="dxa"/>
            </w:tcMar>
            <w:vAlign w:val="center"/>
            <w:hideMark/>
          </w:tcPr>
          <w:p w14:paraId="444D09E4" w14:textId="34F13C63" w:rsidR="00F07060" w:rsidRPr="00F07060" w:rsidRDefault="00F07060" w:rsidP="00F07060">
            <w:pPr>
              <w:rPr>
                <w:b/>
                <w:bCs/>
                <w:color w:val="000000"/>
                <w:sz w:val="16"/>
                <w:szCs w:val="16"/>
              </w:rPr>
            </w:pPr>
            <w:r w:rsidRPr="00F07060">
              <w:rPr>
                <w:b/>
                <w:bCs/>
                <w:color w:val="000000"/>
                <w:sz w:val="16"/>
                <w:szCs w:val="16"/>
              </w:rPr>
              <w:t xml:space="preserve">No </w:t>
            </w:r>
            <w:r w:rsidR="00114022" w:rsidRPr="00F07060">
              <w:rPr>
                <w:b/>
                <w:bCs/>
                <w:color w:val="000000"/>
                <w:sz w:val="16"/>
                <w:szCs w:val="16"/>
              </w:rPr>
              <w:t xml:space="preserve">studies </w:t>
            </w:r>
            <w:r w:rsidRPr="00F07060">
              <w:rPr>
                <w:b/>
                <w:bCs/>
                <w:color w:val="000000"/>
                <w:sz w:val="16"/>
                <w:szCs w:val="16"/>
              </w:rPr>
              <w:t xml:space="preserve">included </w:t>
            </w:r>
          </w:p>
        </w:tc>
      </w:tr>
      <w:tr w:rsidR="00F07060" w:rsidRPr="00F07060" w14:paraId="749DF6C3" w14:textId="77777777" w:rsidTr="00114022">
        <w:trPr>
          <w:trHeight w:val="92"/>
        </w:trPr>
        <w:tc>
          <w:tcPr>
            <w:tcW w:w="1796"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2E38C82E" w14:textId="77777777" w:rsidR="00F07060" w:rsidRPr="00F07060" w:rsidRDefault="00F07060" w:rsidP="00F07060">
            <w:pPr>
              <w:rPr>
                <w:b/>
                <w:bCs/>
                <w:color w:val="000000"/>
                <w:sz w:val="16"/>
                <w:szCs w:val="16"/>
              </w:rPr>
            </w:pPr>
            <w:r w:rsidRPr="00F07060">
              <w:rPr>
                <w:b/>
                <w:bCs/>
                <w:color w:val="000000"/>
                <w:sz w:val="16"/>
                <w:szCs w:val="16"/>
              </w:rPr>
              <w:t>Equity</w:t>
            </w:r>
          </w:p>
        </w:tc>
        <w:tc>
          <w:tcPr>
            <w:tcW w:w="112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36460C8" w14:textId="77777777" w:rsidR="00F07060" w:rsidRPr="00F07060" w:rsidRDefault="00F07060" w:rsidP="00F07060">
            <w:pPr>
              <w:rPr>
                <w:b/>
                <w:bCs/>
                <w:color w:val="000000"/>
                <w:sz w:val="16"/>
                <w:szCs w:val="16"/>
              </w:rPr>
            </w:pPr>
            <w:r w:rsidRPr="00F07060">
              <w:rPr>
                <w:b/>
                <w:bCs/>
                <w:color w:val="000000"/>
                <w:sz w:val="16"/>
                <w:szCs w:val="16"/>
              </w:rPr>
              <w:t>Reduced</w:t>
            </w:r>
          </w:p>
        </w:tc>
        <w:tc>
          <w:tcPr>
            <w:tcW w:w="193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CE1AADA" w14:textId="77777777" w:rsidR="00F07060" w:rsidRPr="00F07060" w:rsidRDefault="00F07060" w:rsidP="00F07060">
            <w:pPr>
              <w:rPr>
                <w:b/>
                <w:bCs/>
                <w:color w:val="000000"/>
                <w:sz w:val="16"/>
                <w:szCs w:val="16"/>
              </w:rPr>
            </w:pPr>
            <w:r w:rsidRPr="00F07060">
              <w:rPr>
                <w:b/>
                <w:bCs/>
                <w:color w:val="000000"/>
                <w:sz w:val="16"/>
                <w:szCs w:val="16"/>
              </w:rPr>
              <w:t>Probably reduced</w:t>
            </w:r>
          </w:p>
        </w:tc>
        <w:tc>
          <w:tcPr>
            <w:tcW w:w="1667"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8645101" w14:textId="77777777" w:rsidR="00F07060" w:rsidRPr="00F07060" w:rsidRDefault="00F07060" w:rsidP="00F07060">
            <w:pPr>
              <w:rPr>
                <w:b/>
                <w:bCs/>
                <w:color w:val="000000"/>
                <w:sz w:val="16"/>
                <w:szCs w:val="16"/>
              </w:rPr>
            </w:pPr>
            <w:r w:rsidRPr="00F07060">
              <w:rPr>
                <w:b/>
                <w:bCs/>
                <w:color w:val="000000"/>
                <w:sz w:val="16"/>
                <w:szCs w:val="16"/>
              </w:rPr>
              <w:t>Probably no impact</w:t>
            </w:r>
          </w:p>
        </w:tc>
        <w:tc>
          <w:tcPr>
            <w:tcW w:w="1667"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B8444BF" w14:textId="77777777" w:rsidR="00F07060" w:rsidRPr="00F07060" w:rsidRDefault="00F07060" w:rsidP="00F07060">
            <w:pPr>
              <w:rPr>
                <w:b/>
                <w:bCs/>
                <w:color w:val="000000"/>
                <w:sz w:val="16"/>
                <w:szCs w:val="16"/>
              </w:rPr>
            </w:pPr>
            <w:r w:rsidRPr="00F07060">
              <w:rPr>
                <w:b/>
                <w:bCs/>
                <w:color w:val="000000"/>
                <w:sz w:val="16"/>
                <w:szCs w:val="16"/>
              </w:rPr>
              <w:t>Probably increased</w:t>
            </w:r>
          </w:p>
        </w:tc>
        <w:tc>
          <w:tcPr>
            <w:tcW w:w="1127"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C4DFB65" w14:textId="77777777" w:rsidR="00F07060" w:rsidRPr="00F07060" w:rsidRDefault="00F07060" w:rsidP="00F07060">
            <w:pPr>
              <w:rPr>
                <w:b/>
                <w:bCs/>
                <w:color w:val="000000"/>
                <w:sz w:val="16"/>
                <w:szCs w:val="16"/>
              </w:rPr>
            </w:pPr>
            <w:r w:rsidRPr="00F07060">
              <w:rPr>
                <w:b/>
                <w:bCs/>
                <w:color w:val="000000"/>
                <w:sz w:val="16"/>
                <w:szCs w:val="16"/>
              </w:rPr>
              <w:t>Increased</w:t>
            </w:r>
          </w:p>
        </w:tc>
        <w:tc>
          <w:tcPr>
            <w:tcW w:w="1021"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6B251BF" w14:textId="77777777" w:rsidR="00F07060" w:rsidRPr="00F07060" w:rsidRDefault="00F07060" w:rsidP="00F07060">
            <w:pPr>
              <w:rPr>
                <w:b/>
                <w:bCs/>
                <w:color w:val="000000"/>
                <w:sz w:val="16"/>
                <w:szCs w:val="16"/>
              </w:rPr>
            </w:pPr>
            <w:r w:rsidRPr="00F07060">
              <w:rPr>
                <w:b/>
                <w:bCs/>
                <w:color w:val="000000"/>
                <w:sz w:val="16"/>
                <w:szCs w:val="16"/>
              </w:rPr>
              <w:t>Varies</w:t>
            </w:r>
          </w:p>
        </w:tc>
        <w:tc>
          <w:tcPr>
            <w:tcW w:w="1559"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01F6D033" w14:textId="77777777" w:rsidR="00F07060" w:rsidRPr="00F07060" w:rsidRDefault="00F07060" w:rsidP="00F07060">
            <w:pPr>
              <w:rPr>
                <w:b/>
                <w:bCs/>
                <w:color w:val="000000"/>
                <w:sz w:val="16"/>
                <w:szCs w:val="16"/>
              </w:rPr>
            </w:pPr>
            <w:r w:rsidRPr="00F07060">
              <w:rPr>
                <w:b/>
                <w:bCs/>
                <w:color w:val="000000"/>
                <w:sz w:val="16"/>
                <w:szCs w:val="16"/>
              </w:rPr>
              <w:t>Don't know</w:t>
            </w:r>
          </w:p>
        </w:tc>
      </w:tr>
      <w:tr w:rsidR="00F07060" w:rsidRPr="00F07060" w14:paraId="722FF159" w14:textId="77777777" w:rsidTr="00114022">
        <w:trPr>
          <w:trHeight w:val="186"/>
        </w:trPr>
        <w:tc>
          <w:tcPr>
            <w:tcW w:w="1796"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6B10868F" w14:textId="77777777" w:rsidR="00F07060" w:rsidRPr="00F07060" w:rsidRDefault="00F07060" w:rsidP="00F07060">
            <w:pPr>
              <w:rPr>
                <w:b/>
                <w:bCs/>
                <w:color w:val="000000"/>
                <w:sz w:val="16"/>
                <w:szCs w:val="16"/>
              </w:rPr>
            </w:pPr>
            <w:r w:rsidRPr="00F07060">
              <w:rPr>
                <w:b/>
                <w:bCs/>
                <w:color w:val="000000"/>
                <w:sz w:val="16"/>
                <w:szCs w:val="16"/>
              </w:rPr>
              <w:t>Acceptability</w:t>
            </w:r>
          </w:p>
        </w:tc>
        <w:tc>
          <w:tcPr>
            <w:tcW w:w="1125"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407061F" w14:textId="77777777" w:rsidR="00F07060" w:rsidRPr="00F07060" w:rsidRDefault="00F07060" w:rsidP="00F07060">
            <w:pPr>
              <w:rPr>
                <w:b/>
                <w:bCs/>
                <w:color w:val="000000"/>
                <w:sz w:val="16"/>
                <w:szCs w:val="16"/>
              </w:rPr>
            </w:pPr>
            <w:r w:rsidRPr="00F07060">
              <w:rPr>
                <w:b/>
                <w:bCs/>
                <w:color w:val="000000"/>
                <w:sz w:val="16"/>
                <w:szCs w:val="16"/>
              </w:rPr>
              <w:t>No</w:t>
            </w:r>
          </w:p>
        </w:tc>
        <w:tc>
          <w:tcPr>
            <w:tcW w:w="1935"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C82BBF0" w14:textId="77777777" w:rsidR="00F07060" w:rsidRPr="00F07060" w:rsidRDefault="00F07060" w:rsidP="00F07060">
            <w:pPr>
              <w:rPr>
                <w:b/>
                <w:bCs/>
                <w:color w:val="000000"/>
                <w:sz w:val="16"/>
                <w:szCs w:val="16"/>
              </w:rPr>
            </w:pPr>
            <w:r w:rsidRPr="00F07060">
              <w:rPr>
                <w:b/>
                <w:bCs/>
                <w:color w:val="000000"/>
                <w:sz w:val="16"/>
                <w:szCs w:val="16"/>
              </w:rPr>
              <w:t>Probably no</w:t>
            </w:r>
          </w:p>
        </w:tc>
        <w:tc>
          <w:tcPr>
            <w:tcW w:w="1667"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4E70B696" w14:textId="77777777" w:rsidR="00F07060" w:rsidRPr="00F07060" w:rsidRDefault="00F07060" w:rsidP="00F07060">
            <w:pPr>
              <w:rPr>
                <w:b/>
                <w:bCs/>
                <w:color w:val="000000"/>
                <w:sz w:val="16"/>
                <w:szCs w:val="16"/>
              </w:rPr>
            </w:pPr>
            <w:r w:rsidRPr="00F07060">
              <w:rPr>
                <w:b/>
                <w:bCs/>
                <w:color w:val="000000"/>
                <w:sz w:val="16"/>
                <w:szCs w:val="16"/>
              </w:rPr>
              <w:t>Probably yes</w:t>
            </w:r>
          </w:p>
        </w:tc>
        <w:tc>
          <w:tcPr>
            <w:tcW w:w="1667"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5196E82" w14:textId="77777777" w:rsidR="00F07060" w:rsidRPr="00F07060" w:rsidRDefault="00F07060" w:rsidP="00F07060">
            <w:pPr>
              <w:rPr>
                <w:b/>
                <w:bCs/>
                <w:color w:val="000000"/>
                <w:sz w:val="16"/>
                <w:szCs w:val="16"/>
              </w:rPr>
            </w:pPr>
            <w:r w:rsidRPr="00F07060">
              <w:rPr>
                <w:b/>
                <w:bCs/>
                <w:color w:val="000000"/>
                <w:sz w:val="16"/>
                <w:szCs w:val="16"/>
              </w:rPr>
              <w:t>Yes</w:t>
            </w:r>
          </w:p>
        </w:tc>
        <w:tc>
          <w:tcPr>
            <w:tcW w:w="1127"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BB15F25" w14:textId="77777777" w:rsidR="00F07060" w:rsidRPr="00F07060" w:rsidRDefault="00F07060" w:rsidP="00F07060">
            <w:pPr>
              <w:rPr>
                <w:b/>
                <w:bCs/>
                <w:color w:val="000000"/>
                <w:sz w:val="16"/>
                <w:szCs w:val="16"/>
              </w:rPr>
            </w:pPr>
          </w:p>
        </w:tc>
        <w:tc>
          <w:tcPr>
            <w:tcW w:w="1021"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E9BFA30" w14:textId="77777777" w:rsidR="00F07060" w:rsidRPr="00F07060" w:rsidRDefault="00F07060" w:rsidP="00F07060">
            <w:pPr>
              <w:rPr>
                <w:b/>
                <w:bCs/>
                <w:color w:val="000000"/>
                <w:sz w:val="16"/>
                <w:szCs w:val="16"/>
              </w:rPr>
            </w:pPr>
            <w:r w:rsidRPr="00F07060">
              <w:rPr>
                <w:b/>
                <w:bCs/>
                <w:color w:val="000000"/>
                <w:sz w:val="16"/>
                <w:szCs w:val="16"/>
              </w:rPr>
              <w:t>Varies</w:t>
            </w:r>
          </w:p>
        </w:tc>
        <w:tc>
          <w:tcPr>
            <w:tcW w:w="1559"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0D9E4EB" w14:textId="77777777" w:rsidR="00F07060" w:rsidRPr="00F07060" w:rsidRDefault="00F07060" w:rsidP="00F07060">
            <w:pPr>
              <w:rPr>
                <w:b/>
                <w:bCs/>
                <w:color w:val="000000"/>
                <w:sz w:val="16"/>
                <w:szCs w:val="16"/>
              </w:rPr>
            </w:pPr>
            <w:r w:rsidRPr="00F07060">
              <w:rPr>
                <w:b/>
                <w:bCs/>
                <w:color w:val="000000"/>
                <w:sz w:val="16"/>
                <w:szCs w:val="16"/>
              </w:rPr>
              <w:t>Don't know</w:t>
            </w:r>
          </w:p>
        </w:tc>
      </w:tr>
      <w:tr w:rsidR="00F07060" w:rsidRPr="00F07060" w14:paraId="42901F26" w14:textId="77777777" w:rsidTr="00114022">
        <w:trPr>
          <w:trHeight w:val="19"/>
        </w:trPr>
        <w:tc>
          <w:tcPr>
            <w:tcW w:w="1796"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344AC56A" w14:textId="77777777" w:rsidR="00F07060" w:rsidRPr="00F07060" w:rsidRDefault="00F07060" w:rsidP="00F07060">
            <w:pPr>
              <w:rPr>
                <w:b/>
                <w:bCs/>
                <w:color w:val="000000"/>
                <w:sz w:val="16"/>
                <w:szCs w:val="16"/>
              </w:rPr>
            </w:pPr>
            <w:r w:rsidRPr="00F07060">
              <w:rPr>
                <w:b/>
                <w:bCs/>
                <w:color w:val="000000"/>
                <w:sz w:val="16"/>
                <w:szCs w:val="16"/>
              </w:rPr>
              <w:t>Feasibility</w:t>
            </w:r>
          </w:p>
        </w:tc>
        <w:tc>
          <w:tcPr>
            <w:tcW w:w="112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3844482" w14:textId="77777777" w:rsidR="00F07060" w:rsidRPr="00F07060" w:rsidRDefault="00F07060" w:rsidP="00F07060">
            <w:pPr>
              <w:rPr>
                <w:b/>
                <w:bCs/>
                <w:color w:val="000000"/>
                <w:sz w:val="16"/>
                <w:szCs w:val="16"/>
              </w:rPr>
            </w:pPr>
            <w:r w:rsidRPr="00F07060">
              <w:rPr>
                <w:b/>
                <w:bCs/>
                <w:color w:val="000000"/>
                <w:sz w:val="16"/>
                <w:szCs w:val="16"/>
              </w:rPr>
              <w:t>No</w:t>
            </w:r>
          </w:p>
        </w:tc>
        <w:tc>
          <w:tcPr>
            <w:tcW w:w="193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444F043" w14:textId="77777777" w:rsidR="00F07060" w:rsidRPr="00F07060" w:rsidRDefault="00F07060" w:rsidP="00F07060">
            <w:pPr>
              <w:rPr>
                <w:b/>
                <w:bCs/>
                <w:color w:val="000000"/>
                <w:sz w:val="16"/>
                <w:szCs w:val="16"/>
              </w:rPr>
            </w:pPr>
            <w:r w:rsidRPr="00F07060">
              <w:rPr>
                <w:b/>
                <w:bCs/>
                <w:color w:val="000000"/>
                <w:sz w:val="16"/>
                <w:szCs w:val="16"/>
              </w:rPr>
              <w:t>Probably no</w:t>
            </w:r>
          </w:p>
        </w:tc>
        <w:tc>
          <w:tcPr>
            <w:tcW w:w="1667"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13C22DA8" w14:textId="77777777" w:rsidR="00F07060" w:rsidRPr="00F07060" w:rsidRDefault="00F07060" w:rsidP="00F07060">
            <w:pPr>
              <w:rPr>
                <w:b/>
                <w:bCs/>
                <w:color w:val="000000"/>
                <w:sz w:val="16"/>
                <w:szCs w:val="16"/>
              </w:rPr>
            </w:pPr>
            <w:r w:rsidRPr="00F07060">
              <w:rPr>
                <w:b/>
                <w:bCs/>
                <w:color w:val="000000"/>
                <w:sz w:val="16"/>
                <w:szCs w:val="16"/>
              </w:rPr>
              <w:t>Probably yes</w:t>
            </w:r>
          </w:p>
        </w:tc>
        <w:tc>
          <w:tcPr>
            <w:tcW w:w="1667"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B5E4E7D" w14:textId="77777777" w:rsidR="00F07060" w:rsidRPr="00F07060" w:rsidRDefault="00F07060" w:rsidP="00F07060">
            <w:pPr>
              <w:rPr>
                <w:b/>
                <w:bCs/>
                <w:color w:val="000000"/>
                <w:sz w:val="16"/>
                <w:szCs w:val="16"/>
              </w:rPr>
            </w:pPr>
            <w:r w:rsidRPr="00F07060">
              <w:rPr>
                <w:b/>
                <w:bCs/>
                <w:color w:val="000000"/>
                <w:sz w:val="16"/>
                <w:szCs w:val="16"/>
              </w:rPr>
              <w:t>Yes</w:t>
            </w:r>
          </w:p>
        </w:tc>
        <w:tc>
          <w:tcPr>
            <w:tcW w:w="1127"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BF5DDB1" w14:textId="77777777" w:rsidR="00F07060" w:rsidRPr="00F07060" w:rsidRDefault="00F07060" w:rsidP="00F07060">
            <w:pPr>
              <w:rPr>
                <w:b/>
                <w:bCs/>
                <w:color w:val="000000"/>
                <w:sz w:val="16"/>
                <w:szCs w:val="16"/>
              </w:rPr>
            </w:pPr>
          </w:p>
        </w:tc>
        <w:tc>
          <w:tcPr>
            <w:tcW w:w="1021"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2467F54" w14:textId="77777777" w:rsidR="00F07060" w:rsidRPr="00F07060" w:rsidRDefault="00F07060" w:rsidP="00F07060">
            <w:pPr>
              <w:rPr>
                <w:b/>
                <w:bCs/>
                <w:color w:val="000000"/>
                <w:sz w:val="16"/>
                <w:szCs w:val="16"/>
              </w:rPr>
            </w:pPr>
            <w:r w:rsidRPr="00F07060">
              <w:rPr>
                <w:b/>
                <w:bCs/>
                <w:color w:val="000000"/>
                <w:sz w:val="16"/>
                <w:szCs w:val="16"/>
              </w:rPr>
              <w:t>Varies</w:t>
            </w:r>
          </w:p>
        </w:tc>
        <w:tc>
          <w:tcPr>
            <w:tcW w:w="1559"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58FA3EB" w14:textId="77777777" w:rsidR="00F07060" w:rsidRPr="00F07060" w:rsidRDefault="00F07060" w:rsidP="00F07060">
            <w:pPr>
              <w:rPr>
                <w:b/>
                <w:bCs/>
                <w:color w:val="000000"/>
                <w:sz w:val="16"/>
                <w:szCs w:val="16"/>
              </w:rPr>
            </w:pPr>
            <w:r w:rsidRPr="00F07060">
              <w:rPr>
                <w:b/>
                <w:bCs/>
                <w:color w:val="000000"/>
                <w:sz w:val="16"/>
                <w:szCs w:val="16"/>
              </w:rPr>
              <w:t>Don't know</w:t>
            </w:r>
          </w:p>
        </w:tc>
      </w:tr>
    </w:tbl>
    <w:p w14:paraId="29C801A7" w14:textId="6DAB114D" w:rsidR="00F07060" w:rsidRDefault="00F07060">
      <w:pPr>
        <w:rPr>
          <w:b/>
          <w:bCs/>
          <w:color w:val="000000"/>
          <w:sz w:val="20"/>
          <w:szCs w:val="20"/>
          <w:lang w:val="en"/>
        </w:rPr>
      </w:pPr>
    </w:p>
    <w:p w14:paraId="69D9A41C" w14:textId="77777777" w:rsidR="002A55D2" w:rsidRDefault="002A55D2" w:rsidP="00F07060">
      <w:pPr>
        <w:rPr>
          <w:rFonts w:ascii="Arial" w:hAnsi="Arial" w:cs="Arial"/>
          <w:b/>
          <w:bCs/>
          <w:color w:val="000000"/>
          <w:sz w:val="20"/>
          <w:szCs w:val="20"/>
          <w:lang w:val="en"/>
        </w:rPr>
      </w:pPr>
    </w:p>
    <w:p w14:paraId="56C3B740" w14:textId="24863731" w:rsidR="00F07060" w:rsidRPr="00114022" w:rsidRDefault="00F07060">
      <w:pPr>
        <w:rPr>
          <w:rFonts w:ascii="Arial" w:hAnsi="Arial" w:cs="Arial"/>
          <w:b/>
          <w:sz w:val="20"/>
          <w:szCs w:val="20"/>
        </w:rPr>
      </w:pPr>
      <w:r w:rsidRPr="00805F7C">
        <w:rPr>
          <w:rFonts w:ascii="Arial" w:hAnsi="Arial" w:cs="Arial"/>
          <w:b/>
          <w:bCs/>
          <w:color w:val="000000"/>
          <w:sz w:val="20"/>
          <w:szCs w:val="20"/>
          <w:lang w:val="en"/>
        </w:rPr>
        <w:t>Table S</w:t>
      </w:r>
      <w:r w:rsidR="002A55D2">
        <w:rPr>
          <w:rFonts w:ascii="Arial" w:hAnsi="Arial" w:cs="Arial"/>
          <w:b/>
          <w:bCs/>
          <w:color w:val="000000"/>
          <w:sz w:val="20"/>
          <w:szCs w:val="20"/>
          <w:lang w:val="en"/>
        </w:rPr>
        <w:t>6</w:t>
      </w:r>
      <w:r w:rsidR="00114022">
        <w:rPr>
          <w:rFonts w:ascii="Arial" w:hAnsi="Arial" w:cs="Arial"/>
          <w:b/>
          <w:bCs/>
          <w:color w:val="000000"/>
          <w:sz w:val="20"/>
          <w:szCs w:val="20"/>
          <w:lang w:val="en"/>
        </w:rPr>
        <w:t>:</w:t>
      </w:r>
      <w:r w:rsidRPr="00805F7C">
        <w:rPr>
          <w:rFonts w:ascii="Arial" w:hAnsi="Arial" w:cs="Arial"/>
          <w:b/>
          <w:bCs/>
          <w:color w:val="000000"/>
          <w:sz w:val="20"/>
          <w:szCs w:val="20"/>
          <w:lang w:val="en"/>
        </w:rPr>
        <w:t xml:space="preserve"> </w:t>
      </w:r>
      <w:r w:rsidRPr="00805F7C">
        <w:rPr>
          <w:rFonts w:ascii="Arial" w:hAnsi="Arial" w:cs="Arial"/>
          <w:b/>
          <w:sz w:val="20"/>
          <w:szCs w:val="20"/>
        </w:rPr>
        <w:t xml:space="preserve">Evidence to decision table supporting recommendations for benralizumab for severe eosinophilic asthma in adults </w:t>
      </w:r>
      <w:r w:rsidR="00805F7C">
        <w:rPr>
          <w:rFonts w:ascii="Arial" w:hAnsi="Arial" w:cs="Arial"/>
          <w:b/>
          <w:sz w:val="20"/>
          <w:szCs w:val="20"/>
        </w:rPr>
        <w:br/>
      </w:r>
      <w:r w:rsidRPr="00805F7C">
        <w:rPr>
          <w:rFonts w:ascii="Arial" w:hAnsi="Arial" w:cs="Arial"/>
          <w:b/>
          <w:sz w:val="20"/>
          <w:szCs w:val="20"/>
        </w:rPr>
        <w:t>(asthma control, QoL)</w:t>
      </w:r>
    </w:p>
    <w:tbl>
      <w:tblPr>
        <w:tblW w:w="0" w:type="auto"/>
        <w:tblCellMar>
          <w:left w:w="0" w:type="dxa"/>
          <w:right w:w="0" w:type="dxa"/>
        </w:tblCellMar>
        <w:tblLook w:val="04A0" w:firstRow="1" w:lastRow="0" w:firstColumn="1" w:lastColumn="0" w:noHBand="0" w:noVBand="1"/>
      </w:tblPr>
      <w:tblGrid>
        <w:gridCol w:w="1661"/>
        <w:gridCol w:w="991"/>
        <w:gridCol w:w="1591"/>
        <w:gridCol w:w="2280"/>
        <w:gridCol w:w="2114"/>
        <w:gridCol w:w="984"/>
        <w:gridCol w:w="887"/>
        <w:gridCol w:w="1701"/>
      </w:tblGrid>
      <w:tr w:rsidR="00F07060" w:rsidRPr="00F07060" w14:paraId="72628D1A" w14:textId="77777777" w:rsidTr="00114022">
        <w:trPr>
          <w:trHeight w:val="190"/>
        </w:trPr>
        <w:tc>
          <w:tcPr>
            <w:tcW w:w="1661" w:type="dxa"/>
            <w:tcBorders>
              <w:top w:val="single" w:sz="8" w:space="0" w:color="FFFFFF"/>
              <w:left w:val="single" w:sz="8" w:space="0" w:color="FFFFFF"/>
              <w:bottom w:val="single" w:sz="24" w:space="0" w:color="FFFFFF"/>
              <w:right w:val="single" w:sz="8" w:space="0" w:color="FFFFFF"/>
            </w:tcBorders>
            <w:shd w:val="clear" w:color="auto" w:fill="5B9BD5"/>
            <w:tcMar>
              <w:top w:w="74" w:type="dxa"/>
              <w:left w:w="74" w:type="dxa"/>
              <w:bottom w:w="74" w:type="dxa"/>
              <w:right w:w="74" w:type="dxa"/>
            </w:tcMar>
            <w:vAlign w:val="center"/>
            <w:hideMark/>
          </w:tcPr>
          <w:p w14:paraId="77611438" w14:textId="77777777" w:rsidR="00F07060" w:rsidRPr="00F07060" w:rsidRDefault="00F07060" w:rsidP="00B647EA">
            <w:pPr>
              <w:rPr>
                <w:b/>
                <w:bCs/>
                <w:color w:val="000000"/>
                <w:sz w:val="16"/>
                <w:szCs w:val="16"/>
              </w:rPr>
            </w:pPr>
          </w:p>
        </w:tc>
        <w:tc>
          <w:tcPr>
            <w:tcW w:w="10548" w:type="dxa"/>
            <w:gridSpan w:val="7"/>
            <w:tcBorders>
              <w:top w:val="single" w:sz="8" w:space="0" w:color="FFFFFF"/>
              <w:left w:val="single" w:sz="8" w:space="0" w:color="FFFFFF"/>
              <w:bottom w:val="single" w:sz="24" w:space="0" w:color="FFFFFF"/>
              <w:right w:val="single" w:sz="8" w:space="0" w:color="FFFFFF"/>
            </w:tcBorders>
            <w:shd w:val="clear" w:color="auto" w:fill="5B9BD5"/>
            <w:tcMar>
              <w:top w:w="74" w:type="dxa"/>
              <w:left w:w="74" w:type="dxa"/>
              <w:bottom w:w="74" w:type="dxa"/>
              <w:right w:w="74" w:type="dxa"/>
            </w:tcMar>
            <w:vAlign w:val="center"/>
            <w:hideMark/>
          </w:tcPr>
          <w:p w14:paraId="6251ACE4" w14:textId="77777777" w:rsidR="00F07060" w:rsidRPr="00F07060" w:rsidRDefault="00F07060" w:rsidP="00B647EA">
            <w:pPr>
              <w:rPr>
                <w:b/>
                <w:bCs/>
                <w:color w:val="000000"/>
                <w:sz w:val="16"/>
                <w:szCs w:val="16"/>
              </w:rPr>
            </w:pPr>
            <w:r w:rsidRPr="00F07060">
              <w:rPr>
                <w:b/>
                <w:bCs/>
                <w:color w:val="000000"/>
                <w:sz w:val="16"/>
                <w:szCs w:val="16"/>
              </w:rPr>
              <w:t>Judgement</w:t>
            </w:r>
          </w:p>
        </w:tc>
      </w:tr>
      <w:tr w:rsidR="00F07060" w:rsidRPr="00F07060" w14:paraId="5FBC4717" w14:textId="77777777" w:rsidTr="00114022">
        <w:trPr>
          <w:trHeight w:val="85"/>
        </w:trPr>
        <w:tc>
          <w:tcPr>
            <w:tcW w:w="1661" w:type="dxa"/>
            <w:tcBorders>
              <w:top w:val="single" w:sz="24"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49CC1C53" w14:textId="77777777" w:rsidR="00F07060" w:rsidRPr="00F07060" w:rsidRDefault="00F07060" w:rsidP="00B647EA">
            <w:pPr>
              <w:rPr>
                <w:b/>
                <w:bCs/>
                <w:color w:val="000000"/>
                <w:sz w:val="16"/>
                <w:szCs w:val="16"/>
              </w:rPr>
            </w:pPr>
            <w:r w:rsidRPr="00F07060">
              <w:rPr>
                <w:b/>
                <w:bCs/>
                <w:color w:val="000000"/>
                <w:sz w:val="16"/>
                <w:szCs w:val="16"/>
              </w:rPr>
              <w:t>Problem (importance)</w:t>
            </w:r>
          </w:p>
        </w:tc>
        <w:tc>
          <w:tcPr>
            <w:tcW w:w="991"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6677BFD" w14:textId="77777777" w:rsidR="00F07060" w:rsidRPr="00F07060" w:rsidRDefault="00F07060" w:rsidP="00B647EA">
            <w:pPr>
              <w:rPr>
                <w:b/>
                <w:bCs/>
                <w:color w:val="000000"/>
                <w:sz w:val="16"/>
                <w:szCs w:val="16"/>
              </w:rPr>
            </w:pPr>
            <w:r w:rsidRPr="00F07060">
              <w:rPr>
                <w:b/>
                <w:bCs/>
                <w:color w:val="000000"/>
                <w:sz w:val="16"/>
                <w:szCs w:val="16"/>
              </w:rPr>
              <w:t>No</w:t>
            </w:r>
          </w:p>
        </w:tc>
        <w:tc>
          <w:tcPr>
            <w:tcW w:w="1591"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B0C589A" w14:textId="77777777" w:rsidR="00F07060" w:rsidRPr="00F07060" w:rsidRDefault="00F07060" w:rsidP="00B647EA">
            <w:pPr>
              <w:rPr>
                <w:b/>
                <w:bCs/>
                <w:color w:val="000000"/>
                <w:sz w:val="16"/>
                <w:szCs w:val="16"/>
              </w:rPr>
            </w:pPr>
            <w:r w:rsidRPr="00F07060">
              <w:rPr>
                <w:b/>
                <w:bCs/>
                <w:color w:val="000000"/>
                <w:sz w:val="16"/>
                <w:szCs w:val="16"/>
              </w:rPr>
              <w:t>Probably no</w:t>
            </w:r>
          </w:p>
        </w:tc>
        <w:tc>
          <w:tcPr>
            <w:tcW w:w="2280"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3AFCE8E" w14:textId="77777777" w:rsidR="00F07060" w:rsidRPr="00F07060" w:rsidRDefault="00F07060" w:rsidP="00B647EA">
            <w:pPr>
              <w:rPr>
                <w:b/>
                <w:bCs/>
                <w:color w:val="000000"/>
                <w:sz w:val="16"/>
                <w:szCs w:val="16"/>
              </w:rPr>
            </w:pPr>
            <w:r w:rsidRPr="00F07060">
              <w:rPr>
                <w:b/>
                <w:bCs/>
                <w:color w:val="000000"/>
                <w:sz w:val="16"/>
                <w:szCs w:val="16"/>
              </w:rPr>
              <w:t>Probably yes</w:t>
            </w:r>
          </w:p>
        </w:tc>
        <w:tc>
          <w:tcPr>
            <w:tcW w:w="2114" w:type="dxa"/>
            <w:tcBorders>
              <w:top w:val="single" w:sz="24"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6A9409C8" w14:textId="77777777" w:rsidR="00F07060" w:rsidRPr="00F07060" w:rsidRDefault="00F07060" w:rsidP="00B647EA">
            <w:pPr>
              <w:rPr>
                <w:b/>
                <w:bCs/>
                <w:color w:val="000000"/>
                <w:sz w:val="16"/>
                <w:szCs w:val="16"/>
              </w:rPr>
            </w:pPr>
            <w:r w:rsidRPr="00F07060">
              <w:rPr>
                <w:b/>
                <w:bCs/>
                <w:color w:val="000000"/>
                <w:sz w:val="16"/>
                <w:szCs w:val="16"/>
              </w:rPr>
              <w:t>Yes</w:t>
            </w:r>
          </w:p>
        </w:tc>
        <w:tc>
          <w:tcPr>
            <w:tcW w:w="984"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C482296" w14:textId="77777777" w:rsidR="00F07060" w:rsidRPr="00F07060" w:rsidRDefault="00F07060" w:rsidP="00B647EA">
            <w:pPr>
              <w:rPr>
                <w:b/>
                <w:bCs/>
                <w:color w:val="000000"/>
                <w:sz w:val="16"/>
                <w:szCs w:val="16"/>
              </w:rPr>
            </w:pPr>
          </w:p>
        </w:tc>
        <w:tc>
          <w:tcPr>
            <w:tcW w:w="887"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663A1AC" w14:textId="77777777" w:rsidR="00F07060" w:rsidRPr="00F07060" w:rsidRDefault="00F07060" w:rsidP="00B647EA">
            <w:pPr>
              <w:rPr>
                <w:b/>
                <w:bCs/>
                <w:color w:val="000000"/>
                <w:sz w:val="16"/>
                <w:szCs w:val="16"/>
              </w:rPr>
            </w:pPr>
            <w:r w:rsidRPr="00F07060">
              <w:rPr>
                <w:b/>
                <w:bCs/>
                <w:color w:val="000000"/>
                <w:sz w:val="16"/>
                <w:szCs w:val="16"/>
              </w:rPr>
              <w:t>Varies</w:t>
            </w:r>
          </w:p>
        </w:tc>
        <w:tc>
          <w:tcPr>
            <w:tcW w:w="1701"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73DFA68" w14:textId="77777777" w:rsidR="00F07060" w:rsidRPr="00F07060" w:rsidRDefault="00F07060" w:rsidP="00B647EA">
            <w:pPr>
              <w:rPr>
                <w:b/>
                <w:bCs/>
                <w:color w:val="000000"/>
                <w:sz w:val="16"/>
                <w:szCs w:val="16"/>
              </w:rPr>
            </w:pPr>
            <w:r w:rsidRPr="00F07060">
              <w:rPr>
                <w:b/>
                <w:bCs/>
                <w:color w:val="000000"/>
                <w:sz w:val="16"/>
                <w:szCs w:val="16"/>
              </w:rPr>
              <w:t>Don't know</w:t>
            </w:r>
          </w:p>
        </w:tc>
      </w:tr>
      <w:tr w:rsidR="00F07060" w:rsidRPr="00F07060" w14:paraId="26295900" w14:textId="77777777" w:rsidTr="00114022">
        <w:trPr>
          <w:trHeight w:val="19"/>
        </w:trPr>
        <w:tc>
          <w:tcPr>
            <w:tcW w:w="1661"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550018FE" w14:textId="77777777" w:rsidR="00F07060" w:rsidRPr="00F07060" w:rsidRDefault="00F07060" w:rsidP="00B647EA">
            <w:pPr>
              <w:rPr>
                <w:b/>
                <w:bCs/>
                <w:color w:val="000000"/>
                <w:sz w:val="16"/>
                <w:szCs w:val="16"/>
              </w:rPr>
            </w:pPr>
            <w:r w:rsidRPr="00F07060">
              <w:rPr>
                <w:b/>
                <w:bCs/>
                <w:color w:val="000000"/>
                <w:sz w:val="16"/>
                <w:szCs w:val="16"/>
              </w:rPr>
              <w:t>Desirable Effects</w:t>
            </w:r>
          </w:p>
        </w:tc>
        <w:tc>
          <w:tcPr>
            <w:tcW w:w="991"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FCBA7BA" w14:textId="77777777" w:rsidR="00F07060" w:rsidRPr="00F07060" w:rsidRDefault="00F07060" w:rsidP="00B647EA">
            <w:pPr>
              <w:rPr>
                <w:b/>
                <w:bCs/>
                <w:color w:val="000000"/>
                <w:sz w:val="16"/>
                <w:szCs w:val="16"/>
              </w:rPr>
            </w:pPr>
            <w:r w:rsidRPr="00F07060">
              <w:rPr>
                <w:b/>
                <w:bCs/>
                <w:color w:val="000000"/>
                <w:sz w:val="16"/>
                <w:szCs w:val="16"/>
              </w:rPr>
              <w:t>Trivial</w:t>
            </w:r>
          </w:p>
        </w:tc>
        <w:tc>
          <w:tcPr>
            <w:tcW w:w="1591"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2EE9A82" w14:textId="77777777" w:rsidR="00F07060" w:rsidRPr="00F07060" w:rsidRDefault="00F07060" w:rsidP="00B647EA">
            <w:pPr>
              <w:rPr>
                <w:b/>
                <w:bCs/>
                <w:color w:val="000000"/>
                <w:sz w:val="16"/>
                <w:szCs w:val="16"/>
              </w:rPr>
            </w:pPr>
            <w:r w:rsidRPr="00F07060">
              <w:rPr>
                <w:b/>
                <w:bCs/>
                <w:color w:val="000000"/>
                <w:sz w:val="16"/>
                <w:szCs w:val="16"/>
              </w:rPr>
              <w:t>Small</w:t>
            </w:r>
          </w:p>
        </w:tc>
        <w:tc>
          <w:tcPr>
            <w:tcW w:w="2280"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6AA4484" w14:textId="77777777" w:rsidR="00F07060" w:rsidRPr="00F07060" w:rsidRDefault="00F07060" w:rsidP="00B647EA">
            <w:pPr>
              <w:rPr>
                <w:b/>
                <w:bCs/>
                <w:color w:val="000000"/>
                <w:sz w:val="16"/>
                <w:szCs w:val="16"/>
              </w:rPr>
            </w:pPr>
            <w:r w:rsidRPr="00F07060">
              <w:rPr>
                <w:b/>
                <w:bCs/>
                <w:color w:val="000000"/>
                <w:sz w:val="16"/>
                <w:szCs w:val="16"/>
              </w:rPr>
              <w:t>Moderate</w:t>
            </w:r>
          </w:p>
        </w:tc>
        <w:tc>
          <w:tcPr>
            <w:tcW w:w="2114"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5D136D3E" w14:textId="77777777" w:rsidR="00F07060" w:rsidRPr="00F07060" w:rsidRDefault="00F07060" w:rsidP="00B647EA">
            <w:pPr>
              <w:rPr>
                <w:b/>
                <w:bCs/>
                <w:color w:val="000000"/>
                <w:sz w:val="16"/>
                <w:szCs w:val="16"/>
              </w:rPr>
            </w:pPr>
            <w:r w:rsidRPr="00F07060">
              <w:rPr>
                <w:b/>
                <w:bCs/>
                <w:color w:val="000000"/>
                <w:sz w:val="16"/>
                <w:szCs w:val="16"/>
              </w:rPr>
              <w:t>Large</w:t>
            </w:r>
          </w:p>
        </w:tc>
        <w:tc>
          <w:tcPr>
            <w:tcW w:w="98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D52D5F0" w14:textId="77777777" w:rsidR="00F07060" w:rsidRPr="00F07060" w:rsidRDefault="00F07060" w:rsidP="00B647EA">
            <w:pPr>
              <w:rPr>
                <w:b/>
                <w:bCs/>
                <w:color w:val="000000"/>
                <w:sz w:val="16"/>
                <w:szCs w:val="16"/>
              </w:rPr>
            </w:pPr>
          </w:p>
        </w:tc>
        <w:tc>
          <w:tcPr>
            <w:tcW w:w="887"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DE64009" w14:textId="77777777" w:rsidR="00F07060" w:rsidRPr="00F07060" w:rsidRDefault="00F07060" w:rsidP="00B647EA">
            <w:pPr>
              <w:rPr>
                <w:b/>
                <w:bCs/>
                <w:color w:val="000000"/>
                <w:sz w:val="16"/>
                <w:szCs w:val="16"/>
              </w:rPr>
            </w:pPr>
            <w:r w:rsidRPr="00F07060">
              <w:rPr>
                <w:b/>
                <w:bCs/>
                <w:color w:val="000000"/>
                <w:sz w:val="16"/>
                <w:szCs w:val="16"/>
              </w:rPr>
              <w:t>Varies</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5339009" w14:textId="77777777" w:rsidR="00F07060" w:rsidRPr="00F07060" w:rsidRDefault="00F07060" w:rsidP="00B647EA">
            <w:pPr>
              <w:rPr>
                <w:b/>
                <w:bCs/>
                <w:color w:val="000000"/>
                <w:sz w:val="16"/>
                <w:szCs w:val="16"/>
              </w:rPr>
            </w:pPr>
            <w:r w:rsidRPr="00F07060">
              <w:rPr>
                <w:b/>
                <w:bCs/>
                <w:color w:val="000000"/>
                <w:sz w:val="16"/>
                <w:szCs w:val="16"/>
              </w:rPr>
              <w:t>Don't know</w:t>
            </w:r>
          </w:p>
        </w:tc>
      </w:tr>
      <w:tr w:rsidR="00F07060" w:rsidRPr="00F07060" w14:paraId="13FEEB11" w14:textId="77777777" w:rsidTr="00114022">
        <w:trPr>
          <w:trHeight w:val="52"/>
        </w:trPr>
        <w:tc>
          <w:tcPr>
            <w:tcW w:w="1661"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1B482387" w14:textId="77777777" w:rsidR="00F07060" w:rsidRPr="00F07060" w:rsidRDefault="00F07060" w:rsidP="00B647EA">
            <w:pPr>
              <w:rPr>
                <w:b/>
                <w:bCs/>
                <w:color w:val="000000"/>
                <w:sz w:val="16"/>
                <w:szCs w:val="16"/>
              </w:rPr>
            </w:pPr>
            <w:r w:rsidRPr="00F07060">
              <w:rPr>
                <w:b/>
                <w:bCs/>
                <w:color w:val="000000"/>
                <w:sz w:val="16"/>
                <w:szCs w:val="16"/>
              </w:rPr>
              <w:t>Undesirable Effects</w:t>
            </w:r>
          </w:p>
        </w:tc>
        <w:tc>
          <w:tcPr>
            <w:tcW w:w="991"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987B34E" w14:textId="77777777" w:rsidR="00F07060" w:rsidRPr="00F07060" w:rsidRDefault="00F07060" w:rsidP="00B647EA">
            <w:pPr>
              <w:rPr>
                <w:b/>
                <w:bCs/>
                <w:color w:val="000000"/>
                <w:sz w:val="16"/>
                <w:szCs w:val="16"/>
              </w:rPr>
            </w:pPr>
            <w:r w:rsidRPr="00F07060">
              <w:rPr>
                <w:b/>
                <w:bCs/>
                <w:color w:val="000000"/>
                <w:sz w:val="16"/>
                <w:szCs w:val="16"/>
              </w:rPr>
              <w:t>Large</w:t>
            </w:r>
          </w:p>
        </w:tc>
        <w:tc>
          <w:tcPr>
            <w:tcW w:w="1591"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5F69932" w14:textId="77777777" w:rsidR="00F07060" w:rsidRPr="00F07060" w:rsidRDefault="00F07060" w:rsidP="00B647EA">
            <w:pPr>
              <w:rPr>
                <w:b/>
                <w:bCs/>
                <w:color w:val="000000"/>
                <w:sz w:val="16"/>
                <w:szCs w:val="16"/>
              </w:rPr>
            </w:pPr>
            <w:r w:rsidRPr="00F07060">
              <w:rPr>
                <w:b/>
                <w:bCs/>
                <w:color w:val="000000"/>
                <w:sz w:val="16"/>
                <w:szCs w:val="16"/>
              </w:rPr>
              <w:t>Moderate</w:t>
            </w:r>
          </w:p>
        </w:tc>
        <w:tc>
          <w:tcPr>
            <w:tcW w:w="2280"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005FCF30" w14:textId="77777777" w:rsidR="00F07060" w:rsidRPr="00F07060" w:rsidRDefault="00F07060" w:rsidP="00B647EA">
            <w:pPr>
              <w:rPr>
                <w:b/>
                <w:bCs/>
                <w:color w:val="000000"/>
                <w:sz w:val="16"/>
                <w:szCs w:val="16"/>
              </w:rPr>
            </w:pPr>
            <w:r w:rsidRPr="00F07060">
              <w:rPr>
                <w:b/>
                <w:bCs/>
                <w:color w:val="000000"/>
                <w:sz w:val="16"/>
                <w:szCs w:val="16"/>
              </w:rPr>
              <w:t>Small</w:t>
            </w:r>
          </w:p>
        </w:tc>
        <w:tc>
          <w:tcPr>
            <w:tcW w:w="211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69C0481" w14:textId="77777777" w:rsidR="00F07060" w:rsidRPr="00F07060" w:rsidRDefault="00F07060" w:rsidP="00B647EA">
            <w:pPr>
              <w:rPr>
                <w:b/>
                <w:bCs/>
                <w:color w:val="000000"/>
                <w:sz w:val="16"/>
                <w:szCs w:val="16"/>
              </w:rPr>
            </w:pPr>
            <w:r w:rsidRPr="00F07060">
              <w:rPr>
                <w:b/>
                <w:bCs/>
                <w:color w:val="000000"/>
                <w:sz w:val="16"/>
                <w:szCs w:val="16"/>
              </w:rPr>
              <w:t>Trivial</w:t>
            </w:r>
          </w:p>
        </w:tc>
        <w:tc>
          <w:tcPr>
            <w:tcW w:w="98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A65BF2D" w14:textId="77777777" w:rsidR="00F07060" w:rsidRPr="00F07060" w:rsidRDefault="00F07060" w:rsidP="00B647EA">
            <w:pPr>
              <w:rPr>
                <w:b/>
                <w:bCs/>
                <w:color w:val="000000"/>
                <w:sz w:val="16"/>
                <w:szCs w:val="16"/>
              </w:rPr>
            </w:pPr>
          </w:p>
        </w:tc>
        <w:tc>
          <w:tcPr>
            <w:tcW w:w="887"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C640262" w14:textId="77777777" w:rsidR="00F07060" w:rsidRPr="00F07060" w:rsidRDefault="00F07060" w:rsidP="00B647EA">
            <w:pPr>
              <w:rPr>
                <w:b/>
                <w:bCs/>
                <w:color w:val="000000"/>
                <w:sz w:val="16"/>
                <w:szCs w:val="16"/>
              </w:rPr>
            </w:pPr>
            <w:r w:rsidRPr="00F07060">
              <w:rPr>
                <w:b/>
                <w:bCs/>
                <w:color w:val="000000"/>
                <w:sz w:val="16"/>
                <w:szCs w:val="16"/>
              </w:rPr>
              <w:t>Varies</w:t>
            </w: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3BC25B1" w14:textId="77777777" w:rsidR="00F07060" w:rsidRPr="00F07060" w:rsidRDefault="00F07060" w:rsidP="00B647EA">
            <w:pPr>
              <w:rPr>
                <w:b/>
                <w:bCs/>
                <w:color w:val="000000"/>
                <w:sz w:val="16"/>
                <w:szCs w:val="16"/>
              </w:rPr>
            </w:pPr>
            <w:r w:rsidRPr="00F07060">
              <w:rPr>
                <w:b/>
                <w:bCs/>
                <w:color w:val="000000"/>
                <w:sz w:val="16"/>
                <w:szCs w:val="16"/>
              </w:rPr>
              <w:t>Don't know</w:t>
            </w:r>
          </w:p>
        </w:tc>
      </w:tr>
      <w:tr w:rsidR="00F07060" w:rsidRPr="00F07060" w14:paraId="71195873" w14:textId="77777777" w:rsidTr="00114022">
        <w:trPr>
          <w:trHeight w:val="19"/>
        </w:trPr>
        <w:tc>
          <w:tcPr>
            <w:tcW w:w="1661"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358CB714" w14:textId="77777777" w:rsidR="00F07060" w:rsidRPr="00F07060" w:rsidRDefault="00F07060" w:rsidP="00B647EA">
            <w:pPr>
              <w:rPr>
                <w:b/>
                <w:bCs/>
                <w:color w:val="000000"/>
                <w:sz w:val="16"/>
                <w:szCs w:val="16"/>
              </w:rPr>
            </w:pPr>
            <w:r w:rsidRPr="00F07060">
              <w:rPr>
                <w:b/>
                <w:bCs/>
                <w:color w:val="000000"/>
                <w:sz w:val="16"/>
                <w:szCs w:val="16"/>
              </w:rPr>
              <w:t>Certainty of evidence</w:t>
            </w:r>
          </w:p>
        </w:tc>
        <w:tc>
          <w:tcPr>
            <w:tcW w:w="991"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258542D" w14:textId="77777777" w:rsidR="00F07060" w:rsidRPr="00F07060" w:rsidRDefault="00F07060" w:rsidP="00B647EA">
            <w:pPr>
              <w:rPr>
                <w:b/>
                <w:bCs/>
                <w:color w:val="000000"/>
                <w:sz w:val="16"/>
                <w:szCs w:val="16"/>
              </w:rPr>
            </w:pPr>
            <w:r w:rsidRPr="00F07060">
              <w:rPr>
                <w:b/>
                <w:bCs/>
                <w:color w:val="000000"/>
                <w:sz w:val="16"/>
                <w:szCs w:val="16"/>
              </w:rPr>
              <w:t>Very low</w:t>
            </w:r>
          </w:p>
        </w:tc>
        <w:tc>
          <w:tcPr>
            <w:tcW w:w="1591"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1A2415A" w14:textId="77777777" w:rsidR="00F07060" w:rsidRPr="00F07060" w:rsidRDefault="00F07060" w:rsidP="00B647EA">
            <w:pPr>
              <w:rPr>
                <w:b/>
                <w:bCs/>
                <w:color w:val="000000"/>
                <w:sz w:val="16"/>
                <w:szCs w:val="16"/>
              </w:rPr>
            </w:pPr>
            <w:r w:rsidRPr="00F07060">
              <w:rPr>
                <w:b/>
                <w:bCs/>
                <w:color w:val="000000"/>
                <w:sz w:val="16"/>
                <w:szCs w:val="16"/>
              </w:rPr>
              <w:t>Low</w:t>
            </w:r>
          </w:p>
        </w:tc>
        <w:tc>
          <w:tcPr>
            <w:tcW w:w="228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4" w:type="dxa"/>
              <w:left w:w="74" w:type="dxa"/>
              <w:bottom w:w="74" w:type="dxa"/>
              <w:right w:w="74" w:type="dxa"/>
            </w:tcMar>
            <w:vAlign w:val="center"/>
            <w:hideMark/>
          </w:tcPr>
          <w:p w14:paraId="08B1EF0B" w14:textId="77777777" w:rsidR="00F07060" w:rsidRPr="00F07060" w:rsidRDefault="00F07060" w:rsidP="00B647EA">
            <w:pPr>
              <w:rPr>
                <w:b/>
                <w:bCs/>
                <w:color w:val="000000"/>
                <w:sz w:val="16"/>
                <w:szCs w:val="16"/>
              </w:rPr>
            </w:pPr>
            <w:r w:rsidRPr="00F07060">
              <w:rPr>
                <w:b/>
                <w:bCs/>
                <w:color w:val="000000"/>
                <w:sz w:val="16"/>
                <w:szCs w:val="16"/>
              </w:rPr>
              <w:t>Moderate</w:t>
            </w:r>
          </w:p>
        </w:tc>
        <w:tc>
          <w:tcPr>
            <w:tcW w:w="2114"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2D2C2834" w14:textId="77777777" w:rsidR="00F07060" w:rsidRPr="00F07060" w:rsidRDefault="00F07060" w:rsidP="00B647EA">
            <w:pPr>
              <w:rPr>
                <w:b/>
                <w:bCs/>
                <w:color w:val="000000"/>
                <w:sz w:val="16"/>
                <w:szCs w:val="16"/>
              </w:rPr>
            </w:pPr>
            <w:r w:rsidRPr="00F07060">
              <w:rPr>
                <w:b/>
                <w:bCs/>
                <w:color w:val="000000"/>
                <w:sz w:val="16"/>
                <w:szCs w:val="16"/>
              </w:rPr>
              <w:t>High</w:t>
            </w:r>
          </w:p>
        </w:tc>
        <w:tc>
          <w:tcPr>
            <w:tcW w:w="98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20F1701" w14:textId="77777777" w:rsidR="00F07060" w:rsidRPr="00F07060" w:rsidRDefault="00F07060" w:rsidP="00B647EA">
            <w:pPr>
              <w:rPr>
                <w:b/>
                <w:bCs/>
                <w:color w:val="000000"/>
                <w:sz w:val="16"/>
                <w:szCs w:val="16"/>
              </w:rPr>
            </w:pPr>
          </w:p>
        </w:tc>
        <w:tc>
          <w:tcPr>
            <w:tcW w:w="887"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7F2391C" w14:textId="77777777" w:rsidR="00F07060" w:rsidRPr="00F07060" w:rsidRDefault="00F07060" w:rsidP="00B647EA">
            <w:pPr>
              <w:rPr>
                <w:b/>
                <w:bCs/>
                <w:color w:val="000000"/>
                <w:sz w:val="16"/>
                <w:szCs w:val="16"/>
              </w:rPr>
            </w:pP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285C668" w14:textId="0C380E1E" w:rsidR="00F07060" w:rsidRPr="00F07060" w:rsidRDefault="00F07060" w:rsidP="00B647EA">
            <w:pPr>
              <w:rPr>
                <w:b/>
                <w:bCs/>
                <w:color w:val="000000"/>
                <w:sz w:val="16"/>
                <w:szCs w:val="16"/>
              </w:rPr>
            </w:pPr>
            <w:r w:rsidRPr="00F07060">
              <w:rPr>
                <w:b/>
                <w:bCs/>
                <w:color w:val="000000"/>
                <w:sz w:val="16"/>
                <w:szCs w:val="16"/>
              </w:rPr>
              <w:t xml:space="preserve">No </w:t>
            </w:r>
            <w:r w:rsidR="00114022" w:rsidRPr="00F07060">
              <w:rPr>
                <w:b/>
                <w:bCs/>
                <w:color w:val="000000"/>
                <w:sz w:val="16"/>
                <w:szCs w:val="16"/>
              </w:rPr>
              <w:t xml:space="preserve">studies </w:t>
            </w:r>
            <w:r w:rsidRPr="00F07060">
              <w:rPr>
                <w:b/>
                <w:bCs/>
                <w:color w:val="000000"/>
                <w:sz w:val="16"/>
                <w:szCs w:val="16"/>
              </w:rPr>
              <w:t xml:space="preserve">included </w:t>
            </w:r>
          </w:p>
        </w:tc>
      </w:tr>
      <w:tr w:rsidR="00F07060" w:rsidRPr="00F07060" w14:paraId="3712C396" w14:textId="77777777" w:rsidTr="00114022">
        <w:trPr>
          <w:trHeight w:val="292"/>
        </w:trPr>
        <w:tc>
          <w:tcPr>
            <w:tcW w:w="1661"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7463175B" w14:textId="77777777" w:rsidR="00F07060" w:rsidRPr="00F07060" w:rsidRDefault="00F07060" w:rsidP="00B647EA">
            <w:pPr>
              <w:rPr>
                <w:b/>
                <w:bCs/>
                <w:color w:val="000000"/>
                <w:sz w:val="16"/>
                <w:szCs w:val="16"/>
              </w:rPr>
            </w:pPr>
            <w:r w:rsidRPr="00F07060">
              <w:rPr>
                <w:b/>
                <w:bCs/>
                <w:color w:val="000000"/>
                <w:sz w:val="16"/>
                <w:szCs w:val="16"/>
              </w:rPr>
              <w:t>Values</w:t>
            </w:r>
          </w:p>
        </w:tc>
        <w:tc>
          <w:tcPr>
            <w:tcW w:w="991"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883E756" w14:textId="77777777" w:rsidR="00F07060" w:rsidRPr="00F07060" w:rsidRDefault="00F07060" w:rsidP="00B647EA">
            <w:pPr>
              <w:rPr>
                <w:b/>
                <w:bCs/>
                <w:color w:val="000000"/>
                <w:sz w:val="16"/>
                <w:szCs w:val="16"/>
              </w:rPr>
            </w:pPr>
            <w:r w:rsidRPr="00F07060">
              <w:rPr>
                <w:b/>
                <w:bCs/>
                <w:color w:val="000000"/>
                <w:sz w:val="16"/>
                <w:szCs w:val="16"/>
              </w:rPr>
              <w:t>Important uncertainty or variability</w:t>
            </w:r>
          </w:p>
        </w:tc>
        <w:tc>
          <w:tcPr>
            <w:tcW w:w="1591"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74E89AA" w14:textId="77777777" w:rsidR="00F07060" w:rsidRPr="00F07060" w:rsidRDefault="00F07060" w:rsidP="00B647EA">
            <w:pPr>
              <w:rPr>
                <w:b/>
                <w:bCs/>
                <w:color w:val="000000"/>
                <w:sz w:val="16"/>
                <w:szCs w:val="16"/>
              </w:rPr>
            </w:pPr>
            <w:r w:rsidRPr="00F07060">
              <w:rPr>
                <w:b/>
                <w:bCs/>
                <w:color w:val="000000"/>
                <w:sz w:val="16"/>
                <w:szCs w:val="16"/>
              </w:rPr>
              <w:t>Possibly important uncertainty or variability</w:t>
            </w:r>
          </w:p>
        </w:tc>
        <w:tc>
          <w:tcPr>
            <w:tcW w:w="2280"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B03F3CF" w14:textId="77777777" w:rsidR="00F07060" w:rsidRPr="00F07060" w:rsidRDefault="00F07060" w:rsidP="00B647EA">
            <w:pPr>
              <w:rPr>
                <w:b/>
                <w:bCs/>
                <w:color w:val="000000"/>
                <w:sz w:val="16"/>
                <w:szCs w:val="16"/>
              </w:rPr>
            </w:pPr>
            <w:r w:rsidRPr="00F07060">
              <w:rPr>
                <w:b/>
                <w:bCs/>
                <w:color w:val="000000"/>
                <w:sz w:val="16"/>
                <w:szCs w:val="16"/>
              </w:rPr>
              <w:t>Probably no important uncertainty or variability</w:t>
            </w:r>
          </w:p>
        </w:tc>
        <w:tc>
          <w:tcPr>
            <w:tcW w:w="2114"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21AD16C1" w14:textId="77777777" w:rsidR="00F07060" w:rsidRPr="00F07060" w:rsidRDefault="00F07060" w:rsidP="00B647EA">
            <w:pPr>
              <w:rPr>
                <w:b/>
                <w:bCs/>
                <w:color w:val="000000"/>
                <w:sz w:val="16"/>
                <w:szCs w:val="16"/>
              </w:rPr>
            </w:pPr>
            <w:r w:rsidRPr="00F07060">
              <w:rPr>
                <w:b/>
                <w:bCs/>
                <w:color w:val="000000"/>
                <w:sz w:val="16"/>
                <w:szCs w:val="16"/>
              </w:rPr>
              <w:t>no important uncertainty or variability</w:t>
            </w:r>
          </w:p>
        </w:tc>
        <w:tc>
          <w:tcPr>
            <w:tcW w:w="98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84EB9B1" w14:textId="77777777" w:rsidR="00F07060" w:rsidRPr="00F07060" w:rsidRDefault="00F07060" w:rsidP="00B647EA">
            <w:pPr>
              <w:rPr>
                <w:b/>
                <w:bCs/>
                <w:color w:val="000000"/>
                <w:sz w:val="16"/>
                <w:szCs w:val="16"/>
              </w:rPr>
            </w:pPr>
          </w:p>
        </w:tc>
        <w:tc>
          <w:tcPr>
            <w:tcW w:w="887"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F366B08" w14:textId="77777777" w:rsidR="00F07060" w:rsidRPr="00F07060" w:rsidRDefault="00F07060" w:rsidP="00B647EA">
            <w:pPr>
              <w:rPr>
                <w:b/>
                <w:bCs/>
                <w:color w:val="000000"/>
                <w:sz w:val="16"/>
                <w:szCs w:val="16"/>
              </w:rPr>
            </w:pP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5B4E06E" w14:textId="77777777" w:rsidR="00F07060" w:rsidRPr="00F07060" w:rsidRDefault="00F07060" w:rsidP="00B647EA">
            <w:pPr>
              <w:rPr>
                <w:b/>
                <w:bCs/>
                <w:color w:val="000000"/>
                <w:sz w:val="16"/>
                <w:szCs w:val="16"/>
              </w:rPr>
            </w:pPr>
          </w:p>
        </w:tc>
      </w:tr>
      <w:tr w:rsidR="00F07060" w:rsidRPr="00F07060" w14:paraId="5B19AF0C" w14:textId="77777777" w:rsidTr="00114022">
        <w:trPr>
          <w:trHeight w:val="375"/>
        </w:trPr>
        <w:tc>
          <w:tcPr>
            <w:tcW w:w="1661"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65E6336C" w14:textId="77777777" w:rsidR="00F07060" w:rsidRPr="00F07060" w:rsidRDefault="00F07060" w:rsidP="00B647EA">
            <w:pPr>
              <w:rPr>
                <w:b/>
                <w:bCs/>
                <w:color w:val="000000"/>
                <w:sz w:val="16"/>
                <w:szCs w:val="16"/>
              </w:rPr>
            </w:pPr>
            <w:r w:rsidRPr="00F07060">
              <w:rPr>
                <w:b/>
                <w:bCs/>
                <w:color w:val="000000"/>
                <w:sz w:val="16"/>
                <w:szCs w:val="16"/>
              </w:rPr>
              <w:t>Balance of effects</w:t>
            </w:r>
          </w:p>
        </w:tc>
        <w:tc>
          <w:tcPr>
            <w:tcW w:w="991"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B4F9F95" w14:textId="77777777" w:rsidR="00F07060" w:rsidRPr="00F07060" w:rsidRDefault="00F07060" w:rsidP="00B647EA">
            <w:pPr>
              <w:rPr>
                <w:b/>
                <w:bCs/>
                <w:color w:val="000000"/>
                <w:sz w:val="16"/>
                <w:szCs w:val="16"/>
              </w:rPr>
            </w:pPr>
            <w:r w:rsidRPr="00F07060">
              <w:rPr>
                <w:b/>
                <w:bCs/>
                <w:color w:val="000000"/>
                <w:sz w:val="16"/>
                <w:szCs w:val="16"/>
              </w:rPr>
              <w:t>Favors the comparison</w:t>
            </w:r>
          </w:p>
        </w:tc>
        <w:tc>
          <w:tcPr>
            <w:tcW w:w="1591"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8A9FFCE" w14:textId="77777777" w:rsidR="00F07060" w:rsidRPr="00F07060" w:rsidRDefault="00F07060" w:rsidP="00B647EA">
            <w:pPr>
              <w:rPr>
                <w:b/>
                <w:bCs/>
                <w:color w:val="000000"/>
                <w:sz w:val="16"/>
                <w:szCs w:val="16"/>
              </w:rPr>
            </w:pPr>
            <w:r w:rsidRPr="00F07060">
              <w:rPr>
                <w:b/>
                <w:bCs/>
                <w:color w:val="000000"/>
                <w:sz w:val="16"/>
                <w:szCs w:val="16"/>
              </w:rPr>
              <w:t>Probably favors the comparison</w:t>
            </w:r>
          </w:p>
        </w:tc>
        <w:tc>
          <w:tcPr>
            <w:tcW w:w="2280"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CC75229" w14:textId="77777777" w:rsidR="00F07060" w:rsidRPr="00F07060" w:rsidRDefault="00F07060" w:rsidP="00B647EA">
            <w:pPr>
              <w:rPr>
                <w:b/>
                <w:bCs/>
                <w:color w:val="000000"/>
                <w:sz w:val="16"/>
                <w:szCs w:val="16"/>
              </w:rPr>
            </w:pPr>
            <w:r w:rsidRPr="00F07060">
              <w:rPr>
                <w:b/>
                <w:bCs/>
                <w:color w:val="000000"/>
                <w:sz w:val="16"/>
                <w:szCs w:val="16"/>
              </w:rPr>
              <w:t>Does not favor either the intervention or the comparison</w:t>
            </w:r>
          </w:p>
        </w:tc>
        <w:tc>
          <w:tcPr>
            <w:tcW w:w="2114"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45A7BDF2" w14:textId="77777777" w:rsidR="00F07060" w:rsidRPr="00F07060" w:rsidRDefault="00F07060" w:rsidP="00B647EA">
            <w:pPr>
              <w:rPr>
                <w:b/>
                <w:bCs/>
                <w:color w:val="000000"/>
                <w:sz w:val="16"/>
                <w:szCs w:val="16"/>
              </w:rPr>
            </w:pPr>
            <w:r w:rsidRPr="00F07060">
              <w:rPr>
                <w:b/>
                <w:bCs/>
                <w:color w:val="000000"/>
                <w:sz w:val="16"/>
                <w:szCs w:val="16"/>
              </w:rPr>
              <w:t>Probably favors the intervention</w:t>
            </w:r>
          </w:p>
        </w:tc>
        <w:tc>
          <w:tcPr>
            <w:tcW w:w="984"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4" w:type="dxa"/>
              <w:left w:w="74" w:type="dxa"/>
              <w:bottom w:w="74" w:type="dxa"/>
              <w:right w:w="74" w:type="dxa"/>
            </w:tcMar>
            <w:vAlign w:val="center"/>
            <w:hideMark/>
          </w:tcPr>
          <w:p w14:paraId="4F2EB897" w14:textId="77777777" w:rsidR="00F07060" w:rsidRPr="00F07060" w:rsidRDefault="00F07060" w:rsidP="00B647EA">
            <w:pPr>
              <w:rPr>
                <w:b/>
                <w:bCs/>
                <w:color w:val="000000"/>
                <w:sz w:val="16"/>
                <w:szCs w:val="16"/>
              </w:rPr>
            </w:pPr>
            <w:r w:rsidRPr="00F07060">
              <w:rPr>
                <w:b/>
                <w:bCs/>
                <w:color w:val="000000"/>
                <w:sz w:val="16"/>
                <w:szCs w:val="16"/>
              </w:rPr>
              <w:t>Favors the intervention</w:t>
            </w:r>
          </w:p>
        </w:tc>
        <w:tc>
          <w:tcPr>
            <w:tcW w:w="887"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E6C643A" w14:textId="77777777" w:rsidR="00F07060" w:rsidRPr="00F07060" w:rsidRDefault="00F07060" w:rsidP="00B647EA">
            <w:pPr>
              <w:rPr>
                <w:b/>
                <w:bCs/>
                <w:color w:val="000000"/>
                <w:sz w:val="16"/>
                <w:szCs w:val="16"/>
              </w:rPr>
            </w:pPr>
            <w:r w:rsidRPr="00F07060">
              <w:rPr>
                <w:b/>
                <w:bCs/>
                <w:color w:val="000000"/>
                <w:sz w:val="16"/>
                <w:szCs w:val="16"/>
              </w:rPr>
              <w:t>Varies</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F4DEA13" w14:textId="77777777" w:rsidR="00F07060" w:rsidRPr="00F07060" w:rsidRDefault="00F07060" w:rsidP="00B647EA">
            <w:pPr>
              <w:rPr>
                <w:b/>
                <w:bCs/>
                <w:color w:val="000000"/>
                <w:sz w:val="16"/>
                <w:szCs w:val="16"/>
              </w:rPr>
            </w:pPr>
            <w:r w:rsidRPr="00F07060">
              <w:rPr>
                <w:b/>
                <w:bCs/>
                <w:color w:val="000000"/>
                <w:sz w:val="16"/>
                <w:szCs w:val="16"/>
              </w:rPr>
              <w:t>Don't know</w:t>
            </w:r>
          </w:p>
        </w:tc>
      </w:tr>
      <w:tr w:rsidR="00F07060" w:rsidRPr="00F07060" w14:paraId="6865B151" w14:textId="77777777" w:rsidTr="00114022">
        <w:trPr>
          <w:trHeight w:val="73"/>
        </w:trPr>
        <w:tc>
          <w:tcPr>
            <w:tcW w:w="1661"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035D3887" w14:textId="77777777" w:rsidR="00F07060" w:rsidRPr="00F07060" w:rsidRDefault="00F07060" w:rsidP="00B647EA">
            <w:pPr>
              <w:rPr>
                <w:b/>
                <w:bCs/>
                <w:color w:val="000000"/>
                <w:sz w:val="16"/>
                <w:szCs w:val="16"/>
              </w:rPr>
            </w:pPr>
            <w:r w:rsidRPr="00F07060">
              <w:rPr>
                <w:b/>
                <w:bCs/>
                <w:color w:val="000000"/>
                <w:sz w:val="16"/>
                <w:szCs w:val="16"/>
              </w:rPr>
              <w:t>Resources required</w:t>
            </w:r>
          </w:p>
        </w:tc>
        <w:tc>
          <w:tcPr>
            <w:tcW w:w="991"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A4E4C5D" w14:textId="77777777" w:rsidR="00F07060" w:rsidRPr="00F07060" w:rsidRDefault="00F07060" w:rsidP="00B647EA">
            <w:pPr>
              <w:rPr>
                <w:b/>
                <w:bCs/>
                <w:color w:val="000000"/>
                <w:sz w:val="16"/>
                <w:szCs w:val="16"/>
              </w:rPr>
            </w:pPr>
            <w:r w:rsidRPr="00F07060">
              <w:rPr>
                <w:b/>
                <w:bCs/>
                <w:color w:val="000000"/>
                <w:sz w:val="16"/>
                <w:szCs w:val="16"/>
              </w:rPr>
              <w:t>Large costs</w:t>
            </w:r>
          </w:p>
        </w:tc>
        <w:tc>
          <w:tcPr>
            <w:tcW w:w="1591"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8D463E7" w14:textId="77777777" w:rsidR="00F07060" w:rsidRPr="00F07060" w:rsidRDefault="00F07060" w:rsidP="00B647EA">
            <w:pPr>
              <w:rPr>
                <w:b/>
                <w:bCs/>
                <w:color w:val="000000"/>
                <w:sz w:val="16"/>
                <w:szCs w:val="16"/>
              </w:rPr>
            </w:pPr>
            <w:r w:rsidRPr="00F07060">
              <w:rPr>
                <w:b/>
                <w:bCs/>
                <w:color w:val="000000"/>
                <w:sz w:val="16"/>
                <w:szCs w:val="16"/>
              </w:rPr>
              <w:t>Moderate costs</w:t>
            </w:r>
          </w:p>
        </w:tc>
        <w:tc>
          <w:tcPr>
            <w:tcW w:w="2280"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7095FC6" w14:textId="77777777" w:rsidR="00F07060" w:rsidRPr="00F07060" w:rsidRDefault="00F07060" w:rsidP="00B647EA">
            <w:pPr>
              <w:rPr>
                <w:b/>
                <w:bCs/>
                <w:color w:val="000000"/>
                <w:sz w:val="16"/>
                <w:szCs w:val="16"/>
              </w:rPr>
            </w:pPr>
            <w:r w:rsidRPr="00F07060">
              <w:rPr>
                <w:b/>
                <w:bCs/>
                <w:color w:val="000000"/>
                <w:sz w:val="16"/>
                <w:szCs w:val="16"/>
              </w:rPr>
              <w:t>Negligible costs and savings</w:t>
            </w:r>
          </w:p>
        </w:tc>
        <w:tc>
          <w:tcPr>
            <w:tcW w:w="211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DABF404" w14:textId="77777777" w:rsidR="00F07060" w:rsidRPr="00F07060" w:rsidRDefault="00F07060" w:rsidP="00B647EA">
            <w:pPr>
              <w:rPr>
                <w:b/>
                <w:bCs/>
                <w:color w:val="000000"/>
                <w:sz w:val="16"/>
                <w:szCs w:val="16"/>
              </w:rPr>
            </w:pPr>
            <w:r w:rsidRPr="00F07060">
              <w:rPr>
                <w:b/>
                <w:bCs/>
                <w:color w:val="000000"/>
                <w:sz w:val="16"/>
                <w:szCs w:val="16"/>
              </w:rPr>
              <w:t>Moderate savings</w:t>
            </w:r>
          </w:p>
        </w:tc>
        <w:tc>
          <w:tcPr>
            <w:tcW w:w="98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8BD0310" w14:textId="77777777" w:rsidR="00F07060" w:rsidRPr="00F07060" w:rsidRDefault="00F07060" w:rsidP="00B647EA">
            <w:pPr>
              <w:rPr>
                <w:b/>
                <w:bCs/>
                <w:color w:val="000000"/>
                <w:sz w:val="16"/>
                <w:szCs w:val="16"/>
              </w:rPr>
            </w:pPr>
            <w:r w:rsidRPr="00F07060">
              <w:rPr>
                <w:b/>
                <w:bCs/>
                <w:color w:val="000000"/>
                <w:sz w:val="16"/>
                <w:szCs w:val="16"/>
              </w:rPr>
              <w:t>Large savings</w:t>
            </w:r>
          </w:p>
        </w:tc>
        <w:tc>
          <w:tcPr>
            <w:tcW w:w="887"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462B4CD6" w14:textId="77777777" w:rsidR="00F07060" w:rsidRPr="00F07060" w:rsidRDefault="00F07060" w:rsidP="00B647EA">
            <w:pPr>
              <w:rPr>
                <w:b/>
                <w:bCs/>
                <w:color w:val="000000"/>
                <w:sz w:val="16"/>
                <w:szCs w:val="16"/>
              </w:rPr>
            </w:pPr>
            <w:r w:rsidRPr="00F07060">
              <w:rPr>
                <w:b/>
                <w:bCs/>
                <w:color w:val="000000"/>
                <w:sz w:val="16"/>
                <w:szCs w:val="16"/>
              </w:rPr>
              <w:t>Varies</w:t>
            </w: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62F8749" w14:textId="77777777" w:rsidR="00F07060" w:rsidRPr="00F07060" w:rsidRDefault="00F07060" w:rsidP="00B647EA">
            <w:pPr>
              <w:rPr>
                <w:b/>
                <w:bCs/>
                <w:color w:val="000000"/>
                <w:sz w:val="16"/>
                <w:szCs w:val="16"/>
              </w:rPr>
            </w:pPr>
            <w:r w:rsidRPr="00F07060">
              <w:rPr>
                <w:b/>
                <w:bCs/>
                <w:color w:val="000000"/>
                <w:sz w:val="16"/>
                <w:szCs w:val="16"/>
              </w:rPr>
              <w:t>Don't know</w:t>
            </w:r>
          </w:p>
        </w:tc>
      </w:tr>
      <w:tr w:rsidR="00F07060" w:rsidRPr="00F07060" w14:paraId="6A7F08ED" w14:textId="77777777" w:rsidTr="00114022">
        <w:trPr>
          <w:trHeight w:val="19"/>
        </w:trPr>
        <w:tc>
          <w:tcPr>
            <w:tcW w:w="1661"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20505A4D" w14:textId="77777777" w:rsidR="00F07060" w:rsidRPr="00F07060" w:rsidRDefault="00F07060" w:rsidP="00B647EA">
            <w:pPr>
              <w:rPr>
                <w:b/>
                <w:bCs/>
                <w:color w:val="000000"/>
                <w:sz w:val="16"/>
                <w:szCs w:val="16"/>
              </w:rPr>
            </w:pPr>
            <w:r w:rsidRPr="00F07060">
              <w:rPr>
                <w:b/>
                <w:bCs/>
                <w:color w:val="000000"/>
                <w:sz w:val="16"/>
                <w:szCs w:val="16"/>
              </w:rPr>
              <w:t>Certainty of evidence of required resources</w:t>
            </w:r>
          </w:p>
        </w:tc>
        <w:tc>
          <w:tcPr>
            <w:tcW w:w="991"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5A508B3" w14:textId="77777777" w:rsidR="00F07060" w:rsidRPr="00F07060" w:rsidRDefault="00F07060" w:rsidP="00B647EA">
            <w:pPr>
              <w:rPr>
                <w:b/>
                <w:bCs/>
                <w:color w:val="000000"/>
                <w:sz w:val="16"/>
                <w:szCs w:val="16"/>
              </w:rPr>
            </w:pPr>
            <w:r w:rsidRPr="00F07060">
              <w:rPr>
                <w:b/>
                <w:bCs/>
                <w:color w:val="000000"/>
                <w:sz w:val="16"/>
                <w:szCs w:val="16"/>
              </w:rPr>
              <w:t>Very low</w:t>
            </w:r>
          </w:p>
        </w:tc>
        <w:tc>
          <w:tcPr>
            <w:tcW w:w="1591"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74B94DD" w14:textId="77777777" w:rsidR="00F07060" w:rsidRPr="00F07060" w:rsidRDefault="00F07060" w:rsidP="00B647EA">
            <w:pPr>
              <w:rPr>
                <w:b/>
                <w:bCs/>
                <w:color w:val="000000"/>
                <w:sz w:val="16"/>
                <w:szCs w:val="16"/>
              </w:rPr>
            </w:pPr>
            <w:r w:rsidRPr="00F07060">
              <w:rPr>
                <w:b/>
                <w:bCs/>
                <w:color w:val="000000"/>
                <w:sz w:val="16"/>
                <w:szCs w:val="16"/>
              </w:rPr>
              <w:t>Low</w:t>
            </w:r>
          </w:p>
        </w:tc>
        <w:tc>
          <w:tcPr>
            <w:tcW w:w="2280"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99ADA52" w14:textId="77777777" w:rsidR="00F07060" w:rsidRPr="00F07060" w:rsidRDefault="00F07060" w:rsidP="00B647EA">
            <w:pPr>
              <w:rPr>
                <w:b/>
                <w:bCs/>
                <w:color w:val="000000"/>
                <w:sz w:val="16"/>
                <w:szCs w:val="16"/>
              </w:rPr>
            </w:pPr>
            <w:r w:rsidRPr="00F07060">
              <w:rPr>
                <w:b/>
                <w:bCs/>
                <w:color w:val="000000"/>
                <w:sz w:val="16"/>
                <w:szCs w:val="16"/>
              </w:rPr>
              <w:t>Moderate</w:t>
            </w:r>
          </w:p>
        </w:tc>
        <w:tc>
          <w:tcPr>
            <w:tcW w:w="211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4B6552E" w14:textId="77777777" w:rsidR="00F07060" w:rsidRPr="00F07060" w:rsidRDefault="00F07060" w:rsidP="00B647EA">
            <w:pPr>
              <w:rPr>
                <w:b/>
                <w:bCs/>
                <w:color w:val="000000"/>
                <w:sz w:val="16"/>
                <w:szCs w:val="16"/>
              </w:rPr>
            </w:pPr>
            <w:r w:rsidRPr="00F07060">
              <w:rPr>
                <w:b/>
                <w:bCs/>
                <w:color w:val="000000"/>
                <w:sz w:val="16"/>
                <w:szCs w:val="16"/>
              </w:rPr>
              <w:t>High</w:t>
            </w:r>
          </w:p>
        </w:tc>
        <w:tc>
          <w:tcPr>
            <w:tcW w:w="98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1EE93F1" w14:textId="77777777" w:rsidR="00F07060" w:rsidRPr="00F07060" w:rsidRDefault="00F07060" w:rsidP="00B647EA">
            <w:pPr>
              <w:rPr>
                <w:b/>
                <w:bCs/>
                <w:color w:val="000000"/>
                <w:sz w:val="16"/>
                <w:szCs w:val="16"/>
              </w:rPr>
            </w:pPr>
          </w:p>
        </w:tc>
        <w:tc>
          <w:tcPr>
            <w:tcW w:w="887"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8AE29F1" w14:textId="77777777" w:rsidR="00F07060" w:rsidRPr="00F07060" w:rsidRDefault="00F07060" w:rsidP="00B647EA">
            <w:pPr>
              <w:rPr>
                <w:b/>
                <w:bCs/>
                <w:color w:val="000000"/>
                <w:sz w:val="16"/>
                <w:szCs w:val="16"/>
              </w:rPr>
            </w:pPr>
          </w:p>
        </w:tc>
        <w:tc>
          <w:tcPr>
            <w:tcW w:w="1701"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0C8BCE89" w14:textId="0924C5BC" w:rsidR="00F07060" w:rsidRPr="00F07060" w:rsidRDefault="00F07060" w:rsidP="00B647EA">
            <w:pPr>
              <w:rPr>
                <w:b/>
                <w:bCs/>
                <w:color w:val="000000"/>
                <w:sz w:val="16"/>
                <w:szCs w:val="16"/>
              </w:rPr>
            </w:pPr>
            <w:r w:rsidRPr="00F07060">
              <w:rPr>
                <w:b/>
                <w:bCs/>
                <w:color w:val="000000"/>
                <w:sz w:val="16"/>
                <w:szCs w:val="16"/>
              </w:rPr>
              <w:t xml:space="preserve">No </w:t>
            </w:r>
            <w:r w:rsidR="00114022" w:rsidRPr="00F07060">
              <w:rPr>
                <w:b/>
                <w:bCs/>
                <w:color w:val="000000"/>
                <w:sz w:val="16"/>
                <w:szCs w:val="16"/>
              </w:rPr>
              <w:t xml:space="preserve">studies </w:t>
            </w:r>
            <w:r w:rsidRPr="00F07060">
              <w:rPr>
                <w:b/>
                <w:bCs/>
                <w:color w:val="000000"/>
                <w:sz w:val="16"/>
                <w:szCs w:val="16"/>
              </w:rPr>
              <w:t xml:space="preserve">included </w:t>
            </w:r>
          </w:p>
        </w:tc>
      </w:tr>
      <w:tr w:rsidR="00F07060" w:rsidRPr="00F07060" w14:paraId="6746FDEB" w14:textId="77777777" w:rsidTr="00114022">
        <w:trPr>
          <w:trHeight w:val="571"/>
        </w:trPr>
        <w:tc>
          <w:tcPr>
            <w:tcW w:w="1661"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26865DEA" w14:textId="77777777" w:rsidR="00F07060" w:rsidRPr="00F07060" w:rsidRDefault="00F07060" w:rsidP="00B647EA">
            <w:pPr>
              <w:rPr>
                <w:b/>
                <w:bCs/>
                <w:color w:val="000000"/>
                <w:sz w:val="16"/>
                <w:szCs w:val="16"/>
              </w:rPr>
            </w:pPr>
            <w:r w:rsidRPr="00F07060">
              <w:rPr>
                <w:b/>
                <w:bCs/>
                <w:color w:val="000000"/>
                <w:sz w:val="16"/>
                <w:szCs w:val="16"/>
              </w:rPr>
              <w:t>Cost effectiveness</w:t>
            </w:r>
          </w:p>
        </w:tc>
        <w:tc>
          <w:tcPr>
            <w:tcW w:w="991"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BCDB07B" w14:textId="77777777" w:rsidR="00F07060" w:rsidRPr="00F07060" w:rsidRDefault="00F07060" w:rsidP="00B647EA">
            <w:pPr>
              <w:rPr>
                <w:b/>
                <w:bCs/>
                <w:color w:val="000000"/>
                <w:sz w:val="16"/>
                <w:szCs w:val="16"/>
              </w:rPr>
            </w:pPr>
            <w:r w:rsidRPr="00F07060">
              <w:rPr>
                <w:b/>
                <w:bCs/>
                <w:color w:val="000000"/>
                <w:sz w:val="16"/>
                <w:szCs w:val="16"/>
              </w:rPr>
              <w:t>Favors the comparison</w:t>
            </w:r>
          </w:p>
        </w:tc>
        <w:tc>
          <w:tcPr>
            <w:tcW w:w="1591"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CF80352" w14:textId="77777777" w:rsidR="00F07060" w:rsidRPr="00F07060" w:rsidRDefault="00F07060" w:rsidP="00B647EA">
            <w:pPr>
              <w:rPr>
                <w:b/>
                <w:bCs/>
                <w:color w:val="000000"/>
                <w:sz w:val="16"/>
                <w:szCs w:val="16"/>
              </w:rPr>
            </w:pPr>
            <w:r w:rsidRPr="00F07060">
              <w:rPr>
                <w:b/>
                <w:bCs/>
                <w:color w:val="000000"/>
                <w:sz w:val="16"/>
                <w:szCs w:val="16"/>
              </w:rPr>
              <w:t>Probably favors the comparison</w:t>
            </w:r>
          </w:p>
        </w:tc>
        <w:tc>
          <w:tcPr>
            <w:tcW w:w="2280"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1A45A2D" w14:textId="77777777" w:rsidR="00F07060" w:rsidRPr="00F07060" w:rsidRDefault="00F07060" w:rsidP="00B647EA">
            <w:pPr>
              <w:rPr>
                <w:b/>
                <w:bCs/>
                <w:color w:val="000000"/>
                <w:sz w:val="16"/>
                <w:szCs w:val="16"/>
              </w:rPr>
            </w:pPr>
            <w:r w:rsidRPr="00F07060">
              <w:rPr>
                <w:b/>
                <w:bCs/>
                <w:color w:val="000000"/>
                <w:sz w:val="16"/>
                <w:szCs w:val="16"/>
              </w:rPr>
              <w:t>Does not favor either the intervention or the comparison</w:t>
            </w:r>
          </w:p>
        </w:tc>
        <w:tc>
          <w:tcPr>
            <w:tcW w:w="2114" w:type="dxa"/>
            <w:tcBorders>
              <w:top w:val="single" w:sz="8" w:space="0" w:color="FFFFFF"/>
              <w:left w:val="single" w:sz="8" w:space="0" w:color="FFFFFF"/>
              <w:bottom w:val="single" w:sz="8" w:space="0" w:color="FFFFFF"/>
              <w:right w:val="single" w:sz="8" w:space="0" w:color="FFFFFF"/>
            </w:tcBorders>
            <w:shd w:val="clear" w:color="auto" w:fill="D6DCE5"/>
            <w:tcMar>
              <w:top w:w="74" w:type="dxa"/>
              <w:left w:w="74" w:type="dxa"/>
              <w:bottom w:w="74" w:type="dxa"/>
              <w:right w:w="74" w:type="dxa"/>
            </w:tcMar>
            <w:vAlign w:val="center"/>
            <w:hideMark/>
          </w:tcPr>
          <w:p w14:paraId="19242DB7" w14:textId="77777777" w:rsidR="00F07060" w:rsidRPr="00F07060" w:rsidRDefault="00F07060" w:rsidP="00B647EA">
            <w:pPr>
              <w:rPr>
                <w:b/>
                <w:bCs/>
                <w:color w:val="000000"/>
                <w:sz w:val="16"/>
                <w:szCs w:val="16"/>
              </w:rPr>
            </w:pPr>
            <w:r w:rsidRPr="00F07060">
              <w:rPr>
                <w:b/>
                <w:bCs/>
                <w:color w:val="000000"/>
                <w:sz w:val="16"/>
                <w:szCs w:val="16"/>
              </w:rPr>
              <w:t>Probably favors the intervention</w:t>
            </w:r>
          </w:p>
        </w:tc>
        <w:tc>
          <w:tcPr>
            <w:tcW w:w="98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BFA9642" w14:textId="77777777" w:rsidR="00F07060" w:rsidRPr="00F07060" w:rsidRDefault="00F07060" w:rsidP="00B647EA">
            <w:pPr>
              <w:rPr>
                <w:b/>
                <w:bCs/>
                <w:color w:val="000000"/>
                <w:sz w:val="16"/>
                <w:szCs w:val="16"/>
              </w:rPr>
            </w:pPr>
            <w:r w:rsidRPr="00F07060">
              <w:rPr>
                <w:b/>
                <w:bCs/>
                <w:color w:val="000000"/>
                <w:sz w:val="16"/>
                <w:szCs w:val="16"/>
              </w:rPr>
              <w:t>Favors the intervention</w:t>
            </w:r>
          </w:p>
        </w:tc>
        <w:tc>
          <w:tcPr>
            <w:tcW w:w="887"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763199C" w14:textId="77777777" w:rsidR="00F07060" w:rsidRPr="00F07060" w:rsidRDefault="00F07060" w:rsidP="00B647EA">
            <w:pPr>
              <w:rPr>
                <w:b/>
                <w:bCs/>
                <w:color w:val="000000"/>
                <w:sz w:val="16"/>
                <w:szCs w:val="16"/>
              </w:rPr>
            </w:pPr>
            <w:r w:rsidRPr="00F07060">
              <w:rPr>
                <w:b/>
                <w:bCs/>
                <w:color w:val="000000"/>
                <w:sz w:val="16"/>
                <w:szCs w:val="16"/>
              </w:rPr>
              <w:t>Varies</w:t>
            </w:r>
          </w:p>
        </w:tc>
        <w:tc>
          <w:tcPr>
            <w:tcW w:w="1701"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2FDA5DA3" w14:textId="096466FF" w:rsidR="00F07060" w:rsidRPr="00F07060" w:rsidRDefault="00F07060" w:rsidP="00B647EA">
            <w:pPr>
              <w:rPr>
                <w:b/>
                <w:bCs/>
                <w:color w:val="000000"/>
                <w:sz w:val="16"/>
                <w:szCs w:val="16"/>
              </w:rPr>
            </w:pPr>
            <w:r w:rsidRPr="00F07060">
              <w:rPr>
                <w:b/>
                <w:bCs/>
                <w:color w:val="000000"/>
                <w:sz w:val="16"/>
                <w:szCs w:val="16"/>
              </w:rPr>
              <w:t xml:space="preserve">No </w:t>
            </w:r>
            <w:r w:rsidR="00114022" w:rsidRPr="00F07060">
              <w:rPr>
                <w:b/>
                <w:bCs/>
                <w:color w:val="000000"/>
                <w:sz w:val="16"/>
                <w:szCs w:val="16"/>
              </w:rPr>
              <w:t xml:space="preserve">studies </w:t>
            </w:r>
            <w:r w:rsidRPr="00F07060">
              <w:rPr>
                <w:b/>
                <w:bCs/>
                <w:color w:val="000000"/>
                <w:sz w:val="16"/>
                <w:szCs w:val="16"/>
              </w:rPr>
              <w:t xml:space="preserve">included </w:t>
            </w:r>
          </w:p>
        </w:tc>
      </w:tr>
      <w:tr w:rsidR="00F07060" w:rsidRPr="00F07060" w14:paraId="40AC3076" w14:textId="77777777" w:rsidTr="00114022">
        <w:trPr>
          <w:trHeight w:val="19"/>
        </w:trPr>
        <w:tc>
          <w:tcPr>
            <w:tcW w:w="1661"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29881A0E" w14:textId="77777777" w:rsidR="00F07060" w:rsidRPr="00F07060" w:rsidRDefault="00F07060" w:rsidP="00B647EA">
            <w:pPr>
              <w:rPr>
                <w:b/>
                <w:bCs/>
                <w:color w:val="000000"/>
                <w:sz w:val="16"/>
                <w:szCs w:val="16"/>
              </w:rPr>
            </w:pPr>
            <w:r w:rsidRPr="00F07060">
              <w:rPr>
                <w:b/>
                <w:bCs/>
                <w:color w:val="000000"/>
                <w:sz w:val="16"/>
                <w:szCs w:val="16"/>
              </w:rPr>
              <w:t>Equity</w:t>
            </w:r>
          </w:p>
        </w:tc>
        <w:tc>
          <w:tcPr>
            <w:tcW w:w="991"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55C6453" w14:textId="77777777" w:rsidR="00F07060" w:rsidRPr="00F07060" w:rsidRDefault="00F07060" w:rsidP="00B647EA">
            <w:pPr>
              <w:rPr>
                <w:b/>
                <w:bCs/>
                <w:color w:val="000000"/>
                <w:sz w:val="16"/>
                <w:szCs w:val="16"/>
              </w:rPr>
            </w:pPr>
            <w:r w:rsidRPr="00F07060">
              <w:rPr>
                <w:b/>
                <w:bCs/>
                <w:color w:val="000000"/>
                <w:sz w:val="16"/>
                <w:szCs w:val="16"/>
              </w:rPr>
              <w:t>Reduced</w:t>
            </w:r>
          </w:p>
        </w:tc>
        <w:tc>
          <w:tcPr>
            <w:tcW w:w="1591"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481AACE" w14:textId="77777777" w:rsidR="00F07060" w:rsidRPr="00F07060" w:rsidRDefault="00F07060" w:rsidP="00B647EA">
            <w:pPr>
              <w:rPr>
                <w:b/>
                <w:bCs/>
                <w:color w:val="000000"/>
                <w:sz w:val="16"/>
                <w:szCs w:val="16"/>
              </w:rPr>
            </w:pPr>
            <w:r w:rsidRPr="00F07060">
              <w:rPr>
                <w:b/>
                <w:bCs/>
                <w:color w:val="000000"/>
                <w:sz w:val="16"/>
                <w:szCs w:val="16"/>
              </w:rPr>
              <w:t>Probably reduced</w:t>
            </w:r>
          </w:p>
        </w:tc>
        <w:tc>
          <w:tcPr>
            <w:tcW w:w="2280"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D8274D5" w14:textId="77777777" w:rsidR="00F07060" w:rsidRPr="00F07060" w:rsidRDefault="00F07060" w:rsidP="00B647EA">
            <w:pPr>
              <w:rPr>
                <w:b/>
                <w:bCs/>
                <w:color w:val="000000"/>
                <w:sz w:val="16"/>
                <w:szCs w:val="16"/>
              </w:rPr>
            </w:pPr>
            <w:r w:rsidRPr="00F07060">
              <w:rPr>
                <w:b/>
                <w:bCs/>
                <w:color w:val="000000"/>
                <w:sz w:val="16"/>
                <w:szCs w:val="16"/>
              </w:rPr>
              <w:t>Probably no impact</w:t>
            </w:r>
          </w:p>
        </w:tc>
        <w:tc>
          <w:tcPr>
            <w:tcW w:w="211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0C8DA9C" w14:textId="77777777" w:rsidR="00F07060" w:rsidRPr="00F07060" w:rsidRDefault="00F07060" w:rsidP="00B647EA">
            <w:pPr>
              <w:rPr>
                <w:b/>
                <w:bCs/>
                <w:color w:val="000000"/>
                <w:sz w:val="16"/>
                <w:szCs w:val="16"/>
              </w:rPr>
            </w:pPr>
            <w:r w:rsidRPr="00F07060">
              <w:rPr>
                <w:b/>
                <w:bCs/>
                <w:color w:val="000000"/>
                <w:sz w:val="16"/>
                <w:szCs w:val="16"/>
              </w:rPr>
              <w:t>Probably increased</w:t>
            </w:r>
          </w:p>
        </w:tc>
        <w:tc>
          <w:tcPr>
            <w:tcW w:w="98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477543C" w14:textId="77777777" w:rsidR="00F07060" w:rsidRPr="00F07060" w:rsidRDefault="00F07060" w:rsidP="00B647EA">
            <w:pPr>
              <w:rPr>
                <w:b/>
                <w:bCs/>
                <w:color w:val="000000"/>
                <w:sz w:val="16"/>
                <w:szCs w:val="16"/>
              </w:rPr>
            </w:pPr>
            <w:r w:rsidRPr="00F07060">
              <w:rPr>
                <w:b/>
                <w:bCs/>
                <w:color w:val="000000"/>
                <w:sz w:val="16"/>
                <w:szCs w:val="16"/>
              </w:rPr>
              <w:t>Increased</w:t>
            </w:r>
          </w:p>
        </w:tc>
        <w:tc>
          <w:tcPr>
            <w:tcW w:w="887"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0E7592B" w14:textId="77777777" w:rsidR="00F07060" w:rsidRPr="00F07060" w:rsidRDefault="00F07060" w:rsidP="00B647EA">
            <w:pPr>
              <w:rPr>
                <w:b/>
                <w:bCs/>
                <w:color w:val="000000"/>
                <w:sz w:val="16"/>
                <w:szCs w:val="16"/>
              </w:rPr>
            </w:pPr>
            <w:r w:rsidRPr="00F07060">
              <w:rPr>
                <w:b/>
                <w:bCs/>
                <w:color w:val="000000"/>
                <w:sz w:val="16"/>
                <w:szCs w:val="16"/>
              </w:rPr>
              <w:t>Varies</w:t>
            </w:r>
          </w:p>
        </w:tc>
        <w:tc>
          <w:tcPr>
            <w:tcW w:w="1701"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16547228" w14:textId="77777777" w:rsidR="00F07060" w:rsidRPr="00F07060" w:rsidRDefault="00F07060" w:rsidP="00B647EA">
            <w:pPr>
              <w:rPr>
                <w:b/>
                <w:bCs/>
                <w:color w:val="000000"/>
                <w:sz w:val="16"/>
                <w:szCs w:val="16"/>
              </w:rPr>
            </w:pPr>
            <w:r w:rsidRPr="00F07060">
              <w:rPr>
                <w:b/>
                <w:bCs/>
                <w:color w:val="000000"/>
                <w:sz w:val="16"/>
                <w:szCs w:val="16"/>
              </w:rPr>
              <w:t>Don't know</w:t>
            </w:r>
          </w:p>
        </w:tc>
      </w:tr>
      <w:tr w:rsidR="00F07060" w:rsidRPr="00F07060" w14:paraId="5B108FA4" w14:textId="77777777" w:rsidTr="00114022">
        <w:trPr>
          <w:trHeight w:val="150"/>
        </w:trPr>
        <w:tc>
          <w:tcPr>
            <w:tcW w:w="1661"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28CC0718" w14:textId="77777777" w:rsidR="00F07060" w:rsidRPr="00F07060" w:rsidRDefault="00F07060" w:rsidP="00B647EA">
            <w:pPr>
              <w:rPr>
                <w:b/>
                <w:bCs/>
                <w:color w:val="000000"/>
                <w:sz w:val="16"/>
                <w:szCs w:val="16"/>
              </w:rPr>
            </w:pPr>
            <w:r w:rsidRPr="00F07060">
              <w:rPr>
                <w:b/>
                <w:bCs/>
                <w:color w:val="000000"/>
                <w:sz w:val="16"/>
                <w:szCs w:val="16"/>
              </w:rPr>
              <w:t>Acceptability</w:t>
            </w:r>
          </w:p>
        </w:tc>
        <w:tc>
          <w:tcPr>
            <w:tcW w:w="991"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638F099" w14:textId="77777777" w:rsidR="00F07060" w:rsidRPr="00F07060" w:rsidRDefault="00F07060" w:rsidP="00B647EA">
            <w:pPr>
              <w:rPr>
                <w:b/>
                <w:bCs/>
                <w:color w:val="000000"/>
                <w:sz w:val="16"/>
                <w:szCs w:val="16"/>
              </w:rPr>
            </w:pPr>
            <w:r w:rsidRPr="00F07060">
              <w:rPr>
                <w:b/>
                <w:bCs/>
                <w:color w:val="000000"/>
                <w:sz w:val="16"/>
                <w:szCs w:val="16"/>
              </w:rPr>
              <w:t>No</w:t>
            </w:r>
          </w:p>
        </w:tc>
        <w:tc>
          <w:tcPr>
            <w:tcW w:w="1591"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172DEFF" w14:textId="77777777" w:rsidR="00F07060" w:rsidRPr="00F07060" w:rsidRDefault="00F07060" w:rsidP="00B647EA">
            <w:pPr>
              <w:rPr>
                <w:b/>
                <w:bCs/>
                <w:color w:val="000000"/>
                <w:sz w:val="16"/>
                <w:szCs w:val="16"/>
              </w:rPr>
            </w:pPr>
            <w:r w:rsidRPr="00F07060">
              <w:rPr>
                <w:b/>
                <w:bCs/>
                <w:color w:val="000000"/>
                <w:sz w:val="16"/>
                <w:szCs w:val="16"/>
              </w:rPr>
              <w:t>Probably no</w:t>
            </w:r>
          </w:p>
        </w:tc>
        <w:tc>
          <w:tcPr>
            <w:tcW w:w="2280"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6EE1A610" w14:textId="77777777" w:rsidR="00F07060" w:rsidRPr="00F07060" w:rsidRDefault="00F07060" w:rsidP="00B647EA">
            <w:pPr>
              <w:rPr>
                <w:b/>
                <w:bCs/>
                <w:color w:val="000000"/>
                <w:sz w:val="16"/>
                <w:szCs w:val="16"/>
              </w:rPr>
            </w:pPr>
            <w:r w:rsidRPr="00F07060">
              <w:rPr>
                <w:b/>
                <w:bCs/>
                <w:color w:val="000000"/>
                <w:sz w:val="16"/>
                <w:szCs w:val="16"/>
              </w:rPr>
              <w:t>Probably yes</w:t>
            </w:r>
          </w:p>
        </w:tc>
        <w:tc>
          <w:tcPr>
            <w:tcW w:w="211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1ACB450" w14:textId="77777777" w:rsidR="00F07060" w:rsidRPr="00F07060" w:rsidRDefault="00F07060" w:rsidP="00B647EA">
            <w:pPr>
              <w:rPr>
                <w:b/>
                <w:bCs/>
                <w:color w:val="000000"/>
                <w:sz w:val="16"/>
                <w:szCs w:val="16"/>
              </w:rPr>
            </w:pPr>
            <w:r w:rsidRPr="00F07060">
              <w:rPr>
                <w:b/>
                <w:bCs/>
                <w:color w:val="000000"/>
                <w:sz w:val="16"/>
                <w:szCs w:val="16"/>
              </w:rPr>
              <w:t>Yes</w:t>
            </w:r>
          </w:p>
        </w:tc>
        <w:tc>
          <w:tcPr>
            <w:tcW w:w="98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98E4EAF" w14:textId="77777777" w:rsidR="00F07060" w:rsidRPr="00F07060" w:rsidRDefault="00F07060" w:rsidP="00B647EA">
            <w:pPr>
              <w:rPr>
                <w:b/>
                <w:bCs/>
                <w:color w:val="000000"/>
                <w:sz w:val="16"/>
                <w:szCs w:val="16"/>
              </w:rPr>
            </w:pPr>
          </w:p>
        </w:tc>
        <w:tc>
          <w:tcPr>
            <w:tcW w:w="887"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36D5F73" w14:textId="77777777" w:rsidR="00F07060" w:rsidRPr="00F07060" w:rsidRDefault="00F07060" w:rsidP="00B647EA">
            <w:pPr>
              <w:rPr>
                <w:b/>
                <w:bCs/>
                <w:color w:val="000000"/>
                <w:sz w:val="16"/>
                <w:szCs w:val="16"/>
              </w:rPr>
            </w:pPr>
            <w:r w:rsidRPr="00F07060">
              <w:rPr>
                <w:b/>
                <w:bCs/>
                <w:color w:val="000000"/>
                <w:sz w:val="16"/>
                <w:szCs w:val="16"/>
              </w:rPr>
              <w:t>Varies</w:t>
            </w: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5F38A62" w14:textId="77777777" w:rsidR="00F07060" w:rsidRPr="00F07060" w:rsidRDefault="00F07060" w:rsidP="00B647EA">
            <w:pPr>
              <w:rPr>
                <w:b/>
                <w:bCs/>
                <w:color w:val="000000"/>
                <w:sz w:val="16"/>
                <w:szCs w:val="16"/>
              </w:rPr>
            </w:pPr>
            <w:r w:rsidRPr="00F07060">
              <w:rPr>
                <w:b/>
                <w:bCs/>
                <w:color w:val="000000"/>
                <w:sz w:val="16"/>
                <w:szCs w:val="16"/>
              </w:rPr>
              <w:t>Don't know</w:t>
            </w:r>
          </w:p>
        </w:tc>
      </w:tr>
      <w:tr w:rsidR="00F07060" w:rsidRPr="00F07060" w14:paraId="7E25E8E5" w14:textId="77777777" w:rsidTr="00114022">
        <w:trPr>
          <w:trHeight w:val="19"/>
        </w:trPr>
        <w:tc>
          <w:tcPr>
            <w:tcW w:w="1661"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25636FB4" w14:textId="77777777" w:rsidR="00F07060" w:rsidRPr="00F07060" w:rsidRDefault="00F07060" w:rsidP="00B647EA">
            <w:pPr>
              <w:rPr>
                <w:b/>
                <w:bCs/>
                <w:color w:val="000000"/>
                <w:sz w:val="16"/>
                <w:szCs w:val="16"/>
              </w:rPr>
            </w:pPr>
            <w:r w:rsidRPr="00F07060">
              <w:rPr>
                <w:b/>
                <w:bCs/>
                <w:color w:val="000000"/>
                <w:sz w:val="16"/>
                <w:szCs w:val="16"/>
              </w:rPr>
              <w:t>Feasibility</w:t>
            </w:r>
          </w:p>
        </w:tc>
        <w:tc>
          <w:tcPr>
            <w:tcW w:w="991"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2C12028" w14:textId="77777777" w:rsidR="00F07060" w:rsidRPr="00F07060" w:rsidRDefault="00F07060" w:rsidP="00B647EA">
            <w:pPr>
              <w:rPr>
                <w:b/>
                <w:bCs/>
                <w:color w:val="000000"/>
                <w:sz w:val="16"/>
                <w:szCs w:val="16"/>
              </w:rPr>
            </w:pPr>
            <w:r w:rsidRPr="00F07060">
              <w:rPr>
                <w:b/>
                <w:bCs/>
                <w:color w:val="000000"/>
                <w:sz w:val="16"/>
                <w:szCs w:val="16"/>
              </w:rPr>
              <w:t>No</w:t>
            </w:r>
          </w:p>
        </w:tc>
        <w:tc>
          <w:tcPr>
            <w:tcW w:w="1591"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5FBA194" w14:textId="77777777" w:rsidR="00F07060" w:rsidRPr="00F07060" w:rsidRDefault="00F07060" w:rsidP="00B647EA">
            <w:pPr>
              <w:rPr>
                <w:b/>
                <w:bCs/>
                <w:color w:val="000000"/>
                <w:sz w:val="16"/>
                <w:szCs w:val="16"/>
              </w:rPr>
            </w:pPr>
            <w:r w:rsidRPr="00F07060">
              <w:rPr>
                <w:b/>
                <w:bCs/>
                <w:color w:val="000000"/>
                <w:sz w:val="16"/>
                <w:szCs w:val="16"/>
              </w:rPr>
              <w:t>Probably no</w:t>
            </w:r>
          </w:p>
        </w:tc>
        <w:tc>
          <w:tcPr>
            <w:tcW w:w="2280"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51729F21" w14:textId="77777777" w:rsidR="00F07060" w:rsidRPr="00F07060" w:rsidRDefault="00F07060" w:rsidP="00B647EA">
            <w:pPr>
              <w:rPr>
                <w:b/>
                <w:bCs/>
                <w:color w:val="000000"/>
                <w:sz w:val="16"/>
                <w:szCs w:val="16"/>
              </w:rPr>
            </w:pPr>
            <w:r w:rsidRPr="00F07060">
              <w:rPr>
                <w:b/>
                <w:bCs/>
                <w:color w:val="000000"/>
                <w:sz w:val="16"/>
                <w:szCs w:val="16"/>
              </w:rPr>
              <w:t>Probably yes</w:t>
            </w:r>
          </w:p>
        </w:tc>
        <w:tc>
          <w:tcPr>
            <w:tcW w:w="211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54F9246" w14:textId="77777777" w:rsidR="00F07060" w:rsidRPr="00F07060" w:rsidRDefault="00F07060" w:rsidP="00B647EA">
            <w:pPr>
              <w:rPr>
                <w:b/>
                <w:bCs/>
                <w:color w:val="000000"/>
                <w:sz w:val="16"/>
                <w:szCs w:val="16"/>
              </w:rPr>
            </w:pPr>
            <w:r w:rsidRPr="00F07060">
              <w:rPr>
                <w:b/>
                <w:bCs/>
                <w:color w:val="000000"/>
                <w:sz w:val="16"/>
                <w:szCs w:val="16"/>
              </w:rPr>
              <w:t>Yes</w:t>
            </w:r>
          </w:p>
        </w:tc>
        <w:tc>
          <w:tcPr>
            <w:tcW w:w="98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8AB66BD" w14:textId="77777777" w:rsidR="00F07060" w:rsidRPr="00F07060" w:rsidRDefault="00F07060" w:rsidP="00B647EA">
            <w:pPr>
              <w:rPr>
                <w:b/>
                <w:bCs/>
                <w:color w:val="000000"/>
                <w:sz w:val="16"/>
                <w:szCs w:val="16"/>
              </w:rPr>
            </w:pPr>
          </w:p>
        </w:tc>
        <w:tc>
          <w:tcPr>
            <w:tcW w:w="887"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2913C4B" w14:textId="77777777" w:rsidR="00F07060" w:rsidRPr="00F07060" w:rsidRDefault="00F07060" w:rsidP="00B647EA">
            <w:pPr>
              <w:rPr>
                <w:b/>
                <w:bCs/>
                <w:color w:val="000000"/>
                <w:sz w:val="16"/>
                <w:szCs w:val="16"/>
              </w:rPr>
            </w:pPr>
            <w:r w:rsidRPr="00F07060">
              <w:rPr>
                <w:b/>
                <w:bCs/>
                <w:color w:val="000000"/>
                <w:sz w:val="16"/>
                <w:szCs w:val="16"/>
              </w:rPr>
              <w:t>Varies</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8C30F11" w14:textId="77777777" w:rsidR="00F07060" w:rsidRPr="00F07060" w:rsidRDefault="00F07060" w:rsidP="00B647EA">
            <w:pPr>
              <w:rPr>
                <w:b/>
                <w:bCs/>
                <w:color w:val="000000"/>
                <w:sz w:val="16"/>
                <w:szCs w:val="16"/>
              </w:rPr>
            </w:pPr>
            <w:r w:rsidRPr="00F07060">
              <w:rPr>
                <w:b/>
                <w:bCs/>
                <w:color w:val="000000"/>
                <w:sz w:val="16"/>
                <w:szCs w:val="16"/>
              </w:rPr>
              <w:t>Don't know</w:t>
            </w:r>
          </w:p>
        </w:tc>
      </w:tr>
    </w:tbl>
    <w:p w14:paraId="6D950218" w14:textId="087E47AF" w:rsidR="00F07060" w:rsidRDefault="00F07060">
      <w:pPr>
        <w:rPr>
          <w:b/>
          <w:bCs/>
          <w:color w:val="000000"/>
          <w:sz w:val="20"/>
          <w:szCs w:val="20"/>
          <w:lang w:val="en"/>
        </w:rPr>
      </w:pPr>
    </w:p>
    <w:p w14:paraId="36AC3137" w14:textId="7A098A5A" w:rsidR="00F07060" w:rsidRPr="00805F7C" w:rsidRDefault="00F07060" w:rsidP="00F07060">
      <w:pPr>
        <w:rPr>
          <w:rFonts w:ascii="Arial" w:hAnsi="Arial" w:cs="Arial"/>
          <w:b/>
          <w:sz w:val="20"/>
          <w:szCs w:val="20"/>
        </w:rPr>
      </w:pPr>
      <w:r w:rsidRPr="00805F7C">
        <w:rPr>
          <w:rFonts w:ascii="Arial" w:hAnsi="Arial" w:cs="Arial"/>
          <w:b/>
          <w:bCs/>
          <w:color w:val="000000"/>
          <w:sz w:val="20"/>
          <w:szCs w:val="20"/>
          <w:lang w:val="en"/>
        </w:rPr>
        <w:t>Table S</w:t>
      </w:r>
      <w:r w:rsidR="002A55D2">
        <w:rPr>
          <w:rFonts w:ascii="Arial" w:hAnsi="Arial" w:cs="Arial"/>
          <w:b/>
          <w:bCs/>
          <w:color w:val="000000"/>
          <w:sz w:val="20"/>
          <w:szCs w:val="20"/>
          <w:lang w:val="en"/>
        </w:rPr>
        <w:t>7</w:t>
      </w:r>
      <w:r w:rsidRPr="00805F7C">
        <w:rPr>
          <w:rFonts w:ascii="Arial" w:hAnsi="Arial" w:cs="Arial"/>
          <w:b/>
          <w:bCs/>
          <w:color w:val="000000"/>
          <w:sz w:val="20"/>
          <w:szCs w:val="20"/>
          <w:lang w:val="en"/>
        </w:rPr>
        <w:t xml:space="preserve"> </w:t>
      </w:r>
      <w:r w:rsidRPr="00805F7C">
        <w:rPr>
          <w:rFonts w:ascii="Arial" w:hAnsi="Arial" w:cs="Arial"/>
          <w:b/>
          <w:sz w:val="20"/>
          <w:szCs w:val="20"/>
        </w:rPr>
        <w:t>Evidence to decision table supporting recommendations for benralizumab for severe eosinophilic asthma in adults (lung function)</w:t>
      </w:r>
    </w:p>
    <w:p w14:paraId="6F90CCE1" w14:textId="63E80D5F" w:rsidR="00F07060" w:rsidRDefault="00F07060">
      <w:pPr>
        <w:rPr>
          <w:b/>
          <w:bCs/>
          <w:color w:val="000000"/>
          <w:sz w:val="20"/>
          <w:szCs w:val="20"/>
          <w:lang w:val="en"/>
        </w:rPr>
      </w:pPr>
    </w:p>
    <w:tbl>
      <w:tblPr>
        <w:tblW w:w="0" w:type="auto"/>
        <w:tblCellMar>
          <w:left w:w="0" w:type="dxa"/>
          <w:right w:w="0" w:type="dxa"/>
        </w:tblCellMar>
        <w:tblLook w:val="04A0" w:firstRow="1" w:lastRow="0" w:firstColumn="1" w:lastColumn="0" w:noHBand="0" w:noVBand="1"/>
      </w:tblPr>
      <w:tblGrid>
        <w:gridCol w:w="1655"/>
        <w:gridCol w:w="948"/>
        <w:gridCol w:w="1835"/>
        <w:gridCol w:w="1795"/>
        <w:gridCol w:w="1527"/>
        <w:gridCol w:w="1661"/>
        <w:gridCol w:w="1201"/>
        <w:gridCol w:w="1559"/>
      </w:tblGrid>
      <w:tr w:rsidR="00F07060" w:rsidRPr="00F07060" w14:paraId="397B97C1" w14:textId="77777777" w:rsidTr="00805F7C">
        <w:trPr>
          <w:trHeight w:val="19"/>
        </w:trPr>
        <w:tc>
          <w:tcPr>
            <w:tcW w:w="1655" w:type="dxa"/>
            <w:tcBorders>
              <w:top w:val="single" w:sz="8" w:space="0" w:color="FFFFFF"/>
              <w:left w:val="single" w:sz="8" w:space="0" w:color="FFFFFF"/>
              <w:bottom w:val="single" w:sz="24" w:space="0" w:color="FFFFFF"/>
              <w:right w:val="single" w:sz="8" w:space="0" w:color="FFFFFF"/>
            </w:tcBorders>
            <w:shd w:val="clear" w:color="auto" w:fill="5B9BD5"/>
            <w:tcMar>
              <w:top w:w="74" w:type="dxa"/>
              <w:left w:w="74" w:type="dxa"/>
              <w:bottom w:w="74" w:type="dxa"/>
              <w:right w:w="74" w:type="dxa"/>
            </w:tcMar>
            <w:vAlign w:val="center"/>
            <w:hideMark/>
          </w:tcPr>
          <w:p w14:paraId="719E433B" w14:textId="77777777" w:rsidR="00F07060" w:rsidRPr="00F07060" w:rsidRDefault="00F07060" w:rsidP="00B647EA">
            <w:pPr>
              <w:rPr>
                <w:b/>
                <w:bCs/>
                <w:color w:val="000000"/>
                <w:sz w:val="16"/>
                <w:szCs w:val="16"/>
              </w:rPr>
            </w:pPr>
          </w:p>
        </w:tc>
        <w:tc>
          <w:tcPr>
            <w:tcW w:w="10526" w:type="dxa"/>
            <w:gridSpan w:val="7"/>
            <w:tcBorders>
              <w:top w:val="single" w:sz="8" w:space="0" w:color="FFFFFF"/>
              <w:left w:val="single" w:sz="8" w:space="0" w:color="FFFFFF"/>
              <w:bottom w:val="single" w:sz="24" w:space="0" w:color="FFFFFF"/>
              <w:right w:val="single" w:sz="8" w:space="0" w:color="FFFFFF"/>
            </w:tcBorders>
            <w:shd w:val="clear" w:color="auto" w:fill="5B9BD5"/>
            <w:tcMar>
              <w:top w:w="74" w:type="dxa"/>
              <w:left w:w="74" w:type="dxa"/>
              <w:bottom w:w="74" w:type="dxa"/>
              <w:right w:w="74" w:type="dxa"/>
            </w:tcMar>
            <w:vAlign w:val="center"/>
            <w:hideMark/>
          </w:tcPr>
          <w:p w14:paraId="5F862D10" w14:textId="77777777" w:rsidR="00F07060" w:rsidRPr="00F07060" w:rsidRDefault="00F07060" w:rsidP="00B647EA">
            <w:pPr>
              <w:rPr>
                <w:b/>
                <w:bCs/>
                <w:color w:val="000000"/>
                <w:sz w:val="16"/>
                <w:szCs w:val="16"/>
              </w:rPr>
            </w:pPr>
            <w:r w:rsidRPr="00F07060">
              <w:rPr>
                <w:b/>
                <w:bCs/>
                <w:color w:val="000000"/>
                <w:sz w:val="16"/>
                <w:szCs w:val="16"/>
              </w:rPr>
              <w:t>Judgement</w:t>
            </w:r>
          </w:p>
        </w:tc>
      </w:tr>
      <w:tr w:rsidR="00F07060" w:rsidRPr="00F07060" w14:paraId="611C7209" w14:textId="77777777" w:rsidTr="00805F7C">
        <w:trPr>
          <w:trHeight w:val="192"/>
        </w:trPr>
        <w:tc>
          <w:tcPr>
            <w:tcW w:w="1655" w:type="dxa"/>
            <w:tcBorders>
              <w:top w:val="single" w:sz="24"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557991E4" w14:textId="77777777" w:rsidR="00F07060" w:rsidRPr="00F07060" w:rsidRDefault="00F07060" w:rsidP="00B647EA">
            <w:pPr>
              <w:rPr>
                <w:b/>
                <w:bCs/>
                <w:color w:val="000000"/>
                <w:sz w:val="16"/>
                <w:szCs w:val="16"/>
              </w:rPr>
            </w:pPr>
            <w:r w:rsidRPr="00F07060">
              <w:rPr>
                <w:b/>
                <w:bCs/>
                <w:color w:val="000000"/>
                <w:sz w:val="16"/>
                <w:szCs w:val="16"/>
              </w:rPr>
              <w:t>Problem (importance)</w:t>
            </w:r>
          </w:p>
        </w:tc>
        <w:tc>
          <w:tcPr>
            <w:tcW w:w="948"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3DEBC4F" w14:textId="77777777" w:rsidR="00F07060" w:rsidRPr="00F07060" w:rsidRDefault="00F07060" w:rsidP="00B647EA">
            <w:pPr>
              <w:rPr>
                <w:b/>
                <w:bCs/>
                <w:color w:val="000000"/>
                <w:sz w:val="16"/>
                <w:szCs w:val="16"/>
              </w:rPr>
            </w:pPr>
            <w:r w:rsidRPr="00F07060">
              <w:rPr>
                <w:b/>
                <w:bCs/>
                <w:color w:val="000000"/>
                <w:sz w:val="16"/>
                <w:szCs w:val="16"/>
              </w:rPr>
              <w:t>No</w:t>
            </w:r>
          </w:p>
        </w:tc>
        <w:tc>
          <w:tcPr>
            <w:tcW w:w="1835"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2EAEC6F" w14:textId="77777777" w:rsidR="00F07060" w:rsidRPr="00F07060" w:rsidRDefault="00F07060" w:rsidP="00B647EA">
            <w:pPr>
              <w:rPr>
                <w:b/>
                <w:bCs/>
                <w:color w:val="000000"/>
                <w:sz w:val="16"/>
                <w:szCs w:val="16"/>
              </w:rPr>
            </w:pPr>
            <w:r w:rsidRPr="00F07060">
              <w:rPr>
                <w:b/>
                <w:bCs/>
                <w:color w:val="000000"/>
                <w:sz w:val="16"/>
                <w:szCs w:val="16"/>
              </w:rPr>
              <w:t>Probably no</w:t>
            </w:r>
          </w:p>
        </w:tc>
        <w:tc>
          <w:tcPr>
            <w:tcW w:w="1795"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97D079D" w14:textId="77777777" w:rsidR="00F07060" w:rsidRPr="00F07060" w:rsidRDefault="00F07060" w:rsidP="00B647EA">
            <w:pPr>
              <w:rPr>
                <w:b/>
                <w:bCs/>
                <w:color w:val="000000"/>
                <w:sz w:val="16"/>
                <w:szCs w:val="16"/>
              </w:rPr>
            </w:pPr>
            <w:r w:rsidRPr="00F07060">
              <w:rPr>
                <w:b/>
                <w:bCs/>
                <w:color w:val="000000"/>
                <w:sz w:val="16"/>
                <w:szCs w:val="16"/>
              </w:rPr>
              <w:t>Probably yes</w:t>
            </w:r>
          </w:p>
        </w:tc>
        <w:tc>
          <w:tcPr>
            <w:tcW w:w="1527" w:type="dxa"/>
            <w:tcBorders>
              <w:top w:val="single" w:sz="24"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1C99C8BD" w14:textId="77777777" w:rsidR="00F07060" w:rsidRPr="00F07060" w:rsidRDefault="00F07060" w:rsidP="00B647EA">
            <w:pPr>
              <w:rPr>
                <w:b/>
                <w:bCs/>
                <w:color w:val="000000"/>
                <w:sz w:val="16"/>
                <w:szCs w:val="16"/>
              </w:rPr>
            </w:pPr>
            <w:r w:rsidRPr="00F07060">
              <w:rPr>
                <w:b/>
                <w:bCs/>
                <w:color w:val="000000"/>
                <w:sz w:val="16"/>
                <w:szCs w:val="16"/>
              </w:rPr>
              <w:t>Yes</w:t>
            </w:r>
          </w:p>
        </w:tc>
        <w:tc>
          <w:tcPr>
            <w:tcW w:w="1661"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2B6B5B2" w14:textId="77777777" w:rsidR="00F07060" w:rsidRPr="00F07060" w:rsidRDefault="00F07060" w:rsidP="00B647EA">
            <w:pPr>
              <w:rPr>
                <w:b/>
                <w:bCs/>
                <w:color w:val="000000"/>
                <w:sz w:val="16"/>
                <w:szCs w:val="16"/>
              </w:rPr>
            </w:pPr>
          </w:p>
        </w:tc>
        <w:tc>
          <w:tcPr>
            <w:tcW w:w="1201"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6653D5A" w14:textId="77777777" w:rsidR="00F07060" w:rsidRPr="00F07060" w:rsidRDefault="00F07060" w:rsidP="00B647EA">
            <w:pPr>
              <w:rPr>
                <w:b/>
                <w:bCs/>
                <w:color w:val="000000"/>
                <w:sz w:val="16"/>
                <w:szCs w:val="16"/>
              </w:rPr>
            </w:pPr>
            <w:r w:rsidRPr="00F07060">
              <w:rPr>
                <w:b/>
                <w:bCs/>
                <w:color w:val="000000"/>
                <w:sz w:val="16"/>
                <w:szCs w:val="16"/>
              </w:rPr>
              <w:t>Varies</w:t>
            </w:r>
          </w:p>
        </w:tc>
        <w:tc>
          <w:tcPr>
            <w:tcW w:w="1559"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4EF7306" w14:textId="77777777" w:rsidR="00F07060" w:rsidRPr="00F07060" w:rsidRDefault="00F07060" w:rsidP="00B647EA">
            <w:pPr>
              <w:rPr>
                <w:b/>
                <w:bCs/>
                <w:color w:val="000000"/>
                <w:sz w:val="16"/>
                <w:szCs w:val="16"/>
              </w:rPr>
            </w:pPr>
            <w:r w:rsidRPr="00F07060">
              <w:rPr>
                <w:b/>
                <w:bCs/>
                <w:color w:val="000000"/>
                <w:sz w:val="16"/>
                <w:szCs w:val="16"/>
              </w:rPr>
              <w:t>Don't know</w:t>
            </w:r>
          </w:p>
        </w:tc>
      </w:tr>
      <w:tr w:rsidR="00F07060" w:rsidRPr="00F07060" w14:paraId="08B3BC94" w14:textId="77777777" w:rsidTr="00805F7C">
        <w:trPr>
          <w:trHeight w:val="70"/>
        </w:trPr>
        <w:tc>
          <w:tcPr>
            <w:tcW w:w="1655"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1B4FC0B4" w14:textId="77777777" w:rsidR="00F07060" w:rsidRPr="00F07060" w:rsidRDefault="00F07060" w:rsidP="00B647EA">
            <w:pPr>
              <w:rPr>
                <w:b/>
                <w:bCs/>
                <w:color w:val="000000"/>
                <w:sz w:val="16"/>
                <w:szCs w:val="16"/>
              </w:rPr>
            </w:pPr>
            <w:r w:rsidRPr="00F07060">
              <w:rPr>
                <w:b/>
                <w:bCs/>
                <w:color w:val="000000"/>
                <w:sz w:val="16"/>
                <w:szCs w:val="16"/>
              </w:rPr>
              <w:t>Desirable Effects</w:t>
            </w:r>
          </w:p>
        </w:tc>
        <w:tc>
          <w:tcPr>
            <w:tcW w:w="948"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DA06F6A" w14:textId="77777777" w:rsidR="00F07060" w:rsidRPr="00F07060" w:rsidRDefault="00F07060" w:rsidP="00B647EA">
            <w:pPr>
              <w:rPr>
                <w:b/>
                <w:bCs/>
                <w:color w:val="000000"/>
                <w:sz w:val="16"/>
                <w:szCs w:val="16"/>
              </w:rPr>
            </w:pPr>
            <w:r w:rsidRPr="00F07060">
              <w:rPr>
                <w:b/>
                <w:bCs/>
                <w:color w:val="000000"/>
                <w:sz w:val="16"/>
                <w:szCs w:val="16"/>
              </w:rPr>
              <w:t>Trivial</w:t>
            </w:r>
          </w:p>
        </w:tc>
        <w:tc>
          <w:tcPr>
            <w:tcW w:w="183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EDF0DEC" w14:textId="77777777" w:rsidR="00F07060" w:rsidRPr="00F07060" w:rsidRDefault="00F07060" w:rsidP="00B647EA">
            <w:pPr>
              <w:rPr>
                <w:b/>
                <w:bCs/>
                <w:color w:val="000000"/>
                <w:sz w:val="16"/>
                <w:szCs w:val="16"/>
              </w:rPr>
            </w:pPr>
            <w:r w:rsidRPr="00F07060">
              <w:rPr>
                <w:b/>
                <w:bCs/>
                <w:color w:val="000000"/>
                <w:sz w:val="16"/>
                <w:szCs w:val="16"/>
              </w:rPr>
              <w:t>Small</w:t>
            </w:r>
          </w:p>
        </w:tc>
        <w:tc>
          <w:tcPr>
            <w:tcW w:w="179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4" w:type="dxa"/>
              <w:left w:w="74" w:type="dxa"/>
              <w:bottom w:w="74" w:type="dxa"/>
              <w:right w:w="74" w:type="dxa"/>
            </w:tcMar>
            <w:vAlign w:val="center"/>
            <w:hideMark/>
          </w:tcPr>
          <w:p w14:paraId="7E25FD75" w14:textId="77777777" w:rsidR="00F07060" w:rsidRPr="00F07060" w:rsidRDefault="00F07060" w:rsidP="00B647EA">
            <w:pPr>
              <w:rPr>
                <w:b/>
                <w:bCs/>
                <w:color w:val="000000"/>
                <w:sz w:val="16"/>
                <w:szCs w:val="16"/>
              </w:rPr>
            </w:pPr>
            <w:r w:rsidRPr="00F07060">
              <w:rPr>
                <w:b/>
                <w:bCs/>
                <w:color w:val="000000"/>
                <w:sz w:val="16"/>
                <w:szCs w:val="16"/>
              </w:rPr>
              <w:t>Moderate</w:t>
            </w:r>
          </w:p>
        </w:tc>
        <w:tc>
          <w:tcPr>
            <w:tcW w:w="1527"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127972E8" w14:textId="77777777" w:rsidR="00F07060" w:rsidRPr="00F07060" w:rsidRDefault="00F07060" w:rsidP="00B647EA">
            <w:pPr>
              <w:rPr>
                <w:b/>
                <w:bCs/>
                <w:color w:val="000000"/>
                <w:sz w:val="16"/>
                <w:szCs w:val="16"/>
              </w:rPr>
            </w:pPr>
            <w:r w:rsidRPr="00F07060">
              <w:rPr>
                <w:b/>
                <w:bCs/>
                <w:color w:val="000000"/>
                <w:sz w:val="16"/>
                <w:szCs w:val="16"/>
              </w:rPr>
              <w:t>Large</w:t>
            </w:r>
          </w:p>
        </w:tc>
        <w:tc>
          <w:tcPr>
            <w:tcW w:w="1661"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839FC6E" w14:textId="77777777" w:rsidR="00F07060" w:rsidRPr="00F07060" w:rsidRDefault="00F07060" w:rsidP="00B647EA">
            <w:pPr>
              <w:rPr>
                <w:b/>
                <w:bCs/>
                <w:color w:val="000000"/>
                <w:sz w:val="16"/>
                <w:szCs w:val="16"/>
              </w:rPr>
            </w:pPr>
          </w:p>
        </w:tc>
        <w:tc>
          <w:tcPr>
            <w:tcW w:w="1201"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395F31C" w14:textId="77777777" w:rsidR="00F07060" w:rsidRPr="00F07060" w:rsidRDefault="00F07060" w:rsidP="00B647EA">
            <w:pPr>
              <w:rPr>
                <w:b/>
                <w:bCs/>
                <w:color w:val="000000"/>
                <w:sz w:val="16"/>
                <w:szCs w:val="16"/>
              </w:rPr>
            </w:pPr>
            <w:r w:rsidRPr="00F07060">
              <w:rPr>
                <w:b/>
                <w:bCs/>
                <w:color w:val="000000"/>
                <w:sz w:val="16"/>
                <w:szCs w:val="16"/>
              </w:rPr>
              <w:t>Varies</w:t>
            </w:r>
          </w:p>
        </w:tc>
        <w:tc>
          <w:tcPr>
            <w:tcW w:w="1559"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A9C4945" w14:textId="77777777" w:rsidR="00F07060" w:rsidRPr="00F07060" w:rsidRDefault="00F07060" w:rsidP="00B647EA">
            <w:pPr>
              <w:rPr>
                <w:b/>
                <w:bCs/>
                <w:color w:val="000000"/>
                <w:sz w:val="16"/>
                <w:szCs w:val="16"/>
              </w:rPr>
            </w:pPr>
            <w:r w:rsidRPr="00F07060">
              <w:rPr>
                <w:b/>
                <w:bCs/>
                <w:color w:val="000000"/>
                <w:sz w:val="16"/>
                <w:szCs w:val="16"/>
              </w:rPr>
              <w:t>Don't know</w:t>
            </w:r>
          </w:p>
        </w:tc>
      </w:tr>
      <w:tr w:rsidR="00F07060" w:rsidRPr="00F07060" w14:paraId="2D182A60" w14:textId="77777777" w:rsidTr="00805F7C">
        <w:trPr>
          <w:trHeight w:val="19"/>
        </w:trPr>
        <w:tc>
          <w:tcPr>
            <w:tcW w:w="1655"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72562B71" w14:textId="77777777" w:rsidR="00F07060" w:rsidRPr="00F07060" w:rsidRDefault="00F07060" w:rsidP="00B647EA">
            <w:pPr>
              <w:rPr>
                <w:b/>
                <w:bCs/>
                <w:color w:val="000000"/>
                <w:sz w:val="16"/>
                <w:szCs w:val="16"/>
              </w:rPr>
            </w:pPr>
            <w:r w:rsidRPr="00F07060">
              <w:rPr>
                <w:b/>
                <w:bCs/>
                <w:color w:val="000000"/>
                <w:sz w:val="16"/>
                <w:szCs w:val="16"/>
              </w:rPr>
              <w:t>Undesirable Effects</w:t>
            </w:r>
          </w:p>
        </w:tc>
        <w:tc>
          <w:tcPr>
            <w:tcW w:w="948"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ECD784C" w14:textId="77777777" w:rsidR="00F07060" w:rsidRPr="00F07060" w:rsidRDefault="00F07060" w:rsidP="00B647EA">
            <w:pPr>
              <w:rPr>
                <w:b/>
                <w:bCs/>
                <w:color w:val="000000"/>
                <w:sz w:val="16"/>
                <w:szCs w:val="16"/>
              </w:rPr>
            </w:pPr>
            <w:r w:rsidRPr="00F07060">
              <w:rPr>
                <w:b/>
                <w:bCs/>
                <w:color w:val="000000"/>
                <w:sz w:val="16"/>
                <w:szCs w:val="16"/>
              </w:rPr>
              <w:t>Large</w:t>
            </w:r>
          </w:p>
        </w:tc>
        <w:tc>
          <w:tcPr>
            <w:tcW w:w="1835"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B8CEB53" w14:textId="77777777" w:rsidR="00F07060" w:rsidRPr="00F07060" w:rsidRDefault="00F07060" w:rsidP="00B647EA">
            <w:pPr>
              <w:rPr>
                <w:b/>
                <w:bCs/>
                <w:color w:val="000000"/>
                <w:sz w:val="16"/>
                <w:szCs w:val="16"/>
              </w:rPr>
            </w:pPr>
            <w:r w:rsidRPr="00F07060">
              <w:rPr>
                <w:b/>
                <w:bCs/>
                <w:color w:val="000000"/>
                <w:sz w:val="16"/>
                <w:szCs w:val="16"/>
              </w:rPr>
              <w:t>Moderate</w:t>
            </w:r>
          </w:p>
        </w:tc>
        <w:tc>
          <w:tcPr>
            <w:tcW w:w="1795"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482CC8C3" w14:textId="77777777" w:rsidR="00F07060" w:rsidRPr="00F07060" w:rsidRDefault="00F07060" w:rsidP="00B647EA">
            <w:pPr>
              <w:rPr>
                <w:b/>
                <w:bCs/>
                <w:color w:val="000000"/>
                <w:sz w:val="16"/>
                <w:szCs w:val="16"/>
              </w:rPr>
            </w:pPr>
            <w:r w:rsidRPr="00F07060">
              <w:rPr>
                <w:b/>
                <w:bCs/>
                <w:color w:val="000000"/>
                <w:sz w:val="16"/>
                <w:szCs w:val="16"/>
              </w:rPr>
              <w:t>Small</w:t>
            </w:r>
          </w:p>
        </w:tc>
        <w:tc>
          <w:tcPr>
            <w:tcW w:w="1527"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91EB31C" w14:textId="77777777" w:rsidR="00F07060" w:rsidRPr="00F07060" w:rsidRDefault="00F07060" w:rsidP="00B647EA">
            <w:pPr>
              <w:rPr>
                <w:b/>
                <w:bCs/>
                <w:color w:val="000000"/>
                <w:sz w:val="16"/>
                <w:szCs w:val="16"/>
              </w:rPr>
            </w:pPr>
            <w:r w:rsidRPr="00F07060">
              <w:rPr>
                <w:b/>
                <w:bCs/>
                <w:color w:val="000000"/>
                <w:sz w:val="16"/>
                <w:szCs w:val="16"/>
              </w:rPr>
              <w:t>Trivial</w:t>
            </w:r>
          </w:p>
        </w:tc>
        <w:tc>
          <w:tcPr>
            <w:tcW w:w="1661"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9CA23F2" w14:textId="77777777" w:rsidR="00F07060" w:rsidRPr="00F07060" w:rsidRDefault="00F07060" w:rsidP="00B647EA">
            <w:pPr>
              <w:rPr>
                <w:b/>
                <w:bCs/>
                <w:color w:val="000000"/>
                <w:sz w:val="16"/>
                <w:szCs w:val="16"/>
              </w:rPr>
            </w:pPr>
          </w:p>
        </w:tc>
        <w:tc>
          <w:tcPr>
            <w:tcW w:w="1201"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AD1CE9C" w14:textId="77777777" w:rsidR="00F07060" w:rsidRPr="00F07060" w:rsidRDefault="00F07060" w:rsidP="00B647EA">
            <w:pPr>
              <w:rPr>
                <w:b/>
                <w:bCs/>
                <w:color w:val="000000"/>
                <w:sz w:val="16"/>
                <w:szCs w:val="16"/>
              </w:rPr>
            </w:pPr>
            <w:r w:rsidRPr="00F07060">
              <w:rPr>
                <w:b/>
                <w:bCs/>
                <w:color w:val="000000"/>
                <w:sz w:val="16"/>
                <w:szCs w:val="16"/>
              </w:rPr>
              <w:t>Varies</w:t>
            </w:r>
          </w:p>
        </w:tc>
        <w:tc>
          <w:tcPr>
            <w:tcW w:w="1559"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DF00C63" w14:textId="77777777" w:rsidR="00F07060" w:rsidRPr="00F07060" w:rsidRDefault="00F07060" w:rsidP="00B647EA">
            <w:pPr>
              <w:rPr>
                <w:b/>
                <w:bCs/>
                <w:color w:val="000000"/>
                <w:sz w:val="16"/>
                <w:szCs w:val="16"/>
              </w:rPr>
            </w:pPr>
            <w:r w:rsidRPr="00F07060">
              <w:rPr>
                <w:b/>
                <w:bCs/>
                <w:color w:val="000000"/>
                <w:sz w:val="16"/>
                <w:szCs w:val="16"/>
              </w:rPr>
              <w:t>Don't know</w:t>
            </w:r>
          </w:p>
        </w:tc>
      </w:tr>
      <w:tr w:rsidR="00F07060" w:rsidRPr="00F07060" w14:paraId="7655A865" w14:textId="77777777" w:rsidTr="00805F7C">
        <w:trPr>
          <w:trHeight w:val="19"/>
        </w:trPr>
        <w:tc>
          <w:tcPr>
            <w:tcW w:w="1655"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131E7AD2" w14:textId="77777777" w:rsidR="00F07060" w:rsidRPr="00F07060" w:rsidRDefault="00F07060" w:rsidP="00B647EA">
            <w:pPr>
              <w:rPr>
                <w:b/>
                <w:bCs/>
                <w:color w:val="000000"/>
                <w:sz w:val="16"/>
                <w:szCs w:val="16"/>
              </w:rPr>
            </w:pPr>
            <w:r w:rsidRPr="00F07060">
              <w:rPr>
                <w:b/>
                <w:bCs/>
                <w:color w:val="000000"/>
                <w:sz w:val="16"/>
                <w:szCs w:val="16"/>
              </w:rPr>
              <w:t>Certainty of evidence</w:t>
            </w:r>
          </w:p>
        </w:tc>
        <w:tc>
          <w:tcPr>
            <w:tcW w:w="948"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35A8AE1" w14:textId="77777777" w:rsidR="00F07060" w:rsidRPr="00F07060" w:rsidRDefault="00F07060" w:rsidP="00B647EA">
            <w:pPr>
              <w:rPr>
                <w:b/>
                <w:bCs/>
                <w:color w:val="000000"/>
                <w:sz w:val="16"/>
                <w:szCs w:val="16"/>
              </w:rPr>
            </w:pPr>
            <w:r w:rsidRPr="00F07060">
              <w:rPr>
                <w:b/>
                <w:bCs/>
                <w:color w:val="000000"/>
                <w:sz w:val="16"/>
                <w:szCs w:val="16"/>
              </w:rPr>
              <w:t>Very low</w:t>
            </w:r>
          </w:p>
        </w:tc>
        <w:tc>
          <w:tcPr>
            <w:tcW w:w="183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38EA33F" w14:textId="77777777" w:rsidR="00F07060" w:rsidRPr="00F07060" w:rsidRDefault="00F07060" w:rsidP="00B647EA">
            <w:pPr>
              <w:rPr>
                <w:b/>
                <w:bCs/>
                <w:color w:val="000000"/>
                <w:sz w:val="16"/>
                <w:szCs w:val="16"/>
              </w:rPr>
            </w:pPr>
            <w:r w:rsidRPr="00F07060">
              <w:rPr>
                <w:b/>
                <w:bCs/>
                <w:color w:val="000000"/>
                <w:sz w:val="16"/>
                <w:szCs w:val="16"/>
              </w:rPr>
              <w:t>Low</w:t>
            </w:r>
          </w:p>
        </w:tc>
        <w:tc>
          <w:tcPr>
            <w:tcW w:w="1795"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621962A1" w14:textId="77777777" w:rsidR="00F07060" w:rsidRPr="00F07060" w:rsidRDefault="00F07060" w:rsidP="00B647EA">
            <w:pPr>
              <w:rPr>
                <w:b/>
                <w:bCs/>
                <w:color w:val="000000"/>
                <w:sz w:val="16"/>
                <w:szCs w:val="16"/>
              </w:rPr>
            </w:pPr>
            <w:r w:rsidRPr="00F07060">
              <w:rPr>
                <w:b/>
                <w:bCs/>
                <w:color w:val="000000"/>
                <w:sz w:val="16"/>
                <w:szCs w:val="16"/>
              </w:rPr>
              <w:t>Moderate</w:t>
            </w:r>
          </w:p>
        </w:tc>
        <w:tc>
          <w:tcPr>
            <w:tcW w:w="152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4" w:type="dxa"/>
              <w:left w:w="74" w:type="dxa"/>
              <w:bottom w:w="74" w:type="dxa"/>
              <w:right w:w="74" w:type="dxa"/>
            </w:tcMar>
            <w:vAlign w:val="center"/>
            <w:hideMark/>
          </w:tcPr>
          <w:p w14:paraId="02E9A3EB" w14:textId="77777777" w:rsidR="00F07060" w:rsidRPr="00F07060" w:rsidRDefault="00F07060" w:rsidP="00B647EA">
            <w:pPr>
              <w:rPr>
                <w:b/>
                <w:bCs/>
                <w:color w:val="000000"/>
                <w:sz w:val="16"/>
                <w:szCs w:val="16"/>
              </w:rPr>
            </w:pPr>
            <w:r w:rsidRPr="00F07060">
              <w:rPr>
                <w:b/>
                <w:bCs/>
                <w:color w:val="000000"/>
                <w:sz w:val="16"/>
                <w:szCs w:val="16"/>
              </w:rPr>
              <w:t>High</w:t>
            </w:r>
          </w:p>
        </w:tc>
        <w:tc>
          <w:tcPr>
            <w:tcW w:w="1661"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8421149" w14:textId="77777777" w:rsidR="00F07060" w:rsidRPr="00F07060" w:rsidRDefault="00F07060" w:rsidP="00B647EA">
            <w:pPr>
              <w:rPr>
                <w:b/>
                <w:bCs/>
                <w:color w:val="000000"/>
                <w:sz w:val="16"/>
                <w:szCs w:val="16"/>
              </w:rPr>
            </w:pPr>
          </w:p>
        </w:tc>
        <w:tc>
          <w:tcPr>
            <w:tcW w:w="1201"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99E1016" w14:textId="77777777" w:rsidR="00F07060" w:rsidRPr="00F07060" w:rsidRDefault="00F07060" w:rsidP="00B647EA">
            <w:pPr>
              <w:rPr>
                <w:b/>
                <w:bCs/>
                <w:color w:val="000000"/>
                <w:sz w:val="16"/>
                <w:szCs w:val="16"/>
              </w:rPr>
            </w:pPr>
          </w:p>
        </w:tc>
        <w:tc>
          <w:tcPr>
            <w:tcW w:w="1559"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FDC026B" w14:textId="0D126B86" w:rsidR="00F07060" w:rsidRPr="00F07060" w:rsidRDefault="00F07060" w:rsidP="00B647EA">
            <w:pPr>
              <w:rPr>
                <w:b/>
                <w:bCs/>
                <w:color w:val="000000"/>
                <w:sz w:val="16"/>
                <w:szCs w:val="16"/>
              </w:rPr>
            </w:pPr>
            <w:r w:rsidRPr="00F07060">
              <w:rPr>
                <w:b/>
                <w:bCs/>
                <w:color w:val="000000"/>
                <w:sz w:val="16"/>
                <w:szCs w:val="16"/>
              </w:rPr>
              <w:t xml:space="preserve">No </w:t>
            </w:r>
            <w:r w:rsidR="00114022" w:rsidRPr="00F07060">
              <w:rPr>
                <w:b/>
                <w:bCs/>
                <w:color w:val="000000"/>
                <w:sz w:val="16"/>
                <w:szCs w:val="16"/>
              </w:rPr>
              <w:t xml:space="preserve">studies </w:t>
            </w:r>
            <w:r w:rsidRPr="00F07060">
              <w:rPr>
                <w:b/>
                <w:bCs/>
                <w:color w:val="000000"/>
                <w:sz w:val="16"/>
                <w:szCs w:val="16"/>
              </w:rPr>
              <w:t xml:space="preserve">included </w:t>
            </w:r>
          </w:p>
        </w:tc>
      </w:tr>
      <w:tr w:rsidR="00F07060" w:rsidRPr="00F07060" w14:paraId="0559DD8F" w14:textId="77777777" w:rsidTr="00805F7C">
        <w:trPr>
          <w:trHeight w:val="48"/>
        </w:trPr>
        <w:tc>
          <w:tcPr>
            <w:tcW w:w="1655"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4F2A2F9D" w14:textId="77777777" w:rsidR="00F07060" w:rsidRPr="00F07060" w:rsidRDefault="00F07060" w:rsidP="00B647EA">
            <w:pPr>
              <w:rPr>
                <w:b/>
                <w:bCs/>
                <w:color w:val="000000"/>
                <w:sz w:val="16"/>
                <w:szCs w:val="16"/>
              </w:rPr>
            </w:pPr>
            <w:r w:rsidRPr="00F07060">
              <w:rPr>
                <w:b/>
                <w:bCs/>
                <w:color w:val="000000"/>
                <w:sz w:val="16"/>
                <w:szCs w:val="16"/>
              </w:rPr>
              <w:t>Values</w:t>
            </w:r>
          </w:p>
        </w:tc>
        <w:tc>
          <w:tcPr>
            <w:tcW w:w="948"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0717CDE" w14:textId="77777777" w:rsidR="00F07060" w:rsidRPr="00F07060" w:rsidRDefault="00F07060" w:rsidP="00B647EA">
            <w:pPr>
              <w:rPr>
                <w:b/>
                <w:bCs/>
                <w:color w:val="000000"/>
                <w:sz w:val="16"/>
                <w:szCs w:val="16"/>
              </w:rPr>
            </w:pPr>
            <w:r w:rsidRPr="00F07060">
              <w:rPr>
                <w:b/>
                <w:bCs/>
                <w:color w:val="000000"/>
                <w:sz w:val="16"/>
                <w:szCs w:val="16"/>
              </w:rPr>
              <w:t>Important uncertainty or variability</w:t>
            </w:r>
          </w:p>
        </w:tc>
        <w:tc>
          <w:tcPr>
            <w:tcW w:w="1835"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CD01A87" w14:textId="77777777" w:rsidR="00F07060" w:rsidRPr="00F07060" w:rsidRDefault="00F07060" w:rsidP="00B647EA">
            <w:pPr>
              <w:rPr>
                <w:b/>
                <w:bCs/>
                <w:color w:val="000000"/>
                <w:sz w:val="16"/>
                <w:szCs w:val="16"/>
              </w:rPr>
            </w:pPr>
            <w:r w:rsidRPr="00F07060">
              <w:rPr>
                <w:b/>
                <w:bCs/>
                <w:color w:val="000000"/>
                <w:sz w:val="16"/>
                <w:szCs w:val="16"/>
              </w:rPr>
              <w:t>Possibly important uncertainty or variability</w:t>
            </w:r>
          </w:p>
        </w:tc>
        <w:tc>
          <w:tcPr>
            <w:tcW w:w="1795"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6968AA2" w14:textId="77777777" w:rsidR="00F07060" w:rsidRPr="00F07060" w:rsidRDefault="00F07060" w:rsidP="00B647EA">
            <w:pPr>
              <w:rPr>
                <w:b/>
                <w:bCs/>
                <w:color w:val="000000"/>
                <w:sz w:val="16"/>
                <w:szCs w:val="16"/>
              </w:rPr>
            </w:pPr>
            <w:r w:rsidRPr="00F07060">
              <w:rPr>
                <w:b/>
                <w:bCs/>
                <w:color w:val="000000"/>
                <w:sz w:val="16"/>
                <w:szCs w:val="16"/>
              </w:rPr>
              <w:t>Probably no important uncertainty or variability</w:t>
            </w:r>
          </w:p>
        </w:tc>
        <w:tc>
          <w:tcPr>
            <w:tcW w:w="1527"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2851174F" w14:textId="77777777" w:rsidR="00F07060" w:rsidRPr="00F07060" w:rsidRDefault="00F07060" w:rsidP="00B647EA">
            <w:pPr>
              <w:rPr>
                <w:b/>
                <w:bCs/>
                <w:color w:val="000000"/>
                <w:sz w:val="16"/>
                <w:szCs w:val="16"/>
              </w:rPr>
            </w:pPr>
            <w:r w:rsidRPr="00F07060">
              <w:rPr>
                <w:b/>
                <w:bCs/>
                <w:color w:val="000000"/>
                <w:sz w:val="16"/>
                <w:szCs w:val="16"/>
              </w:rPr>
              <w:t>no important uncertainty or variability</w:t>
            </w:r>
          </w:p>
        </w:tc>
        <w:tc>
          <w:tcPr>
            <w:tcW w:w="1661"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9F7FCDA" w14:textId="77777777" w:rsidR="00F07060" w:rsidRPr="00F07060" w:rsidRDefault="00F07060" w:rsidP="00B647EA">
            <w:pPr>
              <w:rPr>
                <w:b/>
                <w:bCs/>
                <w:color w:val="000000"/>
                <w:sz w:val="16"/>
                <w:szCs w:val="16"/>
              </w:rPr>
            </w:pPr>
          </w:p>
        </w:tc>
        <w:tc>
          <w:tcPr>
            <w:tcW w:w="1201"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9AC1827" w14:textId="77777777" w:rsidR="00F07060" w:rsidRPr="00F07060" w:rsidRDefault="00F07060" w:rsidP="00B647EA">
            <w:pPr>
              <w:rPr>
                <w:b/>
                <w:bCs/>
                <w:color w:val="000000"/>
                <w:sz w:val="16"/>
                <w:szCs w:val="16"/>
              </w:rPr>
            </w:pPr>
          </w:p>
        </w:tc>
        <w:tc>
          <w:tcPr>
            <w:tcW w:w="1559"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A276BA7" w14:textId="77777777" w:rsidR="00F07060" w:rsidRPr="00F07060" w:rsidRDefault="00F07060" w:rsidP="00B647EA">
            <w:pPr>
              <w:rPr>
                <w:b/>
                <w:bCs/>
                <w:color w:val="000000"/>
                <w:sz w:val="16"/>
                <w:szCs w:val="16"/>
              </w:rPr>
            </w:pPr>
          </w:p>
        </w:tc>
      </w:tr>
      <w:tr w:rsidR="00F07060" w:rsidRPr="00F07060" w14:paraId="56735470" w14:textId="77777777" w:rsidTr="00805F7C">
        <w:trPr>
          <w:trHeight w:val="288"/>
        </w:trPr>
        <w:tc>
          <w:tcPr>
            <w:tcW w:w="1655"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63955C09" w14:textId="77777777" w:rsidR="00F07060" w:rsidRPr="00F07060" w:rsidRDefault="00F07060" w:rsidP="00B647EA">
            <w:pPr>
              <w:rPr>
                <w:b/>
                <w:bCs/>
                <w:color w:val="000000"/>
                <w:sz w:val="16"/>
                <w:szCs w:val="16"/>
              </w:rPr>
            </w:pPr>
            <w:r w:rsidRPr="00F07060">
              <w:rPr>
                <w:b/>
                <w:bCs/>
                <w:color w:val="000000"/>
                <w:sz w:val="16"/>
                <w:szCs w:val="16"/>
              </w:rPr>
              <w:t>Balance of effects</w:t>
            </w:r>
          </w:p>
        </w:tc>
        <w:tc>
          <w:tcPr>
            <w:tcW w:w="948"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3F8C219" w14:textId="77777777" w:rsidR="00F07060" w:rsidRPr="00F07060" w:rsidRDefault="00F07060" w:rsidP="00B647EA">
            <w:pPr>
              <w:rPr>
                <w:b/>
                <w:bCs/>
                <w:color w:val="000000"/>
                <w:sz w:val="16"/>
                <w:szCs w:val="16"/>
              </w:rPr>
            </w:pPr>
            <w:r w:rsidRPr="00F07060">
              <w:rPr>
                <w:b/>
                <w:bCs/>
                <w:color w:val="000000"/>
                <w:sz w:val="16"/>
                <w:szCs w:val="16"/>
              </w:rPr>
              <w:t>Favors the comparison</w:t>
            </w:r>
          </w:p>
        </w:tc>
        <w:tc>
          <w:tcPr>
            <w:tcW w:w="183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93B2A73" w14:textId="77777777" w:rsidR="00F07060" w:rsidRPr="00F07060" w:rsidRDefault="00F07060" w:rsidP="00B647EA">
            <w:pPr>
              <w:rPr>
                <w:b/>
                <w:bCs/>
                <w:color w:val="000000"/>
                <w:sz w:val="16"/>
                <w:szCs w:val="16"/>
              </w:rPr>
            </w:pPr>
            <w:r w:rsidRPr="00F07060">
              <w:rPr>
                <w:b/>
                <w:bCs/>
                <w:color w:val="000000"/>
                <w:sz w:val="16"/>
                <w:szCs w:val="16"/>
              </w:rPr>
              <w:t>Probably favors the comparison</w:t>
            </w:r>
          </w:p>
        </w:tc>
        <w:tc>
          <w:tcPr>
            <w:tcW w:w="179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DD850DF" w14:textId="77777777" w:rsidR="00F07060" w:rsidRPr="00F07060" w:rsidRDefault="00F07060" w:rsidP="00B647EA">
            <w:pPr>
              <w:rPr>
                <w:b/>
                <w:bCs/>
                <w:color w:val="000000"/>
                <w:sz w:val="16"/>
                <w:szCs w:val="16"/>
              </w:rPr>
            </w:pPr>
            <w:r w:rsidRPr="00F07060">
              <w:rPr>
                <w:b/>
                <w:bCs/>
                <w:color w:val="000000"/>
                <w:sz w:val="16"/>
                <w:szCs w:val="16"/>
              </w:rPr>
              <w:t>Does not favor either the intervention or the comparison</w:t>
            </w:r>
          </w:p>
        </w:tc>
        <w:tc>
          <w:tcPr>
            <w:tcW w:w="1527"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4EA365B6" w14:textId="77777777" w:rsidR="00F07060" w:rsidRPr="00F07060" w:rsidRDefault="00F07060" w:rsidP="00B647EA">
            <w:pPr>
              <w:rPr>
                <w:b/>
                <w:bCs/>
                <w:color w:val="000000"/>
                <w:sz w:val="16"/>
                <w:szCs w:val="16"/>
              </w:rPr>
            </w:pPr>
            <w:r w:rsidRPr="00F07060">
              <w:rPr>
                <w:b/>
                <w:bCs/>
                <w:color w:val="000000"/>
                <w:sz w:val="16"/>
                <w:szCs w:val="16"/>
              </w:rPr>
              <w:t>Probably favors the intervention</w:t>
            </w:r>
          </w:p>
        </w:tc>
        <w:tc>
          <w:tcPr>
            <w:tcW w:w="166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4" w:type="dxa"/>
              <w:left w:w="74" w:type="dxa"/>
              <w:bottom w:w="74" w:type="dxa"/>
              <w:right w:w="74" w:type="dxa"/>
            </w:tcMar>
            <w:vAlign w:val="center"/>
            <w:hideMark/>
          </w:tcPr>
          <w:p w14:paraId="6D81C3C4" w14:textId="77777777" w:rsidR="00F07060" w:rsidRPr="00F07060" w:rsidRDefault="00F07060" w:rsidP="00B647EA">
            <w:pPr>
              <w:rPr>
                <w:b/>
                <w:bCs/>
                <w:color w:val="000000"/>
                <w:sz w:val="16"/>
                <w:szCs w:val="16"/>
              </w:rPr>
            </w:pPr>
            <w:r w:rsidRPr="00F07060">
              <w:rPr>
                <w:b/>
                <w:bCs/>
                <w:color w:val="000000"/>
                <w:sz w:val="16"/>
                <w:szCs w:val="16"/>
              </w:rPr>
              <w:t>Favors the intervention</w:t>
            </w:r>
          </w:p>
        </w:tc>
        <w:tc>
          <w:tcPr>
            <w:tcW w:w="1201"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6402F70" w14:textId="77777777" w:rsidR="00F07060" w:rsidRPr="00F07060" w:rsidRDefault="00F07060" w:rsidP="00B647EA">
            <w:pPr>
              <w:rPr>
                <w:b/>
                <w:bCs/>
                <w:color w:val="000000"/>
                <w:sz w:val="16"/>
                <w:szCs w:val="16"/>
              </w:rPr>
            </w:pPr>
            <w:r w:rsidRPr="00F07060">
              <w:rPr>
                <w:b/>
                <w:bCs/>
                <w:color w:val="000000"/>
                <w:sz w:val="16"/>
                <w:szCs w:val="16"/>
              </w:rPr>
              <w:t>Varies</w:t>
            </w:r>
          </w:p>
        </w:tc>
        <w:tc>
          <w:tcPr>
            <w:tcW w:w="1559"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768B1A2" w14:textId="77777777" w:rsidR="00F07060" w:rsidRPr="00F07060" w:rsidRDefault="00F07060" w:rsidP="00B647EA">
            <w:pPr>
              <w:rPr>
                <w:b/>
                <w:bCs/>
                <w:color w:val="000000"/>
                <w:sz w:val="16"/>
                <w:szCs w:val="16"/>
              </w:rPr>
            </w:pPr>
            <w:r w:rsidRPr="00F07060">
              <w:rPr>
                <w:b/>
                <w:bCs/>
                <w:color w:val="000000"/>
                <w:sz w:val="16"/>
                <w:szCs w:val="16"/>
              </w:rPr>
              <w:t>Don't know</w:t>
            </w:r>
          </w:p>
        </w:tc>
      </w:tr>
      <w:tr w:rsidR="00F07060" w:rsidRPr="00F07060" w14:paraId="1D9ED00A" w14:textId="77777777" w:rsidTr="00805F7C">
        <w:trPr>
          <w:trHeight w:val="19"/>
        </w:trPr>
        <w:tc>
          <w:tcPr>
            <w:tcW w:w="1655"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217B3C8F" w14:textId="77777777" w:rsidR="00F07060" w:rsidRPr="00F07060" w:rsidRDefault="00F07060" w:rsidP="00B647EA">
            <w:pPr>
              <w:rPr>
                <w:b/>
                <w:bCs/>
                <w:color w:val="000000"/>
                <w:sz w:val="16"/>
                <w:szCs w:val="16"/>
              </w:rPr>
            </w:pPr>
            <w:r w:rsidRPr="00F07060">
              <w:rPr>
                <w:b/>
                <w:bCs/>
                <w:color w:val="000000"/>
                <w:sz w:val="16"/>
                <w:szCs w:val="16"/>
              </w:rPr>
              <w:t>Resources required</w:t>
            </w:r>
          </w:p>
        </w:tc>
        <w:tc>
          <w:tcPr>
            <w:tcW w:w="948"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FCEF4B2" w14:textId="77777777" w:rsidR="00F07060" w:rsidRPr="00F07060" w:rsidRDefault="00F07060" w:rsidP="00B647EA">
            <w:pPr>
              <w:rPr>
                <w:b/>
                <w:bCs/>
                <w:color w:val="000000"/>
                <w:sz w:val="16"/>
                <w:szCs w:val="16"/>
              </w:rPr>
            </w:pPr>
            <w:r w:rsidRPr="00F07060">
              <w:rPr>
                <w:b/>
                <w:bCs/>
                <w:color w:val="000000"/>
                <w:sz w:val="16"/>
                <w:szCs w:val="16"/>
              </w:rPr>
              <w:t>Large costs</w:t>
            </w:r>
          </w:p>
        </w:tc>
        <w:tc>
          <w:tcPr>
            <w:tcW w:w="1835"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18E13BA" w14:textId="77777777" w:rsidR="00F07060" w:rsidRPr="00F07060" w:rsidRDefault="00F07060" w:rsidP="00B647EA">
            <w:pPr>
              <w:rPr>
                <w:b/>
                <w:bCs/>
                <w:color w:val="000000"/>
                <w:sz w:val="16"/>
                <w:szCs w:val="16"/>
              </w:rPr>
            </w:pPr>
            <w:r w:rsidRPr="00F07060">
              <w:rPr>
                <w:b/>
                <w:bCs/>
                <w:color w:val="000000"/>
                <w:sz w:val="16"/>
                <w:szCs w:val="16"/>
              </w:rPr>
              <w:t>Moderate costs</w:t>
            </w:r>
          </w:p>
        </w:tc>
        <w:tc>
          <w:tcPr>
            <w:tcW w:w="1795"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2978FDA" w14:textId="77777777" w:rsidR="00F07060" w:rsidRPr="00F07060" w:rsidRDefault="00F07060" w:rsidP="00B647EA">
            <w:pPr>
              <w:rPr>
                <w:b/>
                <w:bCs/>
                <w:color w:val="000000"/>
                <w:sz w:val="16"/>
                <w:szCs w:val="16"/>
              </w:rPr>
            </w:pPr>
            <w:r w:rsidRPr="00F07060">
              <w:rPr>
                <w:b/>
                <w:bCs/>
                <w:color w:val="000000"/>
                <w:sz w:val="16"/>
                <w:szCs w:val="16"/>
              </w:rPr>
              <w:t>Negligible costs and savings</w:t>
            </w:r>
          </w:p>
        </w:tc>
        <w:tc>
          <w:tcPr>
            <w:tcW w:w="1527"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B766A65" w14:textId="77777777" w:rsidR="00F07060" w:rsidRPr="00F07060" w:rsidRDefault="00F07060" w:rsidP="00B647EA">
            <w:pPr>
              <w:rPr>
                <w:b/>
                <w:bCs/>
                <w:color w:val="000000"/>
                <w:sz w:val="16"/>
                <w:szCs w:val="16"/>
              </w:rPr>
            </w:pPr>
            <w:r w:rsidRPr="00F07060">
              <w:rPr>
                <w:b/>
                <w:bCs/>
                <w:color w:val="000000"/>
                <w:sz w:val="16"/>
                <w:szCs w:val="16"/>
              </w:rPr>
              <w:t>Moderate savings</w:t>
            </w:r>
          </w:p>
        </w:tc>
        <w:tc>
          <w:tcPr>
            <w:tcW w:w="1661"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8DC9A7A" w14:textId="77777777" w:rsidR="00F07060" w:rsidRPr="00F07060" w:rsidRDefault="00F07060" w:rsidP="00B647EA">
            <w:pPr>
              <w:rPr>
                <w:b/>
                <w:bCs/>
                <w:color w:val="000000"/>
                <w:sz w:val="16"/>
                <w:szCs w:val="16"/>
              </w:rPr>
            </w:pPr>
            <w:r w:rsidRPr="00F07060">
              <w:rPr>
                <w:b/>
                <w:bCs/>
                <w:color w:val="000000"/>
                <w:sz w:val="16"/>
                <w:szCs w:val="16"/>
              </w:rPr>
              <w:t>Large savings</w:t>
            </w:r>
          </w:p>
        </w:tc>
        <w:tc>
          <w:tcPr>
            <w:tcW w:w="1201"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721F28D6" w14:textId="77777777" w:rsidR="00F07060" w:rsidRPr="00F07060" w:rsidRDefault="00F07060" w:rsidP="00B647EA">
            <w:pPr>
              <w:rPr>
                <w:b/>
                <w:bCs/>
                <w:color w:val="000000"/>
                <w:sz w:val="16"/>
                <w:szCs w:val="16"/>
              </w:rPr>
            </w:pPr>
            <w:r w:rsidRPr="00F07060">
              <w:rPr>
                <w:b/>
                <w:bCs/>
                <w:color w:val="000000"/>
                <w:sz w:val="16"/>
                <w:szCs w:val="16"/>
              </w:rPr>
              <w:t>Varies</w:t>
            </w:r>
          </w:p>
        </w:tc>
        <w:tc>
          <w:tcPr>
            <w:tcW w:w="1559"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06E96E0" w14:textId="77777777" w:rsidR="00F07060" w:rsidRPr="00F07060" w:rsidRDefault="00F07060" w:rsidP="00B647EA">
            <w:pPr>
              <w:rPr>
                <w:b/>
                <w:bCs/>
                <w:color w:val="000000"/>
                <w:sz w:val="16"/>
                <w:szCs w:val="16"/>
              </w:rPr>
            </w:pPr>
            <w:r w:rsidRPr="00F07060">
              <w:rPr>
                <w:b/>
                <w:bCs/>
                <w:color w:val="000000"/>
                <w:sz w:val="16"/>
                <w:szCs w:val="16"/>
              </w:rPr>
              <w:t>Don't know</w:t>
            </w:r>
          </w:p>
        </w:tc>
      </w:tr>
      <w:tr w:rsidR="00F07060" w:rsidRPr="00F07060" w14:paraId="1AB08D27" w14:textId="77777777" w:rsidTr="00805F7C">
        <w:trPr>
          <w:trHeight w:val="19"/>
        </w:trPr>
        <w:tc>
          <w:tcPr>
            <w:tcW w:w="1655"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709FE01A" w14:textId="77777777" w:rsidR="00F07060" w:rsidRPr="00F07060" w:rsidRDefault="00F07060" w:rsidP="00B647EA">
            <w:pPr>
              <w:rPr>
                <w:b/>
                <w:bCs/>
                <w:color w:val="000000"/>
                <w:sz w:val="16"/>
                <w:szCs w:val="16"/>
              </w:rPr>
            </w:pPr>
            <w:r w:rsidRPr="00F07060">
              <w:rPr>
                <w:b/>
                <w:bCs/>
                <w:color w:val="000000"/>
                <w:sz w:val="16"/>
                <w:szCs w:val="16"/>
              </w:rPr>
              <w:t>Certainty of evidence of required resources</w:t>
            </w:r>
          </w:p>
        </w:tc>
        <w:tc>
          <w:tcPr>
            <w:tcW w:w="948"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06548CB" w14:textId="77777777" w:rsidR="00F07060" w:rsidRPr="00F07060" w:rsidRDefault="00F07060" w:rsidP="00B647EA">
            <w:pPr>
              <w:rPr>
                <w:b/>
                <w:bCs/>
                <w:color w:val="000000"/>
                <w:sz w:val="16"/>
                <w:szCs w:val="16"/>
              </w:rPr>
            </w:pPr>
            <w:r w:rsidRPr="00F07060">
              <w:rPr>
                <w:b/>
                <w:bCs/>
                <w:color w:val="000000"/>
                <w:sz w:val="16"/>
                <w:szCs w:val="16"/>
              </w:rPr>
              <w:t>Very low</w:t>
            </w:r>
          </w:p>
        </w:tc>
        <w:tc>
          <w:tcPr>
            <w:tcW w:w="183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8A67DA0" w14:textId="77777777" w:rsidR="00F07060" w:rsidRPr="00F07060" w:rsidRDefault="00F07060" w:rsidP="00B647EA">
            <w:pPr>
              <w:rPr>
                <w:b/>
                <w:bCs/>
                <w:color w:val="000000"/>
                <w:sz w:val="16"/>
                <w:szCs w:val="16"/>
              </w:rPr>
            </w:pPr>
            <w:r w:rsidRPr="00F07060">
              <w:rPr>
                <w:b/>
                <w:bCs/>
                <w:color w:val="000000"/>
                <w:sz w:val="16"/>
                <w:szCs w:val="16"/>
              </w:rPr>
              <w:t>Low</w:t>
            </w:r>
          </w:p>
        </w:tc>
        <w:tc>
          <w:tcPr>
            <w:tcW w:w="179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62E097C" w14:textId="77777777" w:rsidR="00F07060" w:rsidRPr="00F07060" w:rsidRDefault="00F07060" w:rsidP="00B647EA">
            <w:pPr>
              <w:rPr>
                <w:b/>
                <w:bCs/>
                <w:color w:val="000000"/>
                <w:sz w:val="16"/>
                <w:szCs w:val="16"/>
              </w:rPr>
            </w:pPr>
            <w:r w:rsidRPr="00F07060">
              <w:rPr>
                <w:b/>
                <w:bCs/>
                <w:color w:val="000000"/>
                <w:sz w:val="16"/>
                <w:szCs w:val="16"/>
              </w:rPr>
              <w:t>Moderate</w:t>
            </w:r>
          </w:p>
        </w:tc>
        <w:tc>
          <w:tcPr>
            <w:tcW w:w="1527"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F2EDA3F" w14:textId="77777777" w:rsidR="00F07060" w:rsidRPr="00F07060" w:rsidRDefault="00F07060" w:rsidP="00B647EA">
            <w:pPr>
              <w:rPr>
                <w:b/>
                <w:bCs/>
                <w:color w:val="000000"/>
                <w:sz w:val="16"/>
                <w:szCs w:val="16"/>
              </w:rPr>
            </w:pPr>
            <w:r w:rsidRPr="00F07060">
              <w:rPr>
                <w:b/>
                <w:bCs/>
                <w:color w:val="000000"/>
                <w:sz w:val="16"/>
                <w:szCs w:val="16"/>
              </w:rPr>
              <w:t>High</w:t>
            </w:r>
          </w:p>
        </w:tc>
        <w:tc>
          <w:tcPr>
            <w:tcW w:w="1661"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3779B00" w14:textId="77777777" w:rsidR="00F07060" w:rsidRPr="00F07060" w:rsidRDefault="00F07060" w:rsidP="00B647EA">
            <w:pPr>
              <w:rPr>
                <w:b/>
                <w:bCs/>
                <w:color w:val="000000"/>
                <w:sz w:val="16"/>
                <w:szCs w:val="16"/>
              </w:rPr>
            </w:pPr>
          </w:p>
        </w:tc>
        <w:tc>
          <w:tcPr>
            <w:tcW w:w="1201"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E8208FF" w14:textId="77777777" w:rsidR="00F07060" w:rsidRPr="00F07060" w:rsidRDefault="00F07060" w:rsidP="00B647EA">
            <w:pPr>
              <w:rPr>
                <w:b/>
                <w:bCs/>
                <w:color w:val="000000"/>
                <w:sz w:val="16"/>
                <w:szCs w:val="16"/>
              </w:rPr>
            </w:pPr>
          </w:p>
        </w:tc>
        <w:tc>
          <w:tcPr>
            <w:tcW w:w="1559"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1D9FE8BE" w14:textId="4C3578CB" w:rsidR="00F07060" w:rsidRPr="00F07060" w:rsidRDefault="00F07060" w:rsidP="00B647EA">
            <w:pPr>
              <w:rPr>
                <w:b/>
                <w:bCs/>
                <w:color w:val="000000"/>
                <w:sz w:val="16"/>
                <w:szCs w:val="16"/>
              </w:rPr>
            </w:pPr>
            <w:r w:rsidRPr="00F07060">
              <w:rPr>
                <w:b/>
                <w:bCs/>
                <w:color w:val="000000"/>
                <w:sz w:val="16"/>
                <w:szCs w:val="16"/>
              </w:rPr>
              <w:t xml:space="preserve">No </w:t>
            </w:r>
            <w:r w:rsidR="00114022" w:rsidRPr="00F07060">
              <w:rPr>
                <w:b/>
                <w:bCs/>
                <w:color w:val="000000"/>
                <w:sz w:val="16"/>
                <w:szCs w:val="16"/>
              </w:rPr>
              <w:t xml:space="preserve">studies </w:t>
            </w:r>
            <w:r w:rsidRPr="00F07060">
              <w:rPr>
                <w:b/>
                <w:bCs/>
                <w:color w:val="000000"/>
                <w:sz w:val="16"/>
                <w:szCs w:val="16"/>
              </w:rPr>
              <w:t xml:space="preserve">included </w:t>
            </w:r>
          </w:p>
        </w:tc>
      </w:tr>
      <w:tr w:rsidR="00F07060" w:rsidRPr="00F07060" w14:paraId="4BB0133B" w14:textId="77777777" w:rsidTr="00805F7C">
        <w:trPr>
          <w:trHeight w:val="199"/>
        </w:trPr>
        <w:tc>
          <w:tcPr>
            <w:tcW w:w="1655"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0223D9A1" w14:textId="77777777" w:rsidR="00F07060" w:rsidRPr="00F07060" w:rsidRDefault="00F07060" w:rsidP="00B647EA">
            <w:pPr>
              <w:rPr>
                <w:b/>
                <w:bCs/>
                <w:color w:val="000000"/>
                <w:sz w:val="16"/>
                <w:szCs w:val="16"/>
              </w:rPr>
            </w:pPr>
            <w:r w:rsidRPr="00F07060">
              <w:rPr>
                <w:b/>
                <w:bCs/>
                <w:color w:val="000000"/>
                <w:sz w:val="16"/>
                <w:szCs w:val="16"/>
              </w:rPr>
              <w:t>Cost effectiveness</w:t>
            </w:r>
          </w:p>
        </w:tc>
        <w:tc>
          <w:tcPr>
            <w:tcW w:w="948"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4609B67" w14:textId="77777777" w:rsidR="00F07060" w:rsidRPr="00F07060" w:rsidRDefault="00F07060" w:rsidP="00B647EA">
            <w:pPr>
              <w:rPr>
                <w:b/>
                <w:bCs/>
                <w:color w:val="000000"/>
                <w:sz w:val="16"/>
                <w:szCs w:val="16"/>
              </w:rPr>
            </w:pPr>
            <w:r w:rsidRPr="00F07060">
              <w:rPr>
                <w:b/>
                <w:bCs/>
                <w:color w:val="000000"/>
                <w:sz w:val="16"/>
                <w:szCs w:val="16"/>
              </w:rPr>
              <w:t>Favors the comparison</w:t>
            </w:r>
          </w:p>
        </w:tc>
        <w:tc>
          <w:tcPr>
            <w:tcW w:w="1835"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93694CF" w14:textId="77777777" w:rsidR="00F07060" w:rsidRPr="00F07060" w:rsidRDefault="00F07060" w:rsidP="00B647EA">
            <w:pPr>
              <w:rPr>
                <w:b/>
                <w:bCs/>
                <w:color w:val="000000"/>
                <w:sz w:val="16"/>
                <w:szCs w:val="16"/>
              </w:rPr>
            </w:pPr>
            <w:r w:rsidRPr="00F07060">
              <w:rPr>
                <w:b/>
                <w:bCs/>
                <w:color w:val="000000"/>
                <w:sz w:val="16"/>
                <w:szCs w:val="16"/>
              </w:rPr>
              <w:t>Probably favors the comparison</w:t>
            </w:r>
          </w:p>
        </w:tc>
        <w:tc>
          <w:tcPr>
            <w:tcW w:w="1795"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DF7CA9A" w14:textId="77777777" w:rsidR="00F07060" w:rsidRPr="00F07060" w:rsidRDefault="00F07060" w:rsidP="00B647EA">
            <w:pPr>
              <w:rPr>
                <w:b/>
                <w:bCs/>
                <w:color w:val="000000"/>
                <w:sz w:val="16"/>
                <w:szCs w:val="16"/>
              </w:rPr>
            </w:pPr>
            <w:r w:rsidRPr="00F07060">
              <w:rPr>
                <w:b/>
                <w:bCs/>
                <w:color w:val="000000"/>
                <w:sz w:val="16"/>
                <w:szCs w:val="16"/>
              </w:rPr>
              <w:t>Does not favor either the intervention or the comparison</w:t>
            </w:r>
          </w:p>
        </w:tc>
        <w:tc>
          <w:tcPr>
            <w:tcW w:w="1527" w:type="dxa"/>
            <w:tcBorders>
              <w:top w:val="single" w:sz="8" w:space="0" w:color="FFFFFF"/>
              <w:left w:val="single" w:sz="8" w:space="0" w:color="FFFFFF"/>
              <w:bottom w:val="single" w:sz="8" w:space="0" w:color="FFFFFF"/>
              <w:right w:val="single" w:sz="8" w:space="0" w:color="FFFFFF"/>
            </w:tcBorders>
            <w:shd w:val="clear" w:color="auto" w:fill="D6DCE5"/>
            <w:tcMar>
              <w:top w:w="74" w:type="dxa"/>
              <w:left w:w="74" w:type="dxa"/>
              <w:bottom w:w="74" w:type="dxa"/>
              <w:right w:w="74" w:type="dxa"/>
            </w:tcMar>
            <w:vAlign w:val="center"/>
            <w:hideMark/>
          </w:tcPr>
          <w:p w14:paraId="66244418" w14:textId="77777777" w:rsidR="00F07060" w:rsidRPr="00F07060" w:rsidRDefault="00F07060" w:rsidP="00B647EA">
            <w:pPr>
              <w:rPr>
                <w:b/>
                <w:bCs/>
                <w:color w:val="000000"/>
                <w:sz w:val="16"/>
                <w:szCs w:val="16"/>
              </w:rPr>
            </w:pPr>
            <w:r w:rsidRPr="00F07060">
              <w:rPr>
                <w:b/>
                <w:bCs/>
                <w:color w:val="000000"/>
                <w:sz w:val="16"/>
                <w:szCs w:val="16"/>
              </w:rPr>
              <w:t>Probably favors the intervention</w:t>
            </w:r>
          </w:p>
        </w:tc>
        <w:tc>
          <w:tcPr>
            <w:tcW w:w="1661"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85537DE" w14:textId="77777777" w:rsidR="00F07060" w:rsidRPr="00F07060" w:rsidRDefault="00F07060" w:rsidP="00B647EA">
            <w:pPr>
              <w:rPr>
                <w:b/>
                <w:bCs/>
                <w:color w:val="000000"/>
                <w:sz w:val="16"/>
                <w:szCs w:val="16"/>
              </w:rPr>
            </w:pPr>
            <w:r w:rsidRPr="00F07060">
              <w:rPr>
                <w:b/>
                <w:bCs/>
                <w:color w:val="000000"/>
                <w:sz w:val="16"/>
                <w:szCs w:val="16"/>
              </w:rPr>
              <w:t>Favors the intervention</w:t>
            </w:r>
          </w:p>
        </w:tc>
        <w:tc>
          <w:tcPr>
            <w:tcW w:w="1201"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84D0FC0" w14:textId="77777777" w:rsidR="00F07060" w:rsidRPr="00F07060" w:rsidRDefault="00F07060" w:rsidP="00B647EA">
            <w:pPr>
              <w:rPr>
                <w:b/>
                <w:bCs/>
                <w:color w:val="000000"/>
                <w:sz w:val="16"/>
                <w:szCs w:val="16"/>
              </w:rPr>
            </w:pPr>
            <w:r w:rsidRPr="00F07060">
              <w:rPr>
                <w:b/>
                <w:bCs/>
                <w:color w:val="000000"/>
                <w:sz w:val="16"/>
                <w:szCs w:val="16"/>
              </w:rPr>
              <w:t>Varies</w:t>
            </w:r>
          </w:p>
        </w:tc>
        <w:tc>
          <w:tcPr>
            <w:tcW w:w="1559"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5F61F2E5" w14:textId="77777777" w:rsidR="00F07060" w:rsidRPr="00F07060" w:rsidRDefault="00F07060" w:rsidP="00B647EA">
            <w:pPr>
              <w:rPr>
                <w:b/>
                <w:bCs/>
                <w:color w:val="000000"/>
                <w:sz w:val="16"/>
                <w:szCs w:val="16"/>
              </w:rPr>
            </w:pPr>
            <w:r w:rsidRPr="00F07060">
              <w:rPr>
                <w:b/>
                <w:bCs/>
                <w:color w:val="000000"/>
                <w:sz w:val="16"/>
                <w:szCs w:val="16"/>
              </w:rPr>
              <w:t>No included studies</w:t>
            </w:r>
          </w:p>
        </w:tc>
      </w:tr>
      <w:tr w:rsidR="00F07060" w:rsidRPr="00F07060" w14:paraId="48522E2C" w14:textId="77777777" w:rsidTr="00805F7C">
        <w:trPr>
          <w:trHeight w:val="441"/>
        </w:trPr>
        <w:tc>
          <w:tcPr>
            <w:tcW w:w="1655"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3CDEA8AF" w14:textId="77777777" w:rsidR="00F07060" w:rsidRPr="00F07060" w:rsidRDefault="00F07060" w:rsidP="00B647EA">
            <w:pPr>
              <w:rPr>
                <w:b/>
                <w:bCs/>
                <w:color w:val="000000"/>
                <w:sz w:val="16"/>
                <w:szCs w:val="16"/>
              </w:rPr>
            </w:pPr>
            <w:r w:rsidRPr="00F07060">
              <w:rPr>
                <w:b/>
                <w:bCs/>
                <w:color w:val="000000"/>
                <w:sz w:val="16"/>
                <w:szCs w:val="16"/>
              </w:rPr>
              <w:t>Equity</w:t>
            </w:r>
          </w:p>
        </w:tc>
        <w:tc>
          <w:tcPr>
            <w:tcW w:w="948"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4FA0AC7" w14:textId="77777777" w:rsidR="00F07060" w:rsidRPr="00F07060" w:rsidRDefault="00F07060" w:rsidP="00B647EA">
            <w:pPr>
              <w:rPr>
                <w:b/>
                <w:bCs/>
                <w:color w:val="000000"/>
                <w:sz w:val="16"/>
                <w:szCs w:val="16"/>
              </w:rPr>
            </w:pPr>
            <w:r w:rsidRPr="00F07060">
              <w:rPr>
                <w:b/>
                <w:bCs/>
                <w:color w:val="000000"/>
                <w:sz w:val="16"/>
                <w:szCs w:val="16"/>
              </w:rPr>
              <w:t>Reduced</w:t>
            </w:r>
          </w:p>
        </w:tc>
        <w:tc>
          <w:tcPr>
            <w:tcW w:w="183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77C5FE4" w14:textId="77777777" w:rsidR="00F07060" w:rsidRPr="00F07060" w:rsidRDefault="00F07060" w:rsidP="00B647EA">
            <w:pPr>
              <w:rPr>
                <w:b/>
                <w:bCs/>
                <w:color w:val="000000"/>
                <w:sz w:val="16"/>
                <w:szCs w:val="16"/>
              </w:rPr>
            </w:pPr>
            <w:r w:rsidRPr="00F07060">
              <w:rPr>
                <w:b/>
                <w:bCs/>
                <w:color w:val="000000"/>
                <w:sz w:val="16"/>
                <w:szCs w:val="16"/>
              </w:rPr>
              <w:t>Probably reduced</w:t>
            </w:r>
          </w:p>
        </w:tc>
        <w:tc>
          <w:tcPr>
            <w:tcW w:w="179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9778160" w14:textId="77777777" w:rsidR="00F07060" w:rsidRPr="00F07060" w:rsidRDefault="00F07060" w:rsidP="00B647EA">
            <w:pPr>
              <w:rPr>
                <w:b/>
                <w:bCs/>
                <w:color w:val="000000"/>
                <w:sz w:val="16"/>
                <w:szCs w:val="16"/>
              </w:rPr>
            </w:pPr>
            <w:r w:rsidRPr="00F07060">
              <w:rPr>
                <w:b/>
                <w:bCs/>
                <w:color w:val="000000"/>
                <w:sz w:val="16"/>
                <w:szCs w:val="16"/>
              </w:rPr>
              <w:t>Probably no impact</w:t>
            </w:r>
          </w:p>
        </w:tc>
        <w:tc>
          <w:tcPr>
            <w:tcW w:w="1527"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8AB07A8" w14:textId="77777777" w:rsidR="00F07060" w:rsidRPr="00F07060" w:rsidRDefault="00F07060" w:rsidP="00B647EA">
            <w:pPr>
              <w:rPr>
                <w:b/>
                <w:bCs/>
                <w:color w:val="000000"/>
                <w:sz w:val="16"/>
                <w:szCs w:val="16"/>
              </w:rPr>
            </w:pPr>
            <w:r w:rsidRPr="00F07060">
              <w:rPr>
                <w:b/>
                <w:bCs/>
                <w:color w:val="000000"/>
                <w:sz w:val="16"/>
                <w:szCs w:val="16"/>
              </w:rPr>
              <w:t>Probably increased</w:t>
            </w:r>
          </w:p>
        </w:tc>
        <w:tc>
          <w:tcPr>
            <w:tcW w:w="1661"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4519251" w14:textId="77777777" w:rsidR="00F07060" w:rsidRPr="00F07060" w:rsidRDefault="00F07060" w:rsidP="00B647EA">
            <w:pPr>
              <w:rPr>
                <w:b/>
                <w:bCs/>
                <w:color w:val="000000"/>
                <w:sz w:val="16"/>
                <w:szCs w:val="16"/>
              </w:rPr>
            </w:pPr>
            <w:r w:rsidRPr="00F07060">
              <w:rPr>
                <w:b/>
                <w:bCs/>
                <w:color w:val="000000"/>
                <w:sz w:val="16"/>
                <w:szCs w:val="16"/>
              </w:rPr>
              <w:t>Increased</w:t>
            </w:r>
          </w:p>
        </w:tc>
        <w:tc>
          <w:tcPr>
            <w:tcW w:w="1201"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86728E9" w14:textId="77777777" w:rsidR="00F07060" w:rsidRPr="00F07060" w:rsidRDefault="00F07060" w:rsidP="00B647EA">
            <w:pPr>
              <w:rPr>
                <w:b/>
                <w:bCs/>
                <w:color w:val="000000"/>
                <w:sz w:val="16"/>
                <w:szCs w:val="16"/>
              </w:rPr>
            </w:pPr>
            <w:r w:rsidRPr="00F07060">
              <w:rPr>
                <w:b/>
                <w:bCs/>
                <w:color w:val="000000"/>
                <w:sz w:val="16"/>
                <w:szCs w:val="16"/>
              </w:rPr>
              <w:t>Varies</w:t>
            </w:r>
          </w:p>
        </w:tc>
        <w:tc>
          <w:tcPr>
            <w:tcW w:w="1559"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1899334F" w14:textId="77777777" w:rsidR="00F07060" w:rsidRPr="00F07060" w:rsidRDefault="00F07060" w:rsidP="00B647EA">
            <w:pPr>
              <w:rPr>
                <w:b/>
                <w:bCs/>
                <w:color w:val="000000"/>
                <w:sz w:val="16"/>
                <w:szCs w:val="16"/>
              </w:rPr>
            </w:pPr>
            <w:r w:rsidRPr="00F07060">
              <w:rPr>
                <w:b/>
                <w:bCs/>
                <w:color w:val="000000"/>
                <w:sz w:val="16"/>
                <w:szCs w:val="16"/>
              </w:rPr>
              <w:t>Don't know</w:t>
            </w:r>
          </w:p>
        </w:tc>
      </w:tr>
      <w:tr w:rsidR="00F07060" w:rsidRPr="00F07060" w14:paraId="11588BA3" w14:textId="77777777" w:rsidTr="00805F7C">
        <w:trPr>
          <w:trHeight w:val="19"/>
        </w:trPr>
        <w:tc>
          <w:tcPr>
            <w:tcW w:w="1655"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13C22AF9" w14:textId="77777777" w:rsidR="00F07060" w:rsidRPr="00F07060" w:rsidRDefault="00F07060" w:rsidP="00B647EA">
            <w:pPr>
              <w:rPr>
                <w:b/>
                <w:bCs/>
                <w:color w:val="000000"/>
                <w:sz w:val="16"/>
                <w:szCs w:val="16"/>
              </w:rPr>
            </w:pPr>
            <w:r w:rsidRPr="00F07060">
              <w:rPr>
                <w:b/>
                <w:bCs/>
                <w:color w:val="000000"/>
                <w:sz w:val="16"/>
                <w:szCs w:val="16"/>
              </w:rPr>
              <w:t>Acceptability</w:t>
            </w:r>
          </w:p>
        </w:tc>
        <w:tc>
          <w:tcPr>
            <w:tcW w:w="948"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AF755E5" w14:textId="77777777" w:rsidR="00F07060" w:rsidRPr="00F07060" w:rsidRDefault="00F07060" w:rsidP="00B647EA">
            <w:pPr>
              <w:rPr>
                <w:b/>
                <w:bCs/>
                <w:color w:val="000000"/>
                <w:sz w:val="16"/>
                <w:szCs w:val="16"/>
              </w:rPr>
            </w:pPr>
            <w:r w:rsidRPr="00F07060">
              <w:rPr>
                <w:b/>
                <w:bCs/>
                <w:color w:val="000000"/>
                <w:sz w:val="16"/>
                <w:szCs w:val="16"/>
              </w:rPr>
              <w:t>No</w:t>
            </w:r>
          </w:p>
        </w:tc>
        <w:tc>
          <w:tcPr>
            <w:tcW w:w="1835"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DA6F7F4" w14:textId="77777777" w:rsidR="00F07060" w:rsidRPr="00F07060" w:rsidRDefault="00F07060" w:rsidP="00B647EA">
            <w:pPr>
              <w:rPr>
                <w:b/>
                <w:bCs/>
                <w:color w:val="000000"/>
                <w:sz w:val="16"/>
                <w:szCs w:val="16"/>
              </w:rPr>
            </w:pPr>
            <w:r w:rsidRPr="00F07060">
              <w:rPr>
                <w:b/>
                <w:bCs/>
                <w:color w:val="000000"/>
                <w:sz w:val="16"/>
                <w:szCs w:val="16"/>
              </w:rPr>
              <w:t>Probably no</w:t>
            </w:r>
          </w:p>
        </w:tc>
        <w:tc>
          <w:tcPr>
            <w:tcW w:w="1795"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2983033D" w14:textId="77777777" w:rsidR="00F07060" w:rsidRPr="00F07060" w:rsidRDefault="00F07060" w:rsidP="00B647EA">
            <w:pPr>
              <w:rPr>
                <w:b/>
                <w:bCs/>
                <w:color w:val="000000"/>
                <w:sz w:val="16"/>
                <w:szCs w:val="16"/>
              </w:rPr>
            </w:pPr>
            <w:r w:rsidRPr="00F07060">
              <w:rPr>
                <w:b/>
                <w:bCs/>
                <w:color w:val="000000"/>
                <w:sz w:val="16"/>
                <w:szCs w:val="16"/>
              </w:rPr>
              <w:t>Probably yes</w:t>
            </w:r>
          </w:p>
        </w:tc>
        <w:tc>
          <w:tcPr>
            <w:tcW w:w="1527"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2200C76" w14:textId="77777777" w:rsidR="00F07060" w:rsidRPr="00F07060" w:rsidRDefault="00F07060" w:rsidP="00B647EA">
            <w:pPr>
              <w:rPr>
                <w:b/>
                <w:bCs/>
                <w:color w:val="000000"/>
                <w:sz w:val="16"/>
                <w:szCs w:val="16"/>
              </w:rPr>
            </w:pPr>
            <w:r w:rsidRPr="00F07060">
              <w:rPr>
                <w:b/>
                <w:bCs/>
                <w:color w:val="000000"/>
                <w:sz w:val="16"/>
                <w:szCs w:val="16"/>
              </w:rPr>
              <w:t>Yes</w:t>
            </w:r>
          </w:p>
        </w:tc>
        <w:tc>
          <w:tcPr>
            <w:tcW w:w="1661"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28AC16A" w14:textId="77777777" w:rsidR="00F07060" w:rsidRPr="00F07060" w:rsidRDefault="00F07060" w:rsidP="00B647EA">
            <w:pPr>
              <w:rPr>
                <w:b/>
                <w:bCs/>
                <w:color w:val="000000"/>
                <w:sz w:val="16"/>
                <w:szCs w:val="16"/>
              </w:rPr>
            </w:pPr>
          </w:p>
        </w:tc>
        <w:tc>
          <w:tcPr>
            <w:tcW w:w="1201"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02AE256" w14:textId="77777777" w:rsidR="00F07060" w:rsidRPr="00F07060" w:rsidRDefault="00F07060" w:rsidP="00B647EA">
            <w:pPr>
              <w:rPr>
                <w:b/>
                <w:bCs/>
                <w:color w:val="000000"/>
                <w:sz w:val="16"/>
                <w:szCs w:val="16"/>
              </w:rPr>
            </w:pPr>
            <w:r w:rsidRPr="00F07060">
              <w:rPr>
                <w:b/>
                <w:bCs/>
                <w:color w:val="000000"/>
                <w:sz w:val="16"/>
                <w:szCs w:val="16"/>
              </w:rPr>
              <w:t>Varies</w:t>
            </w:r>
          </w:p>
        </w:tc>
        <w:tc>
          <w:tcPr>
            <w:tcW w:w="1559"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839ED7C" w14:textId="77777777" w:rsidR="00F07060" w:rsidRPr="00F07060" w:rsidRDefault="00F07060" w:rsidP="00B647EA">
            <w:pPr>
              <w:rPr>
                <w:b/>
                <w:bCs/>
                <w:color w:val="000000"/>
                <w:sz w:val="16"/>
                <w:szCs w:val="16"/>
              </w:rPr>
            </w:pPr>
            <w:r w:rsidRPr="00F07060">
              <w:rPr>
                <w:b/>
                <w:bCs/>
                <w:color w:val="000000"/>
                <w:sz w:val="16"/>
                <w:szCs w:val="16"/>
              </w:rPr>
              <w:t>Don't know</w:t>
            </w:r>
          </w:p>
        </w:tc>
      </w:tr>
      <w:tr w:rsidR="00F07060" w:rsidRPr="00F07060" w14:paraId="03F6664A" w14:textId="77777777" w:rsidTr="00805F7C">
        <w:trPr>
          <w:trHeight w:val="19"/>
        </w:trPr>
        <w:tc>
          <w:tcPr>
            <w:tcW w:w="1655"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0CF19AAD" w14:textId="77777777" w:rsidR="00F07060" w:rsidRPr="00F07060" w:rsidRDefault="00F07060" w:rsidP="00B647EA">
            <w:pPr>
              <w:rPr>
                <w:b/>
                <w:bCs/>
                <w:color w:val="000000"/>
                <w:sz w:val="16"/>
                <w:szCs w:val="16"/>
              </w:rPr>
            </w:pPr>
            <w:r w:rsidRPr="00F07060">
              <w:rPr>
                <w:b/>
                <w:bCs/>
                <w:color w:val="000000"/>
                <w:sz w:val="16"/>
                <w:szCs w:val="16"/>
              </w:rPr>
              <w:t>Feasibility</w:t>
            </w:r>
          </w:p>
        </w:tc>
        <w:tc>
          <w:tcPr>
            <w:tcW w:w="948"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BC783A4" w14:textId="77777777" w:rsidR="00F07060" w:rsidRPr="00F07060" w:rsidRDefault="00F07060" w:rsidP="00B647EA">
            <w:pPr>
              <w:rPr>
                <w:b/>
                <w:bCs/>
                <w:color w:val="000000"/>
                <w:sz w:val="16"/>
                <w:szCs w:val="16"/>
              </w:rPr>
            </w:pPr>
            <w:r w:rsidRPr="00F07060">
              <w:rPr>
                <w:b/>
                <w:bCs/>
                <w:color w:val="000000"/>
                <w:sz w:val="16"/>
                <w:szCs w:val="16"/>
              </w:rPr>
              <w:t>No</w:t>
            </w:r>
          </w:p>
        </w:tc>
        <w:tc>
          <w:tcPr>
            <w:tcW w:w="183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011E52D" w14:textId="77777777" w:rsidR="00F07060" w:rsidRPr="00F07060" w:rsidRDefault="00F07060" w:rsidP="00B647EA">
            <w:pPr>
              <w:rPr>
                <w:b/>
                <w:bCs/>
                <w:color w:val="000000"/>
                <w:sz w:val="16"/>
                <w:szCs w:val="16"/>
              </w:rPr>
            </w:pPr>
            <w:r w:rsidRPr="00F07060">
              <w:rPr>
                <w:b/>
                <w:bCs/>
                <w:color w:val="000000"/>
                <w:sz w:val="16"/>
                <w:szCs w:val="16"/>
              </w:rPr>
              <w:t>Probably no</w:t>
            </w:r>
          </w:p>
        </w:tc>
        <w:tc>
          <w:tcPr>
            <w:tcW w:w="1795"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6991A478" w14:textId="77777777" w:rsidR="00F07060" w:rsidRPr="00F07060" w:rsidRDefault="00F07060" w:rsidP="00B647EA">
            <w:pPr>
              <w:rPr>
                <w:b/>
                <w:bCs/>
                <w:color w:val="000000"/>
                <w:sz w:val="16"/>
                <w:szCs w:val="16"/>
              </w:rPr>
            </w:pPr>
            <w:r w:rsidRPr="00F07060">
              <w:rPr>
                <w:b/>
                <w:bCs/>
                <w:color w:val="000000"/>
                <w:sz w:val="16"/>
                <w:szCs w:val="16"/>
              </w:rPr>
              <w:t>Probably yes</w:t>
            </w:r>
          </w:p>
        </w:tc>
        <w:tc>
          <w:tcPr>
            <w:tcW w:w="1527"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35F877B" w14:textId="77777777" w:rsidR="00F07060" w:rsidRPr="00F07060" w:rsidRDefault="00F07060" w:rsidP="00B647EA">
            <w:pPr>
              <w:rPr>
                <w:b/>
                <w:bCs/>
                <w:color w:val="000000"/>
                <w:sz w:val="16"/>
                <w:szCs w:val="16"/>
              </w:rPr>
            </w:pPr>
            <w:r w:rsidRPr="00F07060">
              <w:rPr>
                <w:b/>
                <w:bCs/>
                <w:color w:val="000000"/>
                <w:sz w:val="16"/>
                <w:szCs w:val="16"/>
              </w:rPr>
              <w:t>Yes</w:t>
            </w:r>
          </w:p>
        </w:tc>
        <w:tc>
          <w:tcPr>
            <w:tcW w:w="1661"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2DD4523" w14:textId="77777777" w:rsidR="00F07060" w:rsidRPr="00F07060" w:rsidRDefault="00F07060" w:rsidP="00B647EA">
            <w:pPr>
              <w:rPr>
                <w:b/>
                <w:bCs/>
                <w:color w:val="000000"/>
                <w:sz w:val="16"/>
                <w:szCs w:val="16"/>
              </w:rPr>
            </w:pPr>
          </w:p>
        </w:tc>
        <w:tc>
          <w:tcPr>
            <w:tcW w:w="1201"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DB2262F" w14:textId="77777777" w:rsidR="00F07060" w:rsidRPr="00F07060" w:rsidRDefault="00F07060" w:rsidP="00B647EA">
            <w:pPr>
              <w:rPr>
                <w:b/>
                <w:bCs/>
                <w:color w:val="000000"/>
                <w:sz w:val="16"/>
                <w:szCs w:val="16"/>
              </w:rPr>
            </w:pPr>
            <w:r w:rsidRPr="00F07060">
              <w:rPr>
                <w:b/>
                <w:bCs/>
                <w:color w:val="000000"/>
                <w:sz w:val="16"/>
                <w:szCs w:val="16"/>
              </w:rPr>
              <w:t>Varies</w:t>
            </w:r>
          </w:p>
        </w:tc>
        <w:tc>
          <w:tcPr>
            <w:tcW w:w="1559"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66FA415" w14:textId="77777777" w:rsidR="00F07060" w:rsidRPr="00F07060" w:rsidRDefault="00F07060" w:rsidP="00B647EA">
            <w:pPr>
              <w:rPr>
                <w:b/>
                <w:bCs/>
                <w:color w:val="000000"/>
                <w:sz w:val="16"/>
                <w:szCs w:val="16"/>
              </w:rPr>
            </w:pPr>
            <w:r w:rsidRPr="00F07060">
              <w:rPr>
                <w:b/>
                <w:bCs/>
                <w:color w:val="000000"/>
                <w:sz w:val="16"/>
                <w:szCs w:val="16"/>
              </w:rPr>
              <w:t>Don't know</w:t>
            </w:r>
          </w:p>
        </w:tc>
      </w:tr>
    </w:tbl>
    <w:p w14:paraId="5855E0CF" w14:textId="77777777" w:rsidR="00F07060" w:rsidRDefault="00F07060">
      <w:pPr>
        <w:rPr>
          <w:b/>
          <w:bCs/>
          <w:color w:val="000000"/>
          <w:sz w:val="20"/>
          <w:szCs w:val="20"/>
          <w:lang w:val="en"/>
        </w:rPr>
      </w:pPr>
    </w:p>
    <w:p w14:paraId="1980A5B0" w14:textId="310C37F7" w:rsidR="00F07060" w:rsidRDefault="000E2A22">
      <w:pPr>
        <w:rPr>
          <w:b/>
          <w:bCs/>
          <w:color w:val="000000"/>
          <w:sz w:val="20"/>
          <w:szCs w:val="20"/>
          <w:lang w:val="en"/>
        </w:rPr>
      </w:pPr>
      <w:r>
        <w:rPr>
          <w:b/>
          <w:bCs/>
          <w:color w:val="000000"/>
          <w:sz w:val="20"/>
          <w:szCs w:val="20"/>
          <w:lang w:val="en"/>
        </w:rPr>
        <w:t xml:space="preserve">Table </w:t>
      </w:r>
      <w:r w:rsidR="00805F7C">
        <w:rPr>
          <w:b/>
          <w:bCs/>
          <w:color w:val="000000"/>
          <w:sz w:val="20"/>
          <w:szCs w:val="20"/>
          <w:lang w:val="en"/>
        </w:rPr>
        <w:t>S</w:t>
      </w:r>
      <w:r w:rsidR="002A55D2">
        <w:rPr>
          <w:b/>
          <w:bCs/>
          <w:color w:val="000000"/>
          <w:sz w:val="20"/>
          <w:szCs w:val="20"/>
          <w:lang w:val="en"/>
        </w:rPr>
        <w:t>8</w:t>
      </w:r>
      <w:r>
        <w:rPr>
          <w:b/>
          <w:bCs/>
          <w:color w:val="000000"/>
          <w:sz w:val="20"/>
          <w:szCs w:val="20"/>
          <w:lang w:val="en"/>
        </w:rPr>
        <w:t xml:space="preserve"> – benralizumab efficacy stratified</w:t>
      </w:r>
      <w:r w:rsidR="00E05821">
        <w:rPr>
          <w:b/>
          <w:bCs/>
          <w:color w:val="000000"/>
          <w:sz w:val="20"/>
          <w:szCs w:val="20"/>
          <w:lang w:val="en"/>
        </w:rPr>
        <w:t xml:space="preserve"> according to </w:t>
      </w:r>
      <w:r>
        <w:rPr>
          <w:b/>
          <w:bCs/>
          <w:color w:val="000000"/>
          <w:sz w:val="20"/>
          <w:szCs w:val="20"/>
          <w:lang w:val="en"/>
        </w:rPr>
        <w:t>blood eosinophils</w:t>
      </w:r>
    </w:p>
    <w:tbl>
      <w:tblPr>
        <w:tblW w:w="0" w:type="auto"/>
        <w:tblCellMar>
          <w:left w:w="0" w:type="dxa"/>
          <w:right w:w="0" w:type="dxa"/>
        </w:tblCellMar>
        <w:tblLook w:val="0420" w:firstRow="1" w:lastRow="0" w:firstColumn="0" w:lastColumn="0" w:noHBand="0" w:noVBand="1"/>
      </w:tblPr>
      <w:tblGrid>
        <w:gridCol w:w="1485"/>
        <w:gridCol w:w="3461"/>
        <w:gridCol w:w="2268"/>
        <w:gridCol w:w="2552"/>
        <w:gridCol w:w="1970"/>
      </w:tblGrid>
      <w:tr w:rsidR="000E2A22" w:rsidRPr="000E2A22" w14:paraId="4B759F8E" w14:textId="77777777" w:rsidTr="00E05821">
        <w:trPr>
          <w:trHeight w:val="57"/>
        </w:trPr>
        <w:tc>
          <w:tcPr>
            <w:tcW w:w="0" w:type="auto"/>
            <w:tcBorders>
              <w:top w:val="single" w:sz="18" w:space="0" w:color="000000"/>
              <w:left w:val="nil"/>
              <w:bottom w:val="single" w:sz="8" w:space="0" w:color="FFFFFF"/>
              <w:right w:val="single" w:sz="8" w:space="0" w:color="FFFFFF"/>
            </w:tcBorders>
            <w:shd w:val="clear" w:color="auto" w:fill="92D050"/>
            <w:tcMar>
              <w:top w:w="72" w:type="dxa"/>
              <w:left w:w="144" w:type="dxa"/>
              <w:bottom w:w="72" w:type="dxa"/>
              <w:right w:w="144" w:type="dxa"/>
            </w:tcMar>
            <w:vAlign w:val="center"/>
            <w:hideMark/>
          </w:tcPr>
          <w:p w14:paraId="1456C0D0" w14:textId="2F0BEFF7" w:rsidR="000E2A22" w:rsidRPr="00875189" w:rsidRDefault="000E2A22" w:rsidP="000E2A22">
            <w:pPr>
              <w:rPr>
                <w:b/>
                <w:bCs/>
                <w:color w:val="000000"/>
                <w:sz w:val="16"/>
                <w:szCs w:val="16"/>
              </w:rPr>
            </w:pPr>
            <w:r w:rsidRPr="00875189">
              <w:rPr>
                <w:b/>
                <w:bCs/>
                <w:color w:val="000000"/>
                <w:sz w:val="16"/>
                <w:szCs w:val="16"/>
                <w:lang w:val="es-ES"/>
              </w:rPr>
              <w:t>Blood eos</w:t>
            </w:r>
            <w:r w:rsidR="00E05821" w:rsidRPr="00875189">
              <w:rPr>
                <w:b/>
                <w:bCs/>
                <w:color w:val="000000"/>
                <w:sz w:val="16"/>
                <w:szCs w:val="16"/>
                <w:lang w:val="es-ES"/>
              </w:rPr>
              <w:t>inophils</w:t>
            </w:r>
            <w:r w:rsidRPr="00875189">
              <w:rPr>
                <w:b/>
                <w:bCs/>
                <w:color w:val="000000"/>
                <w:sz w:val="16"/>
                <w:szCs w:val="16"/>
                <w:lang w:val="es-ES"/>
              </w:rPr>
              <w:t xml:space="preserve"> </w:t>
            </w:r>
          </w:p>
        </w:tc>
        <w:tc>
          <w:tcPr>
            <w:tcW w:w="3461" w:type="dxa"/>
            <w:tcBorders>
              <w:top w:val="single" w:sz="18" w:space="0" w:color="000000"/>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vAlign w:val="center"/>
            <w:hideMark/>
          </w:tcPr>
          <w:p w14:paraId="44E0472C" w14:textId="1B67C0FF" w:rsidR="000E2A22" w:rsidRPr="00875189" w:rsidRDefault="000E2A22" w:rsidP="000E2A22">
            <w:pPr>
              <w:rPr>
                <w:b/>
                <w:bCs/>
                <w:color w:val="000000"/>
                <w:sz w:val="16"/>
                <w:szCs w:val="16"/>
              </w:rPr>
            </w:pPr>
            <w:r w:rsidRPr="00875189">
              <w:rPr>
                <w:b/>
                <w:bCs/>
                <w:color w:val="000000"/>
                <w:sz w:val="16"/>
                <w:szCs w:val="16"/>
                <w:lang w:val="es-ES"/>
              </w:rPr>
              <w:t xml:space="preserve">Exacerbations </w:t>
            </w:r>
            <w:r w:rsidR="00E05821" w:rsidRPr="00875189">
              <w:rPr>
                <w:b/>
                <w:bCs/>
                <w:color w:val="000000"/>
                <w:sz w:val="16"/>
                <w:szCs w:val="16"/>
                <w:lang w:val="es-ES"/>
              </w:rPr>
              <w:t>–</w:t>
            </w:r>
            <w:r w:rsidRPr="00875189">
              <w:rPr>
                <w:b/>
                <w:bCs/>
                <w:color w:val="000000"/>
                <w:sz w:val="16"/>
                <w:szCs w:val="16"/>
                <w:lang w:val="es-ES"/>
              </w:rPr>
              <w:t xml:space="preserve"> </w:t>
            </w:r>
            <w:r w:rsidR="00E05821" w:rsidRPr="00875189">
              <w:rPr>
                <w:b/>
                <w:bCs/>
                <w:color w:val="000000"/>
                <w:sz w:val="16"/>
                <w:szCs w:val="16"/>
                <w:lang w:val="es-ES"/>
              </w:rPr>
              <w:t>Incidence rate ratio</w:t>
            </w:r>
            <w:r w:rsidRPr="00875189">
              <w:rPr>
                <w:b/>
                <w:bCs/>
                <w:color w:val="000000"/>
                <w:sz w:val="16"/>
                <w:szCs w:val="16"/>
                <w:lang w:val="es-ES"/>
              </w:rPr>
              <w:t xml:space="preserve"> (95% CI)</w:t>
            </w:r>
          </w:p>
        </w:tc>
        <w:tc>
          <w:tcPr>
            <w:tcW w:w="2268" w:type="dxa"/>
            <w:tcBorders>
              <w:top w:val="single" w:sz="18" w:space="0" w:color="000000"/>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vAlign w:val="center"/>
            <w:hideMark/>
          </w:tcPr>
          <w:p w14:paraId="0D6176CC" w14:textId="665DFBEB" w:rsidR="0090666E" w:rsidRDefault="000E2A22" w:rsidP="000E2A22">
            <w:pPr>
              <w:rPr>
                <w:b/>
                <w:bCs/>
                <w:color w:val="000000"/>
                <w:sz w:val="16"/>
                <w:szCs w:val="16"/>
                <w:lang w:val="ca-ES"/>
              </w:rPr>
            </w:pPr>
            <w:r w:rsidRPr="00875189">
              <w:rPr>
                <w:b/>
                <w:bCs/>
                <w:color w:val="000000"/>
                <w:sz w:val="16"/>
                <w:szCs w:val="16"/>
                <w:lang w:val="ca-ES"/>
              </w:rPr>
              <w:t xml:space="preserve">FEV1 </w:t>
            </w:r>
            <w:r w:rsidR="00E05821" w:rsidRPr="00875189">
              <w:rPr>
                <w:b/>
                <w:bCs/>
                <w:color w:val="000000"/>
                <w:sz w:val="16"/>
                <w:szCs w:val="16"/>
                <w:lang w:val="ca-ES"/>
              </w:rPr>
              <w:t xml:space="preserve">increase </w:t>
            </w:r>
            <w:r w:rsidR="0090666E">
              <w:rPr>
                <w:b/>
                <w:bCs/>
                <w:color w:val="000000"/>
                <w:sz w:val="16"/>
                <w:szCs w:val="16"/>
                <w:lang w:val="ca-ES"/>
              </w:rPr>
              <w:t>–</w:t>
            </w:r>
            <w:r w:rsidR="00E05821" w:rsidRPr="00875189">
              <w:rPr>
                <w:b/>
                <w:bCs/>
                <w:color w:val="000000"/>
                <w:sz w:val="16"/>
                <w:szCs w:val="16"/>
                <w:lang w:val="ca-ES"/>
              </w:rPr>
              <w:t xml:space="preserve"> MD</w:t>
            </w:r>
          </w:p>
          <w:p w14:paraId="6B172991" w14:textId="2EF5238C" w:rsidR="000E2A22" w:rsidRPr="00875189" w:rsidRDefault="00E05821" w:rsidP="000E2A22">
            <w:pPr>
              <w:rPr>
                <w:b/>
                <w:bCs/>
                <w:color w:val="000000"/>
                <w:sz w:val="16"/>
                <w:szCs w:val="16"/>
              </w:rPr>
            </w:pPr>
            <w:r w:rsidRPr="00875189">
              <w:rPr>
                <w:b/>
                <w:bCs/>
                <w:color w:val="000000"/>
                <w:sz w:val="16"/>
                <w:szCs w:val="16"/>
                <w:lang w:val="ca-ES"/>
              </w:rPr>
              <w:t xml:space="preserve"> </w:t>
            </w:r>
            <w:r w:rsidRPr="00875189">
              <w:rPr>
                <w:b/>
                <w:bCs/>
                <w:color w:val="000000"/>
                <w:sz w:val="16"/>
                <w:szCs w:val="16"/>
                <w:lang w:val="es-ES"/>
              </w:rPr>
              <w:t>(95% CI)</w:t>
            </w:r>
          </w:p>
        </w:tc>
        <w:tc>
          <w:tcPr>
            <w:tcW w:w="2552" w:type="dxa"/>
            <w:tcBorders>
              <w:top w:val="single" w:sz="18" w:space="0" w:color="000000"/>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vAlign w:val="center"/>
            <w:hideMark/>
          </w:tcPr>
          <w:p w14:paraId="72A27D8F" w14:textId="3E9665AD" w:rsidR="000E2A22" w:rsidRPr="00875189" w:rsidRDefault="000E2A22" w:rsidP="000E2A22">
            <w:pPr>
              <w:rPr>
                <w:b/>
                <w:bCs/>
                <w:color w:val="000000"/>
                <w:sz w:val="16"/>
                <w:szCs w:val="16"/>
              </w:rPr>
            </w:pPr>
            <w:r w:rsidRPr="00875189">
              <w:rPr>
                <w:b/>
                <w:bCs/>
                <w:color w:val="000000"/>
                <w:sz w:val="16"/>
                <w:szCs w:val="16"/>
                <w:lang w:val="ca-ES"/>
              </w:rPr>
              <w:t>Asthma control</w:t>
            </w:r>
            <w:r w:rsidR="00E05821" w:rsidRPr="00875189">
              <w:rPr>
                <w:b/>
                <w:bCs/>
                <w:color w:val="000000"/>
                <w:sz w:val="16"/>
                <w:szCs w:val="16"/>
                <w:lang w:val="ca-ES"/>
              </w:rPr>
              <w:t xml:space="preserve"> </w:t>
            </w:r>
            <w:r w:rsidRPr="00875189">
              <w:rPr>
                <w:b/>
                <w:bCs/>
                <w:color w:val="000000"/>
                <w:sz w:val="16"/>
                <w:szCs w:val="16"/>
                <w:lang w:val="ca-ES"/>
              </w:rPr>
              <w:t>(ACQ5)</w:t>
            </w:r>
            <w:r w:rsidR="00E05821" w:rsidRPr="00875189">
              <w:rPr>
                <w:b/>
                <w:bCs/>
                <w:color w:val="000000"/>
                <w:sz w:val="16"/>
                <w:szCs w:val="16"/>
                <w:lang w:val="ca-ES"/>
              </w:rPr>
              <w:t xml:space="preserve"> MD (</w:t>
            </w:r>
            <w:r w:rsidR="00E05821" w:rsidRPr="00875189">
              <w:rPr>
                <w:b/>
                <w:bCs/>
                <w:color w:val="000000"/>
                <w:sz w:val="16"/>
                <w:szCs w:val="16"/>
                <w:lang w:val="es-ES"/>
              </w:rPr>
              <w:t>95% CI)</w:t>
            </w:r>
          </w:p>
        </w:tc>
        <w:tc>
          <w:tcPr>
            <w:tcW w:w="1970" w:type="dxa"/>
            <w:tcBorders>
              <w:top w:val="single" w:sz="18" w:space="0" w:color="000000"/>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vAlign w:val="center"/>
            <w:hideMark/>
          </w:tcPr>
          <w:p w14:paraId="5EB7C7B7" w14:textId="42AAC69C" w:rsidR="000E2A22" w:rsidRPr="00875189" w:rsidRDefault="000E2A22" w:rsidP="000E2A22">
            <w:pPr>
              <w:rPr>
                <w:b/>
                <w:bCs/>
                <w:color w:val="000000"/>
                <w:sz w:val="16"/>
                <w:szCs w:val="16"/>
              </w:rPr>
            </w:pPr>
            <w:r w:rsidRPr="00875189">
              <w:rPr>
                <w:b/>
                <w:bCs/>
                <w:color w:val="000000"/>
                <w:sz w:val="16"/>
                <w:szCs w:val="16"/>
                <w:lang w:val="ca-ES"/>
              </w:rPr>
              <w:t>QoL</w:t>
            </w:r>
            <w:r w:rsidR="00E05821" w:rsidRPr="00875189">
              <w:rPr>
                <w:b/>
                <w:bCs/>
                <w:color w:val="000000"/>
                <w:sz w:val="16"/>
                <w:szCs w:val="16"/>
                <w:lang w:val="ca-ES"/>
              </w:rPr>
              <w:t xml:space="preserve"> improvement MD </w:t>
            </w:r>
            <w:r w:rsidR="00E05821" w:rsidRPr="00875189">
              <w:rPr>
                <w:b/>
                <w:bCs/>
                <w:color w:val="000000"/>
                <w:sz w:val="16"/>
                <w:szCs w:val="16"/>
                <w:lang w:val="es-ES"/>
              </w:rPr>
              <w:t>(95% CI)</w:t>
            </w:r>
          </w:p>
        </w:tc>
      </w:tr>
      <w:tr w:rsidR="000E2A22" w:rsidRPr="000E2A22" w14:paraId="44ADC6E1" w14:textId="77777777" w:rsidTr="00E05821">
        <w:trPr>
          <w:trHeight w:val="21"/>
        </w:trPr>
        <w:tc>
          <w:tcPr>
            <w:tcW w:w="0" w:type="auto"/>
            <w:tcBorders>
              <w:top w:val="single" w:sz="8" w:space="0" w:color="FFFFFF"/>
              <w:left w:val="nil"/>
              <w:bottom w:val="single" w:sz="8" w:space="0" w:color="FFFFFF"/>
              <w:right w:val="single" w:sz="8" w:space="0" w:color="FFFFFF"/>
            </w:tcBorders>
            <w:shd w:val="clear" w:color="auto" w:fill="E7E7E7"/>
            <w:tcMar>
              <w:top w:w="72" w:type="dxa"/>
              <w:left w:w="144" w:type="dxa"/>
              <w:bottom w:w="72" w:type="dxa"/>
              <w:right w:w="144" w:type="dxa"/>
            </w:tcMar>
            <w:hideMark/>
          </w:tcPr>
          <w:p w14:paraId="7A76EFE3" w14:textId="77777777" w:rsidR="000E2A22" w:rsidRPr="00875189" w:rsidRDefault="000E2A22" w:rsidP="000E2A22">
            <w:pPr>
              <w:rPr>
                <w:b/>
                <w:bCs/>
                <w:color w:val="000000"/>
                <w:sz w:val="16"/>
                <w:szCs w:val="16"/>
              </w:rPr>
            </w:pPr>
            <w:r w:rsidRPr="00875189">
              <w:rPr>
                <w:b/>
                <w:bCs/>
                <w:color w:val="000000"/>
                <w:sz w:val="16"/>
                <w:szCs w:val="16"/>
                <w:lang w:val="es-ES"/>
              </w:rPr>
              <w:t>150-299</w:t>
            </w:r>
          </w:p>
        </w:tc>
        <w:tc>
          <w:tcPr>
            <w:tcW w:w="3461"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3FDDC77C" w14:textId="77777777" w:rsidR="000E2A22" w:rsidRPr="00875189" w:rsidRDefault="000E2A22" w:rsidP="000E2A22">
            <w:pPr>
              <w:rPr>
                <w:b/>
                <w:bCs/>
                <w:color w:val="000000"/>
                <w:sz w:val="16"/>
                <w:szCs w:val="16"/>
              </w:rPr>
            </w:pPr>
            <w:r w:rsidRPr="00875189">
              <w:rPr>
                <w:b/>
                <w:bCs/>
                <w:color w:val="000000"/>
                <w:sz w:val="16"/>
                <w:szCs w:val="16"/>
                <w:lang w:val="es-ES"/>
              </w:rPr>
              <w:t>0.77 (0.55-1.08)</w:t>
            </w:r>
          </w:p>
        </w:tc>
        <w:tc>
          <w:tcPr>
            <w:tcW w:w="2268"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3A3AA8CE" w14:textId="2DA02BE4" w:rsidR="000E2A22" w:rsidRPr="00875189" w:rsidRDefault="00E05821" w:rsidP="000E2A22">
            <w:pPr>
              <w:rPr>
                <w:b/>
                <w:bCs/>
                <w:color w:val="000000"/>
                <w:sz w:val="16"/>
                <w:szCs w:val="16"/>
              </w:rPr>
            </w:pPr>
            <w:r w:rsidRPr="00875189">
              <w:rPr>
                <w:b/>
                <w:bCs/>
                <w:color w:val="000000"/>
                <w:sz w:val="16"/>
                <w:szCs w:val="16"/>
                <w:lang w:val="es-ES"/>
              </w:rPr>
              <w:t xml:space="preserve">+ </w:t>
            </w:r>
            <w:r w:rsidR="000E2A22" w:rsidRPr="00875189">
              <w:rPr>
                <w:b/>
                <w:bCs/>
                <w:color w:val="000000"/>
                <w:sz w:val="16"/>
                <w:szCs w:val="16"/>
                <w:lang w:val="es-ES"/>
              </w:rPr>
              <w:t>0.06 (-0.04 to 0.16)</w:t>
            </w:r>
          </w:p>
        </w:tc>
        <w:tc>
          <w:tcPr>
            <w:tcW w:w="2552"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776AA89F" w14:textId="77777777" w:rsidR="000E2A22" w:rsidRPr="00875189" w:rsidRDefault="000E2A22" w:rsidP="000E2A22">
            <w:pPr>
              <w:rPr>
                <w:b/>
                <w:bCs/>
                <w:color w:val="000000"/>
                <w:sz w:val="16"/>
                <w:szCs w:val="16"/>
              </w:rPr>
            </w:pPr>
            <w:r w:rsidRPr="00875189">
              <w:rPr>
                <w:b/>
                <w:bCs/>
                <w:color w:val="000000"/>
                <w:sz w:val="16"/>
                <w:szCs w:val="16"/>
                <w:lang w:val="es-ES"/>
              </w:rPr>
              <w:t>- 0.18 (-0.3 to -0.06)</w:t>
            </w:r>
          </w:p>
        </w:tc>
        <w:tc>
          <w:tcPr>
            <w:tcW w:w="197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51D3C808" w14:textId="1D454971" w:rsidR="000E2A22" w:rsidRPr="00875189" w:rsidRDefault="00E05821" w:rsidP="000E2A22">
            <w:pPr>
              <w:rPr>
                <w:b/>
                <w:bCs/>
                <w:color w:val="000000"/>
                <w:sz w:val="16"/>
                <w:szCs w:val="16"/>
              </w:rPr>
            </w:pPr>
            <w:r w:rsidRPr="00875189">
              <w:rPr>
                <w:b/>
                <w:bCs/>
                <w:color w:val="000000"/>
                <w:sz w:val="16"/>
                <w:szCs w:val="16"/>
              </w:rPr>
              <w:t xml:space="preserve">+ </w:t>
            </w:r>
            <w:r w:rsidR="000E2A22" w:rsidRPr="00875189">
              <w:rPr>
                <w:b/>
                <w:bCs/>
                <w:color w:val="000000"/>
                <w:sz w:val="16"/>
                <w:szCs w:val="16"/>
              </w:rPr>
              <w:t>0.19 (0.07 - 0.31)</w:t>
            </w:r>
          </w:p>
        </w:tc>
      </w:tr>
      <w:tr w:rsidR="000E2A22" w:rsidRPr="000E2A22" w14:paraId="78806425" w14:textId="77777777" w:rsidTr="00E05821">
        <w:trPr>
          <w:trHeight w:val="21"/>
        </w:trPr>
        <w:tc>
          <w:tcPr>
            <w:tcW w:w="0" w:type="auto"/>
            <w:tcBorders>
              <w:top w:val="single" w:sz="8" w:space="0" w:color="FFFFFF"/>
              <w:left w:val="nil"/>
              <w:bottom w:val="single" w:sz="8" w:space="0" w:color="FFFFFF"/>
              <w:right w:val="single" w:sz="8" w:space="0" w:color="FFFFFF"/>
            </w:tcBorders>
            <w:shd w:val="clear" w:color="auto" w:fill="FFFFFF"/>
            <w:tcMar>
              <w:top w:w="72" w:type="dxa"/>
              <w:left w:w="144" w:type="dxa"/>
              <w:bottom w:w="72" w:type="dxa"/>
              <w:right w:w="144" w:type="dxa"/>
            </w:tcMar>
            <w:hideMark/>
          </w:tcPr>
          <w:p w14:paraId="59B375C3" w14:textId="77777777" w:rsidR="000E2A22" w:rsidRPr="00875189" w:rsidRDefault="000E2A22" w:rsidP="000E2A22">
            <w:pPr>
              <w:rPr>
                <w:b/>
                <w:bCs/>
                <w:color w:val="000000"/>
                <w:sz w:val="16"/>
                <w:szCs w:val="16"/>
              </w:rPr>
            </w:pPr>
            <w:r w:rsidRPr="00875189">
              <w:rPr>
                <w:b/>
                <w:bCs/>
                <w:color w:val="000000"/>
                <w:sz w:val="16"/>
                <w:szCs w:val="16"/>
                <w:lang w:val="ca-ES"/>
              </w:rPr>
              <w:t>300 - 499</w:t>
            </w:r>
          </w:p>
        </w:tc>
        <w:tc>
          <w:tcPr>
            <w:tcW w:w="3461"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54B99361" w14:textId="77777777" w:rsidR="000E2A22" w:rsidRPr="00875189" w:rsidRDefault="000E2A22" w:rsidP="000E2A22">
            <w:pPr>
              <w:rPr>
                <w:b/>
                <w:bCs/>
                <w:color w:val="000000"/>
                <w:sz w:val="16"/>
                <w:szCs w:val="16"/>
              </w:rPr>
            </w:pPr>
            <w:r w:rsidRPr="00875189">
              <w:rPr>
                <w:b/>
                <w:bCs/>
                <w:color w:val="000000"/>
                <w:sz w:val="16"/>
                <w:szCs w:val="16"/>
                <w:lang w:val="ca-ES"/>
              </w:rPr>
              <w:t>0.69 (0.51-0.93)</w:t>
            </w:r>
          </w:p>
        </w:tc>
        <w:tc>
          <w:tcPr>
            <w:tcW w:w="2268"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6E57CC66" w14:textId="1249A088" w:rsidR="000E2A22" w:rsidRPr="00875189" w:rsidRDefault="00E05821" w:rsidP="000E2A22">
            <w:pPr>
              <w:rPr>
                <w:b/>
                <w:bCs/>
                <w:color w:val="000000"/>
                <w:sz w:val="16"/>
                <w:szCs w:val="16"/>
              </w:rPr>
            </w:pPr>
            <w:r w:rsidRPr="00875189">
              <w:rPr>
                <w:b/>
                <w:bCs/>
                <w:color w:val="000000"/>
                <w:sz w:val="16"/>
                <w:szCs w:val="16"/>
                <w:lang w:val="ca-ES"/>
              </w:rPr>
              <w:t xml:space="preserve">+ </w:t>
            </w:r>
            <w:r w:rsidR="000E2A22" w:rsidRPr="00875189">
              <w:rPr>
                <w:b/>
                <w:bCs/>
                <w:color w:val="000000"/>
                <w:sz w:val="16"/>
                <w:szCs w:val="16"/>
                <w:lang w:val="ca-ES"/>
              </w:rPr>
              <w:t>0.03 (-0.05 to 0.12)</w:t>
            </w:r>
          </w:p>
        </w:tc>
        <w:tc>
          <w:tcPr>
            <w:tcW w:w="2552"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39494EEE" w14:textId="77777777" w:rsidR="000E2A22" w:rsidRPr="00875189" w:rsidRDefault="000E2A22" w:rsidP="000E2A22">
            <w:pPr>
              <w:rPr>
                <w:b/>
                <w:bCs/>
                <w:color w:val="000000"/>
                <w:sz w:val="16"/>
                <w:szCs w:val="16"/>
              </w:rPr>
            </w:pPr>
            <w:r w:rsidRPr="00875189">
              <w:rPr>
                <w:b/>
                <w:bCs/>
                <w:color w:val="000000"/>
                <w:sz w:val="16"/>
                <w:szCs w:val="16"/>
                <w:lang w:val="ca-ES"/>
              </w:rPr>
              <w:t>-0.29 (-0.43 to -0.15)</w:t>
            </w:r>
          </w:p>
        </w:tc>
        <w:tc>
          <w:tcPr>
            <w:tcW w:w="1970"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4C65CD43" w14:textId="581DAB9D" w:rsidR="000E2A22" w:rsidRPr="00875189" w:rsidRDefault="00E05821" w:rsidP="000E2A22">
            <w:pPr>
              <w:rPr>
                <w:b/>
                <w:bCs/>
                <w:color w:val="000000"/>
                <w:sz w:val="16"/>
                <w:szCs w:val="16"/>
              </w:rPr>
            </w:pPr>
            <w:r w:rsidRPr="00875189">
              <w:rPr>
                <w:b/>
                <w:bCs/>
                <w:color w:val="000000"/>
                <w:sz w:val="16"/>
                <w:szCs w:val="16"/>
              </w:rPr>
              <w:t xml:space="preserve">+ </w:t>
            </w:r>
            <w:r w:rsidR="000E2A22" w:rsidRPr="00875189">
              <w:rPr>
                <w:b/>
                <w:bCs/>
                <w:color w:val="000000"/>
                <w:sz w:val="16"/>
                <w:szCs w:val="16"/>
              </w:rPr>
              <w:t>0.30 (0.15 - 0.45)</w:t>
            </w:r>
          </w:p>
        </w:tc>
      </w:tr>
      <w:tr w:rsidR="000E2A22" w:rsidRPr="000E2A22" w14:paraId="0D6E77AD" w14:textId="77777777" w:rsidTr="00E05821">
        <w:trPr>
          <w:trHeight w:val="21"/>
        </w:trPr>
        <w:tc>
          <w:tcPr>
            <w:tcW w:w="0" w:type="auto"/>
            <w:tcBorders>
              <w:top w:val="single" w:sz="8" w:space="0" w:color="FFFFFF"/>
              <w:left w:val="nil"/>
              <w:bottom w:val="single" w:sz="8" w:space="0" w:color="FFFFFF"/>
              <w:right w:val="single" w:sz="8" w:space="0" w:color="FFFFFF"/>
            </w:tcBorders>
            <w:shd w:val="clear" w:color="auto" w:fill="E7E7E7"/>
            <w:tcMar>
              <w:top w:w="72" w:type="dxa"/>
              <w:left w:w="144" w:type="dxa"/>
              <w:bottom w:w="72" w:type="dxa"/>
              <w:right w:w="144" w:type="dxa"/>
            </w:tcMar>
            <w:hideMark/>
          </w:tcPr>
          <w:p w14:paraId="708ED35A" w14:textId="77777777" w:rsidR="000E2A22" w:rsidRPr="00875189" w:rsidRDefault="000E2A22" w:rsidP="000E2A22">
            <w:pPr>
              <w:rPr>
                <w:b/>
                <w:bCs/>
                <w:color w:val="000000"/>
                <w:sz w:val="16"/>
                <w:szCs w:val="16"/>
              </w:rPr>
            </w:pPr>
            <w:r w:rsidRPr="00875189">
              <w:rPr>
                <w:b/>
                <w:bCs/>
                <w:color w:val="000000"/>
                <w:sz w:val="16"/>
                <w:szCs w:val="16"/>
                <w:lang w:val="ca-ES"/>
              </w:rPr>
              <w:t>&gt;500</w:t>
            </w:r>
          </w:p>
        </w:tc>
        <w:tc>
          <w:tcPr>
            <w:tcW w:w="3461"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324F23E6" w14:textId="77777777" w:rsidR="000E2A22" w:rsidRPr="00875189" w:rsidRDefault="000E2A22" w:rsidP="000E2A22">
            <w:pPr>
              <w:rPr>
                <w:b/>
                <w:bCs/>
                <w:color w:val="000000"/>
                <w:sz w:val="16"/>
                <w:szCs w:val="16"/>
              </w:rPr>
            </w:pPr>
            <w:r w:rsidRPr="00875189">
              <w:rPr>
                <w:b/>
                <w:bCs/>
                <w:color w:val="000000"/>
                <w:sz w:val="16"/>
                <w:szCs w:val="16"/>
                <w:lang w:val="ca-ES"/>
              </w:rPr>
              <w:t>0.5 (0.39 -0.64)</w:t>
            </w:r>
          </w:p>
        </w:tc>
        <w:tc>
          <w:tcPr>
            <w:tcW w:w="2268"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2121004E" w14:textId="4292BC2B" w:rsidR="000E2A22" w:rsidRPr="00875189" w:rsidRDefault="00E05821" w:rsidP="000E2A22">
            <w:pPr>
              <w:rPr>
                <w:b/>
                <w:bCs/>
                <w:color w:val="000000"/>
                <w:sz w:val="16"/>
                <w:szCs w:val="16"/>
              </w:rPr>
            </w:pPr>
            <w:r w:rsidRPr="00875189">
              <w:rPr>
                <w:b/>
                <w:bCs/>
                <w:color w:val="000000"/>
                <w:sz w:val="16"/>
                <w:szCs w:val="16"/>
                <w:lang w:val="ca-ES"/>
              </w:rPr>
              <w:t xml:space="preserve">+ </w:t>
            </w:r>
            <w:r w:rsidR="000E2A22" w:rsidRPr="00875189">
              <w:rPr>
                <w:b/>
                <w:bCs/>
                <w:color w:val="000000"/>
                <w:sz w:val="16"/>
                <w:szCs w:val="16"/>
                <w:lang w:val="ca-ES"/>
              </w:rPr>
              <w:t>0.22 (0.15 to 0.29)</w:t>
            </w:r>
          </w:p>
        </w:tc>
        <w:tc>
          <w:tcPr>
            <w:tcW w:w="2552"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0A156A56" w14:textId="77777777" w:rsidR="000E2A22" w:rsidRPr="00875189" w:rsidRDefault="000E2A22" w:rsidP="000E2A22">
            <w:pPr>
              <w:rPr>
                <w:b/>
                <w:bCs/>
                <w:color w:val="000000"/>
                <w:sz w:val="16"/>
                <w:szCs w:val="16"/>
              </w:rPr>
            </w:pPr>
            <w:r w:rsidRPr="00875189">
              <w:rPr>
                <w:b/>
                <w:bCs/>
                <w:color w:val="000000"/>
                <w:sz w:val="16"/>
                <w:szCs w:val="16"/>
                <w:lang w:val="ca-ES"/>
              </w:rPr>
              <w:t>-0.31 (-0.53 to -0.17)</w:t>
            </w:r>
          </w:p>
        </w:tc>
        <w:tc>
          <w:tcPr>
            <w:tcW w:w="197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729D08FB" w14:textId="0B5A6418" w:rsidR="000E2A22" w:rsidRPr="00875189" w:rsidRDefault="00E05821" w:rsidP="000E2A22">
            <w:pPr>
              <w:rPr>
                <w:b/>
                <w:bCs/>
                <w:color w:val="000000"/>
                <w:sz w:val="16"/>
                <w:szCs w:val="16"/>
              </w:rPr>
            </w:pPr>
            <w:r w:rsidRPr="00875189">
              <w:rPr>
                <w:b/>
                <w:bCs/>
                <w:color w:val="000000"/>
                <w:sz w:val="16"/>
                <w:szCs w:val="16"/>
              </w:rPr>
              <w:t xml:space="preserve">+ </w:t>
            </w:r>
            <w:r w:rsidR="000E2A22" w:rsidRPr="00875189">
              <w:rPr>
                <w:b/>
                <w:bCs/>
                <w:color w:val="000000"/>
                <w:sz w:val="16"/>
                <w:szCs w:val="16"/>
              </w:rPr>
              <w:t>0.35 (0.17 – 0.53)</w:t>
            </w:r>
          </w:p>
        </w:tc>
      </w:tr>
    </w:tbl>
    <w:p w14:paraId="121E98CF" w14:textId="2B3060AC" w:rsidR="000E2A22" w:rsidRDefault="000E2A22">
      <w:pPr>
        <w:rPr>
          <w:b/>
          <w:bCs/>
          <w:color w:val="000000"/>
          <w:sz w:val="20"/>
          <w:szCs w:val="20"/>
          <w:lang w:val="en"/>
        </w:rPr>
      </w:pPr>
    </w:p>
    <w:p w14:paraId="79F96186" w14:textId="72405638" w:rsidR="00E05821" w:rsidRDefault="00E05821">
      <w:pPr>
        <w:rPr>
          <w:b/>
          <w:bCs/>
          <w:color w:val="000000"/>
          <w:sz w:val="20"/>
          <w:szCs w:val="20"/>
          <w:lang w:val="en"/>
        </w:rPr>
      </w:pPr>
      <w:r>
        <w:rPr>
          <w:b/>
          <w:bCs/>
          <w:color w:val="000000"/>
          <w:sz w:val="20"/>
          <w:szCs w:val="20"/>
          <w:lang w:val="en"/>
        </w:rPr>
        <w:lastRenderedPageBreak/>
        <w:t>Table S</w:t>
      </w:r>
      <w:r w:rsidR="002A55D2">
        <w:rPr>
          <w:b/>
          <w:bCs/>
          <w:color w:val="000000"/>
          <w:sz w:val="20"/>
          <w:szCs w:val="20"/>
          <w:lang w:val="en"/>
        </w:rPr>
        <w:t>9</w:t>
      </w:r>
      <w:r>
        <w:rPr>
          <w:b/>
          <w:bCs/>
          <w:color w:val="000000"/>
          <w:sz w:val="20"/>
          <w:szCs w:val="20"/>
          <w:lang w:val="en"/>
        </w:rPr>
        <w:t xml:space="preserve"> – benralizumab efficacy stratified according to atopic status and serum IgE</w:t>
      </w:r>
    </w:p>
    <w:tbl>
      <w:tblPr>
        <w:tblW w:w="9781" w:type="dxa"/>
        <w:tblCellMar>
          <w:left w:w="0" w:type="dxa"/>
          <w:right w:w="0" w:type="dxa"/>
        </w:tblCellMar>
        <w:tblLook w:val="0420" w:firstRow="1" w:lastRow="0" w:firstColumn="0" w:lastColumn="0" w:noHBand="0" w:noVBand="1"/>
      </w:tblPr>
      <w:tblGrid>
        <w:gridCol w:w="2160"/>
        <w:gridCol w:w="4503"/>
        <w:gridCol w:w="3118"/>
      </w:tblGrid>
      <w:tr w:rsidR="000E2A22" w:rsidRPr="000E2A22" w14:paraId="4E7327C5" w14:textId="77777777" w:rsidTr="00E05821">
        <w:trPr>
          <w:trHeight w:val="23"/>
        </w:trPr>
        <w:tc>
          <w:tcPr>
            <w:tcW w:w="2160" w:type="dxa"/>
            <w:tcBorders>
              <w:top w:val="single" w:sz="18" w:space="0" w:color="000000"/>
              <w:left w:val="nil"/>
              <w:bottom w:val="single" w:sz="8" w:space="0" w:color="FFFFFF"/>
              <w:right w:val="single" w:sz="8" w:space="0" w:color="FFFFFF"/>
            </w:tcBorders>
            <w:shd w:val="clear" w:color="auto" w:fill="92D050"/>
            <w:tcMar>
              <w:top w:w="72" w:type="dxa"/>
              <w:left w:w="144" w:type="dxa"/>
              <w:bottom w:w="72" w:type="dxa"/>
              <w:right w:w="144" w:type="dxa"/>
            </w:tcMar>
            <w:vAlign w:val="center"/>
            <w:hideMark/>
          </w:tcPr>
          <w:p w14:paraId="1A56E147" w14:textId="77777777" w:rsidR="000E2A22" w:rsidRPr="00875189" w:rsidRDefault="000E2A22" w:rsidP="000E2A22">
            <w:pPr>
              <w:rPr>
                <w:b/>
                <w:bCs/>
                <w:color w:val="000000"/>
                <w:sz w:val="16"/>
                <w:szCs w:val="16"/>
              </w:rPr>
            </w:pPr>
            <w:r w:rsidRPr="00875189">
              <w:rPr>
                <w:b/>
                <w:bCs/>
                <w:color w:val="000000"/>
                <w:sz w:val="16"/>
                <w:szCs w:val="16"/>
                <w:lang w:val="es-ES"/>
              </w:rPr>
              <w:t>Atopic status</w:t>
            </w:r>
          </w:p>
        </w:tc>
        <w:tc>
          <w:tcPr>
            <w:tcW w:w="4503" w:type="dxa"/>
            <w:tcBorders>
              <w:top w:val="single" w:sz="18" w:space="0" w:color="000000"/>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vAlign w:val="center"/>
            <w:hideMark/>
          </w:tcPr>
          <w:p w14:paraId="1C845915" w14:textId="4F100584" w:rsidR="000E2A22" w:rsidRPr="00875189" w:rsidRDefault="000E2A22" w:rsidP="000E2A22">
            <w:pPr>
              <w:rPr>
                <w:b/>
                <w:bCs/>
                <w:color w:val="000000"/>
                <w:sz w:val="16"/>
                <w:szCs w:val="16"/>
              </w:rPr>
            </w:pPr>
            <w:r w:rsidRPr="00875189">
              <w:rPr>
                <w:b/>
                <w:bCs/>
                <w:color w:val="000000"/>
                <w:sz w:val="16"/>
                <w:szCs w:val="16"/>
                <w:lang w:val="es-ES"/>
              </w:rPr>
              <w:t xml:space="preserve">Exacerbations </w:t>
            </w:r>
            <w:r w:rsidR="00E05821" w:rsidRPr="00875189">
              <w:rPr>
                <w:b/>
                <w:bCs/>
                <w:color w:val="000000"/>
                <w:sz w:val="16"/>
                <w:szCs w:val="16"/>
                <w:lang w:val="es-ES"/>
              </w:rPr>
              <w:t>–</w:t>
            </w:r>
            <w:r w:rsidRPr="00875189">
              <w:rPr>
                <w:b/>
                <w:bCs/>
                <w:color w:val="000000"/>
                <w:sz w:val="16"/>
                <w:szCs w:val="16"/>
                <w:lang w:val="es-ES"/>
              </w:rPr>
              <w:t xml:space="preserve"> </w:t>
            </w:r>
            <w:r w:rsidR="00E05821" w:rsidRPr="00875189">
              <w:rPr>
                <w:b/>
                <w:bCs/>
                <w:color w:val="000000"/>
                <w:sz w:val="16"/>
                <w:szCs w:val="16"/>
                <w:lang w:val="es-ES"/>
              </w:rPr>
              <w:t xml:space="preserve">Incidence rate </w:t>
            </w:r>
            <w:proofErr w:type="gramStart"/>
            <w:r w:rsidR="00E05821" w:rsidRPr="00875189">
              <w:rPr>
                <w:b/>
                <w:bCs/>
                <w:color w:val="000000"/>
                <w:sz w:val="16"/>
                <w:szCs w:val="16"/>
                <w:lang w:val="es-ES"/>
              </w:rPr>
              <w:t>ratio</w:t>
            </w:r>
            <w:r w:rsidRPr="00875189">
              <w:rPr>
                <w:b/>
                <w:bCs/>
                <w:color w:val="000000"/>
                <w:sz w:val="16"/>
                <w:szCs w:val="16"/>
                <w:lang w:val="es-ES"/>
              </w:rPr>
              <w:t xml:space="preserve"> </w:t>
            </w:r>
            <w:r w:rsidR="00E05821" w:rsidRPr="00875189">
              <w:rPr>
                <w:b/>
                <w:bCs/>
                <w:color w:val="000000"/>
                <w:sz w:val="16"/>
                <w:szCs w:val="16"/>
                <w:lang w:val="es-ES"/>
              </w:rPr>
              <w:t xml:space="preserve"> </w:t>
            </w:r>
            <w:r w:rsidRPr="00875189">
              <w:rPr>
                <w:b/>
                <w:bCs/>
                <w:color w:val="000000"/>
                <w:sz w:val="16"/>
                <w:szCs w:val="16"/>
                <w:lang w:val="es-ES"/>
              </w:rPr>
              <w:t>(</w:t>
            </w:r>
            <w:proofErr w:type="gramEnd"/>
            <w:r w:rsidRPr="00875189">
              <w:rPr>
                <w:b/>
                <w:bCs/>
                <w:color w:val="000000"/>
                <w:sz w:val="16"/>
                <w:szCs w:val="16"/>
                <w:lang w:val="es-ES"/>
              </w:rPr>
              <w:t>95% CI)</w:t>
            </w:r>
          </w:p>
        </w:tc>
        <w:tc>
          <w:tcPr>
            <w:tcW w:w="3118" w:type="dxa"/>
            <w:tcBorders>
              <w:top w:val="single" w:sz="18" w:space="0" w:color="000000"/>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vAlign w:val="center"/>
            <w:hideMark/>
          </w:tcPr>
          <w:p w14:paraId="1C5A476F" w14:textId="73F9BC0F" w:rsidR="000E2A22" w:rsidRPr="00875189" w:rsidRDefault="000E2A22" w:rsidP="000E2A22">
            <w:pPr>
              <w:rPr>
                <w:b/>
                <w:bCs/>
                <w:color w:val="000000"/>
                <w:sz w:val="16"/>
                <w:szCs w:val="16"/>
              </w:rPr>
            </w:pPr>
            <w:r w:rsidRPr="00875189">
              <w:rPr>
                <w:b/>
                <w:bCs/>
                <w:color w:val="000000"/>
                <w:sz w:val="16"/>
                <w:szCs w:val="16"/>
                <w:lang w:val="ca-ES"/>
              </w:rPr>
              <w:t xml:space="preserve">FEV1 </w:t>
            </w:r>
            <w:r w:rsidR="00E05821" w:rsidRPr="00875189">
              <w:rPr>
                <w:b/>
                <w:bCs/>
                <w:color w:val="000000"/>
                <w:sz w:val="16"/>
                <w:szCs w:val="16"/>
                <w:lang w:val="ca-ES"/>
              </w:rPr>
              <w:t>increase – MD (95%CI)</w:t>
            </w:r>
          </w:p>
        </w:tc>
      </w:tr>
      <w:tr w:rsidR="000E2A22" w:rsidRPr="000E2A22" w14:paraId="1F12CE74" w14:textId="77777777" w:rsidTr="00E05821">
        <w:trPr>
          <w:trHeight w:val="64"/>
        </w:trPr>
        <w:tc>
          <w:tcPr>
            <w:tcW w:w="2160" w:type="dxa"/>
            <w:tcBorders>
              <w:top w:val="single" w:sz="8" w:space="0" w:color="FFFFFF"/>
              <w:left w:val="nil"/>
              <w:bottom w:val="single" w:sz="8" w:space="0" w:color="FFFFFF"/>
              <w:right w:val="single" w:sz="8" w:space="0" w:color="FFFFFF"/>
            </w:tcBorders>
            <w:shd w:val="clear" w:color="auto" w:fill="E7E7E7"/>
            <w:tcMar>
              <w:top w:w="72" w:type="dxa"/>
              <w:left w:w="144" w:type="dxa"/>
              <w:bottom w:w="72" w:type="dxa"/>
              <w:right w:w="144" w:type="dxa"/>
            </w:tcMar>
            <w:hideMark/>
          </w:tcPr>
          <w:p w14:paraId="32C97E1E" w14:textId="77777777" w:rsidR="000E2A22" w:rsidRPr="00875189" w:rsidRDefault="000E2A22" w:rsidP="000E2A22">
            <w:pPr>
              <w:rPr>
                <w:b/>
                <w:bCs/>
                <w:color w:val="000000"/>
                <w:sz w:val="16"/>
                <w:szCs w:val="16"/>
              </w:rPr>
            </w:pPr>
            <w:r w:rsidRPr="00875189">
              <w:rPr>
                <w:b/>
                <w:bCs/>
                <w:color w:val="000000"/>
                <w:sz w:val="16"/>
                <w:szCs w:val="16"/>
                <w:lang w:val="es-ES"/>
              </w:rPr>
              <w:t>yes</w:t>
            </w:r>
          </w:p>
        </w:tc>
        <w:tc>
          <w:tcPr>
            <w:tcW w:w="4503"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76F81EA9" w14:textId="77777777" w:rsidR="000E2A22" w:rsidRPr="00875189" w:rsidRDefault="000E2A22" w:rsidP="000E2A22">
            <w:pPr>
              <w:rPr>
                <w:b/>
                <w:bCs/>
                <w:color w:val="000000"/>
                <w:sz w:val="16"/>
                <w:szCs w:val="16"/>
              </w:rPr>
            </w:pPr>
            <w:r w:rsidRPr="00875189">
              <w:rPr>
                <w:b/>
                <w:bCs/>
                <w:color w:val="000000"/>
                <w:sz w:val="16"/>
                <w:szCs w:val="16"/>
                <w:lang w:val="es-ES"/>
              </w:rPr>
              <w:t>0.66 (0.54 – 0.81)</w:t>
            </w:r>
          </w:p>
        </w:tc>
        <w:tc>
          <w:tcPr>
            <w:tcW w:w="3118"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27BD2A77" w14:textId="218AAB8D" w:rsidR="000E2A22" w:rsidRPr="00875189" w:rsidRDefault="00E05821" w:rsidP="000E2A22">
            <w:pPr>
              <w:rPr>
                <w:b/>
                <w:bCs/>
                <w:color w:val="000000"/>
                <w:sz w:val="16"/>
                <w:szCs w:val="16"/>
              </w:rPr>
            </w:pPr>
            <w:r w:rsidRPr="00875189">
              <w:rPr>
                <w:b/>
                <w:bCs/>
                <w:color w:val="000000"/>
                <w:sz w:val="16"/>
                <w:szCs w:val="16"/>
                <w:lang w:val="es-ES"/>
              </w:rPr>
              <w:t xml:space="preserve">+ </w:t>
            </w:r>
            <w:r w:rsidR="000E2A22" w:rsidRPr="00875189">
              <w:rPr>
                <w:b/>
                <w:bCs/>
                <w:color w:val="000000"/>
                <w:sz w:val="16"/>
                <w:szCs w:val="16"/>
                <w:lang w:val="es-ES"/>
              </w:rPr>
              <w:t>0.11 (0.03-0.19)</w:t>
            </w:r>
          </w:p>
        </w:tc>
      </w:tr>
      <w:tr w:rsidR="000E2A22" w:rsidRPr="000E2A22" w14:paraId="02C4B012" w14:textId="77777777" w:rsidTr="00E05821">
        <w:trPr>
          <w:trHeight w:val="83"/>
        </w:trPr>
        <w:tc>
          <w:tcPr>
            <w:tcW w:w="2160" w:type="dxa"/>
            <w:tcBorders>
              <w:top w:val="single" w:sz="8" w:space="0" w:color="FFFFFF"/>
              <w:left w:val="nil"/>
              <w:bottom w:val="single" w:sz="8" w:space="0" w:color="FFFFFF"/>
              <w:right w:val="single" w:sz="8" w:space="0" w:color="FFFFFF"/>
            </w:tcBorders>
            <w:shd w:val="clear" w:color="auto" w:fill="FFFFFF"/>
            <w:tcMar>
              <w:top w:w="72" w:type="dxa"/>
              <w:left w:w="144" w:type="dxa"/>
              <w:bottom w:w="72" w:type="dxa"/>
              <w:right w:w="144" w:type="dxa"/>
            </w:tcMar>
            <w:hideMark/>
          </w:tcPr>
          <w:p w14:paraId="2F870CF6" w14:textId="77777777" w:rsidR="000E2A22" w:rsidRPr="00875189" w:rsidRDefault="000E2A22" w:rsidP="000E2A22">
            <w:pPr>
              <w:rPr>
                <w:b/>
                <w:bCs/>
                <w:color w:val="000000"/>
                <w:sz w:val="16"/>
                <w:szCs w:val="16"/>
              </w:rPr>
            </w:pPr>
            <w:r w:rsidRPr="00875189">
              <w:rPr>
                <w:b/>
                <w:bCs/>
                <w:color w:val="000000"/>
                <w:sz w:val="16"/>
                <w:szCs w:val="16"/>
                <w:lang w:val="ca-ES"/>
              </w:rPr>
              <w:t>no</w:t>
            </w:r>
          </w:p>
        </w:tc>
        <w:tc>
          <w:tcPr>
            <w:tcW w:w="4503"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6B090485" w14:textId="77777777" w:rsidR="000E2A22" w:rsidRPr="00875189" w:rsidRDefault="000E2A22" w:rsidP="000E2A22">
            <w:pPr>
              <w:rPr>
                <w:b/>
                <w:bCs/>
                <w:color w:val="000000"/>
                <w:sz w:val="16"/>
                <w:szCs w:val="16"/>
              </w:rPr>
            </w:pPr>
            <w:r w:rsidRPr="00875189">
              <w:rPr>
                <w:b/>
                <w:bCs/>
                <w:color w:val="000000"/>
                <w:sz w:val="16"/>
                <w:szCs w:val="16"/>
                <w:lang w:val="ca-ES"/>
              </w:rPr>
              <w:t>0.58 (0.45 – 0.75)</w:t>
            </w:r>
          </w:p>
        </w:tc>
        <w:tc>
          <w:tcPr>
            <w:tcW w:w="3118"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53FF4346" w14:textId="5FE40C6C" w:rsidR="000E2A22" w:rsidRPr="00875189" w:rsidRDefault="00E05821" w:rsidP="000E2A22">
            <w:pPr>
              <w:rPr>
                <w:b/>
                <w:bCs/>
                <w:color w:val="000000"/>
                <w:sz w:val="16"/>
                <w:szCs w:val="16"/>
              </w:rPr>
            </w:pPr>
            <w:r w:rsidRPr="00875189">
              <w:rPr>
                <w:b/>
                <w:bCs/>
                <w:color w:val="000000"/>
                <w:sz w:val="16"/>
                <w:szCs w:val="16"/>
                <w:lang w:val="ca-ES"/>
              </w:rPr>
              <w:t xml:space="preserve">+ </w:t>
            </w:r>
            <w:r w:rsidR="000E2A22" w:rsidRPr="00875189">
              <w:rPr>
                <w:b/>
                <w:bCs/>
                <w:color w:val="000000"/>
                <w:sz w:val="16"/>
                <w:szCs w:val="16"/>
                <w:lang w:val="ca-ES"/>
              </w:rPr>
              <w:t>0.18 (0.08-0.28)</w:t>
            </w:r>
          </w:p>
        </w:tc>
      </w:tr>
      <w:tr w:rsidR="000E2A22" w:rsidRPr="000E2A22" w14:paraId="465D4C26" w14:textId="77777777" w:rsidTr="00E05821">
        <w:trPr>
          <w:trHeight w:val="21"/>
        </w:trPr>
        <w:tc>
          <w:tcPr>
            <w:tcW w:w="2160" w:type="dxa"/>
            <w:tcBorders>
              <w:top w:val="single" w:sz="8" w:space="0" w:color="FFFFFF"/>
              <w:left w:val="nil"/>
              <w:bottom w:val="single" w:sz="8" w:space="0" w:color="FFFFFF"/>
              <w:right w:val="single" w:sz="8" w:space="0" w:color="FFFFFF"/>
            </w:tcBorders>
            <w:shd w:val="clear" w:color="auto" w:fill="E7E6E6" w:themeFill="background2"/>
            <w:tcMar>
              <w:top w:w="72" w:type="dxa"/>
              <w:left w:w="144" w:type="dxa"/>
              <w:bottom w:w="72" w:type="dxa"/>
              <w:right w:w="144" w:type="dxa"/>
            </w:tcMar>
            <w:hideMark/>
          </w:tcPr>
          <w:p w14:paraId="16932875" w14:textId="4CC4BC6C" w:rsidR="000E2A22" w:rsidRPr="00875189" w:rsidRDefault="00E05821" w:rsidP="000E2A22">
            <w:pPr>
              <w:rPr>
                <w:b/>
                <w:bCs/>
                <w:color w:val="000000"/>
                <w:sz w:val="16"/>
                <w:szCs w:val="16"/>
                <w:lang w:val="ca-ES"/>
              </w:rPr>
            </w:pPr>
            <w:r w:rsidRPr="00875189">
              <w:rPr>
                <w:b/>
                <w:bCs/>
                <w:color w:val="000000"/>
                <w:sz w:val="16"/>
                <w:szCs w:val="16"/>
                <w:lang w:val="ca-ES"/>
              </w:rPr>
              <w:t xml:space="preserve">IgE </w:t>
            </w:r>
            <w:r w:rsidR="000E2A22" w:rsidRPr="00875189">
              <w:rPr>
                <w:b/>
                <w:bCs/>
                <w:color w:val="000000"/>
                <w:sz w:val="16"/>
                <w:szCs w:val="16"/>
                <w:lang w:val="ca-ES"/>
              </w:rPr>
              <w:t>&lt;150</w:t>
            </w:r>
          </w:p>
        </w:tc>
        <w:tc>
          <w:tcPr>
            <w:tcW w:w="450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hideMark/>
          </w:tcPr>
          <w:p w14:paraId="2683DF41" w14:textId="77777777" w:rsidR="000E2A22" w:rsidRPr="00875189" w:rsidRDefault="000E2A22" w:rsidP="000E2A22">
            <w:pPr>
              <w:rPr>
                <w:b/>
                <w:bCs/>
                <w:color w:val="000000"/>
                <w:sz w:val="16"/>
                <w:szCs w:val="16"/>
                <w:lang w:val="ca-ES"/>
              </w:rPr>
            </w:pPr>
            <w:r w:rsidRPr="00875189">
              <w:rPr>
                <w:b/>
                <w:bCs/>
                <w:color w:val="000000"/>
                <w:sz w:val="16"/>
                <w:szCs w:val="16"/>
                <w:lang w:val="ca-ES"/>
              </w:rPr>
              <w:t>0.58 (0.45 – 0.75)</w:t>
            </w:r>
          </w:p>
        </w:tc>
        <w:tc>
          <w:tcPr>
            <w:tcW w:w="311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hideMark/>
          </w:tcPr>
          <w:p w14:paraId="2C1896C8" w14:textId="20741D09" w:rsidR="000E2A22" w:rsidRPr="00875189" w:rsidRDefault="00E05821" w:rsidP="000E2A22">
            <w:pPr>
              <w:rPr>
                <w:b/>
                <w:bCs/>
                <w:color w:val="000000"/>
                <w:sz w:val="16"/>
                <w:szCs w:val="16"/>
                <w:lang w:val="ca-ES"/>
              </w:rPr>
            </w:pPr>
            <w:r w:rsidRPr="00875189">
              <w:rPr>
                <w:b/>
                <w:bCs/>
                <w:color w:val="000000"/>
                <w:sz w:val="16"/>
                <w:szCs w:val="16"/>
                <w:lang w:val="ca-ES"/>
              </w:rPr>
              <w:t xml:space="preserve">+ </w:t>
            </w:r>
            <w:r w:rsidR="000E2A22" w:rsidRPr="00875189">
              <w:rPr>
                <w:b/>
                <w:bCs/>
                <w:color w:val="000000"/>
                <w:sz w:val="16"/>
                <w:szCs w:val="16"/>
                <w:lang w:val="ca-ES"/>
              </w:rPr>
              <w:t>0.12 (0.04-0.2)</w:t>
            </w:r>
          </w:p>
        </w:tc>
      </w:tr>
      <w:tr w:rsidR="00E05821" w:rsidRPr="000E2A22" w14:paraId="09132033" w14:textId="77777777" w:rsidTr="00E05821">
        <w:trPr>
          <w:trHeight w:val="21"/>
        </w:trPr>
        <w:tc>
          <w:tcPr>
            <w:tcW w:w="2160" w:type="dxa"/>
            <w:tcBorders>
              <w:top w:val="single" w:sz="8" w:space="0" w:color="FFFFFF"/>
              <w:left w:val="nil"/>
              <w:bottom w:val="single" w:sz="8" w:space="0" w:color="FFFFFF"/>
              <w:right w:val="single" w:sz="8" w:space="0" w:color="FFFFFF"/>
            </w:tcBorders>
            <w:shd w:val="clear" w:color="auto" w:fill="auto"/>
            <w:tcMar>
              <w:top w:w="72" w:type="dxa"/>
              <w:left w:w="144" w:type="dxa"/>
              <w:bottom w:w="72" w:type="dxa"/>
              <w:right w:w="144" w:type="dxa"/>
            </w:tcMar>
          </w:tcPr>
          <w:p w14:paraId="57F3BBF0" w14:textId="77CE6AD8" w:rsidR="00E05821" w:rsidRPr="00875189" w:rsidRDefault="00E05821" w:rsidP="000E2A22">
            <w:pPr>
              <w:rPr>
                <w:b/>
                <w:bCs/>
                <w:color w:val="000000"/>
                <w:sz w:val="16"/>
                <w:szCs w:val="16"/>
                <w:lang w:val="ca-ES"/>
              </w:rPr>
            </w:pPr>
            <w:r w:rsidRPr="00875189">
              <w:rPr>
                <w:b/>
                <w:bCs/>
                <w:color w:val="000000"/>
                <w:sz w:val="16"/>
                <w:szCs w:val="16"/>
                <w:lang w:val="ca-ES"/>
              </w:rPr>
              <w:t>IgE &gt;150</w:t>
            </w:r>
          </w:p>
        </w:tc>
        <w:tc>
          <w:tcPr>
            <w:tcW w:w="4503"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3C7DD981" w14:textId="2F2E6E1C" w:rsidR="00E05821" w:rsidRPr="00875189" w:rsidRDefault="00E05821" w:rsidP="000E2A22">
            <w:pPr>
              <w:rPr>
                <w:b/>
                <w:bCs/>
                <w:color w:val="000000"/>
                <w:sz w:val="16"/>
                <w:szCs w:val="16"/>
                <w:lang w:val="ca-ES"/>
              </w:rPr>
            </w:pPr>
            <w:r w:rsidRPr="00875189">
              <w:rPr>
                <w:b/>
                <w:bCs/>
                <w:color w:val="000000"/>
                <w:sz w:val="16"/>
                <w:szCs w:val="16"/>
                <w:lang w:val="ca-ES"/>
              </w:rPr>
              <w:t>0.57 (0.41 – 0.79)</w:t>
            </w:r>
          </w:p>
        </w:tc>
        <w:tc>
          <w:tcPr>
            <w:tcW w:w="3118"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430DF23F" w14:textId="336E104D" w:rsidR="00E05821" w:rsidRPr="00875189" w:rsidRDefault="00E05821" w:rsidP="000E2A22">
            <w:pPr>
              <w:rPr>
                <w:b/>
                <w:bCs/>
                <w:color w:val="000000"/>
                <w:sz w:val="16"/>
                <w:szCs w:val="16"/>
                <w:lang w:val="ca-ES"/>
              </w:rPr>
            </w:pPr>
            <w:r w:rsidRPr="00875189">
              <w:rPr>
                <w:b/>
                <w:bCs/>
                <w:color w:val="000000"/>
                <w:sz w:val="16"/>
                <w:szCs w:val="16"/>
                <w:lang w:val="ca-ES"/>
              </w:rPr>
              <w:t>+ 0.14 (0.04-0.23)</w:t>
            </w:r>
          </w:p>
        </w:tc>
      </w:tr>
    </w:tbl>
    <w:p w14:paraId="7F913C0D" w14:textId="01B9AA2D" w:rsidR="00E05821" w:rsidRDefault="00E05821"/>
    <w:p w14:paraId="4AC21FBE" w14:textId="3A67DB30" w:rsidR="00E05821" w:rsidRPr="00114022" w:rsidRDefault="00E05821">
      <w:pPr>
        <w:rPr>
          <w:b/>
          <w:bCs/>
          <w:color w:val="000000"/>
          <w:sz w:val="20"/>
          <w:szCs w:val="20"/>
          <w:lang w:val="en"/>
        </w:rPr>
      </w:pPr>
      <w:r>
        <w:rPr>
          <w:b/>
          <w:bCs/>
          <w:color w:val="000000"/>
          <w:sz w:val="20"/>
          <w:szCs w:val="20"/>
          <w:lang w:val="en"/>
        </w:rPr>
        <w:t>Table S</w:t>
      </w:r>
      <w:r w:rsidR="002A55D2">
        <w:rPr>
          <w:b/>
          <w:bCs/>
          <w:color w:val="000000"/>
          <w:sz w:val="20"/>
          <w:szCs w:val="20"/>
          <w:lang w:val="en"/>
        </w:rPr>
        <w:t>10</w:t>
      </w:r>
      <w:r>
        <w:rPr>
          <w:b/>
          <w:bCs/>
          <w:color w:val="000000"/>
          <w:sz w:val="20"/>
          <w:szCs w:val="20"/>
          <w:lang w:val="en"/>
        </w:rPr>
        <w:t xml:space="preserve"> – benralizumab efficacy stratified according to </w:t>
      </w:r>
      <w:r w:rsidR="002D2E59">
        <w:rPr>
          <w:b/>
          <w:bCs/>
          <w:color w:val="000000"/>
          <w:sz w:val="20"/>
          <w:szCs w:val="20"/>
          <w:lang w:val="en"/>
        </w:rPr>
        <w:t>co-morbidities (CRSwNP)</w:t>
      </w:r>
    </w:p>
    <w:tbl>
      <w:tblPr>
        <w:tblW w:w="9605" w:type="dxa"/>
        <w:tblCellMar>
          <w:left w:w="0" w:type="dxa"/>
          <w:right w:w="0" w:type="dxa"/>
        </w:tblCellMar>
        <w:tblLook w:val="0420" w:firstRow="1" w:lastRow="0" w:firstColumn="0" w:lastColumn="0" w:noHBand="0" w:noVBand="1"/>
      </w:tblPr>
      <w:tblGrid>
        <w:gridCol w:w="2121"/>
        <w:gridCol w:w="4422"/>
        <w:gridCol w:w="3062"/>
      </w:tblGrid>
      <w:tr w:rsidR="002D2E59" w:rsidRPr="00B647EA" w14:paraId="75BB11EA" w14:textId="77777777" w:rsidTr="00875189">
        <w:trPr>
          <w:trHeight w:val="134"/>
        </w:trPr>
        <w:tc>
          <w:tcPr>
            <w:tcW w:w="2121" w:type="dxa"/>
            <w:tcBorders>
              <w:top w:val="single" w:sz="8" w:space="0" w:color="FFFFFF"/>
              <w:left w:val="nil"/>
              <w:bottom w:val="single" w:sz="8" w:space="0" w:color="FFFFFF"/>
              <w:right w:val="single" w:sz="8" w:space="0" w:color="FFFFFF"/>
            </w:tcBorders>
            <w:shd w:val="clear" w:color="auto" w:fill="92D050"/>
            <w:tcMar>
              <w:top w:w="72" w:type="dxa"/>
              <w:left w:w="144" w:type="dxa"/>
              <w:bottom w:w="72" w:type="dxa"/>
              <w:right w:w="144" w:type="dxa"/>
            </w:tcMar>
            <w:hideMark/>
          </w:tcPr>
          <w:p w14:paraId="1A00ED0C" w14:textId="77777777" w:rsidR="002D2E59" w:rsidRPr="00875189" w:rsidRDefault="002D2E59" w:rsidP="002D2E59">
            <w:pPr>
              <w:rPr>
                <w:b/>
                <w:bCs/>
                <w:color w:val="000000"/>
                <w:sz w:val="16"/>
                <w:szCs w:val="16"/>
                <w:lang w:val="ca-ES"/>
              </w:rPr>
            </w:pPr>
            <w:r w:rsidRPr="00875189">
              <w:rPr>
                <w:b/>
                <w:bCs/>
                <w:color w:val="000000"/>
                <w:sz w:val="16"/>
                <w:szCs w:val="16"/>
                <w:lang w:val="ca-ES"/>
              </w:rPr>
              <w:t>CRSwNP</w:t>
            </w:r>
          </w:p>
        </w:tc>
        <w:tc>
          <w:tcPr>
            <w:tcW w:w="4422"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vAlign w:val="center"/>
            <w:hideMark/>
          </w:tcPr>
          <w:p w14:paraId="038DD4F4" w14:textId="2108C3F1" w:rsidR="002D2E59" w:rsidRPr="00875189" w:rsidRDefault="002D2E59" w:rsidP="002D2E59">
            <w:pPr>
              <w:rPr>
                <w:b/>
                <w:bCs/>
                <w:color w:val="000000"/>
                <w:sz w:val="16"/>
                <w:szCs w:val="16"/>
                <w:lang w:val="ca-ES"/>
              </w:rPr>
            </w:pPr>
            <w:r w:rsidRPr="00875189">
              <w:rPr>
                <w:b/>
                <w:bCs/>
                <w:color w:val="000000"/>
                <w:sz w:val="16"/>
                <w:szCs w:val="16"/>
                <w:lang w:val="es-ES"/>
              </w:rPr>
              <w:t>Exacerbations – Incidence rate ratio (95% CI)</w:t>
            </w:r>
          </w:p>
        </w:tc>
        <w:tc>
          <w:tcPr>
            <w:tcW w:w="3062"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vAlign w:val="center"/>
            <w:hideMark/>
          </w:tcPr>
          <w:p w14:paraId="732F396D" w14:textId="3BAC4B47" w:rsidR="002D2E59" w:rsidRPr="00875189" w:rsidRDefault="002D2E59" w:rsidP="002D2E59">
            <w:pPr>
              <w:rPr>
                <w:b/>
                <w:bCs/>
                <w:color w:val="000000"/>
                <w:sz w:val="16"/>
                <w:szCs w:val="16"/>
                <w:lang w:val="ca-ES"/>
              </w:rPr>
            </w:pPr>
            <w:r w:rsidRPr="00875189">
              <w:rPr>
                <w:b/>
                <w:bCs/>
                <w:color w:val="000000"/>
                <w:sz w:val="16"/>
                <w:szCs w:val="16"/>
                <w:lang w:val="ca-ES"/>
              </w:rPr>
              <w:t>FEV1 increase – MD (95%CI)</w:t>
            </w:r>
          </w:p>
        </w:tc>
      </w:tr>
      <w:tr w:rsidR="00B647EA" w:rsidRPr="00B647EA" w14:paraId="620F9169" w14:textId="77777777" w:rsidTr="00875189">
        <w:trPr>
          <w:trHeight w:val="65"/>
        </w:trPr>
        <w:tc>
          <w:tcPr>
            <w:tcW w:w="2121" w:type="dxa"/>
            <w:tcBorders>
              <w:top w:val="single" w:sz="8" w:space="0" w:color="FFFFFF"/>
              <w:left w:val="nil"/>
              <w:bottom w:val="single" w:sz="8" w:space="0" w:color="FFFFFF"/>
              <w:right w:val="single" w:sz="8" w:space="0" w:color="FFFFFF"/>
            </w:tcBorders>
            <w:shd w:val="clear" w:color="auto" w:fill="E7E6E6" w:themeFill="background2"/>
            <w:tcMar>
              <w:top w:w="72" w:type="dxa"/>
              <w:left w:w="144" w:type="dxa"/>
              <w:bottom w:w="72" w:type="dxa"/>
              <w:right w:w="144" w:type="dxa"/>
            </w:tcMar>
            <w:hideMark/>
          </w:tcPr>
          <w:p w14:paraId="24AB4003" w14:textId="77777777" w:rsidR="00B647EA" w:rsidRPr="00875189" w:rsidRDefault="00B647EA" w:rsidP="00B647EA">
            <w:pPr>
              <w:rPr>
                <w:b/>
                <w:bCs/>
                <w:color w:val="000000"/>
                <w:sz w:val="16"/>
                <w:szCs w:val="16"/>
                <w:lang w:val="ca-ES"/>
              </w:rPr>
            </w:pPr>
            <w:r w:rsidRPr="00875189">
              <w:rPr>
                <w:b/>
                <w:bCs/>
                <w:color w:val="000000"/>
                <w:sz w:val="16"/>
                <w:szCs w:val="16"/>
                <w:lang w:val="ca-ES"/>
              </w:rPr>
              <w:t xml:space="preserve">With </w:t>
            </w:r>
          </w:p>
        </w:tc>
        <w:tc>
          <w:tcPr>
            <w:tcW w:w="4422"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hideMark/>
          </w:tcPr>
          <w:p w14:paraId="58C36C42" w14:textId="77777777" w:rsidR="00B647EA" w:rsidRPr="00875189" w:rsidRDefault="00B647EA" w:rsidP="00B647EA">
            <w:pPr>
              <w:rPr>
                <w:b/>
                <w:bCs/>
                <w:color w:val="000000"/>
                <w:sz w:val="16"/>
                <w:szCs w:val="16"/>
                <w:lang w:val="ca-ES"/>
              </w:rPr>
            </w:pPr>
            <w:r w:rsidRPr="00875189">
              <w:rPr>
                <w:b/>
                <w:bCs/>
                <w:color w:val="000000"/>
                <w:sz w:val="16"/>
                <w:szCs w:val="16"/>
                <w:lang w:val="ca-ES"/>
              </w:rPr>
              <w:t>0.45 (0.31-0.68)</w:t>
            </w:r>
          </w:p>
        </w:tc>
        <w:tc>
          <w:tcPr>
            <w:tcW w:w="3062"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hideMark/>
          </w:tcPr>
          <w:p w14:paraId="5C1D1084" w14:textId="77777777" w:rsidR="00B647EA" w:rsidRPr="00875189" w:rsidRDefault="00B647EA" w:rsidP="00B647EA">
            <w:pPr>
              <w:rPr>
                <w:b/>
                <w:bCs/>
                <w:color w:val="000000"/>
                <w:sz w:val="16"/>
                <w:szCs w:val="16"/>
                <w:lang w:val="ca-ES"/>
              </w:rPr>
            </w:pPr>
            <w:r w:rsidRPr="00875189">
              <w:rPr>
                <w:b/>
                <w:bCs/>
                <w:color w:val="000000"/>
                <w:sz w:val="16"/>
                <w:szCs w:val="16"/>
                <w:lang w:val="ca-ES"/>
              </w:rPr>
              <w:t>0.27 (0.12-0.42)</w:t>
            </w:r>
          </w:p>
        </w:tc>
      </w:tr>
      <w:tr w:rsidR="00B647EA" w:rsidRPr="00B647EA" w14:paraId="79BBE824" w14:textId="77777777" w:rsidTr="00875189">
        <w:trPr>
          <w:trHeight w:val="365"/>
        </w:trPr>
        <w:tc>
          <w:tcPr>
            <w:tcW w:w="2121" w:type="dxa"/>
            <w:tcBorders>
              <w:top w:val="single" w:sz="8" w:space="0" w:color="FFFFFF"/>
              <w:left w:val="nil"/>
              <w:bottom w:val="single" w:sz="8" w:space="0" w:color="FFFFFF"/>
              <w:right w:val="single" w:sz="8" w:space="0" w:color="FFFFFF"/>
            </w:tcBorders>
            <w:shd w:val="clear" w:color="auto" w:fill="FFFFFF"/>
            <w:tcMar>
              <w:top w:w="72" w:type="dxa"/>
              <w:left w:w="144" w:type="dxa"/>
              <w:bottom w:w="72" w:type="dxa"/>
              <w:right w:w="144" w:type="dxa"/>
            </w:tcMar>
            <w:hideMark/>
          </w:tcPr>
          <w:p w14:paraId="0A4A53D9" w14:textId="77777777" w:rsidR="00B647EA" w:rsidRPr="00875189" w:rsidRDefault="00B647EA" w:rsidP="00B647EA">
            <w:pPr>
              <w:rPr>
                <w:b/>
                <w:bCs/>
                <w:color w:val="000000"/>
                <w:sz w:val="16"/>
                <w:szCs w:val="16"/>
                <w:lang w:val="ca-ES"/>
              </w:rPr>
            </w:pPr>
            <w:r w:rsidRPr="00875189">
              <w:rPr>
                <w:b/>
                <w:bCs/>
                <w:color w:val="000000"/>
                <w:sz w:val="16"/>
                <w:szCs w:val="16"/>
                <w:lang w:val="ca-ES"/>
              </w:rPr>
              <w:t xml:space="preserve">Without </w:t>
            </w:r>
          </w:p>
        </w:tc>
        <w:tc>
          <w:tcPr>
            <w:tcW w:w="4422"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607F521E" w14:textId="77777777" w:rsidR="00B647EA" w:rsidRPr="00875189" w:rsidRDefault="00B647EA" w:rsidP="00B647EA">
            <w:pPr>
              <w:rPr>
                <w:b/>
                <w:bCs/>
                <w:color w:val="000000"/>
                <w:sz w:val="16"/>
                <w:szCs w:val="16"/>
                <w:lang w:val="ca-ES"/>
              </w:rPr>
            </w:pPr>
            <w:r w:rsidRPr="00875189">
              <w:rPr>
                <w:b/>
                <w:bCs/>
                <w:color w:val="000000"/>
                <w:sz w:val="16"/>
                <w:szCs w:val="16"/>
                <w:lang w:val="ca-ES"/>
              </w:rPr>
              <w:t>0.62 (0.49-0.78)</w:t>
            </w:r>
          </w:p>
        </w:tc>
        <w:tc>
          <w:tcPr>
            <w:tcW w:w="3062"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0F7E4223" w14:textId="77777777" w:rsidR="00B647EA" w:rsidRPr="00875189" w:rsidRDefault="00B647EA" w:rsidP="00B647EA">
            <w:pPr>
              <w:rPr>
                <w:b/>
                <w:bCs/>
                <w:color w:val="000000"/>
                <w:sz w:val="16"/>
                <w:szCs w:val="16"/>
                <w:lang w:val="ca-ES"/>
              </w:rPr>
            </w:pPr>
            <w:r w:rsidRPr="00875189">
              <w:rPr>
                <w:b/>
                <w:bCs/>
                <w:color w:val="000000"/>
                <w:sz w:val="16"/>
                <w:szCs w:val="16"/>
                <w:lang w:val="ca-ES"/>
              </w:rPr>
              <w:t>0.10 (0.03-0.17)</w:t>
            </w:r>
          </w:p>
        </w:tc>
      </w:tr>
    </w:tbl>
    <w:p w14:paraId="7D874550" w14:textId="1668302D" w:rsidR="00A44FD1" w:rsidRPr="002D2E59" w:rsidRDefault="00A44FD1" w:rsidP="00A44FD1">
      <w:pPr>
        <w:jc w:val="both"/>
        <w:rPr>
          <w:rFonts w:ascii="Arial" w:hAnsi="Arial" w:cs="Arial"/>
          <w:b/>
          <w:noProof/>
          <w:sz w:val="20"/>
          <w:szCs w:val="20"/>
          <w:lang w:eastAsia="ca-ES"/>
        </w:rPr>
      </w:pPr>
      <w:r w:rsidRPr="002D2E59">
        <w:rPr>
          <w:rFonts w:ascii="Arial" w:hAnsi="Arial" w:cs="Arial"/>
          <w:b/>
          <w:sz w:val="20"/>
          <w:szCs w:val="20"/>
          <w:shd w:val="clear" w:color="auto" w:fill="FFFFFF"/>
        </w:rPr>
        <w:t xml:space="preserve">Table </w:t>
      </w:r>
      <w:r w:rsidR="002D2E59" w:rsidRPr="002D2E59">
        <w:rPr>
          <w:rFonts w:ascii="Arial" w:hAnsi="Arial" w:cs="Arial"/>
          <w:b/>
          <w:sz w:val="20"/>
          <w:szCs w:val="20"/>
          <w:shd w:val="clear" w:color="auto" w:fill="FFFFFF"/>
        </w:rPr>
        <w:t>S</w:t>
      </w:r>
      <w:r w:rsidR="002A55D2">
        <w:rPr>
          <w:rFonts w:ascii="Arial" w:hAnsi="Arial" w:cs="Arial"/>
          <w:b/>
          <w:sz w:val="20"/>
          <w:szCs w:val="20"/>
          <w:shd w:val="clear" w:color="auto" w:fill="FFFFFF"/>
        </w:rPr>
        <w:t>11</w:t>
      </w:r>
      <w:r w:rsidRPr="002D2E59">
        <w:rPr>
          <w:rFonts w:ascii="Arial" w:hAnsi="Arial" w:cs="Arial"/>
          <w:b/>
          <w:sz w:val="20"/>
          <w:szCs w:val="20"/>
          <w:shd w:val="clear" w:color="auto" w:fill="FFFFFF"/>
        </w:rPr>
        <w:t xml:space="preserve">: Summary of findings for </w:t>
      </w:r>
      <w:r w:rsidRPr="002D2E59">
        <w:rPr>
          <w:rFonts w:ascii="Arial" w:hAnsi="Arial" w:cs="Arial"/>
          <w:b/>
          <w:bCs/>
          <w:sz w:val="20"/>
          <w:szCs w:val="20"/>
        </w:rPr>
        <w:t>benralizumab efficacy and safety compared to standard of care for allergic asthma</w:t>
      </w:r>
    </w:p>
    <w:tbl>
      <w:tblPr>
        <w:tblW w:w="0" w:type="auto"/>
        <w:tblCellMar>
          <w:top w:w="75" w:type="dxa"/>
          <w:left w:w="75" w:type="dxa"/>
          <w:bottom w:w="75" w:type="dxa"/>
          <w:right w:w="75" w:type="dxa"/>
        </w:tblCellMar>
        <w:tblLook w:val="04A0" w:firstRow="1" w:lastRow="0" w:firstColumn="1" w:lastColumn="0" w:noHBand="0" w:noVBand="1"/>
      </w:tblPr>
      <w:tblGrid>
        <w:gridCol w:w="6497"/>
        <w:gridCol w:w="1483"/>
        <w:gridCol w:w="1693"/>
        <w:gridCol w:w="1258"/>
        <w:gridCol w:w="1543"/>
        <w:gridCol w:w="1528"/>
      </w:tblGrid>
      <w:tr w:rsidR="00A44FD1" w:rsidRPr="00F87E48" w14:paraId="31EA53F2" w14:textId="77777777" w:rsidTr="00875189">
        <w:trPr>
          <w:cantSplit/>
          <w:tblHeader/>
        </w:trPr>
        <w:tc>
          <w:tcPr>
            <w:tcW w:w="0" w:type="auto"/>
            <w:vMerge w:val="restart"/>
            <w:tcBorders>
              <w:top w:val="single" w:sz="12" w:space="0" w:color="000000"/>
              <w:left w:val="nil"/>
              <w:bottom w:val="single" w:sz="6" w:space="0" w:color="000000"/>
              <w:right w:val="nil"/>
            </w:tcBorders>
            <w:shd w:val="clear" w:color="auto" w:fill="3271AA"/>
            <w:vAlign w:val="center"/>
            <w:hideMark/>
          </w:tcPr>
          <w:p w14:paraId="497B1AB4" w14:textId="77777777" w:rsidR="00A44FD1" w:rsidRPr="007B5F4C" w:rsidRDefault="00A44FD1" w:rsidP="00E350F6">
            <w:pPr>
              <w:pStyle w:val="NormalWeb"/>
              <w:spacing w:before="0" w:beforeAutospacing="0" w:after="0" w:afterAutospacing="0" w:line="276" w:lineRule="auto"/>
              <w:rPr>
                <w:rFonts w:ascii="Arial" w:hAnsi="Arial" w:cs="Arial"/>
                <w:b/>
                <w:bCs/>
                <w:i/>
                <w:iCs/>
                <w:color w:val="FFFFFF"/>
                <w:sz w:val="16"/>
                <w:szCs w:val="16"/>
              </w:rPr>
            </w:pPr>
            <w:r w:rsidRPr="007B5F4C">
              <w:rPr>
                <w:rFonts w:ascii="Arial" w:hAnsi="Arial" w:cs="Arial"/>
                <w:b/>
                <w:bCs/>
                <w:color w:val="FFFFFF"/>
                <w:sz w:val="16"/>
                <w:szCs w:val="16"/>
              </w:rPr>
              <w:t>Outcomes</w:t>
            </w:r>
          </w:p>
        </w:tc>
        <w:tc>
          <w:tcPr>
            <w:tcW w:w="0" w:type="auto"/>
            <w:vMerge w:val="restart"/>
            <w:tcBorders>
              <w:top w:val="single" w:sz="12" w:space="0" w:color="000000"/>
              <w:left w:val="nil"/>
              <w:bottom w:val="single" w:sz="6" w:space="0" w:color="000000"/>
              <w:right w:val="nil"/>
            </w:tcBorders>
            <w:shd w:val="clear" w:color="auto" w:fill="3271AA"/>
            <w:vAlign w:val="center"/>
            <w:hideMark/>
          </w:tcPr>
          <w:p w14:paraId="12BC42FC" w14:textId="77777777" w:rsidR="00A44FD1" w:rsidRPr="007B5F4C" w:rsidRDefault="00A44FD1" w:rsidP="00E350F6">
            <w:pPr>
              <w:pStyle w:val="NormalWeb"/>
              <w:spacing w:before="0" w:beforeAutospacing="0" w:after="0" w:afterAutospacing="0" w:line="276" w:lineRule="auto"/>
              <w:jc w:val="both"/>
              <w:rPr>
                <w:rFonts w:ascii="Arial" w:hAnsi="Arial" w:cs="Arial"/>
                <w:b/>
                <w:bCs/>
                <w:i/>
                <w:iCs/>
                <w:color w:val="FFFFFF"/>
                <w:sz w:val="16"/>
                <w:szCs w:val="16"/>
              </w:rPr>
            </w:pPr>
            <w:r w:rsidRPr="007B5F4C">
              <w:rPr>
                <w:rFonts w:ascii="Arial" w:hAnsi="Arial" w:cs="Arial"/>
                <w:b/>
                <w:bCs/>
                <w:color w:val="FFFFFF"/>
                <w:sz w:val="16"/>
                <w:szCs w:val="16"/>
              </w:rPr>
              <w:t>№ of participants</w:t>
            </w:r>
            <w:r w:rsidRPr="007B5F4C">
              <w:rPr>
                <w:rFonts w:ascii="Arial" w:hAnsi="Arial" w:cs="Arial"/>
                <w:b/>
                <w:bCs/>
                <w:color w:val="FFFFFF"/>
                <w:sz w:val="16"/>
                <w:szCs w:val="16"/>
              </w:rPr>
              <w:br/>
              <w:t>(studies)</w:t>
            </w:r>
            <w:r w:rsidRPr="007B5F4C">
              <w:rPr>
                <w:rFonts w:ascii="Arial" w:hAnsi="Arial" w:cs="Arial"/>
                <w:b/>
                <w:bCs/>
                <w:color w:val="FFFFFF"/>
                <w:sz w:val="16"/>
                <w:szCs w:val="16"/>
              </w:rPr>
              <w:br/>
              <w:t>Follow-up</w:t>
            </w:r>
          </w:p>
        </w:tc>
        <w:tc>
          <w:tcPr>
            <w:tcW w:w="0" w:type="auto"/>
            <w:vMerge w:val="restart"/>
            <w:tcBorders>
              <w:top w:val="single" w:sz="12" w:space="0" w:color="000000"/>
              <w:left w:val="nil"/>
              <w:bottom w:val="single" w:sz="6" w:space="0" w:color="000000"/>
              <w:right w:val="nil"/>
            </w:tcBorders>
            <w:shd w:val="clear" w:color="auto" w:fill="3271AA"/>
            <w:vAlign w:val="center"/>
            <w:hideMark/>
          </w:tcPr>
          <w:p w14:paraId="5B627DFC" w14:textId="77777777" w:rsidR="00A44FD1" w:rsidRPr="007B5F4C" w:rsidRDefault="00A44FD1" w:rsidP="00E350F6">
            <w:pPr>
              <w:pStyle w:val="NormalWeb"/>
              <w:spacing w:before="0" w:beforeAutospacing="0" w:after="0" w:afterAutospacing="0" w:line="276" w:lineRule="auto"/>
              <w:jc w:val="both"/>
              <w:rPr>
                <w:rFonts w:ascii="Arial" w:hAnsi="Arial" w:cs="Arial"/>
                <w:b/>
                <w:bCs/>
                <w:i/>
                <w:iCs/>
                <w:color w:val="FFFFFF"/>
                <w:sz w:val="16"/>
                <w:szCs w:val="16"/>
              </w:rPr>
            </w:pPr>
            <w:r w:rsidRPr="007B5F4C">
              <w:rPr>
                <w:rFonts w:ascii="Arial" w:hAnsi="Arial" w:cs="Arial"/>
                <w:b/>
                <w:bCs/>
                <w:color w:val="FFFFFF"/>
                <w:sz w:val="16"/>
                <w:szCs w:val="16"/>
              </w:rPr>
              <w:t>Certainty of the evidence</w:t>
            </w:r>
            <w:r w:rsidRPr="007B5F4C">
              <w:rPr>
                <w:rFonts w:ascii="Arial" w:hAnsi="Arial" w:cs="Arial"/>
                <w:b/>
                <w:bCs/>
                <w:color w:val="FFFFFF"/>
                <w:sz w:val="16"/>
                <w:szCs w:val="16"/>
              </w:rPr>
              <w:br/>
              <w:t>(GRADE)</w:t>
            </w:r>
          </w:p>
        </w:tc>
        <w:tc>
          <w:tcPr>
            <w:tcW w:w="0" w:type="auto"/>
            <w:vMerge w:val="restart"/>
            <w:tcBorders>
              <w:top w:val="single" w:sz="12" w:space="0" w:color="000000"/>
              <w:left w:val="nil"/>
              <w:bottom w:val="single" w:sz="6" w:space="0" w:color="000000"/>
              <w:right w:val="nil"/>
            </w:tcBorders>
            <w:shd w:val="clear" w:color="auto" w:fill="3271AA"/>
            <w:vAlign w:val="center"/>
            <w:hideMark/>
          </w:tcPr>
          <w:p w14:paraId="6C880E7A" w14:textId="77777777" w:rsidR="00A44FD1" w:rsidRPr="007B5F4C" w:rsidRDefault="00A44FD1" w:rsidP="00E350F6">
            <w:pPr>
              <w:pStyle w:val="NormalWeb"/>
              <w:spacing w:before="0" w:beforeAutospacing="0" w:after="0" w:afterAutospacing="0" w:line="276" w:lineRule="auto"/>
              <w:jc w:val="both"/>
              <w:rPr>
                <w:rFonts w:ascii="Arial" w:hAnsi="Arial" w:cs="Arial"/>
                <w:b/>
                <w:bCs/>
                <w:i/>
                <w:iCs/>
                <w:color w:val="FFFFFF"/>
                <w:sz w:val="16"/>
                <w:szCs w:val="16"/>
              </w:rPr>
            </w:pPr>
            <w:r w:rsidRPr="007B5F4C">
              <w:rPr>
                <w:rFonts w:ascii="Arial" w:hAnsi="Arial" w:cs="Arial"/>
                <w:b/>
                <w:bCs/>
                <w:color w:val="FFFFFF"/>
                <w:sz w:val="16"/>
                <w:szCs w:val="16"/>
              </w:rPr>
              <w:t>Relative effect</w:t>
            </w:r>
            <w:r w:rsidRPr="007B5F4C">
              <w:rPr>
                <w:rFonts w:ascii="Arial" w:hAnsi="Arial" w:cs="Arial"/>
                <w:b/>
                <w:bCs/>
                <w:color w:val="FFFFFF"/>
                <w:sz w:val="16"/>
                <w:szCs w:val="16"/>
              </w:rPr>
              <w:br/>
              <w:t>(95% CI)</w:t>
            </w:r>
          </w:p>
        </w:tc>
        <w:tc>
          <w:tcPr>
            <w:tcW w:w="3071" w:type="dxa"/>
            <w:gridSpan w:val="2"/>
            <w:tcBorders>
              <w:top w:val="single" w:sz="12" w:space="0" w:color="000000"/>
              <w:left w:val="nil"/>
              <w:bottom w:val="single" w:sz="6" w:space="0" w:color="000000"/>
              <w:right w:val="nil"/>
            </w:tcBorders>
            <w:shd w:val="clear" w:color="auto" w:fill="D3D3D3"/>
            <w:vAlign w:val="center"/>
            <w:hideMark/>
          </w:tcPr>
          <w:p w14:paraId="3AA047AC" w14:textId="77777777" w:rsidR="00A44FD1" w:rsidRPr="007B5F4C" w:rsidRDefault="00A44FD1" w:rsidP="00E350F6">
            <w:pPr>
              <w:pStyle w:val="NormalWeb"/>
              <w:spacing w:before="0" w:beforeAutospacing="0" w:after="0" w:afterAutospacing="0" w:line="276" w:lineRule="auto"/>
              <w:jc w:val="both"/>
              <w:rPr>
                <w:rFonts w:ascii="Arial" w:hAnsi="Arial" w:cs="Arial"/>
                <w:b/>
                <w:bCs/>
                <w:i/>
                <w:iCs/>
                <w:color w:val="000000"/>
                <w:sz w:val="16"/>
                <w:szCs w:val="16"/>
              </w:rPr>
            </w:pPr>
            <w:r w:rsidRPr="007B5F4C">
              <w:rPr>
                <w:rFonts w:ascii="Arial" w:hAnsi="Arial" w:cs="Arial"/>
                <w:b/>
                <w:bCs/>
                <w:color w:val="000000"/>
                <w:sz w:val="16"/>
                <w:szCs w:val="16"/>
              </w:rPr>
              <w:t>Anticipated absolute effects</w:t>
            </w:r>
          </w:p>
        </w:tc>
      </w:tr>
      <w:tr w:rsidR="00A44FD1" w:rsidRPr="00F87E48" w14:paraId="42B497F3" w14:textId="77777777" w:rsidTr="00875189">
        <w:trPr>
          <w:cantSplit/>
          <w:tblHeader/>
        </w:trPr>
        <w:tc>
          <w:tcPr>
            <w:tcW w:w="0" w:type="auto"/>
            <w:vMerge/>
            <w:tcBorders>
              <w:top w:val="single" w:sz="12" w:space="0" w:color="000000"/>
              <w:left w:val="nil"/>
              <w:bottom w:val="single" w:sz="6" w:space="0" w:color="000000"/>
              <w:right w:val="nil"/>
            </w:tcBorders>
            <w:vAlign w:val="center"/>
            <w:hideMark/>
          </w:tcPr>
          <w:p w14:paraId="05A3492E" w14:textId="77777777" w:rsidR="00A44FD1" w:rsidRPr="007B5F4C" w:rsidRDefault="00A44FD1" w:rsidP="00E350F6">
            <w:pPr>
              <w:rPr>
                <w:rFonts w:ascii="Arial" w:hAnsi="Arial" w:cs="Arial"/>
                <w:b/>
                <w:bCs/>
                <w:color w:val="FFFFFF"/>
                <w:sz w:val="16"/>
                <w:szCs w:val="16"/>
              </w:rPr>
            </w:pPr>
          </w:p>
        </w:tc>
        <w:tc>
          <w:tcPr>
            <w:tcW w:w="0" w:type="auto"/>
            <w:vMerge/>
            <w:tcBorders>
              <w:top w:val="single" w:sz="12" w:space="0" w:color="000000"/>
              <w:left w:val="nil"/>
              <w:bottom w:val="single" w:sz="6" w:space="0" w:color="000000"/>
              <w:right w:val="nil"/>
            </w:tcBorders>
            <w:vAlign w:val="center"/>
            <w:hideMark/>
          </w:tcPr>
          <w:p w14:paraId="643B0A27" w14:textId="77777777" w:rsidR="00A44FD1" w:rsidRPr="007B5F4C" w:rsidRDefault="00A44FD1" w:rsidP="00E350F6">
            <w:pPr>
              <w:jc w:val="both"/>
              <w:rPr>
                <w:rFonts w:ascii="Arial" w:hAnsi="Arial" w:cs="Arial"/>
                <w:b/>
                <w:bCs/>
                <w:color w:val="FFFFFF"/>
                <w:sz w:val="16"/>
                <w:szCs w:val="16"/>
              </w:rPr>
            </w:pPr>
          </w:p>
        </w:tc>
        <w:tc>
          <w:tcPr>
            <w:tcW w:w="0" w:type="auto"/>
            <w:vMerge/>
            <w:tcBorders>
              <w:top w:val="single" w:sz="12" w:space="0" w:color="000000"/>
              <w:left w:val="nil"/>
              <w:bottom w:val="single" w:sz="6" w:space="0" w:color="000000"/>
              <w:right w:val="nil"/>
            </w:tcBorders>
            <w:vAlign w:val="center"/>
            <w:hideMark/>
          </w:tcPr>
          <w:p w14:paraId="48016CF5" w14:textId="77777777" w:rsidR="00A44FD1" w:rsidRPr="007B5F4C" w:rsidRDefault="00A44FD1" w:rsidP="00E350F6">
            <w:pPr>
              <w:jc w:val="both"/>
              <w:rPr>
                <w:rFonts w:ascii="Arial" w:hAnsi="Arial" w:cs="Arial"/>
                <w:b/>
                <w:bCs/>
                <w:color w:val="FFFFFF"/>
                <w:sz w:val="16"/>
                <w:szCs w:val="16"/>
              </w:rPr>
            </w:pPr>
          </w:p>
        </w:tc>
        <w:tc>
          <w:tcPr>
            <w:tcW w:w="0" w:type="auto"/>
            <w:vMerge/>
            <w:tcBorders>
              <w:top w:val="single" w:sz="12" w:space="0" w:color="000000"/>
              <w:left w:val="nil"/>
              <w:bottom w:val="single" w:sz="6" w:space="0" w:color="000000"/>
              <w:right w:val="nil"/>
            </w:tcBorders>
            <w:vAlign w:val="center"/>
            <w:hideMark/>
          </w:tcPr>
          <w:p w14:paraId="79BDD754" w14:textId="77777777" w:rsidR="00A44FD1" w:rsidRPr="007B5F4C" w:rsidRDefault="00A44FD1" w:rsidP="00E350F6">
            <w:pPr>
              <w:jc w:val="both"/>
              <w:rPr>
                <w:rFonts w:ascii="Arial" w:hAnsi="Arial" w:cs="Arial"/>
                <w:b/>
                <w:bCs/>
                <w:color w:val="FFFFFF"/>
                <w:sz w:val="16"/>
                <w:szCs w:val="16"/>
              </w:rPr>
            </w:pPr>
          </w:p>
        </w:tc>
        <w:tc>
          <w:tcPr>
            <w:tcW w:w="1543" w:type="dxa"/>
            <w:tcBorders>
              <w:top w:val="single" w:sz="12" w:space="0" w:color="000000"/>
              <w:left w:val="nil"/>
              <w:bottom w:val="single" w:sz="6" w:space="0" w:color="000000"/>
              <w:right w:val="nil"/>
            </w:tcBorders>
            <w:shd w:val="clear" w:color="auto" w:fill="D3D3D3"/>
            <w:vAlign w:val="center"/>
            <w:hideMark/>
          </w:tcPr>
          <w:p w14:paraId="02FABA0A" w14:textId="77777777" w:rsidR="00A44FD1" w:rsidRPr="007B5F4C" w:rsidRDefault="00A44FD1" w:rsidP="00E350F6">
            <w:pPr>
              <w:pStyle w:val="NormalWeb"/>
              <w:spacing w:before="0" w:beforeAutospacing="0" w:after="0" w:afterAutospacing="0" w:line="276" w:lineRule="auto"/>
              <w:jc w:val="both"/>
              <w:rPr>
                <w:rFonts w:ascii="Arial" w:hAnsi="Arial" w:cs="Arial"/>
                <w:b/>
                <w:bCs/>
                <w:i/>
                <w:iCs/>
                <w:color w:val="000000"/>
                <w:sz w:val="16"/>
                <w:szCs w:val="16"/>
              </w:rPr>
            </w:pPr>
            <w:r w:rsidRPr="007B5F4C">
              <w:rPr>
                <w:rFonts w:ascii="Arial" w:hAnsi="Arial" w:cs="Arial"/>
                <w:b/>
                <w:bCs/>
                <w:color w:val="000000"/>
                <w:sz w:val="16"/>
                <w:szCs w:val="16"/>
              </w:rPr>
              <w:t>Risk with standard of care</w:t>
            </w:r>
          </w:p>
        </w:tc>
        <w:tc>
          <w:tcPr>
            <w:tcW w:w="1528" w:type="dxa"/>
            <w:tcBorders>
              <w:top w:val="single" w:sz="12" w:space="0" w:color="000000"/>
              <w:left w:val="nil"/>
              <w:bottom w:val="single" w:sz="6" w:space="0" w:color="000000"/>
              <w:right w:val="nil"/>
            </w:tcBorders>
            <w:shd w:val="clear" w:color="auto" w:fill="D3D3D3"/>
            <w:vAlign w:val="center"/>
            <w:hideMark/>
          </w:tcPr>
          <w:p w14:paraId="67BFC34F" w14:textId="77777777" w:rsidR="00A44FD1" w:rsidRPr="007B5F4C" w:rsidRDefault="00A44FD1" w:rsidP="00E350F6">
            <w:pPr>
              <w:pStyle w:val="NormalWeb"/>
              <w:spacing w:before="0" w:beforeAutospacing="0" w:after="0" w:afterAutospacing="0" w:line="276" w:lineRule="auto"/>
              <w:jc w:val="both"/>
              <w:rPr>
                <w:rFonts w:ascii="Arial" w:hAnsi="Arial" w:cs="Arial"/>
                <w:b/>
                <w:bCs/>
                <w:i/>
                <w:iCs/>
                <w:color w:val="000000"/>
                <w:sz w:val="16"/>
                <w:szCs w:val="16"/>
              </w:rPr>
            </w:pPr>
            <w:r w:rsidRPr="007B5F4C">
              <w:rPr>
                <w:rFonts w:ascii="Arial" w:hAnsi="Arial" w:cs="Arial"/>
                <w:b/>
                <w:bCs/>
                <w:color w:val="000000"/>
                <w:sz w:val="16"/>
                <w:szCs w:val="16"/>
              </w:rPr>
              <w:t xml:space="preserve">Risk difference with Benralizumab </w:t>
            </w:r>
          </w:p>
        </w:tc>
      </w:tr>
      <w:tr w:rsidR="00A44FD1" w:rsidRPr="00F87E48" w14:paraId="13891AAF" w14:textId="77777777" w:rsidTr="00875189">
        <w:trPr>
          <w:cantSplit/>
          <w:trHeight w:val="408"/>
        </w:trPr>
        <w:tc>
          <w:tcPr>
            <w:tcW w:w="0" w:type="auto"/>
            <w:tcBorders>
              <w:top w:val="single" w:sz="6" w:space="0" w:color="000000"/>
              <w:left w:val="nil"/>
              <w:bottom w:val="single" w:sz="6" w:space="0" w:color="000000"/>
              <w:right w:val="nil"/>
            </w:tcBorders>
            <w:vAlign w:val="center"/>
            <w:hideMark/>
          </w:tcPr>
          <w:p w14:paraId="2536257D" w14:textId="77777777" w:rsidR="00A44FD1" w:rsidRPr="007B5F4C" w:rsidRDefault="00A44FD1" w:rsidP="00E350F6">
            <w:pPr>
              <w:rPr>
                <w:rFonts w:ascii="Arial" w:hAnsi="Arial" w:cs="Arial"/>
                <w:b/>
                <w:bCs/>
                <w:i/>
                <w:iCs/>
                <w:color w:val="404040" w:themeColor="text1" w:themeTint="BF"/>
                <w:sz w:val="16"/>
                <w:szCs w:val="16"/>
              </w:rPr>
            </w:pPr>
            <w:r w:rsidRPr="007B5F4C">
              <w:rPr>
                <w:rStyle w:val="label"/>
                <w:rFonts w:ascii="Arial" w:hAnsi="Arial" w:cs="Arial"/>
                <w:sz w:val="16"/>
                <w:szCs w:val="16"/>
              </w:rPr>
              <w:t>Exacerbations</w:t>
            </w:r>
            <w:r w:rsidRPr="007B5F4C">
              <w:rPr>
                <w:rFonts w:ascii="Arial" w:hAnsi="Arial" w:cs="Arial"/>
                <w:sz w:val="16"/>
                <w:szCs w:val="16"/>
              </w:rPr>
              <w:br/>
            </w:r>
            <w:r w:rsidRPr="007B5F4C">
              <w:rPr>
                <w:rStyle w:val="label"/>
                <w:rFonts w:ascii="Arial" w:hAnsi="Arial" w:cs="Arial"/>
                <w:sz w:val="16"/>
                <w:szCs w:val="16"/>
              </w:rPr>
              <w:t xml:space="preserve">assessed with </w:t>
            </w:r>
            <w:r>
              <w:rPr>
                <w:rStyle w:val="label"/>
                <w:rFonts w:ascii="Arial" w:hAnsi="Arial" w:cs="Arial"/>
                <w:sz w:val="16"/>
                <w:szCs w:val="16"/>
              </w:rPr>
              <w:t>a</w:t>
            </w:r>
            <w:r w:rsidRPr="007B5F4C">
              <w:rPr>
                <w:rStyle w:val="label"/>
                <w:rFonts w:ascii="Arial" w:hAnsi="Arial" w:cs="Arial"/>
                <w:sz w:val="16"/>
                <w:szCs w:val="16"/>
              </w:rPr>
              <w:t>nnual asthma exacerbation rate</w:t>
            </w:r>
            <w:r w:rsidRPr="007B5F4C">
              <w:rPr>
                <w:rFonts w:ascii="Arial" w:hAnsi="Arial" w:cs="Arial"/>
                <w:sz w:val="16"/>
                <w:szCs w:val="16"/>
              </w:rPr>
              <w:br/>
            </w:r>
          </w:p>
        </w:tc>
        <w:tc>
          <w:tcPr>
            <w:tcW w:w="0" w:type="auto"/>
            <w:tcBorders>
              <w:top w:val="single" w:sz="6" w:space="0" w:color="000000"/>
              <w:left w:val="nil"/>
              <w:bottom w:val="single" w:sz="6" w:space="0" w:color="000000"/>
              <w:right w:val="nil"/>
            </w:tcBorders>
            <w:vAlign w:val="center"/>
            <w:hideMark/>
          </w:tcPr>
          <w:p w14:paraId="2948E894" w14:textId="77777777" w:rsidR="00A44FD1" w:rsidRDefault="00A44FD1" w:rsidP="00E350F6">
            <w:pPr>
              <w:jc w:val="both"/>
              <w:rPr>
                <w:rFonts w:ascii="Arial" w:hAnsi="Arial" w:cs="Arial"/>
                <w:sz w:val="16"/>
                <w:szCs w:val="16"/>
                <w:vertAlign w:val="superscript"/>
              </w:rPr>
            </w:pPr>
            <w:r w:rsidRPr="007B5F4C">
              <w:rPr>
                <w:rFonts w:ascii="Arial" w:hAnsi="Arial" w:cs="Arial"/>
                <w:sz w:val="16"/>
                <w:szCs w:val="16"/>
              </w:rPr>
              <w:t>297</w:t>
            </w:r>
            <w:r w:rsidRPr="007B5F4C">
              <w:rPr>
                <w:rFonts w:ascii="Arial" w:hAnsi="Arial" w:cs="Arial"/>
                <w:sz w:val="16"/>
                <w:szCs w:val="16"/>
              </w:rPr>
              <w:br/>
              <w:t xml:space="preserve">(2 RCTs) </w:t>
            </w:r>
            <w:r w:rsidRPr="00FD1663">
              <w:rPr>
                <w:rFonts w:ascii="Arial" w:hAnsi="Arial" w:cs="Arial"/>
                <w:sz w:val="16"/>
                <w:szCs w:val="16"/>
                <w:vertAlign w:val="superscript"/>
              </w:rPr>
              <w:t>34</w:t>
            </w:r>
          </w:p>
          <w:p w14:paraId="6D0F4A22" w14:textId="77777777" w:rsidR="00A44FD1" w:rsidRPr="007B5F4C" w:rsidRDefault="00A44FD1" w:rsidP="00E350F6">
            <w:pPr>
              <w:jc w:val="both"/>
              <w:rPr>
                <w:rFonts w:ascii="Arial" w:hAnsi="Arial" w:cs="Arial"/>
                <w:b/>
                <w:bCs/>
                <w:i/>
                <w:iCs/>
                <w:color w:val="404040" w:themeColor="text1" w:themeTint="BF"/>
                <w:sz w:val="16"/>
                <w:szCs w:val="16"/>
              </w:rPr>
            </w:pPr>
            <w:r w:rsidRPr="007B5F4C">
              <w:rPr>
                <w:rStyle w:val="label"/>
                <w:rFonts w:ascii="Arial" w:hAnsi="Arial" w:cs="Arial"/>
                <w:sz w:val="16"/>
                <w:szCs w:val="16"/>
              </w:rPr>
              <w:t>48 weeks to 56 weeks</w:t>
            </w:r>
          </w:p>
        </w:tc>
        <w:tc>
          <w:tcPr>
            <w:tcW w:w="0" w:type="auto"/>
            <w:tcBorders>
              <w:top w:val="single" w:sz="6" w:space="0" w:color="000000"/>
              <w:left w:val="nil"/>
              <w:bottom w:val="single" w:sz="6" w:space="0" w:color="000000"/>
              <w:right w:val="nil"/>
            </w:tcBorders>
            <w:vAlign w:val="center"/>
            <w:hideMark/>
          </w:tcPr>
          <w:p w14:paraId="7E9BE86B" w14:textId="77777777" w:rsidR="00A44FD1" w:rsidRPr="007B5F4C" w:rsidRDefault="00A44FD1" w:rsidP="00E350F6">
            <w:pPr>
              <w:jc w:val="both"/>
              <w:rPr>
                <w:rFonts w:ascii="Arial" w:hAnsi="Arial" w:cs="Arial"/>
                <w:b/>
                <w:bCs/>
                <w:i/>
                <w:iCs/>
                <w:color w:val="404040" w:themeColor="text1" w:themeTint="BF"/>
                <w:sz w:val="16"/>
                <w:szCs w:val="16"/>
              </w:rPr>
            </w:pPr>
            <w:r w:rsidRPr="007B5F4C">
              <w:rPr>
                <w:rStyle w:val="quality-sign"/>
                <w:rFonts w:ascii="Cambria Math" w:hAnsi="Cambria Math" w:cs="Cambria Math"/>
                <w:sz w:val="16"/>
                <w:szCs w:val="16"/>
              </w:rPr>
              <w:t>⨁⨁⨁⨁</w:t>
            </w:r>
            <w:r w:rsidRPr="007B5F4C">
              <w:rPr>
                <w:rFonts w:ascii="Arial" w:hAnsi="Arial" w:cs="Arial"/>
                <w:sz w:val="16"/>
                <w:szCs w:val="16"/>
              </w:rPr>
              <w:br/>
            </w:r>
            <w:r w:rsidRPr="007B5F4C">
              <w:rPr>
                <w:rStyle w:val="quality-text"/>
                <w:rFonts w:ascii="Arial" w:hAnsi="Arial" w:cs="Arial"/>
                <w:sz w:val="16"/>
                <w:szCs w:val="16"/>
              </w:rPr>
              <w:t>HIGH</w:t>
            </w:r>
            <w:r w:rsidRPr="007B5F4C">
              <w:rPr>
                <w:rFonts w:ascii="Arial" w:hAnsi="Arial" w:cs="Arial"/>
                <w:sz w:val="16"/>
                <w:szCs w:val="16"/>
              </w:rPr>
              <w:t xml:space="preserve"> </w:t>
            </w:r>
            <w:proofErr w:type="gramStart"/>
            <w:r w:rsidRPr="007B5F4C">
              <w:rPr>
                <w:rFonts w:ascii="Arial" w:hAnsi="Arial" w:cs="Arial"/>
                <w:sz w:val="16"/>
                <w:szCs w:val="16"/>
                <w:vertAlign w:val="superscript"/>
              </w:rPr>
              <w:t>2</w:t>
            </w:r>
            <w:r w:rsidRPr="007B5F4C">
              <w:rPr>
                <w:rStyle w:val="comma"/>
                <w:rFonts w:ascii="Arial" w:hAnsi="Arial" w:cs="Arial"/>
                <w:sz w:val="16"/>
                <w:szCs w:val="16"/>
                <w:vertAlign w:val="superscript"/>
              </w:rPr>
              <w:t>,</w:t>
            </w:r>
            <w:r w:rsidRPr="007B5F4C">
              <w:rPr>
                <w:rFonts w:ascii="Arial" w:hAnsi="Arial" w:cs="Arial"/>
                <w:sz w:val="16"/>
                <w:szCs w:val="16"/>
                <w:vertAlign w:val="superscript"/>
              </w:rPr>
              <w:t>a</w:t>
            </w:r>
            <w:proofErr w:type="gramEnd"/>
          </w:p>
        </w:tc>
        <w:tc>
          <w:tcPr>
            <w:tcW w:w="0" w:type="auto"/>
            <w:tcBorders>
              <w:top w:val="single" w:sz="6" w:space="0" w:color="000000"/>
              <w:left w:val="nil"/>
              <w:bottom w:val="single" w:sz="6" w:space="0" w:color="000000"/>
              <w:right w:val="nil"/>
            </w:tcBorders>
            <w:vAlign w:val="center"/>
            <w:hideMark/>
          </w:tcPr>
          <w:p w14:paraId="3E304AA1" w14:textId="347A5938" w:rsidR="00A44FD1" w:rsidRDefault="00A44FD1" w:rsidP="00E350F6">
            <w:pPr>
              <w:jc w:val="both"/>
              <w:rPr>
                <w:rStyle w:val="block"/>
                <w:b/>
                <w:bCs/>
              </w:rPr>
            </w:pPr>
            <w:r>
              <w:rPr>
                <w:rStyle w:val="block"/>
                <w:rFonts w:ascii="Arial" w:hAnsi="Arial" w:cs="Arial"/>
                <w:b/>
                <w:bCs/>
                <w:sz w:val="16"/>
                <w:szCs w:val="16"/>
              </w:rPr>
              <w:t>I</w:t>
            </w:r>
            <w:r>
              <w:rPr>
                <w:rStyle w:val="block"/>
                <w:b/>
                <w:bCs/>
                <w:sz w:val="16"/>
                <w:szCs w:val="16"/>
              </w:rPr>
              <w:t>ncidence r</w:t>
            </w:r>
            <w:r w:rsidRPr="007B5F4C">
              <w:rPr>
                <w:rStyle w:val="block"/>
                <w:rFonts w:ascii="Arial" w:hAnsi="Arial" w:cs="Arial"/>
                <w:b/>
                <w:bCs/>
                <w:sz w:val="16"/>
                <w:szCs w:val="16"/>
              </w:rPr>
              <w:t xml:space="preserve">ate ratio </w:t>
            </w:r>
            <w:r>
              <w:rPr>
                <w:rStyle w:val="block"/>
                <w:rFonts w:ascii="Arial" w:hAnsi="Arial" w:cs="Arial"/>
                <w:b/>
                <w:bCs/>
                <w:sz w:val="16"/>
                <w:szCs w:val="16"/>
              </w:rPr>
              <w:t xml:space="preserve"> </w:t>
            </w:r>
          </w:p>
          <w:p w14:paraId="5DABE2C5" w14:textId="77777777" w:rsidR="00A44FD1" w:rsidRPr="007B5F4C" w:rsidRDefault="00A44FD1" w:rsidP="00E350F6">
            <w:pPr>
              <w:jc w:val="both"/>
              <w:rPr>
                <w:rFonts w:ascii="Arial" w:hAnsi="Arial" w:cs="Arial"/>
                <w:b/>
                <w:bCs/>
                <w:i/>
                <w:iCs/>
                <w:color w:val="404040" w:themeColor="text1" w:themeTint="BF"/>
                <w:sz w:val="16"/>
                <w:szCs w:val="16"/>
              </w:rPr>
            </w:pPr>
            <w:r w:rsidRPr="007B5F4C">
              <w:rPr>
                <w:rStyle w:val="block"/>
                <w:rFonts w:ascii="Arial" w:hAnsi="Arial" w:cs="Arial"/>
                <w:b/>
                <w:bCs/>
                <w:sz w:val="16"/>
                <w:szCs w:val="16"/>
              </w:rPr>
              <w:t>0.63</w:t>
            </w:r>
            <w:r w:rsidRPr="007B5F4C">
              <w:rPr>
                <w:rFonts w:ascii="Arial" w:hAnsi="Arial" w:cs="Arial"/>
                <w:sz w:val="16"/>
                <w:szCs w:val="16"/>
              </w:rPr>
              <w:br/>
            </w:r>
            <w:r w:rsidRPr="007B5F4C">
              <w:rPr>
                <w:rStyle w:val="cell"/>
                <w:rFonts w:ascii="Arial" w:hAnsi="Arial" w:cs="Arial"/>
                <w:sz w:val="16"/>
                <w:szCs w:val="16"/>
              </w:rPr>
              <w:t>(0.50 to 0.81)</w:t>
            </w:r>
            <w:r w:rsidRPr="007B5F4C">
              <w:rPr>
                <w:rFonts w:ascii="Arial" w:hAnsi="Arial" w:cs="Arial"/>
                <w:sz w:val="16"/>
                <w:szCs w:val="16"/>
              </w:rPr>
              <w:t xml:space="preserve"> </w:t>
            </w:r>
          </w:p>
        </w:tc>
        <w:tc>
          <w:tcPr>
            <w:tcW w:w="1543" w:type="dxa"/>
            <w:tcBorders>
              <w:top w:val="single" w:sz="6" w:space="0" w:color="000000"/>
              <w:left w:val="nil"/>
              <w:right w:val="nil"/>
            </w:tcBorders>
            <w:shd w:val="clear" w:color="auto" w:fill="E0E0E0"/>
            <w:vAlign w:val="center"/>
            <w:hideMark/>
          </w:tcPr>
          <w:p w14:paraId="26278911" w14:textId="77777777" w:rsidR="00A44FD1" w:rsidRPr="007B5F4C" w:rsidRDefault="00A44FD1" w:rsidP="00E350F6">
            <w:pPr>
              <w:jc w:val="both"/>
              <w:rPr>
                <w:rFonts w:ascii="Arial" w:hAnsi="Arial" w:cs="Arial"/>
                <w:b/>
                <w:bCs/>
                <w:i/>
                <w:iCs/>
                <w:color w:val="404040" w:themeColor="text1" w:themeTint="BF"/>
                <w:sz w:val="16"/>
                <w:szCs w:val="16"/>
              </w:rPr>
            </w:pPr>
            <w:r w:rsidRPr="007B5F4C">
              <w:rPr>
                <w:rFonts w:ascii="Arial" w:hAnsi="Arial" w:cs="Arial"/>
                <w:sz w:val="16"/>
                <w:szCs w:val="16"/>
              </w:rPr>
              <w:t xml:space="preserve">13 per 1.000 </w:t>
            </w:r>
          </w:p>
        </w:tc>
        <w:tc>
          <w:tcPr>
            <w:tcW w:w="1528" w:type="dxa"/>
            <w:tcBorders>
              <w:top w:val="single" w:sz="6" w:space="0" w:color="000000"/>
              <w:left w:val="nil"/>
              <w:right w:val="nil"/>
            </w:tcBorders>
            <w:shd w:val="clear" w:color="auto" w:fill="E0E0E0"/>
            <w:vAlign w:val="center"/>
          </w:tcPr>
          <w:p w14:paraId="55C2216C" w14:textId="77777777" w:rsidR="00A44FD1" w:rsidRPr="007B5F4C" w:rsidRDefault="00A44FD1" w:rsidP="00E350F6">
            <w:pPr>
              <w:jc w:val="both"/>
              <w:rPr>
                <w:rFonts w:ascii="Arial" w:hAnsi="Arial" w:cs="Arial"/>
                <w:b/>
                <w:bCs/>
                <w:i/>
                <w:iCs/>
                <w:color w:val="404040" w:themeColor="text1" w:themeTint="BF"/>
                <w:sz w:val="16"/>
                <w:szCs w:val="16"/>
              </w:rPr>
            </w:pPr>
            <w:r w:rsidRPr="007B5F4C">
              <w:rPr>
                <w:rStyle w:val="cell-value"/>
                <w:rFonts w:ascii="Arial" w:hAnsi="Arial" w:cs="Arial"/>
                <w:b/>
                <w:bCs/>
                <w:sz w:val="16"/>
                <w:szCs w:val="16"/>
              </w:rPr>
              <w:t>5 fewer per 1.000</w:t>
            </w:r>
            <w:r w:rsidRPr="007B5F4C">
              <w:rPr>
                <w:rFonts w:ascii="Arial" w:hAnsi="Arial" w:cs="Arial"/>
                <w:sz w:val="16"/>
                <w:szCs w:val="16"/>
              </w:rPr>
              <w:br/>
            </w:r>
            <w:r w:rsidRPr="007B5F4C">
              <w:rPr>
                <w:rStyle w:val="cell-value"/>
                <w:rFonts w:ascii="Arial" w:hAnsi="Arial" w:cs="Arial"/>
                <w:sz w:val="16"/>
                <w:szCs w:val="16"/>
              </w:rPr>
              <w:t>(6 fewer to 2 fewer)</w:t>
            </w:r>
            <w:r w:rsidRPr="007B5F4C">
              <w:rPr>
                <w:rFonts w:ascii="Arial" w:hAnsi="Arial" w:cs="Arial"/>
                <w:sz w:val="16"/>
                <w:szCs w:val="16"/>
              </w:rPr>
              <w:t xml:space="preserve"> </w:t>
            </w:r>
          </w:p>
        </w:tc>
      </w:tr>
      <w:tr w:rsidR="00A44FD1" w:rsidRPr="00F87E48" w14:paraId="69BD78D9" w14:textId="77777777" w:rsidTr="00875189">
        <w:trPr>
          <w:cantSplit/>
          <w:trHeight w:val="491"/>
        </w:trPr>
        <w:tc>
          <w:tcPr>
            <w:tcW w:w="0" w:type="auto"/>
            <w:tcBorders>
              <w:top w:val="single" w:sz="6" w:space="0" w:color="000000"/>
              <w:left w:val="nil"/>
              <w:bottom w:val="single" w:sz="6" w:space="0" w:color="000000"/>
              <w:right w:val="nil"/>
            </w:tcBorders>
            <w:vAlign w:val="center"/>
            <w:hideMark/>
          </w:tcPr>
          <w:p w14:paraId="0DD15503" w14:textId="77777777" w:rsidR="00A44FD1" w:rsidRPr="007B5F4C" w:rsidRDefault="00A44FD1" w:rsidP="00E350F6">
            <w:pPr>
              <w:rPr>
                <w:rFonts w:ascii="Arial" w:hAnsi="Arial" w:cs="Arial"/>
                <w:b/>
                <w:bCs/>
                <w:i/>
                <w:iCs/>
                <w:color w:val="404040" w:themeColor="text1" w:themeTint="BF"/>
                <w:sz w:val="16"/>
                <w:szCs w:val="16"/>
              </w:rPr>
            </w:pPr>
            <w:r w:rsidRPr="007B5F4C">
              <w:rPr>
                <w:rStyle w:val="label"/>
                <w:rFonts w:ascii="Arial" w:hAnsi="Arial" w:cs="Arial"/>
                <w:sz w:val="16"/>
                <w:szCs w:val="16"/>
              </w:rPr>
              <w:t xml:space="preserve">Asthma Control </w:t>
            </w:r>
            <w:r w:rsidRPr="007B5F4C">
              <w:rPr>
                <w:rFonts w:ascii="Arial" w:hAnsi="Arial" w:cs="Arial"/>
                <w:sz w:val="16"/>
                <w:szCs w:val="16"/>
              </w:rPr>
              <w:br/>
            </w:r>
            <w:r w:rsidRPr="007B5F4C">
              <w:rPr>
                <w:rStyle w:val="label"/>
                <w:rFonts w:ascii="Arial" w:hAnsi="Arial" w:cs="Arial"/>
                <w:sz w:val="16"/>
                <w:szCs w:val="16"/>
              </w:rPr>
              <w:t>assessed with: ACQ-6 score between-group-difference at the end of treatment</w:t>
            </w:r>
            <w:r w:rsidRPr="007B5F4C">
              <w:rPr>
                <w:rFonts w:ascii="Arial" w:hAnsi="Arial" w:cs="Arial"/>
                <w:sz w:val="16"/>
                <w:szCs w:val="16"/>
              </w:rPr>
              <w:br/>
            </w:r>
          </w:p>
        </w:tc>
        <w:tc>
          <w:tcPr>
            <w:tcW w:w="0" w:type="auto"/>
            <w:tcBorders>
              <w:top w:val="single" w:sz="6" w:space="0" w:color="000000"/>
              <w:left w:val="nil"/>
              <w:bottom w:val="single" w:sz="6" w:space="0" w:color="000000"/>
              <w:right w:val="nil"/>
            </w:tcBorders>
            <w:vAlign w:val="center"/>
            <w:hideMark/>
          </w:tcPr>
          <w:p w14:paraId="32B718BA" w14:textId="77777777" w:rsidR="00A44FD1" w:rsidRDefault="00A44FD1" w:rsidP="00E350F6">
            <w:pPr>
              <w:jc w:val="both"/>
              <w:rPr>
                <w:rFonts w:ascii="Arial" w:hAnsi="Arial" w:cs="Arial"/>
                <w:sz w:val="16"/>
                <w:szCs w:val="16"/>
                <w:vertAlign w:val="superscript"/>
              </w:rPr>
            </w:pPr>
            <w:r w:rsidRPr="007B5F4C">
              <w:rPr>
                <w:rFonts w:ascii="Arial" w:hAnsi="Arial" w:cs="Arial"/>
                <w:sz w:val="16"/>
                <w:szCs w:val="16"/>
              </w:rPr>
              <w:t>414</w:t>
            </w:r>
            <w:r w:rsidRPr="007B5F4C">
              <w:rPr>
                <w:rFonts w:ascii="Arial" w:hAnsi="Arial" w:cs="Arial"/>
                <w:sz w:val="16"/>
                <w:szCs w:val="16"/>
              </w:rPr>
              <w:br/>
              <w:t xml:space="preserve">(2 RCTs) </w:t>
            </w:r>
            <w:r w:rsidRPr="00FD1663">
              <w:rPr>
                <w:rFonts w:ascii="Arial" w:hAnsi="Arial" w:cs="Arial"/>
                <w:sz w:val="16"/>
                <w:szCs w:val="16"/>
                <w:vertAlign w:val="superscript"/>
              </w:rPr>
              <w:t>34</w:t>
            </w:r>
          </w:p>
          <w:p w14:paraId="353C59BC" w14:textId="77777777" w:rsidR="00A44FD1" w:rsidRPr="007B5F4C" w:rsidRDefault="00A44FD1" w:rsidP="00E350F6">
            <w:pPr>
              <w:jc w:val="both"/>
              <w:rPr>
                <w:rFonts w:ascii="Arial" w:hAnsi="Arial" w:cs="Arial"/>
                <w:b/>
                <w:bCs/>
                <w:i/>
                <w:iCs/>
                <w:color w:val="404040" w:themeColor="text1" w:themeTint="BF"/>
                <w:sz w:val="16"/>
                <w:szCs w:val="16"/>
              </w:rPr>
            </w:pPr>
            <w:r w:rsidRPr="007B5F4C">
              <w:rPr>
                <w:rStyle w:val="label"/>
                <w:rFonts w:ascii="Arial" w:hAnsi="Arial" w:cs="Arial"/>
                <w:sz w:val="16"/>
                <w:szCs w:val="16"/>
              </w:rPr>
              <w:t>48 weeks to 56 weeks</w:t>
            </w:r>
          </w:p>
        </w:tc>
        <w:tc>
          <w:tcPr>
            <w:tcW w:w="0" w:type="auto"/>
            <w:tcBorders>
              <w:top w:val="single" w:sz="6" w:space="0" w:color="000000"/>
              <w:left w:val="nil"/>
              <w:bottom w:val="single" w:sz="6" w:space="0" w:color="000000"/>
              <w:right w:val="nil"/>
            </w:tcBorders>
            <w:vAlign w:val="center"/>
            <w:hideMark/>
          </w:tcPr>
          <w:p w14:paraId="674B43AE" w14:textId="77777777" w:rsidR="00A44FD1" w:rsidRPr="007B5F4C" w:rsidRDefault="00A44FD1" w:rsidP="00E350F6">
            <w:pPr>
              <w:jc w:val="both"/>
              <w:rPr>
                <w:rFonts w:ascii="Arial" w:hAnsi="Arial" w:cs="Arial"/>
                <w:b/>
                <w:bCs/>
                <w:color w:val="1F3763" w:themeColor="accent1" w:themeShade="7F"/>
                <w:sz w:val="16"/>
                <w:szCs w:val="16"/>
              </w:rPr>
            </w:pPr>
            <w:r w:rsidRPr="007B5F4C">
              <w:rPr>
                <w:rStyle w:val="quality-sign"/>
                <w:rFonts w:ascii="Cambria Math" w:hAnsi="Cambria Math" w:cs="Cambria Math"/>
                <w:sz w:val="16"/>
                <w:szCs w:val="16"/>
              </w:rPr>
              <w:t>⨁⨁⨁⨁</w:t>
            </w:r>
            <w:r w:rsidRPr="007B5F4C">
              <w:rPr>
                <w:rFonts w:ascii="Arial" w:hAnsi="Arial" w:cs="Arial"/>
                <w:sz w:val="16"/>
                <w:szCs w:val="16"/>
              </w:rPr>
              <w:br/>
            </w:r>
            <w:r w:rsidRPr="007B5F4C">
              <w:rPr>
                <w:rStyle w:val="quality-text"/>
                <w:rFonts w:ascii="Arial" w:hAnsi="Arial" w:cs="Arial"/>
                <w:sz w:val="16"/>
                <w:szCs w:val="16"/>
              </w:rPr>
              <w:t>HIGH</w:t>
            </w:r>
            <w:r w:rsidRPr="007B5F4C">
              <w:rPr>
                <w:rFonts w:ascii="Arial" w:hAnsi="Arial" w:cs="Arial"/>
                <w:sz w:val="16"/>
                <w:szCs w:val="16"/>
              </w:rPr>
              <w:t xml:space="preserve"> </w:t>
            </w:r>
            <w:r w:rsidRPr="007B5F4C">
              <w:rPr>
                <w:rFonts w:ascii="Arial" w:hAnsi="Arial" w:cs="Arial"/>
                <w:sz w:val="16"/>
                <w:szCs w:val="16"/>
                <w:vertAlign w:val="superscript"/>
              </w:rPr>
              <w:t>2</w:t>
            </w:r>
            <w:r w:rsidRPr="007B5F4C">
              <w:rPr>
                <w:rStyle w:val="comma"/>
                <w:rFonts w:ascii="Arial" w:hAnsi="Arial" w:cs="Arial"/>
                <w:sz w:val="16"/>
                <w:szCs w:val="16"/>
                <w:vertAlign w:val="superscript"/>
              </w:rPr>
              <w:t>,</w:t>
            </w:r>
            <w:proofErr w:type="gramStart"/>
            <w:r w:rsidRPr="007B5F4C">
              <w:rPr>
                <w:rFonts w:ascii="Arial" w:hAnsi="Arial" w:cs="Arial"/>
                <w:sz w:val="16"/>
                <w:szCs w:val="16"/>
                <w:vertAlign w:val="superscript"/>
              </w:rPr>
              <w:t>3</w:t>
            </w:r>
            <w:r w:rsidRPr="007B5F4C">
              <w:rPr>
                <w:rStyle w:val="comma"/>
                <w:rFonts w:ascii="Arial" w:hAnsi="Arial" w:cs="Arial"/>
                <w:sz w:val="16"/>
                <w:szCs w:val="16"/>
                <w:vertAlign w:val="superscript"/>
              </w:rPr>
              <w:t>,</w:t>
            </w:r>
            <w:r w:rsidRPr="007B5F4C">
              <w:rPr>
                <w:rFonts w:ascii="Arial" w:hAnsi="Arial" w:cs="Arial"/>
                <w:sz w:val="16"/>
                <w:szCs w:val="16"/>
                <w:vertAlign w:val="superscript"/>
              </w:rPr>
              <w:t>a</w:t>
            </w:r>
            <w:proofErr w:type="gramEnd"/>
            <w:r w:rsidRPr="007B5F4C">
              <w:rPr>
                <w:rStyle w:val="comma"/>
                <w:rFonts w:ascii="Arial" w:hAnsi="Arial" w:cs="Arial"/>
                <w:sz w:val="16"/>
                <w:szCs w:val="16"/>
                <w:vertAlign w:val="superscript"/>
              </w:rPr>
              <w:t>,</w:t>
            </w:r>
            <w:r w:rsidRPr="007B5F4C">
              <w:rPr>
                <w:rFonts w:ascii="Arial" w:hAnsi="Arial" w:cs="Arial"/>
                <w:sz w:val="16"/>
                <w:szCs w:val="16"/>
                <w:vertAlign w:val="superscript"/>
              </w:rPr>
              <w:t>b</w:t>
            </w:r>
          </w:p>
        </w:tc>
        <w:tc>
          <w:tcPr>
            <w:tcW w:w="0" w:type="auto"/>
            <w:tcBorders>
              <w:top w:val="single" w:sz="6" w:space="0" w:color="000000"/>
              <w:left w:val="nil"/>
              <w:bottom w:val="single" w:sz="6" w:space="0" w:color="000000"/>
              <w:right w:val="nil"/>
            </w:tcBorders>
            <w:vAlign w:val="center"/>
            <w:hideMark/>
          </w:tcPr>
          <w:p w14:paraId="4D7067DD" w14:textId="77777777" w:rsidR="00A44FD1" w:rsidRPr="007B5F4C" w:rsidRDefault="00A44FD1" w:rsidP="00E350F6">
            <w:pPr>
              <w:jc w:val="both"/>
              <w:rPr>
                <w:rFonts w:ascii="Arial" w:hAnsi="Arial" w:cs="Arial"/>
                <w:b/>
                <w:bCs/>
                <w:i/>
                <w:iCs/>
                <w:color w:val="404040" w:themeColor="text1" w:themeTint="BF"/>
                <w:sz w:val="16"/>
                <w:szCs w:val="16"/>
              </w:rPr>
            </w:pPr>
            <w:r w:rsidRPr="007B5F4C">
              <w:rPr>
                <w:rStyle w:val="cell"/>
                <w:rFonts w:ascii="Arial" w:hAnsi="Arial" w:cs="Arial"/>
                <w:sz w:val="16"/>
                <w:szCs w:val="16"/>
              </w:rPr>
              <w:t>-</w:t>
            </w:r>
            <w:r w:rsidRPr="007B5F4C">
              <w:rPr>
                <w:rFonts w:ascii="Arial" w:hAnsi="Arial" w:cs="Arial"/>
                <w:sz w:val="16"/>
                <w:szCs w:val="16"/>
              </w:rPr>
              <w:t xml:space="preserve"> </w:t>
            </w:r>
          </w:p>
        </w:tc>
        <w:tc>
          <w:tcPr>
            <w:tcW w:w="1543" w:type="dxa"/>
            <w:tcBorders>
              <w:top w:val="single" w:sz="6" w:space="0" w:color="000000"/>
              <w:left w:val="nil"/>
              <w:bottom w:val="single" w:sz="6" w:space="0" w:color="000000"/>
              <w:right w:val="nil"/>
            </w:tcBorders>
            <w:shd w:val="clear" w:color="auto" w:fill="EDEDED"/>
            <w:vAlign w:val="center"/>
            <w:hideMark/>
          </w:tcPr>
          <w:p w14:paraId="6C4D7A93" w14:textId="5EB813AD" w:rsidR="00A44FD1" w:rsidRPr="007B5F4C" w:rsidRDefault="00A44FD1" w:rsidP="00E350F6">
            <w:pPr>
              <w:jc w:val="both"/>
              <w:rPr>
                <w:rFonts w:ascii="Arial" w:hAnsi="Arial" w:cs="Arial"/>
                <w:b/>
                <w:bCs/>
                <w:i/>
                <w:iCs/>
                <w:color w:val="404040" w:themeColor="text1" w:themeTint="BF"/>
                <w:sz w:val="16"/>
                <w:szCs w:val="16"/>
              </w:rPr>
            </w:pPr>
            <w:r w:rsidRPr="007B5F4C">
              <w:rPr>
                <w:rStyle w:val="cell-value"/>
                <w:rFonts w:ascii="Arial" w:hAnsi="Arial" w:cs="Arial"/>
                <w:sz w:val="16"/>
                <w:szCs w:val="16"/>
              </w:rPr>
              <w:t xml:space="preserve">The mean asthma Control was </w:t>
            </w:r>
            <w:r w:rsidRPr="007B5F4C">
              <w:rPr>
                <w:rStyle w:val="cell-value"/>
                <w:rFonts w:ascii="Arial" w:hAnsi="Arial" w:cs="Arial"/>
                <w:b/>
                <w:bCs/>
                <w:sz w:val="16"/>
                <w:szCs w:val="16"/>
              </w:rPr>
              <w:t>0</w:t>
            </w:r>
            <w:r w:rsidRPr="007B5F4C">
              <w:rPr>
                <w:rStyle w:val="cell-value"/>
                <w:rFonts w:ascii="Arial" w:hAnsi="Arial" w:cs="Arial"/>
                <w:sz w:val="16"/>
                <w:szCs w:val="16"/>
              </w:rPr>
              <w:t xml:space="preserve"> </w:t>
            </w:r>
          </w:p>
        </w:tc>
        <w:tc>
          <w:tcPr>
            <w:tcW w:w="1528" w:type="dxa"/>
            <w:tcBorders>
              <w:top w:val="single" w:sz="6" w:space="0" w:color="000000"/>
              <w:left w:val="nil"/>
              <w:bottom w:val="single" w:sz="6" w:space="0" w:color="000000"/>
              <w:right w:val="nil"/>
            </w:tcBorders>
            <w:shd w:val="clear" w:color="auto" w:fill="EDEDED"/>
            <w:vAlign w:val="center"/>
            <w:hideMark/>
          </w:tcPr>
          <w:p w14:paraId="73644BD1" w14:textId="77777777" w:rsidR="00A44FD1" w:rsidRPr="007B5F4C" w:rsidRDefault="00A44FD1" w:rsidP="00E350F6">
            <w:pPr>
              <w:jc w:val="both"/>
              <w:rPr>
                <w:rFonts w:ascii="Arial" w:hAnsi="Arial" w:cs="Arial"/>
                <w:b/>
                <w:bCs/>
                <w:i/>
                <w:iCs/>
                <w:color w:val="404040" w:themeColor="text1" w:themeTint="BF"/>
                <w:sz w:val="16"/>
                <w:szCs w:val="16"/>
              </w:rPr>
            </w:pPr>
            <w:r w:rsidRPr="007B5F4C">
              <w:rPr>
                <w:rStyle w:val="cell-value"/>
                <w:rFonts w:ascii="Arial" w:hAnsi="Arial" w:cs="Arial"/>
                <w:sz w:val="16"/>
                <w:szCs w:val="16"/>
              </w:rPr>
              <w:t xml:space="preserve">MD </w:t>
            </w:r>
            <w:r>
              <w:rPr>
                <w:rStyle w:val="cell-value"/>
                <w:rFonts w:ascii="Arial" w:hAnsi="Arial" w:cs="Arial"/>
                <w:sz w:val="16"/>
                <w:szCs w:val="16"/>
              </w:rPr>
              <w:t>-</w:t>
            </w:r>
            <w:r>
              <w:rPr>
                <w:rStyle w:val="cell-value"/>
                <w:rFonts w:eastAsia="Calibri"/>
              </w:rPr>
              <w:t xml:space="preserve"> </w:t>
            </w:r>
            <w:r w:rsidRPr="007B5F4C">
              <w:rPr>
                <w:rStyle w:val="cell-value"/>
                <w:rFonts w:ascii="Arial" w:hAnsi="Arial" w:cs="Arial"/>
                <w:b/>
                <w:bCs/>
                <w:sz w:val="16"/>
                <w:szCs w:val="16"/>
              </w:rPr>
              <w:t xml:space="preserve">0.17 </w:t>
            </w:r>
            <w:r w:rsidRPr="007B5F4C">
              <w:rPr>
                <w:rFonts w:ascii="Arial" w:hAnsi="Arial" w:cs="Arial"/>
                <w:sz w:val="16"/>
                <w:szCs w:val="16"/>
              </w:rPr>
              <w:br/>
            </w:r>
            <w:r w:rsidRPr="007B5F4C">
              <w:rPr>
                <w:rStyle w:val="cell-value"/>
                <w:rFonts w:ascii="Arial" w:hAnsi="Arial" w:cs="Arial"/>
                <w:sz w:val="16"/>
                <w:szCs w:val="16"/>
              </w:rPr>
              <w:t>(</w:t>
            </w:r>
            <w:r>
              <w:rPr>
                <w:rStyle w:val="cell-value"/>
                <w:rFonts w:ascii="Arial" w:hAnsi="Arial" w:cs="Arial"/>
                <w:sz w:val="16"/>
                <w:szCs w:val="16"/>
              </w:rPr>
              <w:t>-</w:t>
            </w:r>
            <w:r w:rsidRPr="007B5F4C">
              <w:rPr>
                <w:rStyle w:val="cell-value"/>
                <w:rFonts w:ascii="Arial" w:hAnsi="Arial" w:cs="Arial"/>
                <w:sz w:val="16"/>
                <w:szCs w:val="16"/>
              </w:rPr>
              <w:t xml:space="preserve">0.34 to </w:t>
            </w:r>
            <w:proofErr w:type="gramStart"/>
            <w:r w:rsidRPr="007B5F4C">
              <w:rPr>
                <w:rStyle w:val="cell-value"/>
                <w:rFonts w:ascii="Arial" w:hAnsi="Arial" w:cs="Arial"/>
                <w:sz w:val="16"/>
                <w:szCs w:val="16"/>
              </w:rPr>
              <w:t>0 )</w:t>
            </w:r>
            <w:proofErr w:type="gramEnd"/>
            <w:r w:rsidRPr="007B5F4C">
              <w:rPr>
                <w:rFonts w:ascii="Arial" w:hAnsi="Arial" w:cs="Arial"/>
                <w:sz w:val="16"/>
                <w:szCs w:val="16"/>
              </w:rPr>
              <w:t xml:space="preserve"> </w:t>
            </w:r>
          </w:p>
        </w:tc>
      </w:tr>
      <w:tr w:rsidR="00A44FD1" w:rsidRPr="00F87E48" w14:paraId="49ACB89B" w14:textId="77777777" w:rsidTr="00875189">
        <w:trPr>
          <w:cantSplit/>
        </w:trPr>
        <w:tc>
          <w:tcPr>
            <w:tcW w:w="0" w:type="auto"/>
            <w:tcBorders>
              <w:top w:val="single" w:sz="6" w:space="0" w:color="000000"/>
              <w:left w:val="nil"/>
              <w:bottom w:val="single" w:sz="6" w:space="0" w:color="000000"/>
              <w:right w:val="nil"/>
            </w:tcBorders>
            <w:vAlign w:val="center"/>
          </w:tcPr>
          <w:p w14:paraId="24D21AA3" w14:textId="77777777" w:rsidR="00A44FD1" w:rsidRPr="007B5F4C" w:rsidRDefault="00A44FD1" w:rsidP="00E350F6">
            <w:pPr>
              <w:rPr>
                <w:rStyle w:val="label"/>
                <w:rFonts w:ascii="Arial" w:hAnsi="Arial" w:cs="Arial"/>
                <w:sz w:val="16"/>
                <w:szCs w:val="16"/>
              </w:rPr>
            </w:pPr>
            <w:r w:rsidRPr="007B5F4C">
              <w:rPr>
                <w:rStyle w:val="label"/>
                <w:rFonts w:ascii="Arial" w:hAnsi="Arial" w:cs="Arial"/>
                <w:sz w:val="16"/>
                <w:szCs w:val="16"/>
              </w:rPr>
              <w:t>Quality of Life</w:t>
            </w:r>
            <w:r w:rsidRPr="007B5F4C">
              <w:rPr>
                <w:rFonts w:ascii="Arial" w:hAnsi="Arial" w:cs="Arial"/>
                <w:sz w:val="16"/>
                <w:szCs w:val="16"/>
              </w:rPr>
              <w:br/>
            </w:r>
            <w:r w:rsidRPr="007B5F4C">
              <w:rPr>
                <w:rStyle w:val="label"/>
                <w:rFonts w:ascii="Arial" w:hAnsi="Arial" w:cs="Arial"/>
                <w:sz w:val="16"/>
                <w:szCs w:val="16"/>
              </w:rPr>
              <w:t>assessed with: Quality of Life Questionnaire for 12 years and older [AQLQ(S)+12], between-group-difference at the end of treatment</w:t>
            </w:r>
          </w:p>
        </w:tc>
        <w:tc>
          <w:tcPr>
            <w:tcW w:w="0" w:type="auto"/>
            <w:tcBorders>
              <w:top w:val="single" w:sz="6" w:space="0" w:color="000000"/>
              <w:left w:val="nil"/>
              <w:bottom w:val="single" w:sz="6" w:space="0" w:color="000000"/>
              <w:right w:val="nil"/>
            </w:tcBorders>
            <w:vAlign w:val="center"/>
          </w:tcPr>
          <w:p w14:paraId="2B54B815" w14:textId="77777777" w:rsidR="00A44FD1" w:rsidRDefault="00A44FD1" w:rsidP="00E350F6">
            <w:pPr>
              <w:jc w:val="both"/>
              <w:rPr>
                <w:rFonts w:ascii="Arial" w:hAnsi="Arial" w:cs="Arial"/>
                <w:sz w:val="16"/>
                <w:szCs w:val="16"/>
                <w:vertAlign w:val="superscript"/>
              </w:rPr>
            </w:pPr>
            <w:r w:rsidRPr="007B5F4C">
              <w:rPr>
                <w:rFonts w:ascii="Arial" w:hAnsi="Arial" w:cs="Arial"/>
                <w:sz w:val="16"/>
                <w:szCs w:val="16"/>
              </w:rPr>
              <w:t>404</w:t>
            </w:r>
            <w:r w:rsidRPr="007B5F4C">
              <w:rPr>
                <w:rFonts w:ascii="Arial" w:hAnsi="Arial" w:cs="Arial"/>
                <w:sz w:val="16"/>
                <w:szCs w:val="16"/>
              </w:rPr>
              <w:br/>
              <w:t xml:space="preserve">(2 RCTs) </w:t>
            </w:r>
            <w:r w:rsidRPr="00FD1663">
              <w:rPr>
                <w:rFonts w:ascii="Arial" w:hAnsi="Arial" w:cs="Arial"/>
                <w:sz w:val="16"/>
                <w:szCs w:val="16"/>
                <w:vertAlign w:val="superscript"/>
              </w:rPr>
              <w:t>34</w:t>
            </w:r>
          </w:p>
          <w:p w14:paraId="6C26C170" w14:textId="77777777" w:rsidR="00A44FD1" w:rsidRPr="007B5F4C" w:rsidRDefault="00A44FD1" w:rsidP="00E350F6">
            <w:pPr>
              <w:jc w:val="both"/>
              <w:rPr>
                <w:rFonts w:ascii="Arial" w:hAnsi="Arial" w:cs="Arial"/>
                <w:sz w:val="16"/>
                <w:szCs w:val="16"/>
              </w:rPr>
            </w:pPr>
            <w:r w:rsidRPr="007B5F4C">
              <w:rPr>
                <w:rStyle w:val="label"/>
                <w:rFonts w:ascii="Arial" w:hAnsi="Arial" w:cs="Arial"/>
                <w:sz w:val="16"/>
                <w:szCs w:val="16"/>
              </w:rPr>
              <w:t>48 weeks to 56 weeks</w:t>
            </w:r>
          </w:p>
        </w:tc>
        <w:tc>
          <w:tcPr>
            <w:tcW w:w="0" w:type="auto"/>
            <w:tcBorders>
              <w:top w:val="single" w:sz="6" w:space="0" w:color="000000"/>
              <w:left w:val="nil"/>
              <w:bottom w:val="single" w:sz="6" w:space="0" w:color="000000"/>
              <w:right w:val="nil"/>
            </w:tcBorders>
            <w:vAlign w:val="center"/>
          </w:tcPr>
          <w:p w14:paraId="25D7CE4A" w14:textId="77777777" w:rsidR="00A44FD1" w:rsidRPr="007B5F4C" w:rsidRDefault="00A44FD1" w:rsidP="00E350F6">
            <w:pPr>
              <w:jc w:val="both"/>
              <w:rPr>
                <w:rStyle w:val="quality-sign"/>
                <w:rFonts w:ascii="Cambria Math" w:hAnsi="Cambria Math" w:cs="Cambria Math"/>
                <w:sz w:val="16"/>
                <w:szCs w:val="16"/>
              </w:rPr>
            </w:pPr>
            <w:r w:rsidRPr="007B5F4C">
              <w:rPr>
                <w:rStyle w:val="quality-sign"/>
                <w:rFonts w:ascii="Cambria Math" w:hAnsi="Cambria Math" w:cs="Cambria Math"/>
                <w:sz w:val="16"/>
                <w:szCs w:val="16"/>
              </w:rPr>
              <w:t>⨁⨁⨁⨁</w:t>
            </w:r>
            <w:r w:rsidRPr="007B5F4C">
              <w:rPr>
                <w:rFonts w:ascii="Arial" w:hAnsi="Arial" w:cs="Arial"/>
                <w:sz w:val="16"/>
                <w:szCs w:val="16"/>
              </w:rPr>
              <w:br/>
            </w:r>
            <w:r w:rsidRPr="007B5F4C">
              <w:rPr>
                <w:rStyle w:val="quality-text"/>
                <w:rFonts w:ascii="Arial" w:hAnsi="Arial" w:cs="Arial"/>
                <w:sz w:val="16"/>
                <w:szCs w:val="16"/>
              </w:rPr>
              <w:t>HIGH</w:t>
            </w:r>
            <w:r w:rsidRPr="007B5F4C">
              <w:rPr>
                <w:rFonts w:ascii="Arial" w:hAnsi="Arial" w:cs="Arial"/>
                <w:sz w:val="16"/>
                <w:szCs w:val="16"/>
              </w:rPr>
              <w:t xml:space="preserve"> </w:t>
            </w:r>
            <w:r w:rsidRPr="007B5F4C">
              <w:rPr>
                <w:rFonts w:ascii="Arial" w:hAnsi="Arial" w:cs="Arial"/>
                <w:sz w:val="16"/>
                <w:szCs w:val="16"/>
                <w:vertAlign w:val="superscript"/>
              </w:rPr>
              <w:t>2</w:t>
            </w:r>
            <w:r w:rsidRPr="007B5F4C">
              <w:rPr>
                <w:rStyle w:val="comma"/>
                <w:rFonts w:ascii="Arial" w:hAnsi="Arial" w:cs="Arial"/>
                <w:sz w:val="16"/>
                <w:szCs w:val="16"/>
                <w:vertAlign w:val="superscript"/>
              </w:rPr>
              <w:t>,</w:t>
            </w:r>
            <w:proofErr w:type="gramStart"/>
            <w:r w:rsidRPr="007B5F4C">
              <w:rPr>
                <w:rFonts w:ascii="Arial" w:hAnsi="Arial" w:cs="Arial"/>
                <w:sz w:val="16"/>
                <w:szCs w:val="16"/>
                <w:vertAlign w:val="superscript"/>
              </w:rPr>
              <w:t>5</w:t>
            </w:r>
            <w:r w:rsidRPr="007B5F4C">
              <w:rPr>
                <w:rStyle w:val="comma"/>
                <w:rFonts w:ascii="Arial" w:hAnsi="Arial" w:cs="Arial"/>
                <w:sz w:val="16"/>
                <w:szCs w:val="16"/>
                <w:vertAlign w:val="superscript"/>
              </w:rPr>
              <w:t>,</w:t>
            </w:r>
            <w:r w:rsidRPr="007B5F4C">
              <w:rPr>
                <w:rFonts w:ascii="Arial" w:hAnsi="Arial" w:cs="Arial"/>
                <w:sz w:val="16"/>
                <w:szCs w:val="16"/>
                <w:vertAlign w:val="superscript"/>
              </w:rPr>
              <w:t>a</w:t>
            </w:r>
            <w:proofErr w:type="gramEnd"/>
            <w:r w:rsidRPr="007B5F4C">
              <w:rPr>
                <w:rStyle w:val="comma"/>
                <w:rFonts w:ascii="Arial" w:hAnsi="Arial" w:cs="Arial"/>
                <w:sz w:val="16"/>
                <w:szCs w:val="16"/>
                <w:vertAlign w:val="superscript"/>
              </w:rPr>
              <w:t>,</w:t>
            </w:r>
            <w:r w:rsidRPr="007B5F4C">
              <w:rPr>
                <w:rFonts w:ascii="Arial" w:hAnsi="Arial" w:cs="Arial"/>
                <w:sz w:val="16"/>
                <w:szCs w:val="16"/>
                <w:vertAlign w:val="superscript"/>
              </w:rPr>
              <w:t>e</w:t>
            </w:r>
          </w:p>
        </w:tc>
        <w:tc>
          <w:tcPr>
            <w:tcW w:w="0" w:type="auto"/>
            <w:tcBorders>
              <w:top w:val="single" w:sz="6" w:space="0" w:color="000000"/>
              <w:left w:val="nil"/>
              <w:bottom w:val="single" w:sz="6" w:space="0" w:color="000000"/>
              <w:right w:val="nil"/>
            </w:tcBorders>
            <w:vAlign w:val="center"/>
          </w:tcPr>
          <w:p w14:paraId="6311B63C" w14:textId="77777777" w:rsidR="00A44FD1" w:rsidRPr="007B5F4C" w:rsidRDefault="00A44FD1" w:rsidP="00E350F6">
            <w:pPr>
              <w:jc w:val="both"/>
              <w:rPr>
                <w:rStyle w:val="cell"/>
                <w:rFonts w:ascii="Arial" w:hAnsi="Arial" w:cs="Arial"/>
                <w:sz w:val="16"/>
                <w:szCs w:val="16"/>
              </w:rPr>
            </w:pPr>
            <w:r w:rsidRPr="007B5F4C">
              <w:rPr>
                <w:rStyle w:val="cell"/>
                <w:rFonts w:ascii="Arial" w:hAnsi="Arial" w:cs="Arial"/>
                <w:sz w:val="16"/>
                <w:szCs w:val="16"/>
              </w:rPr>
              <w:t>-</w:t>
            </w:r>
            <w:r w:rsidRPr="007B5F4C">
              <w:rPr>
                <w:rFonts w:ascii="Arial" w:hAnsi="Arial" w:cs="Arial"/>
                <w:sz w:val="16"/>
                <w:szCs w:val="16"/>
              </w:rPr>
              <w:t xml:space="preserve"> </w:t>
            </w:r>
          </w:p>
        </w:tc>
        <w:tc>
          <w:tcPr>
            <w:tcW w:w="1543" w:type="dxa"/>
            <w:tcBorders>
              <w:top w:val="single" w:sz="6" w:space="0" w:color="000000"/>
              <w:left w:val="nil"/>
              <w:bottom w:val="single" w:sz="6" w:space="0" w:color="000000"/>
              <w:right w:val="nil"/>
            </w:tcBorders>
            <w:shd w:val="clear" w:color="auto" w:fill="EDEDED"/>
            <w:vAlign w:val="center"/>
          </w:tcPr>
          <w:p w14:paraId="39891555" w14:textId="21A8AB15" w:rsidR="00A44FD1" w:rsidRPr="007B5F4C" w:rsidRDefault="00A44FD1" w:rsidP="00E350F6">
            <w:pPr>
              <w:jc w:val="both"/>
              <w:rPr>
                <w:rStyle w:val="cell-value"/>
                <w:rFonts w:ascii="Arial" w:hAnsi="Arial" w:cs="Arial"/>
                <w:sz w:val="16"/>
                <w:szCs w:val="16"/>
              </w:rPr>
            </w:pPr>
            <w:r w:rsidRPr="007B5F4C">
              <w:rPr>
                <w:rStyle w:val="cell-value"/>
                <w:rFonts w:ascii="Arial" w:hAnsi="Arial" w:cs="Arial"/>
                <w:sz w:val="16"/>
                <w:szCs w:val="16"/>
              </w:rPr>
              <w:t xml:space="preserve">The mean quality of Life was </w:t>
            </w:r>
            <w:r w:rsidRPr="007B5F4C">
              <w:rPr>
                <w:rStyle w:val="cell-value"/>
                <w:rFonts w:ascii="Arial" w:hAnsi="Arial" w:cs="Arial"/>
                <w:b/>
                <w:bCs/>
                <w:sz w:val="16"/>
                <w:szCs w:val="16"/>
              </w:rPr>
              <w:t>0</w:t>
            </w:r>
            <w:r w:rsidRPr="007B5F4C">
              <w:rPr>
                <w:rStyle w:val="cell-value"/>
                <w:rFonts w:ascii="Arial" w:hAnsi="Arial" w:cs="Arial"/>
                <w:sz w:val="16"/>
                <w:szCs w:val="16"/>
              </w:rPr>
              <w:t xml:space="preserve"> </w:t>
            </w:r>
          </w:p>
        </w:tc>
        <w:tc>
          <w:tcPr>
            <w:tcW w:w="1528" w:type="dxa"/>
            <w:tcBorders>
              <w:top w:val="single" w:sz="6" w:space="0" w:color="000000"/>
              <w:left w:val="nil"/>
              <w:bottom w:val="single" w:sz="6" w:space="0" w:color="000000"/>
              <w:right w:val="nil"/>
            </w:tcBorders>
            <w:shd w:val="clear" w:color="auto" w:fill="EDEDED"/>
            <w:vAlign w:val="center"/>
          </w:tcPr>
          <w:p w14:paraId="5B04292E" w14:textId="77777777" w:rsidR="00A44FD1" w:rsidRPr="007B5F4C" w:rsidRDefault="00A44FD1" w:rsidP="00E350F6">
            <w:pPr>
              <w:jc w:val="both"/>
              <w:rPr>
                <w:rStyle w:val="cell-value"/>
                <w:rFonts w:ascii="Arial" w:hAnsi="Arial" w:cs="Arial"/>
                <w:sz w:val="16"/>
                <w:szCs w:val="16"/>
              </w:rPr>
            </w:pPr>
            <w:r w:rsidRPr="007B5F4C">
              <w:rPr>
                <w:rStyle w:val="cell-value"/>
                <w:rFonts w:ascii="Arial" w:hAnsi="Arial" w:cs="Arial"/>
                <w:sz w:val="16"/>
                <w:szCs w:val="16"/>
              </w:rPr>
              <w:t xml:space="preserve">MD </w:t>
            </w:r>
            <w:r>
              <w:rPr>
                <w:rStyle w:val="cell-value"/>
                <w:rFonts w:ascii="Arial" w:hAnsi="Arial" w:cs="Arial"/>
                <w:sz w:val="16"/>
                <w:szCs w:val="16"/>
              </w:rPr>
              <w:t>+</w:t>
            </w:r>
            <w:r w:rsidRPr="007B5F4C">
              <w:rPr>
                <w:rStyle w:val="cell-value"/>
                <w:rFonts w:ascii="Arial" w:hAnsi="Arial" w:cs="Arial"/>
                <w:b/>
                <w:bCs/>
                <w:sz w:val="16"/>
                <w:szCs w:val="16"/>
              </w:rPr>
              <w:t xml:space="preserve">0.1 </w:t>
            </w:r>
            <w:r w:rsidRPr="007B5F4C">
              <w:rPr>
                <w:rFonts w:ascii="Arial" w:hAnsi="Arial" w:cs="Arial"/>
                <w:sz w:val="16"/>
                <w:szCs w:val="16"/>
              </w:rPr>
              <w:br/>
            </w:r>
            <w:r w:rsidRPr="007B5F4C">
              <w:rPr>
                <w:rStyle w:val="cell-value"/>
                <w:rFonts w:ascii="Arial" w:hAnsi="Arial" w:cs="Arial"/>
                <w:sz w:val="16"/>
                <w:szCs w:val="16"/>
              </w:rPr>
              <w:t>(</w:t>
            </w:r>
            <w:r>
              <w:rPr>
                <w:rStyle w:val="cell-value"/>
                <w:rFonts w:ascii="Arial" w:hAnsi="Arial" w:cs="Arial"/>
                <w:sz w:val="16"/>
                <w:szCs w:val="16"/>
              </w:rPr>
              <w:t>-</w:t>
            </w:r>
            <w:r w:rsidRPr="007B5F4C">
              <w:rPr>
                <w:rStyle w:val="cell-value"/>
                <w:rFonts w:ascii="Arial" w:hAnsi="Arial" w:cs="Arial"/>
                <w:sz w:val="16"/>
                <w:szCs w:val="16"/>
              </w:rPr>
              <w:t xml:space="preserve">0.08 to </w:t>
            </w:r>
            <w:r>
              <w:rPr>
                <w:rStyle w:val="cell-value"/>
                <w:rFonts w:ascii="Arial" w:hAnsi="Arial" w:cs="Arial"/>
                <w:sz w:val="16"/>
                <w:szCs w:val="16"/>
              </w:rPr>
              <w:t>+</w:t>
            </w:r>
            <w:r w:rsidRPr="007B5F4C">
              <w:rPr>
                <w:rStyle w:val="cell-value"/>
                <w:rFonts w:ascii="Arial" w:hAnsi="Arial" w:cs="Arial"/>
                <w:sz w:val="16"/>
                <w:szCs w:val="16"/>
              </w:rPr>
              <w:t>0.28)</w:t>
            </w:r>
            <w:r w:rsidRPr="007B5F4C">
              <w:rPr>
                <w:rFonts w:ascii="Arial" w:hAnsi="Arial" w:cs="Arial"/>
                <w:sz w:val="16"/>
                <w:szCs w:val="16"/>
              </w:rPr>
              <w:t xml:space="preserve"> </w:t>
            </w:r>
          </w:p>
        </w:tc>
      </w:tr>
      <w:tr w:rsidR="00A44FD1" w:rsidRPr="00F87E48" w14:paraId="6A08EF5A" w14:textId="77777777" w:rsidTr="00875189">
        <w:trPr>
          <w:cantSplit/>
        </w:trPr>
        <w:tc>
          <w:tcPr>
            <w:tcW w:w="0" w:type="auto"/>
            <w:tcBorders>
              <w:top w:val="single" w:sz="6" w:space="0" w:color="000000"/>
              <w:left w:val="nil"/>
              <w:bottom w:val="single" w:sz="6" w:space="0" w:color="000000"/>
              <w:right w:val="nil"/>
            </w:tcBorders>
            <w:vAlign w:val="center"/>
          </w:tcPr>
          <w:p w14:paraId="0232E58F" w14:textId="77777777" w:rsidR="00A44FD1" w:rsidRPr="007B5F4C" w:rsidRDefault="00A44FD1" w:rsidP="00E350F6">
            <w:pPr>
              <w:rPr>
                <w:rStyle w:val="label"/>
                <w:rFonts w:ascii="Arial" w:hAnsi="Arial" w:cs="Arial"/>
                <w:sz w:val="16"/>
                <w:szCs w:val="16"/>
              </w:rPr>
            </w:pPr>
            <w:r w:rsidRPr="007B5F4C">
              <w:rPr>
                <w:rStyle w:val="label"/>
                <w:rFonts w:ascii="Arial" w:hAnsi="Arial" w:cs="Arial"/>
                <w:sz w:val="16"/>
                <w:szCs w:val="16"/>
              </w:rPr>
              <w:t xml:space="preserve">Any drug related adverse event </w:t>
            </w:r>
            <w:r w:rsidRPr="007B5F4C">
              <w:rPr>
                <w:rFonts w:ascii="Arial" w:hAnsi="Arial" w:cs="Arial"/>
                <w:sz w:val="16"/>
                <w:szCs w:val="16"/>
              </w:rPr>
              <w:br/>
            </w:r>
            <w:r w:rsidRPr="007B5F4C">
              <w:rPr>
                <w:rStyle w:val="label"/>
                <w:rFonts w:ascii="Arial" w:hAnsi="Arial" w:cs="Arial"/>
                <w:sz w:val="16"/>
                <w:szCs w:val="16"/>
              </w:rPr>
              <w:t>assessed with: Number of events- Urgent care visit, or admission to hospital</w:t>
            </w:r>
          </w:p>
        </w:tc>
        <w:tc>
          <w:tcPr>
            <w:tcW w:w="0" w:type="auto"/>
            <w:tcBorders>
              <w:top w:val="single" w:sz="6" w:space="0" w:color="000000"/>
              <w:left w:val="nil"/>
              <w:bottom w:val="single" w:sz="6" w:space="0" w:color="000000"/>
              <w:right w:val="nil"/>
            </w:tcBorders>
            <w:vAlign w:val="center"/>
          </w:tcPr>
          <w:p w14:paraId="759D4ADB" w14:textId="77777777" w:rsidR="00A44FD1" w:rsidRDefault="00A44FD1" w:rsidP="00E350F6">
            <w:pPr>
              <w:jc w:val="both"/>
              <w:rPr>
                <w:rFonts w:ascii="Arial" w:hAnsi="Arial" w:cs="Arial"/>
                <w:sz w:val="16"/>
                <w:szCs w:val="16"/>
                <w:vertAlign w:val="superscript"/>
              </w:rPr>
            </w:pPr>
            <w:r w:rsidRPr="007B5F4C">
              <w:rPr>
                <w:rFonts w:ascii="Arial" w:hAnsi="Arial" w:cs="Arial"/>
                <w:sz w:val="16"/>
                <w:szCs w:val="16"/>
              </w:rPr>
              <w:t>478</w:t>
            </w:r>
            <w:r w:rsidRPr="007B5F4C">
              <w:rPr>
                <w:rFonts w:ascii="Arial" w:hAnsi="Arial" w:cs="Arial"/>
                <w:sz w:val="16"/>
                <w:szCs w:val="16"/>
              </w:rPr>
              <w:br/>
              <w:t xml:space="preserve">(1 RCT) </w:t>
            </w:r>
            <w:r w:rsidRPr="00FD1663">
              <w:rPr>
                <w:rFonts w:ascii="Arial" w:hAnsi="Arial" w:cs="Arial"/>
                <w:sz w:val="16"/>
                <w:szCs w:val="16"/>
                <w:vertAlign w:val="superscript"/>
              </w:rPr>
              <w:t>3</w:t>
            </w:r>
            <w:r>
              <w:rPr>
                <w:rFonts w:ascii="Arial" w:hAnsi="Arial" w:cs="Arial"/>
                <w:sz w:val="16"/>
                <w:szCs w:val="16"/>
                <w:vertAlign w:val="superscript"/>
              </w:rPr>
              <w:t>5</w:t>
            </w:r>
          </w:p>
          <w:p w14:paraId="2E4D9E56" w14:textId="77777777" w:rsidR="00A44FD1" w:rsidRPr="007B5F4C" w:rsidRDefault="00A44FD1" w:rsidP="00E350F6">
            <w:pPr>
              <w:jc w:val="both"/>
              <w:rPr>
                <w:rFonts w:ascii="Arial" w:hAnsi="Arial" w:cs="Arial"/>
                <w:sz w:val="16"/>
                <w:szCs w:val="16"/>
              </w:rPr>
            </w:pPr>
            <w:r w:rsidRPr="007B5F4C">
              <w:rPr>
                <w:rStyle w:val="label"/>
                <w:rFonts w:ascii="Arial" w:hAnsi="Arial" w:cs="Arial"/>
                <w:sz w:val="16"/>
                <w:szCs w:val="16"/>
              </w:rPr>
              <w:t>56 weeks</w:t>
            </w:r>
          </w:p>
        </w:tc>
        <w:tc>
          <w:tcPr>
            <w:tcW w:w="0" w:type="auto"/>
            <w:tcBorders>
              <w:top w:val="single" w:sz="6" w:space="0" w:color="000000"/>
              <w:left w:val="nil"/>
              <w:bottom w:val="single" w:sz="6" w:space="0" w:color="000000"/>
              <w:right w:val="nil"/>
            </w:tcBorders>
            <w:vAlign w:val="center"/>
          </w:tcPr>
          <w:p w14:paraId="72C00D80" w14:textId="77777777" w:rsidR="00A44FD1" w:rsidRPr="007B5F4C" w:rsidRDefault="00A44FD1" w:rsidP="00E350F6">
            <w:pPr>
              <w:jc w:val="both"/>
              <w:rPr>
                <w:rStyle w:val="quality-sign"/>
                <w:rFonts w:ascii="Cambria Math" w:hAnsi="Cambria Math" w:cs="Cambria Math"/>
                <w:sz w:val="16"/>
                <w:szCs w:val="16"/>
              </w:rPr>
            </w:pPr>
            <w:r w:rsidRPr="007B5F4C">
              <w:rPr>
                <w:rStyle w:val="quality-sign"/>
                <w:rFonts w:ascii="Cambria Math" w:hAnsi="Cambria Math" w:cs="Cambria Math"/>
                <w:sz w:val="16"/>
                <w:szCs w:val="16"/>
              </w:rPr>
              <w:t>⨁⨁</w:t>
            </w:r>
            <w:r w:rsidRPr="007B5F4C">
              <w:rPr>
                <w:rStyle w:val="quality-sign"/>
                <w:rFonts w:ascii="Segoe UI Symbol" w:eastAsia="MS Gothic" w:hAnsi="Segoe UI Symbol" w:cs="Segoe UI Symbol"/>
                <w:sz w:val="16"/>
                <w:szCs w:val="16"/>
              </w:rPr>
              <w:t>◯◯</w:t>
            </w:r>
            <w:r w:rsidRPr="007B5F4C">
              <w:rPr>
                <w:rFonts w:ascii="Arial" w:hAnsi="Arial" w:cs="Arial"/>
                <w:sz w:val="16"/>
                <w:szCs w:val="16"/>
              </w:rPr>
              <w:br/>
            </w:r>
            <w:r w:rsidRPr="007B5F4C">
              <w:rPr>
                <w:rStyle w:val="quality-text"/>
                <w:rFonts w:ascii="Arial" w:hAnsi="Arial" w:cs="Arial"/>
                <w:sz w:val="16"/>
                <w:szCs w:val="16"/>
              </w:rPr>
              <w:t>LOW</w:t>
            </w:r>
            <w:r w:rsidRPr="007B5F4C">
              <w:rPr>
                <w:rFonts w:ascii="Arial" w:hAnsi="Arial" w:cs="Arial"/>
                <w:sz w:val="16"/>
                <w:szCs w:val="16"/>
              </w:rPr>
              <w:t xml:space="preserve"> </w:t>
            </w:r>
            <w:proofErr w:type="gramStart"/>
            <w:r w:rsidRPr="007B5F4C">
              <w:rPr>
                <w:rFonts w:ascii="Arial" w:hAnsi="Arial" w:cs="Arial"/>
                <w:sz w:val="16"/>
                <w:szCs w:val="16"/>
                <w:vertAlign w:val="superscript"/>
              </w:rPr>
              <w:t>2</w:t>
            </w:r>
            <w:r w:rsidRPr="007B5F4C">
              <w:rPr>
                <w:rStyle w:val="comma"/>
                <w:rFonts w:ascii="Arial" w:hAnsi="Arial" w:cs="Arial"/>
                <w:sz w:val="16"/>
                <w:szCs w:val="16"/>
                <w:vertAlign w:val="superscript"/>
              </w:rPr>
              <w:t>,</w:t>
            </w:r>
            <w:r w:rsidRPr="007B5F4C">
              <w:rPr>
                <w:rFonts w:ascii="Arial" w:hAnsi="Arial" w:cs="Arial"/>
                <w:sz w:val="16"/>
                <w:szCs w:val="16"/>
                <w:vertAlign w:val="superscript"/>
              </w:rPr>
              <w:t>a</w:t>
            </w:r>
            <w:proofErr w:type="gramEnd"/>
            <w:r w:rsidRPr="007B5F4C">
              <w:rPr>
                <w:rStyle w:val="comma"/>
                <w:rFonts w:ascii="Arial" w:hAnsi="Arial" w:cs="Arial"/>
                <w:sz w:val="16"/>
                <w:szCs w:val="16"/>
                <w:vertAlign w:val="superscript"/>
              </w:rPr>
              <w:t>,</w:t>
            </w:r>
            <w:r w:rsidRPr="007B5F4C">
              <w:rPr>
                <w:rFonts w:ascii="Arial" w:hAnsi="Arial" w:cs="Arial"/>
                <w:sz w:val="16"/>
                <w:szCs w:val="16"/>
                <w:vertAlign w:val="superscript"/>
              </w:rPr>
              <w:t>f</w:t>
            </w:r>
            <w:r w:rsidRPr="007B5F4C">
              <w:rPr>
                <w:rStyle w:val="comma"/>
                <w:rFonts w:ascii="Arial" w:hAnsi="Arial" w:cs="Arial"/>
                <w:sz w:val="16"/>
                <w:szCs w:val="16"/>
                <w:vertAlign w:val="superscript"/>
              </w:rPr>
              <w:t>,</w:t>
            </w:r>
            <w:r w:rsidRPr="007B5F4C">
              <w:rPr>
                <w:rFonts w:ascii="Arial" w:hAnsi="Arial" w:cs="Arial"/>
                <w:sz w:val="16"/>
                <w:szCs w:val="16"/>
                <w:vertAlign w:val="superscript"/>
              </w:rPr>
              <w:t>g</w:t>
            </w:r>
          </w:p>
        </w:tc>
        <w:tc>
          <w:tcPr>
            <w:tcW w:w="0" w:type="auto"/>
            <w:tcBorders>
              <w:top w:val="single" w:sz="6" w:space="0" w:color="000000"/>
              <w:left w:val="nil"/>
              <w:bottom w:val="single" w:sz="6" w:space="0" w:color="000000"/>
              <w:right w:val="nil"/>
            </w:tcBorders>
            <w:vAlign w:val="center"/>
          </w:tcPr>
          <w:p w14:paraId="4CD2D38C" w14:textId="3A550680" w:rsidR="00A44FD1" w:rsidRPr="007B5F4C" w:rsidRDefault="00A44FD1" w:rsidP="00E350F6">
            <w:pPr>
              <w:jc w:val="both"/>
              <w:rPr>
                <w:rStyle w:val="cell"/>
                <w:rFonts w:ascii="Arial" w:hAnsi="Arial" w:cs="Arial"/>
                <w:sz w:val="16"/>
                <w:szCs w:val="16"/>
              </w:rPr>
            </w:pPr>
            <w:r>
              <w:rPr>
                <w:rStyle w:val="block"/>
                <w:rFonts w:ascii="Arial" w:hAnsi="Arial" w:cs="Arial"/>
                <w:b/>
                <w:bCs/>
                <w:sz w:val="16"/>
                <w:szCs w:val="16"/>
              </w:rPr>
              <w:t>Risk</w:t>
            </w:r>
            <w:r w:rsidRPr="00F5183B">
              <w:rPr>
                <w:rStyle w:val="block"/>
                <w:rFonts w:ascii="Arial" w:hAnsi="Arial" w:cs="Arial"/>
                <w:b/>
                <w:bCs/>
                <w:sz w:val="16"/>
                <w:szCs w:val="16"/>
              </w:rPr>
              <w:t xml:space="preserve"> ratio</w:t>
            </w:r>
            <w:r w:rsidRPr="007B5F4C">
              <w:rPr>
                <w:rStyle w:val="block"/>
                <w:rFonts w:ascii="Arial" w:hAnsi="Arial" w:cs="Arial"/>
                <w:b/>
                <w:bCs/>
                <w:sz w:val="16"/>
                <w:szCs w:val="16"/>
              </w:rPr>
              <w:t xml:space="preserve"> 1.41</w:t>
            </w:r>
            <w:r w:rsidRPr="007B5F4C">
              <w:rPr>
                <w:rFonts w:ascii="Arial" w:hAnsi="Arial" w:cs="Arial"/>
                <w:sz w:val="16"/>
                <w:szCs w:val="16"/>
              </w:rPr>
              <w:br/>
            </w:r>
            <w:r w:rsidRPr="007B5F4C">
              <w:rPr>
                <w:rStyle w:val="cell"/>
                <w:rFonts w:ascii="Arial" w:hAnsi="Arial" w:cs="Arial"/>
                <w:sz w:val="16"/>
                <w:szCs w:val="16"/>
              </w:rPr>
              <w:t>(0.87 to 2.27)</w:t>
            </w:r>
            <w:r w:rsidRPr="007B5F4C">
              <w:rPr>
                <w:rFonts w:ascii="Arial" w:hAnsi="Arial" w:cs="Arial"/>
                <w:sz w:val="16"/>
                <w:szCs w:val="16"/>
              </w:rPr>
              <w:t xml:space="preserve"> </w:t>
            </w:r>
          </w:p>
        </w:tc>
        <w:tc>
          <w:tcPr>
            <w:tcW w:w="1543" w:type="dxa"/>
            <w:tcBorders>
              <w:top w:val="single" w:sz="6" w:space="0" w:color="000000"/>
              <w:left w:val="nil"/>
              <w:bottom w:val="single" w:sz="6" w:space="0" w:color="000000"/>
              <w:right w:val="nil"/>
            </w:tcBorders>
            <w:shd w:val="clear" w:color="auto" w:fill="EDEDED"/>
            <w:vAlign w:val="center"/>
          </w:tcPr>
          <w:p w14:paraId="4F0A7900" w14:textId="77777777" w:rsidR="00A44FD1" w:rsidRPr="007B5F4C" w:rsidRDefault="00A44FD1" w:rsidP="00E350F6">
            <w:pPr>
              <w:jc w:val="both"/>
              <w:rPr>
                <w:rStyle w:val="cell-value"/>
                <w:rFonts w:ascii="Arial" w:hAnsi="Arial" w:cs="Arial"/>
                <w:sz w:val="16"/>
                <w:szCs w:val="16"/>
              </w:rPr>
            </w:pPr>
            <w:r w:rsidRPr="007B5F4C">
              <w:rPr>
                <w:rFonts w:ascii="Arial" w:hAnsi="Arial" w:cs="Arial"/>
                <w:sz w:val="16"/>
                <w:szCs w:val="16"/>
              </w:rPr>
              <w:t xml:space="preserve">105 per 1.000 </w:t>
            </w:r>
          </w:p>
        </w:tc>
        <w:tc>
          <w:tcPr>
            <w:tcW w:w="1528" w:type="dxa"/>
            <w:tcBorders>
              <w:top w:val="single" w:sz="6" w:space="0" w:color="000000"/>
              <w:left w:val="nil"/>
              <w:bottom w:val="single" w:sz="6" w:space="0" w:color="000000"/>
              <w:right w:val="nil"/>
            </w:tcBorders>
            <w:shd w:val="clear" w:color="auto" w:fill="EDEDED"/>
            <w:vAlign w:val="center"/>
          </w:tcPr>
          <w:p w14:paraId="5FD0D85A" w14:textId="77777777" w:rsidR="00A44FD1" w:rsidRPr="007B5F4C" w:rsidRDefault="00A44FD1" w:rsidP="00E350F6">
            <w:pPr>
              <w:jc w:val="both"/>
              <w:rPr>
                <w:rStyle w:val="cell-value"/>
                <w:rFonts w:ascii="Arial" w:hAnsi="Arial" w:cs="Arial"/>
                <w:sz w:val="16"/>
                <w:szCs w:val="16"/>
              </w:rPr>
            </w:pPr>
            <w:r w:rsidRPr="007B5F4C">
              <w:rPr>
                <w:rStyle w:val="cell-value"/>
                <w:rFonts w:ascii="Arial" w:hAnsi="Arial" w:cs="Arial"/>
                <w:b/>
                <w:bCs/>
                <w:sz w:val="16"/>
                <w:szCs w:val="16"/>
              </w:rPr>
              <w:t>43 more per 1.000</w:t>
            </w:r>
            <w:r w:rsidRPr="007B5F4C">
              <w:rPr>
                <w:rFonts w:ascii="Arial" w:hAnsi="Arial" w:cs="Arial"/>
                <w:sz w:val="16"/>
                <w:szCs w:val="16"/>
              </w:rPr>
              <w:br/>
            </w:r>
            <w:r w:rsidRPr="007B5F4C">
              <w:rPr>
                <w:rStyle w:val="cell-value"/>
                <w:rFonts w:ascii="Arial" w:hAnsi="Arial" w:cs="Arial"/>
                <w:sz w:val="16"/>
                <w:szCs w:val="16"/>
              </w:rPr>
              <w:t>(14 fewer to 133 more)</w:t>
            </w:r>
            <w:r w:rsidRPr="007B5F4C">
              <w:rPr>
                <w:rFonts w:ascii="Arial" w:hAnsi="Arial" w:cs="Arial"/>
                <w:sz w:val="16"/>
                <w:szCs w:val="16"/>
              </w:rPr>
              <w:t xml:space="preserve"> </w:t>
            </w:r>
          </w:p>
        </w:tc>
      </w:tr>
      <w:tr w:rsidR="00A44FD1" w:rsidRPr="00F87E48" w14:paraId="222FD11E" w14:textId="77777777" w:rsidTr="00875189">
        <w:trPr>
          <w:cantSplit/>
        </w:trPr>
        <w:tc>
          <w:tcPr>
            <w:tcW w:w="0" w:type="auto"/>
            <w:tcBorders>
              <w:top w:val="single" w:sz="6" w:space="0" w:color="000000"/>
              <w:left w:val="nil"/>
              <w:bottom w:val="single" w:sz="6" w:space="0" w:color="000000"/>
              <w:right w:val="nil"/>
            </w:tcBorders>
            <w:vAlign w:val="center"/>
          </w:tcPr>
          <w:p w14:paraId="73D336CB" w14:textId="77777777" w:rsidR="00A44FD1" w:rsidRDefault="00A44FD1" w:rsidP="00E350F6">
            <w:pPr>
              <w:rPr>
                <w:rStyle w:val="label"/>
                <w:rFonts w:ascii="Arial" w:hAnsi="Arial" w:cs="Arial"/>
                <w:sz w:val="16"/>
                <w:szCs w:val="16"/>
              </w:rPr>
            </w:pPr>
            <w:r w:rsidRPr="007B5F4C">
              <w:rPr>
                <w:rStyle w:val="label"/>
                <w:rFonts w:ascii="Arial" w:hAnsi="Arial" w:cs="Arial"/>
                <w:sz w:val="16"/>
                <w:szCs w:val="16"/>
              </w:rPr>
              <w:t xml:space="preserve">Any </w:t>
            </w:r>
            <w:r>
              <w:rPr>
                <w:rStyle w:val="label"/>
                <w:rFonts w:ascii="Arial" w:hAnsi="Arial" w:cs="Arial"/>
                <w:sz w:val="16"/>
                <w:szCs w:val="16"/>
              </w:rPr>
              <w:t xml:space="preserve">drug related </w:t>
            </w:r>
            <w:r w:rsidRPr="007B5F4C">
              <w:rPr>
                <w:rStyle w:val="label"/>
                <w:rFonts w:ascii="Arial" w:hAnsi="Arial" w:cs="Arial"/>
                <w:sz w:val="16"/>
                <w:szCs w:val="16"/>
              </w:rPr>
              <w:t xml:space="preserve">serious adverse event </w:t>
            </w:r>
          </w:p>
          <w:p w14:paraId="08EA078E" w14:textId="77777777" w:rsidR="00A44FD1" w:rsidRPr="007B5F4C" w:rsidRDefault="00A44FD1" w:rsidP="00E350F6">
            <w:pPr>
              <w:rPr>
                <w:rStyle w:val="label"/>
                <w:rFonts w:ascii="Arial" w:hAnsi="Arial" w:cs="Arial"/>
                <w:sz w:val="16"/>
                <w:szCs w:val="16"/>
              </w:rPr>
            </w:pPr>
            <w:r w:rsidRPr="007B5F4C">
              <w:rPr>
                <w:rStyle w:val="label"/>
                <w:rFonts w:ascii="Arial" w:hAnsi="Arial" w:cs="Arial"/>
                <w:sz w:val="16"/>
                <w:szCs w:val="16"/>
              </w:rPr>
              <w:t xml:space="preserve">assessed with: Number of </w:t>
            </w:r>
            <w:r>
              <w:rPr>
                <w:rStyle w:val="label"/>
                <w:rFonts w:ascii="Arial" w:hAnsi="Arial" w:cs="Arial"/>
                <w:sz w:val="16"/>
                <w:szCs w:val="16"/>
              </w:rPr>
              <w:t>SAE unrelated to asthma exacerbation</w:t>
            </w:r>
            <w:r w:rsidRPr="007B5F4C">
              <w:rPr>
                <w:rFonts w:ascii="Arial" w:hAnsi="Arial" w:cs="Arial"/>
                <w:sz w:val="16"/>
                <w:szCs w:val="16"/>
              </w:rPr>
              <w:br/>
            </w:r>
          </w:p>
        </w:tc>
        <w:tc>
          <w:tcPr>
            <w:tcW w:w="0" w:type="auto"/>
            <w:tcBorders>
              <w:top w:val="single" w:sz="6" w:space="0" w:color="000000"/>
              <w:left w:val="nil"/>
              <w:bottom w:val="single" w:sz="6" w:space="0" w:color="000000"/>
              <w:right w:val="nil"/>
            </w:tcBorders>
            <w:vAlign w:val="center"/>
          </w:tcPr>
          <w:p w14:paraId="1530852A" w14:textId="77777777" w:rsidR="00A44FD1" w:rsidRDefault="00A44FD1" w:rsidP="00E350F6">
            <w:pPr>
              <w:jc w:val="both"/>
              <w:rPr>
                <w:rFonts w:ascii="Arial" w:hAnsi="Arial" w:cs="Arial"/>
                <w:sz w:val="16"/>
                <w:szCs w:val="16"/>
                <w:vertAlign w:val="superscript"/>
              </w:rPr>
            </w:pPr>
            <w:r w:rsidRPr="007B5F4C">
              <w:rPr>
                <w:rFonts w:ascii="Arial" w:hAnsi="Arial" w:cs="Arial"/>
                <w:sz w:val="16"/>
                <w:szCs w:val="16"/>
              </w:rPr>
              <w:t>148</w:t>
            </w:r>
            <w:r w:rsidRPr="007B5F4C">
              <w:rPr>
                <w:rFonts w:ascii="Arial" w:hAnsi="Arial" w:cs="Arial"/>
                <w:sz w:val="16"/>
                <w:szCs w:val="16"/>
              </w:rPr>
              <w:br/>
              <w:t xml:space="preserve">(1 RCT) </w:t>
            </w:r>
            <w:r w:rsidRPr="0063338A">
              <w:rPr>
                <w:rFonts w:ascii="Arial" w:hAnsi="Arial" w:cs="Arial"/>
                <w:sz w:val="16"/>
                <w:szCs w:val="16"/>
                <w:vertAlign w:val="superscript"/>
              </w:rPr>
              <w:t>3</w:t>
            </w:r>
            <w:r>
              <w:rPr>
                <w:rFonts w:ascii="Arial" w:hAnsi="Arial" w:cs="Arial"/>
                <w:sz w:val="16"/>
                <w:szCs w:val="16"/>
                <w:vertAlign w:val="superscript"/>
              </w:rPr>
              <w:t>6</w:t>
            </w:r>
          </w:p>
          <w:p w14:paraId="0171670A" w14:textId="77777777" w:rsidR="00A44FD1" w:rsidRPr="007B5F4C" w:rsidRDefault="00A44FD1" w:rsidP="00E350F6">
            <w:pPr>
              <w:jc w:val="both"/>
              <w:rPr>
                <w:rFonts w:ascii="Arial" w:hAnsi="Arial" w:cs="Arial"/>
                <w:sz w:val="16"/>
                <w:szCs w:val="16"/>
              </w:rPr>
            </w:pPr>
            <w:r w:rsidRPr="007B5F4C">
              <w:rPr>
                <w:rStyle w:val="label"/>
                <w:rFonts w:ascii="Arial" w:hAnsi="Arial" w:cs="Arial"/>
                <w:sz w:val="16"/>
                <w:szCs w:val="16"/>
              </w:rPr>
              <w:t>28 weeks</w:t>
            </w:r>
          </w:p>
        </w:tc>
        <w:tc>
          <w:tcPr>
            <w:tcW w:w="0" w:type="auto"/>
            <w:tcBorders>
              <w:top w:val="single" w:sz="6" w:space="0" w:color="000000"/>
              <w:left w:val="nil"/>
              <w:bottom w:val="single" w:sz="6" w:space="0" w:color="000000"/>
              <w:right w:val="nil"/>
            </w:tcBorders>
            <w:vAlign w:val="center"/>
          </w:tcPr>
          <w:p w14:paraId="768AA8BF" w14:textId="77777777" w:rsidR="00A44FD1" w:rsidRPr="007B5F4C" w:rsidRDefault="00A44FD1" w:rsidP="00E350F6">
            <w:pPr>
              <w:jc w:val="both"/>
              <w:rPr>
                <w:rStyle w:val="quality-sign"/>
                <w:rFonts w:ascii="Cambria Math" w:hAnsi="Cambria Math" w:cs="Cambria Math"/>
                <w:sz w:val="16"/>
                <w:szCs w:val="16"/>
              </w:rPr>
            </w:pPr>
            <w:r w:rsidRPr="007B5F4C">
              <w:rPr>
                <w:rStyle w:val="quality-sign"/>
                <w:rFonts w:ascii="Cambria Math" w:hAnsi="Cambria Math" w:cs="Cambria Math"/>
                <w:sz w:val="16"/>
                <w:szCs w:val="16"/>
              </w:rPr>
              <w:t>⨁⨁</w:t>
            </w:r>
            <w:r w:rsidRPr="007B5F4C">
              <w:rPr>
                <w:rStyle w:val="quality-sign"/>
                <w:rFonts w:ascii="Segoe UI Symbol" w:eastAsia="MS Gothic" w:hAnsi="Segoe UI Symbol" w:cs="Segoe UI Symbol"/>
                <w:sz w:val="16"/>
                <w:szCs w:val="16"/>
              </w:rPr>
              <w:t>◯◯</w:t>
            </w:r>
            <w:r w:rsidRPr="007B5F4C">
              <w:rPr>
                <w:rFonts w:ascii="Arial" w:hAnsi="Arial" w:cs="Arial"/>
                <w:sz w:val="16"/>
                <w:szCs w:val="16"/>
              </w:rPr>
              <w:br/>
            </w:r>
            <w:r w:rsidRPr="007B5F4C">
              <w:rPr>
                <w:rStyle w:val="quality-text"/>
                <w:rFonts w:ascii="Arial" w:hAnsi="Arial" w:cs="Arial"/>
                <w:sz w:val="16"/>
                <w:szCs w:val="16"/>
              </w:rPr>
              <w:t>LOW</w:t>
            </w:r>
            <w:r w:rsidRPr="007B5F4C">
              <w:rPr>
                <w:rFonts w:ascii="Arial" w:hAnsi="Arial" w:cs="Arial"/>
                <w:sz w:val="16"/>
                <w:szCs w:val="16"/>
              </w:rPr>
              <w:t xml:space="preserve"> </w:t>
            </w:r>
            <w:proofErr w:type="gramStart"/>
            <w:r w:rsidRPr="007B5F4C">
              <w:rPr>
                <w:rFonts w:ascii="Arial" w:hAnsi="Arial" w:cs="Arial"/>
                <w:sz w:val="16"/>
                <w:szCs w:val="16"/>
                <w:vertAlign w:val="superscript"/>
              </w:rPr>
              <w:t>2</w:t>
            </w:r>
            <w:r w:rsidRPr="007B5F4C">
              <w:rPr>
                <w:rStyle w:val="comma"/>
                <w:rFonts w:ascii="Arial" w:hAnsi="Arial" w:cs="Arial"/>
                <w:sz w:val="16"/>
                <w:szCs w:val="16"/>
                <w:vertAlign w:val="superscript"/>
              </w:rPr>
              <w:t>,</w:t>
            </w:r>
            <w:r w:rsidRPr="007B5F4C">
              <w:rPr>
                <w:rFonts w:ascii="Arial" w:hAnsi="Arial" w:cs="Arial"/>
                <w:sz w:val="16"/>
                <w:szCs w:val="16"/>
                <w:vertAlign w:val="superscript"/>
              </w:rPr>
              <w:t>a</w:t>
            </w:r>
            <w:proofErr w:type="gramEnd"/>
            <w:r w:rsidRPr="007B5F4C">
              <w:rPr>
                <w:rStyle w:val="comma"/>
                <w:rFonts w:ascii="Arial" w:hAnsi="Arial" w:cs="Arial"/>
                <w:sz w:val="16"/>
                <w:szCs w:val="16"/>
                <w:vertAlign w:val="superscript"/>
              </w:rPr>
              <w:t>,</w:t>
            </w:r>
            <w:r w:rsidRPr="007B5F4C">
              <w:rPr>
                <w:rFonts w:ascii="Arial" w:hAnsi="Arial" w:cs="Arial"/>
                <w:sz w:val="16"/>
                <w:szCs w:val="16"/>
                <w:vertAlign w:val="superscript"/>
              </w:rPr>
              <w:t>f</w:t>
            </w:r>
            <w:r w:rsidRPr="007B5F4C">
              <w:rPr>
                <w:rStyle w:val="comma"/>
                <w:rFonts w:ascii="Arial" w:hAnsi="Arial" w:cs="Arial"/>
                <w:sz w:val="16"/>
                <w:szCs w:val="16"/>
                <w:vertAlign w:val="superscript"/>
              </w:rPr>
              <w:t>,</w:t>
            </w:r>
            <w:r w:rsidRPr="007B5F4C">
              <w:rPr>
                <w:rFonts w:ascii="Arial" w:hAnsi="Arial" w:cs="Arial"/>
                <w:sz w:val="16"/>
                <w:szCs w:val="16"/>
                <w:vertAlign w:val="superscript"/>
              </w:rPr>
              <w:t>g</w:t>
            </w:r>
          </w:p>
        </w:tc>
        <w:tc>
          <w:tcPr>
            <w:tcW w:w="0" w:type="auto"/>
            <w:tcBorders>
              <w:top w:val="single" w:sz="6" w:space="0" w:color="000000"/>
              <w:left w:val="nil"/>
              <w:bottom w:val="single" w:sz="6" w:space="0" w:color="000000"/>
              <w:right w:val="nil"/>
            </w:tcBorders>
            <w:vAlign w:val="center"/>
          </w:tcPr>
          <w:p w14:paraId="4078977B" w14:textId="723711A3" w:rsidR="00A44FD1" w:rsidRPr="007B5F4C" w:rsidRDefault="00A44FD1" w:rsidP="00E350F6">
            <w:pPr>
              <w:jc w:val="both"/>
              <w:rPr>
                <w:rStyle w:val="cell"/>
                <w:rFonts w:ascii="Arial" w:hAnsi="Arial" w:cs="Arial"/>
                <w:sz w:val="16"/>
                <w:szCs w:val="16"/>
              </w:rPr>
            </w:pPr>
            <w:r>
              <w:rPr>
                <w:rStyle w:val="block"/>
                <w:rFonts w:ascii="Arial" w:hAnsi="Arial" w:cs="Arial"/>
                <w:b/>
                <w:bCs/>
                <w:sz w:val="16"/>
                <w:szCs w:val="16"/>
              </w:rPr>
              <w:t>Risk</w:t>
            </w:r>
            <w:r w:rsidRPr="00F5183B">
              <w:rPr>
                <w:rStyle w:val="block"/>
                <w:rFonts w:ascii="Arial" w:hAnsi="Arial" w:cs="Arial"/>
                <w:b/>
                <w:bCs/>
                <w:sz w:val="16"/>
                <w:szCs w:val="16"/>
              </w:rPr>
              <w:t xml:space="preserve"> ratio</w:t>
            </w:r>
            <w:r w:rsidRPr="007B5F4C">
              <w:rPr>
                <w:rStyle w:val="block"/>
                <w:rFonts w:ascii="Arial" w:hAnsi="Arial" w:cs="Arial"/>
                <w:b/>
                <w:bCs/>
                <w:sz w:val="16"/>
                <w:szCs w:val="16"/>
              </w:rPr>
              <w:t xml:space="preserve"> 0.56</w:t>
            </w:r>
            <w:r w:rsidRPr="007B5F4C">
              <w:rPr>
                <w:rFonts w:ascii="Arial" w:hAnsi="Arial" w:cs="Arial"/>
                <w:sz w:val="16"/>
                <w:szCs w:val="16"/>
              </w:rPr>
              <w:br/>
            </w:r>
            <w:r w:rsidRPr="007B5F4C">
              <w:rPr>
                <w:rStyle w:val="cell"/>
                <w:rFonts w:ascii="Arial" w:hAnsi="Arial" w:cs="Arial"/>
                <w:sz w:val="16"/>
                <w:szCs w:val="16"/>
              </w:rPr>
              <w:t>(0.22 to 1.44)</w:t>
            </w:r>
            <w:r w:rsidRPr="007B5F4C">
              <w:rPr>
                <w:rFonts w:ascii="Arial" w:hAnsi="Arial" w:cs="Arial"/>
                <w:sz w:val="16"/>
                <w:szCs w:val="16"/>
              </w:rPr>
              <w:t xml:space="preserve"> </w:t>
            </w:r>
          </w:p>
        </w:tc>
        <w:tc>
          <w:tcPr>
            <w:tcW w:w="1543" w:type="dxa"/>
            <w:tcBorders>
              <w:top w:val="single" w:sz="6" w:space="0" w:color="000000"/>
              <w:left w:val="nil"/>
              <w:bottom w:val="single" w:sz="6" w:space="0" w:color="000000"/>
              <w:right w:val="nil"/>
            </w:tcBorders>
            <w:shd w:val="clear" w:color="auto" w:fill="EDEDED"/>
            <w:vAlign w:val="center"/>
          </w:tcPr>
          <w:p w14:paraId="6D5824DE" w14:textId="77777777" w:rsidR="00A44FD1" w:rsidRPr="007B5F4C" w:rsidRDefault="00A44FD1" w:rsidP="00E350F6">
            <w:pPr>
              <w:jc w:val="both"/>
              <w:rPr>
                <w:rStyle w:val="cell-value"/>
                <w:rFonts w:ascii="Arial" w:hAnsi="Arial" w:cs="Arial"/>
                <w:sz w:val="16"/>
                <w:szCs w:val="16"/>
              </w:rPr>
            </w:pPr>
            <w:r w:rsidRPr="007B5F4C">
              <w:rPr>
                <w:rFonts w:ascii="Arial" w:hAnsi="Arial" w:cs="Arial"/>
                <w:sz w:val="16"/>
                <w:szCs w:val="16"/>
              </w:rPr>
              <w:t xml:space="preserve">147 per 1.000 </w:t>
            </w:r>
          </w:p>
        </w:tc>
        <w:tc>
          <w:tcPr>
            <w:tcW w:w="1528" w:type="dxa"/>
            <w:tcBorders>
              <w:top w:val="single" w:sz="6" w:space="0" w:color="000000"/>
              <w:left w:val="nil"/>
              <w:bottom w:val="single" w:sz="6" w:space="0" w:color="000000"/>
              <w:right w:val="nil"/>
            </w:tcBorders>
            <w:shd w:val="clear" w:color="auto" w:fill="EDEDED"/>
            <w:vAlign w:val="center"/>
          </w:tcPr>
          <w:p w14:paraId="698B5B05" w14:textId="77777777" w:rsidR="00A44FD1" w:rsidRPr="007B5F4C" w:rsidRDefault="00A44FD1" w:rsidP="00E350F6">
            <w:pPr>
              <w:jc w:val="both"/>
              <w:rPr>
                <w:rStyle w:val="cell-value"/>
                <w:rFonts w:ascii="Arial" w:hAnsi="Arial" w:cs="Arial"/>
                <w:sz w:val="16"/>
                <w:szCs w:val="16"/>
              </w:rPr>
            </w:pPr>
            <w:r w:rsidRPr="007B5F4C">
              <w:rPr>
                <w:rStyle w:val="cell-value"/>
                <w:rFonts w:ascii="Arial" w:hAnsi="Arial" w:cs="Arial"/>
                <w:b/>
                <w:bCs/>
                <w:sz w:val="16"/>
                <w:szCs w:val="16"/>
              </w:rPr>
              <w:t>65 fewer per 1.000</w:t>
            </w:r>
            <w:r w:rsidRPr="007B5F4C">
              <w:rPr>
                <w:rFonts w:ascii="Arial" w:hAnsi="Arial" w:cs="Arial"/>
                <w:sz w:val="16"/>
                <w:szCs w:val="16"/>
              </w:rPr>
              <w:br/>
            </w:r>
            <w:r w:rsidRPr="007B5F4C">
              <w:rPr>
                <w:rStyle w:val="cell-value"/>
                <w:rFonts w:ascii="Arial" w:hAnsi="Arial" w:cs="Arial"/>
                <w:sz w:val="16"/>
                <w:szCs w:val="16"/>
              </w:rPr>
              <w:t>(114 fewer to 65 more)</w:t>
            </w:r>
            <w:r w:rsidRPr="007B5F4C">
              <w:rPr>
                <w:rFonts w:ascii="Arial" w:hAnsi="Arial" w:cs="Arial"/>
                <w:sz w:val="16"/>
                <w:szCs w:val="16"/>
              </w:rPr>
              <w:t xml:space="preserve"> </w:t>
            </w:r>
          </w:p>
        </w:tc>
      </w:tr>
      <w:tr w:rsidR="00A44FD1" w:rsidRPr="00F87E48" w14:paraId="02AE50E9" w14:textId="77777777" w:rsidTr="00875189">
        <w:trPr>
          <w:cantSplit/>
        </w:trPr>
        <w:tc>
          <w:tcPr>
            <w:tcW w:w="0" w:type="auto"/>
            <w:tcBorders>
              <w:top w:val="single" w:sz="6" w:space="0" w:color="000000"/>
              <w:left w:val="nil"/>
              <w:bottom w:val="single" w:sz="6" w:space="0" w:color="000000"/>
              <w:right w:val="nil"/>
            </w:tcBorders>
            <w:vAlign w:val="center"/>
            <w:hideMark/>
          </w:tcPr>
          <w:p w14:paraId="1F7640DF" w14:textId="77777777" w:rsidR="00A44FD1" w:rsidRPr="007B5F4C" w:rsidRDefault="00A44FD1" w:rsidP="00E350F6">
            <w:pPr>
              <w:rPr>
                <w:rFonts w:ascii="Arial" w:hAnsi="Arial" w:cs="Arial"/>
                <w:b/>
                <w:bCs/>
                <w:i/>
                <w:iCs/>
                <w:color w:val="404040" w:themeColor="text1" w:themeTint="BF"/>
                <w:sz w:val="16"/>
                <w:szCs w:val="16"/>
              </w:rPr>
            </w:pPr>
            <w:r w:rsidRPr="007B5F4C">
              <w:rPr>
                <w:rStyle w:val="label"/>
                <w:rFonts w:ascii="Arial" w:hAnsi="Arial" w:cs="Arial"/>
                <w:sz w:val="16"/>
                <w:szCs w:val="16"/>
              </w:rPr>
              <w:lastRenderedPageBreak/>
              <w:t xml:space="preserve">Lung function </w:t>
            </w:r>
            <w:r w:rsidRPr="007B5F4C">
              <w:rPr>
                <w:rFonts w:ascii="Arial" w:hAnsi="Arial" w:cs="Arial"/>
                <w:sz w:val="16"/>
                <w:szCs w:val="16"/>
              </w:rPr>
              <w:br/>
            </w:r>
            <w:r w:rsidRPr="007B5F4C">
              <w:rPr>
                <w:rStyle w:val="label"/>
                <w:rFonts w:ascii="Arial" w:hAnsi="Arial" w:cs="Arial"/>
                <w:sz w:val="16"/>
                <w:szCs w:val="16"/>
              </w:rPr>
              <w:t>assessed with: Pre-bronchodilator FEV1 (mL) between-group-difference at the end of treatment)</w:t>
            </w:r>
            <w:r w:rsidRPr="007B5F4C">
              <w:rPr>
                <w:rFonts w:ascii="Arial" w:hAnsi="Arial" w:cs="Arial"/>
                <w:sz w:val="16"/>
                <w:szCs w:val="16"/>
              </w:rPr>
              <w:br/>
            </w:r>
          </w:p>
        </w:tc>
        <w:tc>
          <w:tcPr>
            <w:tcW w:w="0" w:type="auto"/>
            <w:tcBorders>
              <w:top w:val="single" w:sz="6" w:space="0" w:color="000000"/>
              <w:left w:val="nil"/>
              <w:bottom w:val="single" w:sz="6" w:space="0" w:color="000000"/>
              <w:right w:val="nil"/>
            </w:tcBorders>
            <w:vAlign w:val="center"/>
            <w:hideMark/>
          </w:tcPr>
          <w:p w14:paraId="16A35DBE" w14:textId="77777777" w:rsidR="00A44FD1" w:rsidRDefault="00A44FD1" w:rsidP="00E350F6">
            <w:pPr>
              <w:jc w:val="both"/>
              <w:rPr>
                <w:rFonts w:ascii="Arial" w:hAnsi="Arial" w:cs="Arial"/>
                <w:sz w:val="16"/>
                <w:szCs w:val="16"/>
                <w:vertAlign w:val="superscript"/>
              </w:rPr>
            </w:pPr>
            <w:r w:rsidRPr="007B5F4C">
              <w:rPr>
                <w:rFonts w:ascii="Arial" w:hAnsi="Arial" w:cs="Arial"/>
                <w:sz w:val="16"/>
                <w:szCs w:val="16"/>
              </w:rPr>
              <w:t>490</w:t>
            </w:r>
            <w:r w:rsidRPr="007B5F4C">
              <w:rPr>
                <w:rFonts w:ascii="Arial" w:hAnsi="Arial" w:cs="Arial"/>
                <w:sz w:val="16"/>
                <w:szCs w:val="16"/>
              </w:rPr>
              <w:br/>
              <w:t xml:space="preserve">(2 RCTs) </w:t>
            </w:r>
            <w:r w:rsidRPr="00FD1663">
              <w:rPr>
                <w:rFonts w:ascii="Arial" w:hAnsi="Arial" w:cs="Arial"/>
                <w:sz w:val="16"/>
                <w:szCs w:val="16"/>
                <w:vertAlign w:val="superscript"/>
              </w:rPr>
              <w:t>34</w:t>
            </w:r>
          </w:p>
          <w:p w14:paraId="144FF461" w14:textId="77777777" w:rsidR="00A44FD1" w:rsidRPr="007B5F4C" w:rsidRDefault="00A44FD1" w:rsidP="00E350F6">
            <w:pPr>
              <w:jc w:val="both"/>
              <w:rPr>
                <w:rFonts w:ascii="Arial" w:hAnsi="Arial" w:cs="Arial"/>
                <w:b/>
                <w:bCs/>
                <w:i/>
                <w:iCs/>
                <w:color w:val="404040" w:themeColor="text1" w:themeTint="BF"/>
                <w:sz w:val="16"/>
                <w:szCs w:val="16"/>
              </w:rPr>
            </w:pPr>
            <w:r w:rsidRPr="007B5F4C">
              <w:rPr>
                <w:rStyle w:val="label"/>
                <w:rFonts w:ascii="Arial" w:hAnsi="Arial" w:cs="Arial"/>
                <w:sz w:val="16"/>
                <w:szCs w:val="16"/>
              </w:rPr>
              <w:t>48 weeks to 56 weeks</w:t>
            </w:r>
          </w:p>
        </w:tc>
        <w:tc>
          <w:tcPr>
            <w:tcW w:w="0" w:type="auto"/>
            <w:tcBorders>
              <w:top w:val="single" w:sz="6" w:space="0" w:color="000000"/>
              <w:left w:val="nil"/>
              <w:bottom w:val="single" w:sz="6" w:space="0" w:color="000000"/>
              <w:right w:val="nil"/>
            </w:tcBorders>
            <w:vAlign w:val="center"/>
            <w:hideMark/>
          </w:tcPr>
          <w:p w14:paraId="5A5EE31C" w14:textId="77777777" w:rsidR="00A44FD1" w:rsidRPr="007B5F4C" w:rsidRDefault="00A44FD1" w:rsidP="00E350F6">
            <w:pPr>
              <w:jc w:val="both"/>
              <w:rPr>
                <w:rFonts w:ascii="Arial" w:hAnsi="Arial" w:cs="Arial"/>
                <w:b/>
                <w:bCs/>
                <w:i/>
                <w:iCs/>
                <w:color w:val="404040" w:themeColor="text1" w:themeTint="BF"/>
                <w:sz w:val="16"/>
                <w:szCs w:val="16"/>
              </w:rPr>
            </w:pPr>
            <w:r w:rsidRPr="007B5F4C">
              <w:rPr>
                <w:rStyle w:val="quality-sign"/>
                <w:rFonts w:ascii="Cambria Math" w:hAnsi="Cambria Math" w:cs="Cambria Math"/>
                <w:sz w:val="16"/>
                <w:szCs w:val="16"/>
              </w:rPr>
              <w:t>⨁⨁⨁</w:t>
            </w:r>
            <w:r w:rsidRPr="007B5F4C">
              <w:rPr>
                <w:rStyle w:val="quality-sign"/>
                <w:rFonts w:ascii="Segoe UI Symbol" w:eastAsia="MS Gothic" w:hAnsi="Segoe UI Symbol" w:cs="Segoe UI Symbol"/>
                <w:sz w:val="16"/>
                <w:szCs w:val="16"/>
              </w:rPr>
              <w:t>◯</w:t>
            </w:r>
            <w:r w:rsidRPr="007B5F4C">
              <w:rPr>
                <w:rFonts w:ascii="Arial" w:hAnsi="Arial" w:cs="Arial"/>
                <w:sz w:val="16"/>
                <w:szCs w:val="16"/>
              </w:rPr>
              <w:br/>
            </w:r>
            <w:r w:rsidRPr="007B5F4C">
              <w:rPr>
                <w:rStyle w:val="quality-text"/>
                <w:rFonts w:ascii="Arial" w:hAnsi="Arial" w:cs="Arial"/>
                <w:sz w:val="16"/>
                <w:szCs w:val="16"/>
              </w:rPr>
              <w:t>MODERATE</w:t>
            </w:r>
            <w:r w:rsidRPr="007B5F4C">
              <w:rPr>
                <w:rFonts w:ascii="Arial" w:hAnsi="Arial" w:cs="Arial"/>
                <w:sz w:val="16"/>
                <w:szCs w:val="16"/>
              </w:rPr>
              <w:t xml:space="preserve"> </w:t>
            </w:r>
            <w:r w:rsidRPr="007B5F4C">
              <w:rPr>
                <w:rFonts w:ascii="Arial" w:hAnsi="Arial" w:cs="Arial"/>
                <w:sz w:val="16"/>
                <w:szCs w:val="16"/>
                <w:vertAlign w:val="superscript"/>
              </w:rPr>
              <w:t>2</w:t>
            </w:r>
            <w:r w:rsidRPr="007B5F4C">
              <w:rPr>
                <w:rStyle w:val="comma"/>
                <w:rFonts w:ascii="Arial" w:hAnsi="Arial" w:cs="Arial"/>
                <w:sz w:val="16"/>
                <w:szCs w:val="16"/>
                <w:vertAlign w:val="superscript"/>
              </w:rPr>
              <w:t>,</w:t>
            </w:r>
            <w:r w:rsidRPr="007B5F4C">
              <w:rPr>
                <w:rFonts w:ascii="Arial" w:hAnsi="Arial" w:cs="Arial"/>
                <w:sz w:val="16"/>
                <w:szCs w:val="16"/>
                <w:vertAlign w:val="superscript"/>
              </w:rPr>
              <w:t>3</w:t>
            </w:r>
            <w:r w:rsidRPr="007B5F4C">
              <w:rPr>
                <w:rStyle w:val="comma"/>
                <w:rFonts w:ascii="Arial" w:hAnsi="Arial" w:cs="Arial"/>
                <w:sz w:val="16"/>
                <w:szCs w:val="16"/>
                <w:vertAlign w:val="superscript"/>
              </w:rPr>
              <w:t>,</w:t>
            </w:r>
            <w:proofErr w:type="gramStart"/>
            <w:r w:rsidRPr="007B5F4C">
              <w:rPr>
                <w:rFonts w:ascii="Arial" w:hAnsi="Arial" w:cs="Arial"/>
                <w:sz w:val="16"/>
                <w:szCs w:val="16"/>
                <w:vertAlign w:val="superscript"/>
              </w:rPr>
              <w:t>4</w:t>
            </w:r>
            <w:r w:rsidRPr="007B5F4C">
              <w:rPr>
                <w:rStyle w:val="comma"/>
                <w:rFonts w:ascii="Arial" w:hAnsi="Arial" w:cs="Arial"/>
                <w:sz w:val="16"/>
                <w:szCs w:val="16"/>
                <w:vertAlign w:val="superscript"/>
              </w:rPr>
              <w:t>,</w:t>
            </w:r>
            <w:r w:rsidRPr="007B5F4C">
              <w:rPr>
                <w:rFonts w:ascii="Arial" w:hAnsi="Arial" w:cs="Arial"/>
                <w:sz w:val="16"/>
                <w:szCs w:val="16"/>
                <w:vertAlign w:val="superscript"/>
              </w:rPr>
              <w:t>a</w:t>
            </w:r>
            <w:proofErr w:type="gramEnd"/>
            <w:r w:rsidRPr="007B5F4C">
              <w:rPr>
                <w:rStyle w:val="comma"/>
                <w:rFonts w:ascii="Arial" w:hAnsi="Arial" w:cs="Arial"/>
                <w:sz w:val="16"/>
                <w:szCs w:val="16"/>
                <w:vertAlign w:val="superscript"/>
              </w:rPr>
              <w:t>,</w:t>
            </w:r>
            <w:r w:rsidRPr="007B5F4C">
              <w:rPr>
                <w:rFonts w:ascii="Arial" w:hAnsi="Arial" w:cs="Arial"/>
                <w:sz w:val="16"/>
                <w:szCs w:val="16"/>
                <w:vertAlign w:val="superscript"/>
              </w:rPr>
              <w:t>c</w:t>
            </w:r>
            <w:r w:rsidRPr="007B5F4C">
              <w:rPr>
                <w:rStyle w:val="comma"/>
                <w:rFonts w:ascii="Arial" w:hAnsi="Arial" w:cs="Arial"/>
                <w:sz w:val="16"/>
                <w:szCs w:val="16"/>
                <w:vertAlign w:val="superscript"/>
              </w:rPr>
              <w:t>,</w:t>
            </w:r>
            <w:r w:rsidRPr="007B5F4C">
              <w:rPr>
                <w:rFonts w:ascii="Arial" w:hAnsi="Arial" w:cs="Arial"/>
                <w:sz w:val="16"/>
                <w:szCs w:val="16"/>
                <w:vertAlign w:val="superscript"/>
              </w:rPr>
              <w:t>d</w:t>
            </w:r>
          </w:p>
        </w:tc>
        <w:tc>
          <w:tcPr>
            <w:tcW w:w="0" w:type="auto"/>
            <w:tcBorders>
              <w:top w:val="single" w:sz="6" w:space="0" w:color="000000"/>
              <w:left w:val="nil"/>
              <w:bottom w:val="single" w:sz="6" w:space="0" w:color="000000"/>
              <w:right w:val="nil"/>
            </w:tcBorders>
            <w:vAlign w:val="center"/>
            <w:hideMark/>
          </w:tcPr>
          <w:p w14:paraId="053B9A05" w14:textId="77777777" w:rsidR="00A44FD1" w:rsidRPr="007B5F4C" w:rsidRDefault="00A44FD1" w:rsidP="00E350F6">
            <w:pPr>
              <w:jc w:val="both"/>
              <w:rPr>
                <w:rFonts w:ascii="Arial" w:hAnsi="Arial" w:cs="Arial"/>
                <w:b/>
                <w:bCs/>
                <w:i/>
                <w:iCs/>
                <w:color w:val="404040" w:themeColor="text1" w:themeTint="BF"/>
                <w:sz w:val="16"/>
                <w:szCs w:val="16"/>
              </w:rPr>
            </w:pPr>
            <w:r w:rsidRPr="007B5F4C">
              <w:rPr>
                <w:rStyle w:val="cell"/>
                <w:rFonts w:ascii="Arial" w:hAnsi="Arial" w:cs="Arial"/>
                <w:sz w:val="16"/>
                <w:szCs w:val="16"/>
              </w:rPr>
              <w:t>-</w:t>
            </w:r>
            <w:r w:rsidRPr="007B5F4C">
              <w:rPr>
                <w:rFonts w:ascii="Arial" w:hAnsi="Arial" w:cs="Arial"/>
                <w:sz w:val="16"/>
                <w:szCs w:val="16"/>
              </w:rPr>
              <w:t xml:space="preserve"> </w:t>
            </w:r>
          </w:p>
        </w:tc>
        <w:tc>
          <w:tcPr>
            <w:tcW w:w="1543" w:type="dxa"/>
            <w:tcBorders>
              <w:top w:val="single" w:sz="6" w:space="0" w:color="000000"/>
              <w:left w:val="nil"/>
              <w:bottom w:val="single" w:sz="6" w:space="0" w:color="000000"/>
              <w:right w:val="nil"/>
            </w:tcBorders>
            <w:shd w:val="clear" w:color="auto" w:fill="EDEDED"/>
            <w:vAlign w:val="center"/>
            <w:hideMark/>
          </w:tcPr>
          <w:p w14:paraId="5A90540F" w14:textId="77777777" w:rsidR="00A44FD1" w:rsidRPr="007B5F4C" w:rsidRDefault="00A44FD1" w:rsidP="00E350F6">
            <w:pPr>
              <w:jc w:val="both"/>
              <w:rPr>
                <w:rFonts w:ascii="Arial" w:hAnsi="Arial" w:cs="Arial"/>
                <w:b/>
                <w:bCs/>
                <w:i/>
                <w:iCs/>
                <w:color w:val="404040" w:themeColor="text1" w:themeTint="BF"/>
                <w:sz w:val="16"/>
                <w:szCs w:val="16"/>
              </w:rPr>
            </w:pPr>
            <w:r w:rsidRPr="007B5F4C">
              <w:rPr>
                <w:rStyle w:val="cell-value"/>
                <w:rFonts w:ascii="Arial" w:hAnsi="Arial" w:cs="Arial"/>
                <w:sz w:val="16"/>
                <w:szCs w:val="16"/>
              </w:rPr>
              <w:t xml:space="preserve">The mean lung function was </w:t>
            </w:r>
            <w:r w:rsidRPr="007B5F4C">
              <w:rPr>
                <w:rStyle w:val="cell-value"/>
                <w:rFonts w:ascii="Arial" w:hAnsi="Arial" w:cs="Arial"/>
                <w:b/>
                <w:bCs/>
                <w:sz w:val="16"/>
                <w:szCs w:val="16"/>
              </w:rPr>
              <w:t>0</w:t>
            </w:r>
            <w:r w:rsidRPr="007B5F4C">
              <w:rPr>
                <w:rStyle w:val="cell-value"/>
                <w:rFonts w:ascii="Arial" w:hAnsi="Arial" w:cs="Arial"/>
                <w:sz w:val="16"/>
                <w:szCs w:val="16"/>
              </w:rPr>
              <w:t xml:space="preserve"> L</w:t>
            </w:r>
            <w:r w:rsidRPr="007B5F4C">
              <w:rPr>
                <w:rFonts w:ascii="Arial" w:hAnsi="Arial" w:cs="Arial"/>
                <w:sz w:val="16"/>
                <w:szCs w:val="16"/>
              </w:rPr>
              <w:t xml:space="preserve"> </w:t>
            </w:r>
          </w:p>
        </w:tc>
        <w:tc>
          <w:tcPr>
            <w:tcW w:w="1528" w:type="dxa"/>
            <w:tcBorders>
              <w:top w:val="single" w:sz="6" w:space="0" w:color="000000"/>
              <w:left w:val="nil"/>
              <w:bottom w:val="single" w:sz="6" w:space="0" w:color="000000"/>
              <w:right w:val="nil"/>
            </w:tcBorders>
            <w:shd w:val="clear" w:color="auto" w:fill="EDEDED"/>
            <w:vAlign w:val="center"/>
            <w:hideMark/>
          </w:tcPr>
          <w:p w14:paraId="6DF59DA9" w14:textId="77777777" w:rsidR="00A44FD1" w:rsidRPr="007B5F4C" w:rsidRDefault="00A44FD1" w:rsidP="00E350F6">
            <w:pPr>
              <w:jc w:val="both"/>
              <w:rPr>
                <w:rFonts w:ascii="Arial" w:hAnsi="Arial" w:cs="Arial"/>
                <w:b/>
                <w:bCs/>
                <w:i/>
                <w:iCs/>
                <w:color w:val="404040" w:themeColor="text1" w:themeTint="BF"/>
                <w:sz w:val="16"/>
                <w:szCs w:val="16"/>
              </w:rPr>
            </w:pPr>
            <w:r w:rsidRPr="007B5F4C">
              <w:rPr>
                <w:rStyle w:val="cell-value"/>
                <w:rFonts w:ascii="Arial" w:hAnsi="Arial" w:cs="Arial"/>
                <w:sz w:val="16"/>
                <w:szCs w:val="16"/>
              </w:rPr>
              <w:t xml:space="preserve">MD </w:t>
            </w:r>
            <w:r>
              <w:rPr>
                <w:rStyle w:val="cell-value"/>
                <w:rFonts w:ascii="Arial" w:hAnsi="Arial" w:cs="Arial"/>
                <w:sz w:val="16"/>
                <w:szCs w:val="16"/>
              </w:rPr>
              <w:t>+</w:t>
            </w:r>
            <w:r>
              <w:rPr>
                <w:rStyle w:val="cell-value"/>
                <w:rFonts w:eastAsia="Calibri"/>
              </w:rPr>
              <w:t xml:space="preserve"> </w:t>
            </w:r>
            <w:r w:rsidRPr="007B5F4C">
              <w:rPr>
                <w:rStyle w:val="cell-value"/>
                <w:rFonts w:ascii="Arial" w:hAnsi="Arial" w:cs="Arial"/>
                <w:b/>
                <w:bCs/>
                <w:sz w:val="16"/>
                <w:szCs w:val="16"/>
              </w:rPr>
              <w:t xml:space="preserve">0.055 L </w:t>
            </w:r>
            <w:r w:rsidRPr="007B5F4C">
              <w:rPr>
                <w:rFonts w:ascii="Arial" w:hAnsi="Arial" w:cs="Arial"/>
                <w:sz w:val="16"/>
                <w:szCs w:val="16"/>
              </w:rPr>
              <w:br/>
            </w:r>
            <w:r w:rsidRPr="007B5F4C">
              <w:rPr>
                <w:rStyle w:val="cell-value"/>
                <w:rFonts w:ascii="Arial" w:hAnsi="Arial" w:cs="Arial"/>
                <w:sz w:val="16"/>
                <w:szCs w:val="16"/>
              </w:rPr>
              <w:t>(</w:t>
            </w:r>
            <w:r>
              <w:rPr>
                <w:rStyle w:val="cell-value"/>
                <w:rFonts w:ascii="Arial" w:hAnsi="Arial" w:cs="Arial"/>
                <w:sz w:val="16"/>
                <w:szCs w:val="16"/>
              </w:rPr>
              <w:t>-</w:t>
            </w:r>
            <w:r w:rsidRPr="007B5F4C">
              <w:rPr>
                <w:rStyle w:val="cell-value"/>
                <w:rFonts w:ascii="Arial" w:hAnsi="Arial" w:cs="Arial"/>
                <w:sz w:val="16"/>
                <w:szCs w:val="16"/>
              </w:rPr>
              <w:t xml:space="preserve">0.025 to </w:t>
            </w:r>
            <w:r>
              <w:rPr>
                <w:rStyle w:val="cell-value"/>
                <w:rFonts w:ascii="Arial" w:hAnsi="Arial" w:cs="Arial"/>
                <w:sz w:val="16"/>
                <w:szCs w:val="16"/>
              </w:rPr>
              <w:t>+</w:t>
            </w:r>
            <w:r>
              <w:rPr>
                <w:rStyle w:val="cell-value"/>
                <w:rFonts w:eastAsia="Calibri"/>
              </w:rPr>
              <w:t xml:space="preserve"> </w:t>
            </w:r>
            <w:r w:rsidRPr="007B5F4C">
              <w:rPr>
                <w:rStyle w:val="cell-value"/>
                <w:rFonts w:ascii="Arial" w:hAnsi="Arial" w:cs="Arial"/>
                <w:sz w:val="16"/>
                <w:szCs w:val="16"/>
              </w:rPr>
              <w:t>0.136)</w:t>
            </w:r>
            <w:r w:rsidRPr="007B5F4C">
              <w:rPr>
                <w:rFonts w:ascii="Arial" w:hAnsi="Arial" w:cs="Arial"/>
                <w:sz w:val="16"/>
                <w:szCs w:val="16"/>
              </w:rPr>
              <w:t xml:space="preserve"> </w:t>
            </w:r>
          </w:p>
        </w:tc>
      </w:tr>
      <w:tr w:rsidR="00A44FD1" w:rsidRPr="00F87E48" w14:paraId="0B598EF0" w14:textId="77777777" w:rsidTr="00875189">
        <w:trPr>
          <w:cantSplit/>
        </w:trPr>
        <w:tc>
          <w:tcPr>
            <w:tcW w:w="14002" w:type="dxa"/>
            <w:gridSpan w:val="6"/>
            <w:tcBorders>
              <w:top w:val="single" w:sz="6" w:space="0" w:color="000000"/>
              <w:left w:val="nil"/>
              <w:bottom w:val="single" w:sz="6" w:space="0" w:color="000000"/>
              <w:right w:val="nil"/>
            </w:tcBorders>
            <w:hideMark/>
          </w:tcPr>
          <w:p w14:paraId="7462BF80" w14:textId="77777777" w:rsidR="00A44FD1" w:rsidRPr="007B5F4C" w:rsidRDefault="00A44FD1" w:rsidP="00E350F6">
            <w:pPr>
              <w:rPr>
                <w:rFonts w:ascii="Arial" w:hAnsi="Arial" w:cs="Arial"/>
                <w:sz w:val="16"/>
                <w:szCs w:val="16"/>
              </w:rPr>
            </w:pPr>
            <w:r w:rsidRPr="007B5F4C">
              <w:rPr>
                <w:rFonts w:ascii="Arial" w:hAnsi="Arial" w:cs="Arial"/>
                <w:sz w:val="16"/>
                <w:szCs w:val="16"/>
              </w:rPr>
              <w:t>*</w:t>
            </w:r>
            <w:r w:rsidRPr="007B5F4C">
              <w:rPr>
                <w:rFonts w:ascii="Arial" w:hAnsi="Arial" w:cs="Arial"/>
                <w:b/>
                <w:bCs/>
                <w:sz w:val="16"/>
                <w:szCs w:val="16"/>
              </w:rPr>
              <w:t>The risk in the intervention group</w:t>
            </w:r>
            <w:r w:rsidRPr="007B5F4C">
              <w:rPr>
                <w:rFonts w:ascii="Arial" w:hAnsi="Arial" w:cs="Arial"/>
                <w:sz w:val="16"/>
                <w:szCs w:val="16"/>
              </w:rPr>
              <w:t xml:space="preserve"> (and its 95% confidence interval) is based on the assumed risk in the comparison group and the </w:t>
            </w:r>
            <w:r w:rsidRPr="007B5F4C">
              <w:rPr>
                <w:rFonts w:ascii="Arial" w:hAnsi="Arial" w:cs="Arial"/>
                <w:b/>
                <w:bCs/>
                <w:sz w:val="16"/>
                <w:szCs w:val="16"/>
              </w:rPr>
              <w:t>relative effect</w:t>
            </w:r>
            <w:r w:rsidRPr="007B5F4C">
              <w:rPr>
                <w:rFonts w:ascii="Arial" w:hAnsi="Arial" w:cs="Arial"/>
                <w:sz w:val="16"/>
                <w:szCs w:val="16"/>
              </w:rPr>
              <w:t xml:space="preserve"> of the intervention (and its 95% CI). </w:t>
            </w:r>
            <w:r w:rsidRPr="007B5F4C">
              <w:rPr>
                <w:rFonts w:ascii="Arial" w:hAnsi="Arial" w:cs="Arial"/>
                <w:sz w:val="16"/>
                <w:szCs w:val="16"/>
              </w:rPr>
              <w:br/>
            </w:r>
            <w:r w:rsidRPr="007B5F4C">
              <w:rPr>
                <w:rFonts w:ascii="Arial" w:hAnsi="Arial" w:cs="Arial"/>
                <w:sz w:val="16"/>
                <w:szCs w:val="16"/>
              </w:rPr>
              <w:br/>
            </w:r>
            <w:r w:rsidRPr="007B5F4C">
              <w:rPr>
                <w:rFonts w:ascii="Arial" w:hAnsi="Arial" w:cs="Arial"/>
                <w:b/>
                <w:bCs/>
                <w:sz w:val="16"/>
                <w:szCs w:val="16"/>
              </w:rPr>
              <w:t>CI:</w:t>
            </w:r>
            <w:r w:rsidRPr="007B5F4C">
              <w:rPr>
                <w:rFonts w:ascii="Arial" w:hAnsi="Arial" w:cs="Arial"/>
                <w:sz w:val="16"/>
                <w:szCs w:val="16"/>
              </w:rPr>
              <w:t xml:space="preserve"> Confidence interval; </w:t>
            </w:r>
            <w:r w:rsidRPr="007B5F4C">
              <w:rPr>
                <w:rFonts w:ascii="Arial" w:hAnsi="Arial" w:cs="Arial"/>
                <w:b/>
                <w:bCs/>
                <w:sz w:val="16"/>
                <w:szCs w:val="16"/>
              </w:rPr>
              <w:t>MD:</w:t>
            </w:r>
            <w:r w:rsidRPr="007B5F4C">
              <w:rPr>
                <w:rFonts w:ascii="Arial" w:hAnsi="Arial" w:cs="Arial"/>
                <w:sz w:val="16"/>
                <w:szCs w:val="16"/>
              </w:rPr>
              <w:t xml:space="preserve"> Mean difference; </w:t>
            </w:r>
            <w:r w:rsidRPr="007B5F4C">
              <w:rPr>
                <w:rFonts w:ascii="Arial" w:hAnsi="Arial" w:cs="Arial"/>
                <w:b/>
                <w:bCs/>
                <w:sz w:val="16"/>
                <w:szCs w:val="16"/>
              </w:rPr>
              <w:t>RR:</w:t>
            </w:r>
            <w:r w:rsidRPr="007B5F4C">
              <w:rPr>
                <w:rFonts w:ascii="Arial" w:hAnsi="Arial" w:cs="Arial"/>
                <w:sz w:val="16"/>
                <w:szCs w:val="16"/>
              </w:rPr>
              <w:t xml:space="preserve"> Risk ratio </w:t>
            </w:r>
          </w:p>
        </w:tc>
      </w:tr>
      <w:tr w:rsidR="00A44FD1" w:rsidRPr="00F87E48" w14:paraId="2C4DE16B" w14:textId="77777777" w:rsidTr="00875189">
        <w:trPr>
          <w:cantSplit/>
        </w:trPr>
        <w:tc>
          <w:tcPr>
            <w:tcW w:w="14002" w:type="dxa"/>
            <w:gridSpan w:val="6"/>
            <w:tcBorders>
              <w:top w:val="single" w:sz="6" w:space="0" w:color="000000"/>
              <w:left w:val="nil"/>
              <w:bottom w:val="single" w:sz="6" w:space="0" w:color="000000"/>
              <w:right w:val="nil"/>
            </w:tcBorders>
            <w:hideMark/>
          </w:tcPr>
          <w:p w14:paraId="05CD33EE" w14:textId="77777777" w:rsidR="00A44FD1" w:rsidRPr="007B5F4C" w:rsidRDefault="00A44FD1" w:rsidP="00E350F6">
            <w:pPr>
              <w:rPr>
                <w:rFonts w:ascii="Arial" w:hAnsi="Arial" w:cs="Arial"/>
                <w:sz w:val="16"/>
                <w:szCs w:val="16"/>
              </w:rPr>
            </w:pPr>
            <w:r w:rsidRPr="007B5F4C">
              <w:rPr>
                <w:rFonts w:ascii="Arial" w:hAnsi="Arial" w:cs="Arial"/>
                <w:b/>
                <w:bCs/>
                <w:sz w:val="16"/>
                <w:szCs w:val="16"/>
              </w:rPr>
              <w:t>GRADE Working Group grades of evidence</w:t>
            </w:r>
            <w:r w:rsidRPr="007B5F4C">
              <w:rPr>
                <w:rFonts w:ascii="Arial" w:hAnsi="Arial" w:cs="Arial"/>
                <w:sz w:val="16"/>
                <w:szCs w:val="16"/>
              </w:rPr>
              <w:br/>
            </w:r>
            <w:r w:rsidRPr="007B5F4C">
              <w:rPr>
                <w:rFonts w:ascii="Arial" w:hAnsi="Arial" w:cs="Arial"/>
                <w:b/>
                <w:bCs/>
                <w:sz w:val="16"/>
                <w:szCs w:val="16"/>
              </w:rPr>
              <w:t>High certainty:</w:t>
            </w:r>
            <w:r w:rsidRPr="007B5F4C">
              <w:rPr>
                <w:rFonts w:ascii="Arial" w:hAnsi="Arial" w:cs="Arial"/>
                <w:sz w:val="16"/>
                <w:szCs w:val="16"/>
              </w:rPr>
              <w:t xml:space="preserve"> </w:t>
            </w:r>
            <w:r>
              <w:rPr>
                <w:rFonts w:ascii="Arial" w:hAnsi="Arial" w:cs="Arial"/>
                <w:sz w:val="16"/>
                <w:szCs w:val="16"/>
              </w:rPr>
              <w:t>High</w:t>
            </w:r>
            <w:r w:rsidRPr="007B5F4C">
              <w:rPr>
                <w:rFonts w:ascii="Arial" w:hAnsi="Arial" w:cs="Arial"/>
                <w:sz w:val="16"/>
                <w:szCs w:val="16"/>
              </w:rPr>
              <w:t xml:space="preserve"> confiden</w:t>
            </w:r>
            <w:r>
              <w:rPr>
                <w:rFonts w:ascii="Arial" w:hAnsi="Arial" w:cs="Arial"/>
                <w:sz w:val="16"/>
                <w:szCs w:val="16"/>
              </w:rPr>
              <w:t>ce</w:t>
            </w:r>
            <w:r w:rsidRPr="007B5F4C">
              <w:rPr>
                <w:rFonts w:ascii="Arial" w:hAnsi="Arial" w:cs="Arial"/>
                <w:sz w:val="16"/>
                <w:szCs w:val="16"/>
              </w:rPr>
              <w:t xml:space="preserve"> that the true effect lies close to that of the estimate of the effect</w:t>
            </w:r>
            <w:r w:rsidRPr="007B5F4C">
              <w:rPr>
                <w:rFonts w:ascii="Arial" w:hAnsi="Arial" w:cs="Arial"/>
                <w:sz w:val="16"/>
                <w:szCs w:val="16"/>
              </w:rPr>
              <w:br/>
            </w:r>
            <w:r w:rsidRPr="007B5F4C">
              <w:rPr>
                <w:rFonts w:ascii="Arial" w:hAnsi="Arial" w:cs="Arial"/>
                <w:b/>
                <w:bCs/>
                <w:sz w:val="16"/>
                <w:szCs w:val="16"/>
              </w:rPr>
              <w:t>Moderate certainty:</w:t>
            </w:r>
            <w:r w:rsidRPr="007B5F4C">
              <w:rPr>
                <w:rFonts w:ascii="Arial" w:hAnsi="Arial" w:cs="Arial"/>
                <w:sz w:val="16"/>
                <w:szCs w:val="16"/>
              </w:rPr>
              <w:t xml:space="preserve"> </w:t>
            </w:r>
            <w:r>
              <w:rPr>
                <w:rFonts w:ascii="Arial" w:hAnsi="Arial" w:cs="Arial"/>
                <w:sz w:val="16"/>
                <w:szCs w:val="16"/>
              </w:rPr>
              <w:t>M</w:t>
            </w:r>
            <w:r w:rsidRPr="007B5F4C">
              <w:rPr>
                <w:rFonts w:ascii="Arial" w:hAnsi="Arial" w:cs="Arial"/>
                <w:sz w:val="16"/>
                <w:szCs w:val="16"/>
              </w:rPr>
              <w:t>oderate confiden</w:t>
            </w:r>
            <w:r>
              <w:rPr>
                <w:rFonts w:ascii="Arial" w:hAnsi="Arial" w:cs="Arial"/>
                <w:sz w:val="16"/>
                <w:szCs w:val="16"/>
              </w:rPr>
              <w:t>ce</w:t>
            </w:r>
            <w:r w:rsidRPr="007B5F4C">
              <w:rPr>
                <w:rFonts w:ascii="Arial" w:hAnsi="Arial" w:cs="Arial"/>
                <w:sz w:val="16"/>
                <w:szCs w:val="16"/>
              </w:rPr>
              <w:t xml:space="preserve"> in the effect estimate: </w:t>
            </w:r>
            <w:r>
              <w:rPr>
                <w:rFonts w:ascii="Arial" w:hAnsi="Arial" w:cs="Arial"/>
                <w:sz w:val="16"/>
                <w:szCs w:val="16"/>
              </w:rPr>
              <w:t>t</w:t>
            </w:r>
            <w:r w:rsidRPr="007B5F4C">
              <w:rPr>
                <w:rFonts w:ascii="Arial" w:hAnsi="Arial" w:cs="Arial"/>
                <w:sz w:val="16"/>
                <w:szCs w:val="16"/>
              </w:rPr>
              <w:t>he true effect is likely to be close to the estimate of the effect, but there is a possibility that it is substantially different</w:t>
            </w:r>
            <w:r w:rsidRPr="007B5F4C">
              <w:rPr>
                <w:rFonts w:ascii="Arial" w:hAnsi="Arial" w:cs="Arial"/>
                <w:sz w:val="16"/>
                <w:szCs w:val="16"/>
              </w:rPr>
              <w:br/>
            </w:r>
            <w:r w:rsidRPr="007B5F4C">
              <w:rPr>
                <w:rFonts w:ascii="Arial" w:hAnsi="Arial" w:cs="Arial"/>
                <w:b/>
                <w:bCs/>
                <w:sz w:val="16"/>
                <w:szCs w:val="16"/>
              </w:rPr>
              <w:t>Low certainty:</w:t>
            </w:r>
            <w:r w:rsidRPr="007B5F4C">
              <w:rPr>
                <w:rFonts w:ascii="Arial" w:hAnsi="Arial" w:cs="Arial"/>
                <w:sz w:val="16"/>
                <w:szCs w:val="16"/>
              </w:rPr>
              <w:t xml:space="preserve"> </w:t>
            </w:r>
            <w:r>
              <w:rPr>
                <w:rFonts w:ascii="Arial" w:hAnsi="Arial" w:cs="Arial"/>
                <w:sz w:val="16"/>
                <w:szCs w:val="16"/>
              </w:rPr>
              <w:t>L</w:t>
            </w:r>
            <w:r w:rsidRPr="007B5F4C">
              <w:rPr>
                <w:rFonts w:ascii="Arial" w:hAnsi="Arial" w:cs="Arial"/>
                <w:sz w:val="16"/>
                <w:szCs w:val="16"/>
              </w:rPr>
              <w:t xml:space="preserve">imited confidence in the effect estimate: </w:t>
            </w:r>
            <w:r>
              <w:rPr>
                <w:rFonts w:ascii="Arial" w:hAnsi="Arial" w:cs="Arial"/>
                <w:sz w:val="16"/>
                <w:szCs w:val="16"/>
              </w:rPr>
              <w:t>t</w:t>
            </w:r>
            <w:r w:rsidRPr="007B5F4C">
              <w:rPr>
                <w:rFonts w:ascii="Arial" w:hAnsi="Arial" w:cs="Arial"/>
                <w:sz w:val="16"/>
                <w:szCs w:val="16"/>
              </w:rPr>
              <w:t>he true effect may be substantially different from the estimate of the effect</w:t>
            </w:r>
            <w:r w:rsidRPr="007B5F4C">
              <w:rPr>
                <w:rFonts w:ascii="Arial" w:hAnsi="Arial" w:cs="Arial"/>
                <w:sz w:val="16"/>
                <w:szCs w:val="16"/>
              </w:rPr>
              <w:br/>
            </w:r>
            <w:r w:rsidRPr="007B5F4C">
              <w:rPr>
                <w:rFonts w:ascii="Arial" w:hAnsi="Arial" w:cs="Arial"/>
                <w:b/>
                <w:bCs/>
                <w:sz w:val="16"/>
                <w:szCs w:val="16"/>
              </w:rPr>
              <w:t>Very low certainty:</w:t>
            </w:r>
            <w:r w:rsidRPr="007B5F4C">
              <w:rPr>
                <w:rFonts w:ascii="Arial" w:hAnsi="Arial" w:cs="Arial"/>
                <w:sz w:val="16"/>
                <w:szCs w:val="16"/>
              </w:rPr>
              <w:t xml:space="preserve"> </w:t>
            </w:r>
            <w:r>
              <w:rPr>
                <w:rFonts w:ascii="Arial" w:hAnsi="Arial" w:cs="Arial"/>
                <w:sz w:val="16"/>
                <w:szCs w:val="16"/>
              </w:rPr>
              <w:t>V</w:t>
            </w:r>
            <w:r w:rsidRPr="007B5F4C">
              <w:rPr>
                <w:rFonts w:ascii="Arial" w:hAnsi="Arial" w:cs="Arial"/>
                <w:sz w:val="16"/>
                <w:szCs w:val="16"/>
              </w:rPr>
              <w:t xml:space="preserve">ery little confidence in the effect estimate: </w:t>
            </w:r>
            <w:r>
              <w:rPr>
                <w:rFonts w:ascii="Arial" w:hAnsi="Arial" w:cs="Arial"/>
                <w:sz w:val="16"/>
                <w:szCs w:val="16"/>
              </w:rPr>
              <w:t>t</w:t>
            </w:r>
            <w:r w:rsidRPr="007B5F4C">
              <w:rPr>
                <w:rFonts w:ascii="Arial" w:hAnsi="Arial" w:cs="Arial"/>
                <w:sz w:val="16"/>
                <w:szCs w:val="16"/>
              </w:rPr>
              <w:t xml:space="preserve">he true effect is likely to be substantially different from the estimate of effect </w:t>
            </w:r>
          </w:p>
        </w:tc>
      </w:tr>
    </w:tbl>
    <w:p w14:paraId="42CD82F0" w14:textId="77777777" w:rsidR="00A44FD1" w:rsidRPr="00A3541B" w:rsidRDefault="00A44FD1" w:rsidP="00A44FD1">
      <w:pPr>
        <w:pStyle w:val="Heading4"/>
        <w:jc w:val="both"/>
        <w:rPr>
          <w:rFonts w:ascii="Arial" w:hAnsi="Arial" w:cs="Arial"/>
          <w:color w:val="000000"/>
          <w:sz w:val="16"/>
          <w:szCs w:val="16"/>
        </w:rPr>
      </w:pPr>
      <w:r w:rsidRPr="00A3541B">
        <w:rPr>
          <w:rFonts w:ascii="Arial" w:hAnsi="Arial" w:cs="Arial"/>
          <w:color w:val="000000"/>
          <w:sz w:val="16"/>
          <w:szCs w:val="16"/>
        </w:rPr>
        <w:t>Explanations</w:t>
      </w:r>
    </w:p>
    <w:p w14:paraId="61250C73" w14:textId="77777777" w:rsidR="00A44FD1" w:rsidRPr="00A3541B" w:rsidRDefault="00A44FD1" w:rsidP="00A44FD1">
      <w:pPr>
        <w:pStyle w:val="ListParagraph"/>
        <w:numPr>
          <w:ilvl w:val="0"/>
          <w:numId w:val="9"/>
        </w:numPr>
        <w:spacing w:after="200" w:line="276" w:lineRule="auto"/>
        <w:jc w:val="both"/>
        <w:rPr>
          <w:rFonts w:ascii="Arial" w:hAnsi="Arial" w:cs="Arial"/>
          <w:color w:val="000000"/>
          <w:sz w:val="16"/>
          <w:szCs w:val="16"/>
        </w:rPr>
      </w:pPr>
      <w:r w:rsidRPr="00A3541B">
        <w:rPr>
          <w:rFonts w:ascii="Arial" w:hAnsi="Arial" w:cs="Arial"/>
          <w:color w:val="000000"/>
          <w:sz w:val="16"/>
          <w:szCs w:val="16"/>
        </w:rPr>
        <w:t xml:space="preserve">Included studies were all funded by industry, and all showed positive results. No industry-independent observational or randomized studies were identified to contrast the results. Therefore, </w:t>
      </w:r>
      <w:r>
        <w:rPr>
          <w:rFonts w:ascii="Arial" w:hAnsi="Arial" w:cs="Arial"/>
          <w:color w:val="000000"/>
          <w:sz w:val="16"/>
          <w:szCs w:val="16"/>
        </w:rPr>
        <w:t>evidence was</w:t>
      </w:r>
      <w:r w:rsidRPr="00A3541B">
        <w:rPr>
          <w:rFonts w:ascii="Arial" w:hAnsi="Arial" w:cs="Arial"/>
          <w:color w:val="000000"/>
          <w:sz w:val="16"/>
          <w:szCs w:val="16"/>
        </w:rPr>
        <w:t xml:space="preserve"> downgraded for potential publication bias (10</w:t>
      </w:r>
      <w:r>
        <w:rPr>
          <w:rFonts w:ascii="Arial" w:hAnsi="Arial" w:cs="Arial"/>
          <w:color w:val="000000"/>
          <w:sz w:val="16"/>
          <w:szCs w:val="16"/>
        </w:rPr>
        <w:t>2</w:t>
      </w:r>
      <w:r w:rsidRPr="00A3541B">
        <w:rPr>
          <w:rFonts w:ascii="Arial" w:hAnsi="Arial" w:cs="Arial"/>
          <w:color w:val="000000"/>
          <w:sz w:val="16"/>
          <w:szCs w:val="16"/>
        </w:rPr>
        <w:t xml:space="preserve">). </w:t>
      </w:r>
    </w:p>
    <w:p w14:paraId="655B7AC1" w14:textId="77777777" w:rsidR="00A44FD1" w:rsidRPr="00A3541B" w:rsidRDefault="00A44FD1" w:rsidP="00A44FD1">
      <w:pPr>
        <w:pStyle w:val="ListParagraph"/>
        <w:numPr>
          <w:ilvl w:val="0"/>
          <w:numId w:val="9"/>
        </w:numPr>
        <w:spacing w:after="200" w:line="276" w:lineRule="auto"/>
        <w:jc w:val="both"/>
        <w:rPr>
          <w:rFonts w:ascii="Arial" w:hAnsi="Arial" w:cs="Arial"/>
          <w:color w:val="000000"/>
          <w:sz w:val="16"/>
          <w:szCs w:val="16"/>
        </w:rPr>
      </w:pPr>
      <w:r w:rsidRPr="00A3541B">
        <w:rPr>
          <w:rFonts w:ascii="Arial" w:hAnsi="Arial" w:cs="Arial"/>
          <w:color w:val="000000"/>
          <w:sz w:val="16"/>
          <w:szCs w:val="16"/>
        </w:rPr>
        <w:t>For ACQ-6 the minimal important difference is 0.5 points (</w:t>
      </w:r>
      <w:r>
        <w:rPr>
          <w:rFonts w:ascii="Arial" w:hAnsi="Arial" w:cs="Arial"/>
          <w:color w:val="000000"/>
          <w:sz w:val="16"/>
          <w:szCs w:val="16"/>
        </w:rPr>
        <w:t>30</w:t>
      </w:r>
      <w:r w:rsidRPr="00A3541B">
        <w:rPr>
          <w:rFonts w:ascii="Arial" w:hAnsi="Arial" w:cs="Arial"/>
          <w:color w:val="000000"/>
          <w:sz w:val="16"/>
          <w:szCs w:val="16"/>
        </w:rPr>
        <w:t xml:space="preserve">) </w:t>
      </w:r>
    </w:p>
    <w:p w14:paraId="01813C4C" w14:textId="77777777" w:rsidR="00A44FD1" w:rsidRPr="00A3541B" w:rsidRDefault="00A44FD1" w:rsidP="00A44FD1">
      <w:pPr>
        <w:pStyle w:val="ListParagraph"/>
        <w:numPr>
          <w:ilvl w:val="0"/>
          <w:numId w:val="9"/>
        </w:numPr>
        <w:spacing w:after="200" w:line="276" w:lineRule="auto"/>
        <w:jc w:val="both"/>
        <w:rPr>
          <w:rFonts w:ascii="Arial" w:hAnsi="Arial" w:cs="Arial"/>
          <w:color w:val="000000"/>
          <w:sz w:val="16"/>
          <w:szCs w:val="16"/>
        </w:rPr>
      </w:pPr>
      <w:r w:rsidRPr="00A3541B">
        <w:rPr>
          <w:rFonts w:ascii="Arial" w:hAnsi="Arial" w:cs="Arial"/>
          <w:color w:val="000000"/>
          <w:sz w:val="16"/>
          <w:szCs w:val="16"/>
        </w:rPr>
        <w:t>Downgraded because FEV1 is considered a surrogate outcome of asthma control of symptoms, with a variable correlation with asthma symptoms (10</w:t>
      </w:r>
      <w:r>
        <w:rPr>
          <w:rFonts w:ascii="Arial" w:hAnsi="Arial" w:cs="Arial"/>
          <w:color w:val="000000"/>
          <w:sz w:val="16"/>
          <w:szCs w:val="16"/>
        </w:rPr>
        <w:t>3</w:t>
      </w:r>
      <w:r w:rsidRPr="00A3541B">
        <w:rPr>
          <w:rFonts w:ascii="Arial" w:hAnsi="Arial" w:cs="Arial"/>
          <w:color w:val="000000"/>
          <w:sz w:val="16"/>
          <w:szCs w:val="16"/>
        </w:rPr>
        <w:t xml:space="preserve">). </w:t>
      </w:r>
    </w:p>
    <w:p w14:paraId="55F2DE97" w14:textId="77777777" w:rsidR="00A44FD1" w:rsidRPr="00A3541B" w:rsidRDefault="00A44FD1" w:rsidP="00A44FD1">
      <w:pPr>
        <w:pStyle w:val="ListParagraph"/>
        <w:numPr>
          <w:ilvl w:val="0"/>
          <w:numId w:val="9"/>
        </w:numPr>
        <w:spacing w:after="200" w:line="276" w:lineRule="auto"/>
        <w:jc w:val="both"/>
        <w:rPr>
          <w:rFonts w:ascii="Arial" w:hAnsi="Arial" w:cs="Arial"/>
          <w:color w:val="000000"/>
          <w:sz w:val="16"/>
          <w:szCs w:val="16"/>
        </w:rPr>
      </w:pPr>
      <w:r w:rsidRPr="00A3541B">
        <w:rPr>
          <w:rFonts w:ascii="Arial" w:hAnsi="Arial" w:cs="Arial"/>
          <w:color w:val="000000"/>
          <w:sz w:val="16"/>
          <w:szCs w:val="16"/>
        </w:rPr>
        <w:t xml:space="preserve">The effect may both be harmful or beneficial. The minimal important difference (MID) for FEV1 is 0.20 L (Guidelines development group consensus). </w:t>
      </w:r>
    </w:p>
    <w:p w14:paraId="61521C6C" w14:textId="77777777" w:rsidR="00A44FD1" w:rsidRPr="00A3541B" w:rsidRDefault="00A44FD1" w:rsidP="00A44FD1">
      <w:pPr>
        <w:pStyle w:val="ListParagraph"/>
        <w:numPr>
          <w:ilvl w:val="0"/>
          <w:numId w:val="9"/>
        </w:numPr>
        <w:spacing w:after="200" w:line="276" w:lineRule="auto"/>
        <w:jc w:val="both"/>
        <w:rPr>
          <w:rFonts w:ascii="Arial" w:hAnsi="Arial" w:cs="Arial"/>
          <w:color w:val="000000"/>
          <w:sz w:val="16"/>
          <w:szCs w:val="16"/>
        </w:rPr>
      </w:pPr>
      <w:r w:rsidRPr="00A3541B">
        <w:rPr>
          <w:rFonts w:ascii="Arial" w:hAnsi="Arial" w:cs="Arial"/>
          <w:color w:val="000000"/>
          <w:sz w:val="16"/>
          <w:szCs w:val="16"/>
        </w:rPr>
        <w:t>For AQLQ(S) + 12 the minimal important difference is 0.5 (3</w:t>
      </w:r>
      <w:r>
        <w:rPr>
          <w:rFonts w:ascii="Arial" w:hAnsi="Arial" w:cs="Arial"/>
          <w:color w:val="000000"/>
          <w:sz w:val="16"/>
          <w:szCs w:val="16"/>
        </w:rPr>
        <w:t>2</w:t>
      </w:r>
      <w:r w:rsidRPr="00A3541B">
        <w:rPr>
          <w:rFonts w:ascii="Arial" w:hAnsi="Arial" w:cs="Arial"/>
          <w:color w:val="000000"/>
          <w:sz w:val="16"/>
          <w:szCs w:val="16"/>
        </w:rPr>
        <w:t xml:space="preserve">) </w:t>
      </w:r>
    </w:p>
    <w:p w14:paraId="2619512C" w14:textId="77777777" w:rsidR="00A44FD1" w:rsidRPr="00A3541B" w:rsidRDefault="00A44FD1" w:rsidP="00A44FD1">
      <w:pPr>
        <w:pStyle w:val="ListParagraph"/>
        <w:numPr>
          <w:ilvl w:val="0"/>
          <w:numId w:val="9"/>
        </w:numPr>
        <w:spacing w:after="200" w:line="276" w:lineRule="auto"/>
        <w:jc w:val="both"/>
        <w:rPr>
          <w:rFonts w:ascii="Arial" w:hAnsi="Arial" w:cs="Arial"/>
          <w:color w:val="000000"/>
          <w:sz w:val="16"/>
          <w:szCs w:val="16"/>
        </w:rPr>
      </w:pPr>
      <w:r w:rsidRPr="00A3541B">
        <w:rPr>
          <w:rFonts w:ascii="Arial" w:hAnsi="Arial" w:cs="Arial"/>
          <w:color w:val="000000"/>
          <w:sz w:val="16"/>
          <w:szCs w:val="16"/>
        </w:rPr>
        <w:t>Downgraded one level due to indirectness (data from severe asthma patients that may have or may have not allergic asthma)</w:t>
      </w:r>
    </w:p>
    <w:p w14:paraId="344BDB14" w14:textId="6E3E85FB" w:rsidR="00A44FD1" w:rsidRDefault="00A44FD1" w:rsidP="00A44FD1">
      <w:pPr>
        <w:pStyle w:val="ListParagraph"/>
        <w:numPr>
          <w:ilvl w:val="0"/>
          <w:numId w:val="9"/>
        </w:numPr>
        <w:spacing w:after="200" w:line="276" w:lineRule="auto"/>
        <w:jc w:val="both"/>
        <w:rPr>
          <w:rFonts w:ascii="Arial" w:hAnsi="Arial" w:cs="Arial"/>
          <w:color w:val="000000"/>
          <w:sz w:val="16"/>
          <w:szCs w:val="16"/>
        </w:rPr>
      </w:pPr>
      <w:r w:rsidRPr="00A3541B">
        <w:rPr>
          <w:rFonts w:ascii="Arial" w:hAnsi="Arial" w:cs="Arial"/>
          <w:color w:val="000000"/>
          <w:sz w:val="16"/>
          <w:szCs w:val="16"/>
        </w:rPr>
        <w:t xml:space="preserve">The effect may both be harmful or beneficial. Estimations are based on less than 300 events, thus there is probably important imprecision. </w:t>
      </w:r>
    </w:p>
    <w:p w14:paraId="27059EC1" w14:textId="0185E034" w:rsidR="00F1154A" w:rsidRPr="002D2E59" w:rsidRDefault="00E210BC" w:rsidP="002D745B">
      <w:pPr>
        <w:spacing w:after="200" w:line="276" w:lineRule="auto"/>
        <w:jc w:val="both"/>
        <w:rPr>
          <w:rFonts w:ascii="Arial" w:hAnsi="Arial" w:cs="Arial"/>
          <w:b/>
          <w:color w:val="000000"/>
          <w:sz w:val="20"/>
          <w:szCs w:val="20"/>
        </w:rPr>
      </w:pPr>
      <w:r w:rsidRPr="002D2E59">
        <w:rPr>
          <w:rFonts w:ascii="Arial" w:hAnsi="Arial" w:cs="Arial"/>
          <w:b/>
          <w:color w:val="000000"/>
          <w:sz w:val="20"/>
          <w:szCs w:val="20"/>
        </w:rPr>
        <w:t xml:space="preserve">Table </w:t>
      </w:r>
      <w:r w:rsidR="002D2E59" w:rsidRPr="002D2E59">
        <w:rPr>
          <w:rFonts w:ascii="Arial" w:hAnsi="Arial" w:cs="Arial"/>
          <w:b/>
          <w:color w:val="000000"/>
          <w:sz w:val="20"/>
          <w:szCs w:val="20"/>
        </w:rPr>
        <w:t>S1</w:t>
      </w:r>
      <w:r w:rsidR="002A55D2">
        <w:rPr>
          <w:rFonts w:ascii="Arial" w:hAnsi="Arial" w:cs="Arial"/>
          <w:b/>
          <w:color w:val="000000"/>
          <w:sz w:val="20"/>
          <w:szCs w:val="20"/>
        </w:rPr>
        <w:t>2</w:t>
      </w:r>
      <w:r w:rsidRPr="002D2E59">
        <w:rPr>
          <w:rFonts w:ascii="Arial" w:hAnsi="Arial" w:cs="Arial"/>
          <w:b/>
          <w:color w:val="000000"/>
          <w:sz w:val="20"/>
          <w:szCs w:val="20"/>
        </w:rPr>
        <w:t xml:space="preserve">: economic </w:t>
      </w:r>
      <w:r w:rsidR="00875189">
        <w:rPr>
          <w:rFonts w:ascii="Arial" w:hAnsi="Arial" w:cs="Arial"/>
          <w:b/>
          <w:color w:val="000000"/>
          <w:sz w:val="20"/>
          <w:szCs w:val="20"/>
        </w:rPr>
        <w:t>evaluation</w:t>
      </w:r>
      <w:r w:rsidRPr="002D2E59">
        <w:rPr>
          <w:rFonts w:ascii="Arial" w:hAnsi="Arial" w:cs="Arial"/>
          <w:b/>
          <w:color w:val="000000"/>
          <w:sz w:val="20"/>
          <w:szCs w:val="20"/>
        </w:rPr>
        <w:t xml:space="preserve"> </w:t>
      </w:r>
      <w:r w:rsidR="00875189">
        <w:rPr>
          <w:rFonts w:ascii="Arial" w:hAnsi="Arial" w:cs="Arial"/>
          <w:b/>
          <w:color w:val="000000"/>
          <w:sz w:val="20"/>
          <w:szCs w:val="20"/>
        </w:rPr>
        <w:t>of</w:t>
      </w:r>
      <w:r w:rsidRPr="002D2E59">
        <w:rPr>
          <w:rFonts w:ascii="Arial" w:hAnsi="Arial" w:cs="Arial"/>
          <w:b/>
          <w:color w:val="000000"/>
          <w:sz w:val="20"/>
          <w:szCs w:val="20"/>
        </w:rPr>
        <w:t xml:space="preserve"> benralizumab </w:t>
      </w:r>
      <w:r w:rsidR="002D745B" w:rsidRPr="002D2E59">
        <w:rPr>
          <w:rFonts w:ascii="Arial" w:hAnsi="Arial" w:cs="Arial"/>
          <w:b/>
          <w:sz w:val="20"/>
          <w:szCs w:val="20"/>
        </w:rPr>
        <w:t xml:space="preserve">in addition to standard therapy vs. standard therapy </w:t>
      </w:r>
      <w:r w:rsidR="002D2E59" w:rsidRPr="002D2E59">
        <w:rPr>
          <w:rFonts w:ascii="Arial" w:hAnsi="Arial" w:cs="Arial"/>
          <w:b/>
          <w:sz w:val="20"/>
          <w:szCs w:val="20"/>
        </w:rPr>
        <w:t xml:space="preserve">for adults with severe </w:t>
      </w:r>
      <w:r w:rsidRPr="002D2E59">
        <w:rPr>
          <w:rFonts w:ascii="Arial" w:hAnsi="Arial" w:cs="Arial"/>
          <w:b/>
          <w:color w:val="000000"/>
          <w:sz w:val="20"/>
          <w:szCs w:val="20"/>
        </w:rPr>
        <w:t>allergic asthma</w:t>
      </w:r>
    </w:p>
    <w:tbl>
      <w:tblPr>
        <w:tblW w:w="5000" w:type="pct"/>
        <w:jc w:val="center"/>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0A0" w:firstRow="1" w:lastRow="0" w:firstColumn="1" w:lastColumn="0" w:noHBand="0" w:noVBand="0"/>
      </w:tblPr>
      <w:tblGrid>
        <w:gridCol w:w="861"/>
        <w:gridCol w:w="1021"/>
        <w:gridCol w:w="1197"/>
        <w:gridCol w:w="1218"/>
        <w:gridCol w:w="1211"/>
        <w:gridCol w:w="1049"/>
        <w:gridCol w:w="1102"/>
        <w:gridCol w:w="1703"/>
        <w:gridCol w:w="1882"/>
        <w:gridCol w:w="1685"/>
        <w:gridCol w:w="1057"/>
      </w:tblGrid>
      <w:tr w:rsidR="00F1154A" w:rsidRPr="00F87E48" w14:paraId="725BF758" w14:textId="77777777" w:rsidTr="00E350F6">
        <w:trPr>
          <w:cantSplit/>
          <w:trHeight w:val="222"/>
          <w:tblHeader/>
          <w:jc w:val="center"/>
        </w:trPr>
        <w:tc>
          <w:tcPr>
            <w:tcW w:w="2750" w:type="pct"/>
            <w:gridSpan w:val="7"/>
            <w:tcBorders>
              <w:top w:val="single" w:sz="6" w:space="0" w:color="000000"/>
              <w:bottom w:val="single" w:sz="6" w:space="0" w:color="000000"/>
              <w:right w:val="single" w:sz="6" w:space="0" w:color="000000"/>
            </w:tcBorders>
            <w:shd w:val="clear" w:color="auto" w:fill="DDDDDD"/>
          </w:tcPr>
          <w:p w14:paraId="1DA82609" w14:textId="77777777" w:rsidR="00F1154A" w:rsidRPr="00163CE4" w:rsidRDefault="00F1154A" w:rsidP="00E350F6">
            <w:pPr>
              <w:jc w:val="both"/>
              <w:rPr>
                <w:rFonts w:ascii="Arial" w:eastAsiaTheme="majorEastAsia" w:hAnsi="Arial" w:cs="Arial"/>
                <w:b/>
                <w:bCs/>
                <w:i/>
                <w:iCs/>
                <w:color w:val="404040" w:themeColor="text1" w:themeTint="BF"/>
                <w:sz w:val="16"/>
                <w:szCs w:val="16"/>
              </w:rPr>
            </w:pPr>
            <w:r w:rsidRPr="00163CE4">
              <w:rPr>
                <w:rFonts w:ascii="Arial" w:hAnsi="Arial" w:cs="Arial"/>
                <w:b/>
                <w:bCs/>
                <w:sz w:val="16"/>
                <w:szCs w:val="16"/>
              </w:rPr>
              <w:t>Quality assessment</w:t>
            </w:r>
          </w:p>
        </w:tc>
        <w:tc>
          <w:tcPr>
            <w:tcW w:w="1892" w:type="pct"/>
            <w:gridSpan w:val="3"/>
            <w:tcBorders>
              <w:top w:val="single" w:sz="6" w:space="0" w:color="000000"/>
              <w:left w:val="single" w:sz="6" w:space="0" w:color="000000"/>
              <w:bottom w:val="single" w:sz="6" w:space="0" w:color="000000"/>
              <w:right w:val="single" w:sz="6" w:space="0" w:color="000000"/>
            </w:tcBorders>
            <w:shd w:val="clear" w:color="auto" w:fill="DDDDDD"/>
          </w:tcPr>
          <w:p w14:paraId="56C7EB87" w14:textId="77777777" w:rsidR="00F1154A" w:rsidRPr="00163CE4" w:rsidRDefault="00F1154A" w:rsidP="00E350F6">
            <w:pPr>
              <w:jc w:val="both"/>
              <w:rPr>
                <w:rFonts w:ascii="Arial" w:eastAsiaTheme="majorEastAsia" w:hAnsi="Arial" w:cs="Arial"/>
                <w:b/>
                <w:bCs/>
                <w:i/>
                <w:iCs/>
                <w:color w:val="404040" w:themeColor="text1" w:themeTint="BF"/>
                <w:sz w:val="16"/>
                <w:szCs w:val="16"/>
              </w:rPr>
            </w:pPr>
            <w:r w:rsidRPr="00163CE4">
              <w:rPr>
                <w:rFonts w:ascii="Arial" w:hAnsi="Arial" w:cs="Arial"/>
                <w:b/>
                <w:bCs/>
                <w:sz w:val="16"/>
                <w:szCs w:val="16"/>
              </w:rPr>
              <w:t>Summary of resources and costs</w:t>
            </w:r>
          </w:p>
        </w:tc>
        <w:tc>
          <w:tcPr>
            <w:tcW w:w="358" w:type="pct"/>
            <w:vMerge w:val="restart"/>
            <w:tcBorders>
              <w:top w:val="single" w:sz="6" w:space="0" w:color="000000"/>
              <w:left w:val="single" w:sz="6" w:space="0" w:color="000000"/>
            </w:tcBorders>
            <w:shd w:val="clear" w:color="auto" w:fill="DDDDDD"/>
          </w:tcPr>
          <w:p w14:paraId="4EA38617" w14:textId="77777777" w:rsidR="00F1154A" w:rsidRPr="00163CE4" w:rsidRDefault="00F1154A" w:rsidP="00E350F6">
            <w:pPr>
              <w:jc w:val="both"/>
              <w:rPr>
                <w:rFonts w:ascii="Arial" w:eastAsiaTheme="majorEastAsia" w:hAnsi="Arial" w:cs="Arial"/>
                <w:b/>
                <w:bCs/>
                <w:i/>
                <w:iCs/>
                <w:color w:val="404040" w:themeColor="text1" w:themeTint="BF"/>
                <w:sz w:val="16"/>
                <w:szCs w:val="16"/>
              </w:rPr>
            </w:pPr>
            <w:r w:rsidRPr="00163CE4">
              <w:rPr>
                <w:rFonts w:ascii="Arial" w:hAnsi="Arial" w:cs="Arial"/>
                <w:b/>
                <w:bCs/>
                <w:sz w:val="16"/>
                <w:szCs w:val="16"/>
              </w:rPr>
              <w:t>Quality</w:t>
            </w:r>
          </w:p>
        </w:tc>
      </w:tr>
      <w:tr w:rsidR="00F1154A" w:rsidRPr="00F87E48" w14:paraId="5CC28059" w14:textId="77777777" w:rsidTr="00E350F6">
        <w:trPr>
          <w:cantSplit/>
          <w:trHeight w:val="519"/>
          <w:tblHeader/>
          <w:jc w:val="center"/>
        </w:trPr>
        <w:tc>
          <w:tcPr>
            <w:tcW w:w="310" w:type="pct"/>
            <w:tcBorders>
              <w:top w:val="single" w:sz="6" w:space="0" w:color="000000"/>
              <w:bottom w:val="single" w:sz="6" w:space="0" w:color="000000"/>
              <w:right w:val="single" w:sz="6" w:space="0" w:color="000000"/>
            </w:tcBorders>
            <w:shd w:val="clear" w:color="auto" w:fill="DDDDDD"/>
          </w:tcPr>
          <w:p w14:paraId="4D2CE6C0" w14:textId="77777777" w:rsidR="00F1154A" w:rsidRPr="00163CE4" w:rsidRDefault="00F1154A" w:rsidP="00E350F6">
            <w:pPr>
              <w:jc w:val="both"/>
              <w:rPr>
                <w:rFonts w:ascii="Arial" w:eastAsiaTheme="majorEastAsia" w:hAnsi="Arial" w:cs="Arial"/>
                <w:b/>
                <w:bCs/>
                <w:i/>
                <w:iCs/>
                <w:color w:val="404040" w:themeColor="text1" w:themeTint="BF"/>
                <w:sz w:val="16"/>
                <w:szCs w:val="16"/>
              </w:rPr>
            </w:pPr>
            <w:r w:rsidRPr="00163CE4">
              <w:rPr>
                <w:rFonts w:ascii="Arial" w:hAnsi="Arial" w:cs="Arial"/>
                <w:b/>
                <w:bCs/>
                <w:sz w:val="16"/>
                <w:szCs w:val="16"/>
              </w:rPr>
              <w:t>Nº. of studies</w:t>
            </w:r>
          </w:p>
        </w:tc>
        <w:tc>
          <w:tcPr>
            <w:tcW w:w="368" w:type="pct"/>
            <w:tcBorders>
              <w:top w:val="single" w:sz="6" w:space="0" w:color="000000"/>
              <w:left w:val="single" w:sz="6" w:space="0" w:color="000000"/>
              <w:bottom w:val="single" w:sz="6" w:space="0" w:color="000000"/>
              <w:right w:val="single" w:sz="6" w:space="0" w:color="000000"/>
            </w:tcBorders>
            <w:shd w:val="clear" w:color="auto" w:fill="DDDDDD"/>
          </w:tcPr>
          <w:p w14:paraId="4E9D3049" w14:textId="77777777" w:rsidR="00F1154A" w:rsidRPr="00163CE4" w:rsidRDefault="00F1154A" w:rsidP="00E350F6">
            <w:pPr>
              <w:jc w:val="both"/>
              <w:rPr>
                <w:rFonts w:ascii="Arial" w:eastAsiaTheme="majorEastAsia" w:hAnsi="Arial" w:cs="Arial"/>
                <w:b/>
                <w:bCs/>
                <w:i/>
                <w:iCs/>
                <w:color w:val="404040" w:themeColor="text1" w:themeTint="BF"/>
                <w:sz w:val="16"/>
                <w:szCs w:val="16"/>
              </w:rPr>
            </w:pPr>
            <w:r w:rsidRPr="00163CE4">
              <w:rPr>
                <w:rFonts w:ascii="Arial" w:hAnsi="Arial" w:cs="Arial"/>
                <w:b/>
                <w:bCs/>
                <w:sz w:val="16"/>
                <w:szCs w:val="16"/>
              </w:rPr>
              <w:t>Study design</w:t>
            </w:r>
          </w:p>
        </w:tc>
        <w:tc>
          <w:tcPr>
            <w:tcW w:w="431" w:type="pct"/>
            <w:tcBorders>
              <w:top w:val="single" w:sz="6" w:space="0" w:color="000000"/>
              <w:left w:val="single" w:sz="6" w:space="0" w:color="000000"/>
              <w:bottom w:val="single" w:sz="6" w:space="0" w:color="000000"/>
              <w:right w:val="single" w:sz="6" w:space="0" w:color="000000"/>
            </w:tcBorders>
            <w:shd w:val="clear" w:color="auto" w:fill="DDDDDD"/>
          </w:tcPr>
          <w:p w14:paraId="7F5246DE" w14:textId="77777777" w:rsidR="00F1154A" w:rsidRPr="00163CE4" w:rsidRDefault="00F1154A" w:rsidP="00E350F6">
            <w:pPr>
              <w:jc w:val="both"/>
              <w:rPr>
                <w:rFonts w:ascii="Arial" w:eastAsiaTheme="majorEastAsia" w:hAnsi="Arial" w:cs="Arial"/>
                <w:b/>
                <w:bCs/>
                <w:i/>
                <w:iCs/>
                <w:color w:val="404040" w:themeColor="text1" w:themeTint="BF"/>
                <w:sz w:val="16"/>
                <w:szCs w:val="16"/>
              </w:rPr>
            </w:pPr>
            <w:r w:rsidRPr="00163CE4">
              <w:rPr>
                <w:rFonts w:ascii="Arial" w:hAnsi="Arial" w:cs="Arial"/>
                <w:b/>
                <w:bCs/>
                <w:sz w:val="16"/>
                <w:szCs w:val="16"/>
              </w:rPr>
              <w:t>Limitations</w:t>
            </w:r>
          </w:p>
        </w:tc>
        <w:tc>
          <w:tcPr>
            <w:tcW w:w="431" w:type="pct"/>
            <w:tcBorders>
              <w:top w:val="single" w:sz="6" w:space="0" w:color="000000"/>
              <w:left w:val="single" w:sz="6" w:space="0" w:color="000000"/>
              <w:bottom w:val="single" w:sz="6" w:space="0" w:color="000000"/>
              <w:right w:val="single" w:sz="6" w:space="0" w:color="000000"/>
            </w:tcBorders>
            <w:shd w:val="clear" w:color="auto" w:fill="DDDDDD"/>
          </w:tcPr>
          <w:p w14:paraId="1275B780" w14:textId="77777777" w:rsidR="00F1154A" w:rsidRPr="00163CE4" w:rsidRDefault="00F1154A" w:rsidP="00E350F6">
            <w:pPr>
              <w:jc w:val="both"/>
              <w:rPr>
                <w:rFonts w:ascii="Arial" w:eastAsiaTheme="majorEastAsia" w:hAnsi="Arial" w:cs="Arial"/>
                <w:b/>
                <w:bCs/>
                <w:i/>
                <w:iCs/>
                <w:color w:val="404040" w:themeColor="text1" w:themeTint="BF"/>
                <w:sz w:val="16"/>
                <w:szCs w:val="16"/>
              </w:rPr>
            </w:pPr>
            <w:r w:rsidRPr="00163CE4">
              <w:rPr>
                <w:rFonts w:ascii="Arial" w:hAnsi="Arial" w:cs="Arial"/>
                <w:b/>
                <w:bCs/>
                <w:sz w:val="16"/>
                <w:szCs w:val="16"/>
              </w:rPr>
              <w:t>Inconsistency</w:t>
            </w:r>
          </w:p>
        </w:tc>
        <w:tc>
          <w:tcPr>
            <w:tcW w:w="436" w:type="pct"/>
            <w:tcBorders>
              <w:top w:val="single" w:sz="6" w:space="0" w:color="000000"/>
              <w:left w:val="single" w:sz="6" w:space="0" w:color="000000"/>
              <w:bottom w:val="single" w:sz="6" w:space="0" w:color="000000"/>
              <w:right w:val="single" w:sz="6" w:space="0" w:color="000000"/>
            </w:tcBorders>
            <w:shd w:val="clear" w:color="auto" w:fill="DDDDDD"/>
          </w:tcPr>
          <w:p w14:paraId="490D5EEC" w14:textId="77777777" w:rsidR="00F1154A" w:rsidRPr="00163CE4" w:rsidRDefault="00F1154A" w:rsidP="00E350F6">
            <w:pPr>
              <w:jc w:val="both"/>
              <w:rPr>
                <w:rFonts w:ascii="Arial" w:eastAsiaTheme="majorEastAsia" w:hAnsi="Arial" w:cs="Arial"/>
                <w:b/>
                <w:bCs/>
                <w:i/>
                <w:iCs/>
                <w:color w:val="404040" w:themeColor="text1" w:themeTint="BF"/>
                <w:sz w:val="16"/>
                <w:szCs w:val="16"/>
              </w:rPr>
            </w:pPr>
            <w:r w:rsidRPr="00163CE4">
              <w:rPr>
                <w:rFonts w:ascii="Arial" w:hAnsi="Arial" w:cs="Arial"/>
                <w:b/>
                <w:bCs/>
                <w:sz w:val="16"/>
                <w:szCs w:val="16"/>
              </w:rPr>
              <w:t>Indirectness</w:t>
            </w:r>
          </w:p>
        </w:tc>
        <w:tc>
          <w:tcPr>
            <w:tcW w:w="373" w:type="pct"/>
            <w:tcBorders>
              <w:top w:val="single" w:sz="6" w:space="0" w:color="000000"/>
              <w:left w:val="single" w:sz="6" w:space="0" w:color="000000"/>
              <w:bottom w:val="single" w:sz="6" w:space="0" w:color="000000"/>
              <w:right w:val="single" w:sz="6" w:space="0" w:color="000000"/>
            </w:tcBorders>
            <w:shd w:val="clear" w:color="auto" w:fill="DDDDDD"/>
          </w:tcPr>
          <w:p w14:paraId="20FF7122" w14:textId="77777777" w:rsidR="00F1154A" w:rsidRPr="00163CE4" w:rsidRDefault="00F1154A" w:rsidP="00E350F6">
            <w:pPr>
              <w:jc w:val="both"/>
              <w:rPr>
                <w:rFonts w:ascii="Arial" w:eastAsiaTheme="majorEastAsia" w:hAnsi="Arial" w:cs="Arial"/>
                <w:b/>
                <w:bCs/>
                <w:i/>
                <w:iCs/>
                <w:color w:val="404040" w:themeColor="text1" w:themeTint="BF"/>
                <w:sz w:val="16"/>
                <w:szCs w:val="16"/>
              </w:rPr>
            </w:pPr>
            <w:r w:rsidRPr="00163CE4">
              <w:rPr>
                <w:rFonts w:ascii="Arial" w:hAnsi="Arial" w:cs="Arial"/>
                <w:b/>
                <w:bCs/>
                <w:sz w:val="16"/>
                <w:szCs w:val="16"/>
              </w:rPr>
              <w:t>Imprecision</w:t>
            </w:r>
          </w:p>
        </w:tc>
        <w:tc>
          <w:tcPr>
            <w:tcW w:w="402" w:type="pct"/>
            <w:tcBorders>
              <w:top w:val="single" w:sz="6" w:space="0" w:color="000000"/>
              <w:left w:val="single" w:sz="6" w:space="0" w:color="000000"/>
              <w:bottom w:val="single" w:sz="6" w:space="0" w:color="000000"/>
              <w:right w:val="single" w:sz="6" w:space="0" w:color="000000"/>
            </w:tcBorders>
            <w:shd w:val="clear" w:color="auto" w:fill="DDDDDD"/>
          </w:tcPr>
          <w:p w14:paraId="02A3E053" w14:textId="77777777" w:rsidR="00F1154A" w:rsidRPr="00163CE4" w:rsidRDefault="00F1154A" w:rsidP="00E350F6">
            <w:pPr>
              <w:jc w:val="both"/>
              <w:rPr>
                <w:rFonts w:ascii="Arial" w:eastAsiaTheme="majorEastAsia" w:hAnsi="Arial" w:cs="Arial"/>
                <w:b/>
                <w:bCs/>
                <w:i/>
                <w:iCs/>
                <w:color w:val="404040" w:themeColor="text1" w:themeTint="BF"/>
                <w:sz w:val="16"/>
                <w:szCs w:val="16"/>
              </w:rPr>
            </w:pPr>
            <w:r w:rsidRPr="00163CE4">
              <w:rPr>
                <w:rFonts w:ascii="Arial" w:hAnsi="Arial" w:cs="Arial"/>
                <w:b/>
                <w:bCs/>
                <w:sz w:val="16"/>
                <w:szCs w:val="16"/>
              </w:rPr>
              <w:t>Publication bias</w:t>
            </w:r>
          </w:p>
        </w:tc>
        <w:tc>
          <w:tcPr>
            <w:tcW w:w="612" w:type="pct"/>
            <w:tcBorders>
              <w:top w:val="single" w:sz="6" w:space="0" w:color="000000"/>
              <w:left w:val="single" w:sz="6" w:space="0" w:color="000000"/>
              <w:bottom w:val="single" w:sz="6" w:space="0" w:color="000000"/>
              <w:right w:val="single" w:sz="6" w:space="0" w:color="000000"/>
            </w:tcBorders>
            <w:shd w:val="clear" w:color="auto" w:fill="DDDDDD"/>
          </w:tcPr>
          <w:p w14:paraId="63E181C1" w14:textId="77777777" w:rsidR="00F1154A" w:rsidRPr="00163CE4" w:rsidRDefault="00F1154A" w:rsidP="00E350F6">
            <w:pPr>
              <w:jc w:val="both"/>
              <w:rPr>
                <w:rFonts w:ascii="Arial" w:eastAsiaTheme="majorEastAsia" w:hAnsi="Arial" w:cs="Arial"/>
                <w:b/>
                <w:bCs/>
                <w:i/>
                <w:iCs/>
                <w:color w:val="404040" w:themeColor="text1" w:themeTint="BF"/>
                <w:sz w:val="16"/>
                <w:szCs w:val="16"/>
              </w:rPr>
            </w:pPr>
            <w:r w:rsidRPr="00163CE4">
              <w:rPr>
                <w:rFonts w:ascii="Arial" w:hAnsi="Arial" w:cs="Arial"/>
                <w:b/>
                <w:bCs/>
                <w:sz w:val="16"/>
                <w:szCs w:val="16"/>
              </w:rPr>
              <w:t>Incremental cost per patient*</w:t>
            </w:r>
          </w:p>
        </w:tc>
        <w:tc>
          <w:tcPr>
            <w:tcW w:w="676" w:type="pct"/>
            <w:tcBorders>
              <w:top w:val="single" w:sz="6" w:space="0" w:color="000000"/>
              <w:left w:val="single" w:sz="6" w:space="0" w:color="000000"/>
              <w:bottom w:val="single" w:sz="6" w:space="0" w:color="000000"/>
              <w:right w:val="single" w:sz="6" w:space="0" w:color="000000"/>
            </w:tcBorders>
            <w:shd w:val="clear" w:color="auto" w:fill="DDDDDD"/>
          </w:tcPr>
          <w:p w14:paraId="5D3BAC65" w14:textId="77777777" w:rsidR="00F1154A" w:rsidRPr="00163CE4" w:rsidRDefault="00F1154A" w:rsidP="00E350F6">
            <w:pPr>
              <w:jc w:val="both"/>
              <w:rPr>
                <w:rFonts w:ascii="Arial" w:eastAsiaTheme="majorEastAsia" w:hAnsi="Arial" w:cs="Arial"/>
                <w:b/>
                <w:bCs/>
                <w:i/>
                <w:iCs/>
                <w:color w:val="404040" w:themeColor="text1" w:themeTint="BF"/>
                <w:sz w:val="16"/>
                <w:szCs w:val="16"/>
              </w:rPr>
            </w:pPr>
            <w:r w:rsidRPr="00163CE4">
              <w:rPr>
                <w:rFonts w:ascii="Arial" w:hAnsi="Arial" w:cs="Arial"/>
                <w:b/>
                <w:bCs/>
                <w:sz w:val="16"/>
                <w:szCs w:val="16"/>
              </w:rPr>
              <w:t>Incremental effect per patient*</w:t>
            </w:r>
          </w:p>
        </w:tc>
        <w:tc>
          <w:tcPr>
            <w:tcW w:w="605" w:type="pct"/>
            <w:tcBorders>
              <w:top w:val="single" w:sz="6" w:space="0" w:color="000000"/>
              <w:left w:val="single" w:sz="6" w:space="0" w:color="000000"/>
              <w:bottom w:val="single" w:sz="6" w:space="0" w:color="000000"/>
              <w:right w:val="single" w:sz="6" w:space="0" w:color="000000"/>
            </w:tcBorders>
            <w:shd w:val="clear" w:color="auto" w:fill="DDDDDD"/>
          </w:tcPr>
          <w:p w14:paraId="55518305" w14:textId="77777777" w:rsidR="00F1154A" w:rsidRPr="00163CE4" w:rsidRDefault="00F1154A" w:rsidP="00E350F6">
            <w:pPr>
              <w:jc w:val="both"/>
              <w:rPr>
                <w:rFonts w:ascii="Arial" w:eastAsiaTheme="majorEastAsia" w:hAnsi="Arial" w:cs="Arial"/>
                <w:b/>
                <w:bCs/>
                <w:i/>
                <w:iCs/>
                <w:color w:val="404040" w:themeColor="text1" w:themeTint="BF"/>
                <w:sz w:val="16"/>
                <w:szCs w:val="16"/>
              </w:rPr>
            </w:pPr>
            <w:r w:rsidRPr="00163CE4">
              <w:rPr>
                <w:rFonts w:ascii="Arial" w:hAnsi="Arial" w:cs="Arial"/>
                <w:b/>
                <w:bCs/>
                <w:sz w:val="16"/>
                <w:szCs w:val="16"/>
              </w:rPr>
              <w:t xml:space="preserve">ICER </w:t>
            </w:r>
          </w:p>
        </w:tc>
        <w:tc>
          <w:tcPr>
            <w:tcW w:w="358" w:type="pct"/>
            <w:vMerge/>
            <w:tcBorders>
              <w:left w:val="single" w:sz="6" w:space="0" w:color="000000"/>
              <w:bottom w:val="single" w:sz="6" w:space="0" w:color="000000"/>
            </w:tcBorders>
            <w:shd w:val="clear" w:color="auto" w:fill="DDDDDD"/>
          </w:tcPr>
          <w:p w14:paraId="331C38F9" w14:textId="77777777" w:rsidR="00F1154A" w:rsidRPr="00163CE4" w:rsidRDefault="00F1154A" w:rsidP="00E350F6">
            <w:pPr>
              <w:jc w:val="both"/>
              <w:rPr>
                <w:rFonts w:ascii="Arial" w:hAnsi="Arial" w:cs="Arial"/>
                <w:b/>
                <w:bCs/>
                <w:sz w:val="16"/>
                <w:szCs w:val="16"/>
              </w:rPr>
            </w:pPr>
          </w:p>
        </w:tc>
      </w:tr>
      <w:tr w:rsidR="00F1154A" w:rsidRPr="00F87E48" w14:paraId="444C3563" w14:textId="77777777" w:rsidTr="00E350F6">
        <w:trPr>
          <w:cantSplit/>
          <w:trHeight w:val="238"/>
          <w:jc w:val="center"/>
        </w:trPr>
        <w:tc>
          <w:tcPr>
            <w:tcW w:w="5000" w:type="pct"/>
            <w:gridSpan w:val="11"/>
            <w:tcBorders>
              <w:top w:val="single" w:sz="6" w:space="0" w:color="000000"/>
              <w:bottom w:val="single" w:sz="6" w:space="0" w:color="000000"/>
            </w:tcBorders>
            <w:shd w:val="clear" w:color="auto" w:fill="EDEDED"/>
          </w:tcPr>
          <w:p w14:paraId="2CC2B2A5" w14:textId="77777777" w:rsidR="00F1154A" w:rsidRPr="00163CE4" w:rsidRDefault="00F1154A" w:rsidP="00E350F6">
            <w:pPr>
              <w:jc w:val="both"/>
              <w:rPr>
                <w:rFonts w:ascii="Arial" w:hAnsi="Arial" w:cs="Arial"/>
                <w:sz w:val="16"/>
                <w:szCs w:val="16"/>
              </w:rPr>
            </w:pPr>
            <w:r w:rsidRPr="00163CE4">
              <w:rPr>
                <w:rStyle w:val="label"/>
                <w:rFonts w:ascii="Arial" w:hAnsi="Arial" w:cs="Arial"/>
                <w:sz w:val="16"/>
                <w:szCs w:val="16"/>
              </w:rPr>
              <w:t xml:space="preserve">ICER per </w:t>
            </w:r>
            <w:r w:rsidRPr="00163CE4">
              <w:rPr>
                <w:rFonts w:ascii="Arial" w:hAnsi="Arial" w:cs="Arial"/>
                <w:color w:val="1A1718"/>
                <w:sz w:val="16"/>
                <w:szCs w:val="16"/>
                <w:lang w:eastAsia="en-GB"/>
              </w:rPr>
              <w:t xml:space="preserve">QALY (high quality </w:t>
            </w:r>
            <w:proofErr w:type="gramStart"/>
            <w:r w:rsidRPr="00163CE4">
              <w:rPr>
                <w:rFonts w:ascii="Arial" w:hAnsi="Arial" w:cs="Arial"/>
                <w:color w:val="1A1718"/>
                <w:sz w:val="16"/>
                <w:szCs w:val="16"/>
                <w:lang w:eastAsia="en-GB"/>
              </w:rPr>
              <w:t>study  -</w:t>
            </w:r>
            <w:proofErr w:type="gramEnd"/>
            <w:r w:rsidRPr="00163CE4">
              <w:rPr>
                <w:rFonts w:ascii="Arial" w:hAnsi="Arial" w:cs="Arial"/>
                <w:color w:val="1A1718"/>
                <w:sz w:val="16"/>
                <w:szCs w:val="16"/>
                <w:lang w:eastAsia="en-GB"/>
              </w:rPr>
              <w:t xml:space="preserve"> not funded by Industry)</w:t>
            </w:r>
          </w:p>
        </w:tc>
      </w:tr>
      <w:tr w:rsidR="00F1154A" w:rsidRPr="00F87E48" w14:paraId="259C029B" w14:textId="77777777" w:rsidTr="00E350F6">
        <w:trPr>
          <w:cantSplit/>
          <w:trHeight w:val="408"/>
          <w:jc w:val="center"/>
        </w:trPr>
        <w:tc>
          <w:tcPr>
            <w:tcW w:w="314" w:type="pct"/>
            <w:tcBorders>
              <w:right w:val="single" w:sz="6" w:space="0" w:color="000000"/>
            </w:tcBorders>
          </w:tcPr>
          <w:p w14:paraId="3AA901D0" w14:textId="77777777" w:rsidR="00F1154A" w:rsidRPr="00163CE4" w:rsidRDefault="00F1154A" w:rsidP="00E350F6">
            <w:pPr>
              <w:jc w:val="both"/>
              <w:rPr>
                <w:rFonts w:ascii="Arial" w:eastAsiaTheme="majorEastAsia" w:hAnsi="Arial" w:cs="Arial"/>
                <w:b/>
                <w:bCs/>
                <w:i/>
                <w:iCs/>
                <w:color w:val="404040" w:themeColor="text1" w:themeTint="BF"/>
                <w:sz w:val="16"/>
                <w:szCs w:val="16"/>
              </w:rPr>
            </w:pPr>
            <w:r w:rsidRPr="00163CE4">
              <w:rPr>
                <w:rFonts w:ascii="Arial" w:hAnsi="Arial" w:cs="Arial"/>
                <w:sz w:val="16"/>
                <w:szCs w:val="16"/>
              </w:rPr>
              <w:t>1</w:t>
            </w:r>
            <w:r w:rsidRPr="00163CE4">
              <w:rPr>
                <w:rFonts w:ascii="Arial" w:hAnsi="Arial" w:cs="Arial"/>
                <w:sz w:val="16"/>
                <w:szCs w:val="16"/>
                <w:vertAlign w:val="superscript"/>
              </w:rPr>
              <w:t>a</w:t>
            </w:r>
          </w:p>
        </w:tc>
        <w:tc>
          <w:tcPr>
            <w:tcW w:w="371" w:type="pct"/>
            <w:tcBorders>
              <w:left w:val="single" w:sz="6" w:space="0" w:color="000000"/>
              <w:right w:val="single" w:sz="6" w:space="0" w:color="000000"/>
            </w:tcBorders>
          </w:tcPr>
          <w:p w14:paraId="00B76328" w14:textId="77777777" w:rsidR="00F1154A" w:rsidRPr="00163CE4" w:rsidRDefault="00F1154A" w:rsidP="00E350F6">
            <w:pPr>
              <w:jc w:val="both"/>
              <w:rPr>
                <w:rFonts w:ascii="Arial" w:eastAsiaTheme="majorEastAsia" w:hAnsi="Arial" w:cs="Arial"/>
                <w:b/>
                <w:bCs/>
                <w:i/>
                <w:iCs/>
                <w:color w:val="404040" w:themeColor="text1" w:themeTint="BF"/>
                <w:sz w:val="16"/>
                <w:szCs w:val="16"/>
              </w:rPr>
            </w:pPr>
            <w:r w:rsidRPr="00163CE4">
              <w:rPr>
                <w:rFonts w:ascii="Arial" w:hAnsi="Arial" w:cs="Arial"/>
                <w:sz w:val="16"/>
                <w:szCs w:val="16"/>
              </w:rPr>
              <w:t>Cost-utility,</w:t>
            </w:r>
          </w:p>
          <w:p w14:paraId="166399CD" w14:textId="77777777" w:rsidR="00F1154A" w:rsidRPr="00163CE4" w:rsidRDefault="00F1154A" w:rsidP="00E350F6">
            <w:pPr>
              <w:jc w:val="both"/>
              <w:rPr>
                <w:rFonts w:ascii="Arial" w:eastAsiaTheme="majorEastAsia" w:hAnsi="Arial" w:cs="Arial"/>
                <w:b/>
                <w:bCs/>
                <w:i/>
                <w:iCs/>
                <w:color w:val="404040" w:themeColor="text1" w:themeTint="BF"/>
                <w:sz w:val="16"/>
                <w:szCs w:val="16"/>
              </w:rPr>
            </w:pPr>
            <w:r w:rsidRPr="00163CE4">
              <w:rPr>
                <w:rFonts w:ascii="Arial" w:hAnsi="Arial" w:cs="Arial"/>
                <w:sz w:val="16"/>
                <w:szCs w:val="16"/>
              </w:rPr>
              <w:t>Markov model</w:t>
            </w:r>
          </w:p>
        </w:tc>
        <w:tc>
          <w:tcPr>
            <w:tcW w:w="434" w:type="pct"/>
            <w:tcBorders>
              <w:left w:val="single" w:sz="6" w:space="0" w:color="000000"/>
              <w:right w:val="single" w:sz="6" w:space="0" w:color="000000"/>
            </w:tcBorders>
          </w:tcPr>
          <w:p w14:paraId="060FFDA8" w14:textId="77777777" w:rsidR="00F1154A" w:rsidRPr="00163CE4" w:rsidRDefault="00F1154A" w:rsidP="00E350F6">
            <w:pPr>
              <w:jc w:val="both"/>
              <w:rPr>
                <w:rFonts w:ascii="Arial" w:eastAsiaTheme="majorEastAsia" w:hAnsi="Arial" w:cs="Arial"/>
                <w:b/>
                <w:bCs/>
                <w:i/>
                <w:iCs/>
                <w:color w:val="404040" w:themeColor="text1" w:themeTint="BF"/>
                <w:sz w:val="16"/>
                <w:szCs w:val="16"/>
              </w:rPr>
            </w:pPr>
            <w:r w:rsidRPr="00163CE4">
              <w:rPr>
                <w:rFonts w:ascii="Arial" w:hAnsi="Arial" w:cs="Arial"/>
                <w:sz w:val="16"/>
                <w:szCs w:val="16"/>
              </w:rPr>
              <w:t>Not serious</w:t>
            </w:r>
            <w:r w:rsidRPr="00163CE4">
              <w:rPr>
                <w:rFonts w:ascii="Arial" w:hAnsi="Arial" w:cs="Arial"/>
                <w:sz w:val="16"/>
                <w:szCs w:val="16"/>
                <w:vertAlign w:val="superscript"/>
              </w:rPr>
              <w:t>1</w:t>
            </w:r>
          </w:p>
        </w:tc>
        <w:tc>
          <w:tcPr>
            <w:tcW w:w="434" w:type="pct"/>
            <w:tcBorders>
              <w:left w:val="single" w:sz="6" w:space="0" w:color="000000"/>
              <w:right w:val="single" w:sz="6" w:space="0" w:color="000000"/>
            </w:tcBorders>
          </w:tcPr>
          <w:p w14:paraId="2E82CD24" w14:textId="77777777" w:rsidR="00F1154A" w:rsidRPr="00163CE4" w:rsidRDefault="00F1154A" w:rsidP="00E350F6">
            <w:pPr>
              <w:jc w:val="both"/>
              <w:rPr>
                <w:rFonts w:ascii="Arial" w:eastAsiaTheme="majorEastAsia" w:hAnsi="Arial" w:cs="Arial"/>
                <w:b/>
                <w:bCs/>
                <w:i/>
                <w:iCs/>
                <w:color w:val="404040" w:themeColor="text1" w:themeTint="BF"/>
                <w:sz w:val="16"/>
                <w:szCs w:val="16"/>
              </w:rPr>
            </w:pPr>
            <w:r w:rsidRPr="00163CE4">
              <w:rPr>
                <w:rFonts w:ascii="Arial" w:hAnsi="Arial" w:cs="Arial"/>
                <w:sz w:val="16"/>
                <w:szCs w:val="16"/>
              </w:rPr>
              <w:t>Not serious</w:t>
            </w:r>
          </w:p>
        </w:tc>
        <w:tc>
          <w:tcPr>
            <w:tcW w:w="439" w:type="pct"/>
            <w:tcBorders>
              <w:left w:val="single" w:sz="6" w:space="0" w:color="000000"/>
              <w:right w:val="single" w:sz="6" w:space="0" w:color="000000"/>
            </w:tcBorders>
          </w:tcPr>
          <w:p w14:paraId="6B04BBA0" w14:textId="77777777" w:rsidR="00F1154A" w:rsidRPr="00163CE4" w:rsidRDefault="00F1154A" w:rsidP="00E350F6">
            <w:pPr>
              <w:jc w:val="both"/>
              <w:rPr>
                <w:rFonts w:ascii="Arial" w:eastAsiaTheme="majorEastAsia" w:hAnsi="Arial" w:cs="Arial"/>
                <w:b/>
                <w:bCs/>
                <w:i/>
                <w:iCs/>
                <w:color w:val="404040" w:themeColor="text1" w:themeTint="BF"/>
                <w:sz w:val="16"/>
                <w:szCs w:val="16"/>
              </w:rPr>
            </w:pPr>
            <w:r w:rsidRPr="00163CE4">
              <w:rPr>
                <w:rFonts w:ascii="Arial" w:hAnsi="Arial" w:cs="Arial"/>
                <w:sz w:val="16"/>
                <w:szCs w:val="16"/>
              </w:rPr>
              <w:t>Serious</w:t>
            </w:r>
            <w:r w:rsidRPr="00163CE4">
              <w:rPr>
                <w:rFonts w:ascii="Arial" w:hAnsi="Arial" w:cs="Arial"/>
                <w:sz w:val="16"/>
                <w:szCs w:val="16"/>
                <w:vertAlign w:val="superscript"/>
              </w:rPr>
              <w:t>2</w:t>
            </w:r>
          </w:p>
        </w:tc>
        <w:tc>
          <w:tcPr>
            <w:tcW w:w="376" w:type="pct"/>
            <w:tcBorders>
              <w:left w:val="single" w:sz="6" w:space="0" w:color="000000"/>
              <w:right w:val="single" w:sz="6" w:space="0" w:color="000000"/>
            </w:tcBorders>
          </w:tcPr>
          <w:p w14:paraId="2F9ECDA5" w14:textId="77777777" w:rsidR="00F1154A" w:rsidRPr="00163CE4" w:rsidRDefault="00F1154A" w:rsidP="00E350F6">
            <w:pPr>
              <w:jc w:val="both"/>
              <w:rPr>
                <w:rFonts w:ascii="Arial" w:eastAsiaTheme="majorEastAsia" w:hAnsi="Arial" w:cs="Arial"/>
                <w:b/>
                <w:bCs/>
                <w:i/>
                <w:iCs/>
                <w:color w:val="404040" w:themeColor="text1" w:themeTint="BF"/>
                <w:sz w:val="16"/>
                <w:szCs w:val="16"/>
              </w:rPr>
            </w:pPr>
            <w:r w:rsidRPr="00163CE4">
              <w:rPr>
                <w:rFonts w:ascii="Arial" w:hAnsi="Arial" w:cs="Arial"/>
                <w:sz w:val="16"/>
                <w:szCs w:val="16"/>
              </w:rPr>
              <w:t>Serious</w:t>
            </w:r>
            <w:r w:rsidRPr="00163CE4">
              <w:rPr>
                <w:rFonts w:ascii="Arial" w:hAnsi="Arial" w:cs="Arial"/>
                <w:sz w:val="16"/>
                <w:szCs w:val="16"/>
                <w:vertAlign w:val="superscript"/>
              </w:rPr>
              <w:t>3</w:t>
            </w:r>
          </w:p>
        </w:tc>
        <w:tc>
          <w:tcPr>
            <w:tcW w:w="405" w:type="pct"/>
            <w:tcBorders>
              <w:left w:val="single" w:sz="6" w:space="0" w:color="000000"/>
              <w:right w:val="single" w:sz="6" w:space="0" w:color="000000"/>
            </w:tcBorders>
          </w:tcPr>
          <w:p w14:paraId="7A43ED02" w14:textId="77777777" w:rsidR="00F1154A" w:rsidRPr="00163CE4" w:rsidRDefault="00F1154A" w:rsidP="00E350F6">
            <w:pPr>
              <w:jc w:val="both"/>
              <w:rPr>
                <w:rFonts w:ascii="Arial" w:eastAsiaTheme="majorEastAsia" w:hAnsi="Arial" w:cs="Arial"/>
                <w:b/>
                <w:bCs/>
                <w:i/>
                <w:iCs/>
                <w:color w:val="404040" w:themeColor="text1" w:themeTint="BF"/>
                <w:sz w:val="16"/>
                <w:szCs w:val="16"/>
              </w:rPr>
            </w:pPr>
            <w:r w:rsidRPr="00163CE4">
              <w:rPr>
                <w:rFonts w:ascii="Arial" w:hAnsi="Arial" w:cs="Arial"/>
                <w:sz w:val="16"/>
                <w:szCs w:val="16"/>
              </w:rPr>
              <w:t>Not serious</w:t>
            </w:r>
          </w:p>
        </w:tc>
        <w:tc>
          <w:tcPr>
            <w:tcW w:w="615" w:type="pct"/>
            <w:tcBorders>
              <w:left w:val="single" w:sz="6" w:space="0" w:color="000000"/>
              <w:right w:val="single" w:sz="6" w:space="0" w:color="000000"/>
            </w:tcBorders>
          </w:tcPr>
          <w:p w14:paraId="1AE85D2A" w14:textId="77777777" w:rsidR="00F1154A" w:rsidRPr="00163CE4" w:rsidRDefault="00F1154A" w:rsidP="00E350F6">
            <w:pPr>
              <w:pStyle w:val="Default"/>
              <w:jc w:val="both"/>
              <w:rPr>
                <w:rFonts w:ascii="Arial" w:hAnsi="Arial" w:cs="Arial"/>
                <w:b/>
                <w:bCs/>
                <w:i/>
                <w:iCs/>
                <w:sz w:val="16"/>
                <w:szCs w:val="16"/>
                <w:lang w:val="en-GB"/>
              </w:rPr>
            </w:pPr>
            <w:r w:rsidRPr="00163CE4">
              <w:rPr>
                <w:rFonts w:ascii="Arial" w:hAnsi="Arial" w:cs="Arial"/>
                <w:sz w:val="16"/>
                <w:szCs w:val="16"/>
                <w:lang w:val="en-GB"/>
              </w:rPr>
              <w:t>581,000 $</w:t>
            </w:r>
          </w:p>
          <w:p w14:paraId="5F4ADC6A" w14:textId="77777777" w:rsidR="00F1154A" w:rsidRPr="00163CE4" w:rsidRDefault="00F1154A" w:rsidP="00E350F6">
            <w:pPr>
              <w:pStyle w:val="Default"/>
              <w:jc w:val="both"/>
              <w:rPr>
                <w:rFonts w:ascii="Arial" w:hAnsi="Arial" w:cs="Arial"/>
                <w:b/>
                <w:bCs/>
                <w:i/>
                <w:iCs/>
                <w:sz w:val="16"/>
                <w:szCs w:val="16"/>
                <w:lang w:val="en-GB"/>
              </w:rPr>
            </w:pPr>
            <w:r w:rsidRPr="00163CE4">
              <w:rPr>
                <w:rFonts w:ascii="Arial" w:hAnsi="Arial" w:cs="Arial"/>
                <w:sz w:val="16"/>
                <w:szCs w:val="16"/>
                <w:lang w:val="en-GB"/>
              </w:rPr>
              <w:t>(lifetime horizon)</w:t>
            </w:r>
          </w:p>
        </w:tc>
        <w:tc>
          <w:tcPr>
            <w:tcW w:w="679" w:type="pct"/>
            <w:tcBorders>
              <w:top w:val="single" w:sz="6" w:space="0" w:color="000000"/>
              <w:left w:val="single" w:sz="6" w:space="0" w:color="000000"/>
              <w:bottom w:val="single" w:sz="6" w:space="0" w:color="000000"/>
              <w:right w:val="single" w:sz="6" w:space="0" w:color="000000"/>
            </w:tcBorders>
          </w:tcPr>
          <w:p w14:paraId="55F6A546" w14:textId="77777777" w:rsidR="00F1154A" w:rsidRPr="00163CE4" w:rsidRDefault="00F1154A" w:rsidP="00E350F6">
            <w:pPr>
              <w:pStyle w:val="Default"/>
              <w:jc w:val="both"/>
              <w:rPr>
                <w:rFonts w:ascii="Arial" w:hAnsi="Arial" w:cs="Arial"/>
                <w:b/>
                <w:bCs/>
                <w:i/>
                <w:iCs/>
                <w:color w:val="auto"/>
                <w:sz w:val="16"/>
                <w:szCs w:val="16"/>
                <w:lang w:val="en-GB"/>
              </w:rPr>
            </w:pPr>
            <w:r w:rsidRPr="00163CE4">
              <w:rPr>
                <w:rFonts w:ascii="Arial" w:hAnsi="Arial" w:cs="Arial"/>
                <w:color w:val="auto"/>
                <w:sz w:val="16"/>
                <w:szCs w:val="16"/>
                <w:lang w:val="en-GB"/>
              </w:rPr>
              <w:t>1.41 QALYs</w:t>
            </w:r>
          </w:p>
          <w:p w14:paraId="722F554E" w14:textId="77777777" w:rsidR="00F1154A" w:rsidRPr="00163CE4" w:rsidRDefault="00F1154A" w:rsidP="00E350F6">
            <w:pPr>
              <w:pStyle w:val="Default"/>
              <w:jc w:val="both"/>
              <w:rPr>
                <w:rFonts w:ascii="Arial" w:hAnsi="Arial" w:cs="Arial"/>
                <w:i/>
                <w:iCs/>
                <w:color w:val="auto"/>
                <w:sz w:val="16"/>
                <w:szCs w:val="16"/>
                <w:lang w:val="en-GB"/>
              </w:rPr>
            </w:pPr>
            <w:r w:rsidRPr="00163CE4">
              <w:rPr>
                <w:rFonts w:ascii="Arial" w:hAnsi="Arial" w:cs="Arial"/>
                <w:sz w:val="16"/>
                <w:szCs w:val="16"/>
                <w:lang w:val="en-GB"/>
              </w:rPr>
              <w:t>(lifetime horizon)</w:t>
            </w:r>
          </w:p>
          <w:p w14:paraId="1CE87A3D" w14:textId="77777777" w:rsidR="00F1154A" w:rsidRPr="00163CE4" w:rsidRDefault="00F1154A" w:rsidP="00E350F6">
            <w:pPr>
              <w:pStyle w:val="Default"/>
              <w:jc w:val="both"/>
              <w:rPr>
                <w:rFonts w:ascii="Arial" w:hAnsi="Arial" w:cs="Arial"/>
                <w:sz w:val="16"/>
                <w:szCs w:val="16"/>
                <w:lang w:val="en-GB"/>
              </w:rPr>
            </w:pPr>
          </w:p>
        </w:tc>
        <w:tc>
          <w:tcPr>
            <w:tcW w:w="608" w:type="pct"/>
            <w:tcBorders>
              <w:top w:val="single" w:sz="6" w:space="0" w:color="000000"/>
              <w:left w:val="single" w:sz="6" w:space="0" w:color="000000"/>
              <w:bottom w:val="single" w:sz="6" w:space="0" w:color="000000"/>
              <w:right w:val="single" w:sz="6" w:space="0" w:color="000000"/>
            </w:tcBorders>
          </w:tcPr>
          <w:p w14:paraId="1DA63507" w14:textId="78D6AD70" w:rsidR="00F1154A" w:rsidRPr="00163CE4" w:rsidRDefault="00F1154A" w:rsidP="00E350F6">
            <w:pPr>
              <w:jc w:val="both"/>
              <w:rPr>
                <w:rFonts w:ascii="Arial" w:eastAsiaTheme="majorEastAsia" w:hAnsi="Arial" w:cs="Arial"/>
                <w:b/>
                <w:bCs/>
                <w:i/>
                <w:iCs/>
                <w:color w:val="404040" w:themeColor="text1" w:themeTint="BF"/>
                <w:sz w:val="16"/>
                <w:szCs w:val="16"/>
              </w:rPr>
            </w:pPr>
            <w:r w:rsidRPr="00163CE4">
              <w:rPr>
                <w:rFonts w:ascii="Arial" w:hAnsi="Arial" w:cs="Arial"/>
                <w:sz w:val="16"/>
                <w:szCs w:val="16"/>
              </w:rPr>
              <w:t>412,000 $ / QALY</w:t>
            </w:r>
            <w:r w:rsidR="007E0994" w:rsidRPr="00FD3FC4">
              <w:rPr>
                <w:rFonts w:ascii="Arial" w:hAnsi="Arial" w:cs="Arial"/>
                <w:sz w:val="16"/>
                <w:szCs w:val="16"/>
                <w:vertAlign w:val="superscript"/>
              </w:rPr>
              <w:t>4</w:t>
            </w:r>
          </w:p>
        </w:tc>
        <w:tc>
          <w:tcPr>
            <w:tcW w:w="325" w:type="pct"/>
            <w:tcBorders>
              <w:left w:val="single" w:sz="6" w:space="0" w:color="000000"/>
            </w:tcBorders>
          </w:tcPr>
          <w:p w14:paraId="0C4D103C" w14:textId="77777777" w:rsidR="00F1154A" w:rsidRPr="00163CE4" w:rsidRDefault="00F1154A" w:rsidP="00E350F6">
            <w:pPr>
              <w:jc w:val="both"/>
              <w:rPr>
                <w:rStyle w:val="quality-sign"/>
                <w:rFonts w:ascii="Arial" w:hAnsi="Arial" w:cs="Arial"/>
                <w:sz w:val="16"/>
                <w:szCs w:val="16"/>
              </w:rPr>
            </w:pPr>
            <w:r w:rsidRPr="00163CE4">
              <w:rPr>
                <w:rStyle w:val="quality-sign"/>
                <w:rFonts w:ascii="Cambria Math" w:hAnsi="Cambria Math" w:cs="Cambria Math"/>
                <w:sz w:val="16"/>
                <w:szCs w:val="16"/>
              </w:rPr>
              <w:t>⨁⨁⨁</w:t>
            </w:r>
            <w:r w:rsidRPr="00163CE4">
              <w:rPr>
                <w:rStyle w:val="quality-sign"/>
                <w:rFonts w:ascii="Segoe UI Symbol" w:eastAsia="ヒラギノ角ゴシック W3" w:hAnsi="Segoe UI Symbol" w:cs="Segoe UI Symbol"/>
                <w:sz w:val="16"/>
                <w:szCs w:val="16"/>
              </w:rPr>
              <w:t>◯</w:t>
            </w:r>
          </w:p>
          <w:p w14:paraId="0374743D" w14:textId="77777777" w:rsidR="00F1154A" w:rsidRPr="00163CE4" w:rsidRDefault="00F1154A" w:rsidP="00E350F6">
            <w:pPr>
              <w:jc w:val="both"/>
              <w:rPr>
                <w:rStyle w:val="quality-sign"/>
                <w:rFonts w:ascii="Arial" w:hAnsi="Arial" w:cs="Arial"/>
                <w:sz w:val="16"/>
                <w:szCs w:val="16"/>
              </w:rPr>
            </w:pPr>
            <w:r w:rsidRPr="00163CE4">
              <w:rPr>
                <w:rStyle w:val="quality-sign"/>
                <w:rFonts w:ascii="Arial" w:hAnsi="Arial" w:cs="Arial"/>
                <w:sz w:val="16"/>
                <w:szCs w:val="16"/>
              </w:rPr>
              <w:t xml:space="preserve">MODERATE </w:t>
            </w:r>
          </w:p>
        </w:tc>
      </w:tr>
      <w:tr w:rsidR="00F1154A" w:rsidRPr="00F87E48" w14:paraId="0345EEB1" w14:textId="77777777" w:rsidTr="00E350F6">
        <w:trPr>
          <w:cantSplit/>
          <w:trHeight w:val="238"/>
          <w:jc w:val="center"/>
        </w:trPr>
        <w:tc>
          <w:tcPr>
            <w:tcW w:w="5000" w:type="pct"/>
            <w:gridSpan w:val="11"/>
            <w:tcBorders>
              <w:top w:val="single" w:sz="6" w:space="0" w:color="000000"/>
              <w:bottom w:val="single" w:sz="6" w:space="0" w:color="000000"/>
            </w:tcBorders>
            <w:shd w:val="clear" w:color="auto" w:fill="EDEDED"/>
          </w:tcPr>
          <w:p w14:paraId="6D1CC1DB" w14:textId="77777777" w:rsidR="00F1154A" w:rsidRPr="00163CE4" w:rsidRDefault="00F1154A" w:rsidP="00E350F6">
            <w:pPr>
              <w:jc w:val="both"/>
              <w:rPr>
                <w:rFonts w:ascii="Arial" w:hAnsi="Arial" w:cs="Arial"/>
                <w:sz w:val="16"/>
                <w:szCs w:val="16"/>
              </w:rPr>
            </w:pPr>
            <w:r w:rsidRPr="00163CE4">
              <w:rPr>
                <w:rStyle w:val="label"/>
                <w:rFonts w:ascii="Arial" w:hAnsi="Arial" w:cs="Arial"/>
                <w:sz w:val="16"/>
                <w:szCs w:val="16"/>
              </w:rPr>
              <w:t xml:space="preserve">ICER per </w:t>
            </w:r>
            <w:r w:rsidRPr="00163CE4">
              <w:rPr>
                <w:rFonts w:ascii="Arial" w:hAnsi="Arial" w:cs="Arial"/>
                <w:color w:val="1A1718"/>
                <w:sz w:val="16"/>
                <w:szCs w:val="16"/>
                <w:lang w:eastAsia="en-GB"/>
              </w:rPr>
              <w:t xml:space="preserve">QALY (high quality </w:t>
            </w:r>
            <w:proofErr w:type="gramStart"/>
            <w:r w:rsidRPr="00163CE4">
              <w:rPr>
                <w:rFonts w:ascii="Arial" w:hAnsi="Arial" w:cs="Arial"/>
                <w:color w:val="1A1718"/>
                <w:sz w:val="16"/>
                <w:szCs w:val="16"/>
                <w:lang w:eastAsia="en-GB"/>
              </w:rPr>
              <w:t>study  -</w:t>
            </w:r>
            <w:proofErr w:type="gramEnd"/>
            <w:r w:rsidRPr="00163CE4">
              <w:rPr>
                <w:rFonts w:ascii="Arial" w:hAnsi="Arial" w:cs="Arial"/>
                <w:color w:val="1A1718"/>
                <w:sz w:val="16"/>
                <w:szCs w:val="16"/>
                <w:lang w:eastAsia="en-GB"/>
              </w:rPr>
              <w:t xml:space="preserve"> funded by Industry)</w:t>
            </w:r>
          </w:p>
        </w:tc>
      </w:tr>
      <w:tr w:rsidR="00F1154A" w:rsidRPr="00F87E48" w14:paraId="71220453" w14:textId="77777777" w:rsidTr="00E350F6">
        <w:trPr>
          <w:cantSplit/>
          <w:trHeight w:val="408"/>
          <w:jc w:val="center"/>
        </w:trPr>
        <w:tc>
          <w:tcPr>
            <w:tcW w:w="310" w:type="pct"/>
            <w:tcBorders>
              <w:bottom w:val="single" w:sz="6" w:space="0" w:color="000000"/>
              <w:right w:val="single" w:sz="6" w:space="0" w:color="000000"/>
            </w:tcBorders>
          </w:tcPr>
          <w:p w14:paraId="2CE2A0CB" w14:textId="77777777" w:rsidR="00F1154A" w:rsidRPr="00163CE4" w:rsidRDefault="00F1154A" w:rsidP="00E350F6">
            <w:pPr>
              <w:jc w:val="both"/>
              <w:rPr>
                <w:rFonts w:ascii="Arial" w:eastAsiaTheme="majorEastAsia" w:hAnsi="Arial" w:cs="Arial"/>
                <w:b/>
                <w:bCs/>
                <w:i/>
                <w:iCs/>
                <w:color w:val="404040" w:themeColor="text1" w:themeTint="BF"/>
                <w:sz w:val="16"/>
                <w:szCs w:val="16"/>
              </w:rPr>
            </w:pPr>
            <w:r w:rsidRPr="00163CE4">
              <w:rPr>
                <w:rFonts w:ascii="Arial" w:hAnsi="Arial" w:cs="Arial"/>
                <w:sz w:val="16"/>
                <w:szCs w:val="16"/>
              </w:rPr>
              <w:lastRenderedPageBreak/>
              <w:t>1</w:t>
            </w:r>
            <w:r w:rsidRPr="00163CE4">
              <w:rPr>
                <w:rFonts w:ascii="Arial" w:hAnsi="Arial" w:cs="Arial"/>
                <w:sz w:val="16"/>
                <w:szCs w:val="16"/>
                <w:vertAlign w:val="superscript"/>
              </w:rPr>
              <w:t>b</w:t>
            </w:r>
          </w:p>
        </w:tc>
        <w:tc>
          <w:tcPr>
            <w:tcW w:w="368" w:type="pct"/>
            <w:tcBorders>
              <w:left w:val="single" w:sz="6" w:space="0" w:color="000000"/>
              <w:bottom w:val="single" w:sz="6" w:space="0" w:color="000000"/>
              <w:right w:val="single" w:sz="6" w:space="0" w:color="000000"/>
            </w:tcBorders>
          </w:tcPr>
          <w:p w14:paraId="0D3F50D6" w14:textId="77777777" w:rsidR="00F1154A" w:rsidRPr="00163CE4" w:rsidRDefault="00F1154A" w:rsidP="00E350F6">
            <w:pPr>
              <w:jc w:val="both"/>
              <w:rPr>
                <w:rFonts w:ascii="Arial" w:eastAsiaTheme="majorEastAsia" w:hAnsi="Arial" w:cs="Arial"/>
                <w:b/>
                <w:bCs/>
                <w:i/>
                <w:iCs/>
                <w:color w:val="404040" w:themeColor="text1" w:themeTint="BF"/>
                <w:sz w:val="16"/>
                <w:szCs w:val="16"/>
              </w:rPr>
            </w:pPr>
            <w:r w:rsidRPr="00163CE4">
              <w:rPr>
                <w:rFonts w:ascii="Arial" w:hAnsi="Arial" w:cs="Arial"/>
                <w:sz w:val="16"/>
                <w:szCs w:val="16"/>
              </w:rPr>
              <w:t>Cost-utility,</w:t>
            </w:r>
          </w:p>
          <w:p w14:paraId="510CD7FD" w14:textId="77777777" w:rsidR="00F1154A" w:rsidRPr="00163CE4" w:rsidRDefault="00F1154A" w:rsidP="00E350F6">
            <w:pPr>
              <w:jc w:val="both"/>
              <w:rPr>
                <w:rFonts w:ascii="Arial" w:eastAsiaTheme="majorEastAsia" w:hAnsi="Arial" w:cs="Arial"/>
                <w:b/>
                <w:bCs/>
                <w:i/>
                <w:iCs/>
                <w:color w:val="404040" w:themeColor="text1" w:themeTint="BF"/>
                <w:sz w:val="16"/>
                <w:szCs w:val="16"/>
              </w:rPr>
            </w:pPr>
            <w:r w:rsidRPr="00163CE4">
              <w:rPr>
                <w:rFonts w:ascii="Arial" w:hAnsi="Arial" w:cs="Arial"/>
                <w:sz w:val="16"/>
                <w:szCs w:val="16"/>
              </w:rPr>
              <w:t>Markov model</w:t>
            </w:r>
          </w:p>
        </w:tc>
        <w:tc>
          <w:tcPr>
            <w:tcW w:w="431" w:type="pct"/>
            <w:tcBorders>
              <w:left w:val="single" w:sz="6" w:space="0" w:color="000000"/>
              <w:bottom w:val="single" w:sz="6" w:space="0" w:color="000000"/>
              <w:right w:val="single" w:sz="6" w:space="0" w:color="000000"/>
            </w:tcBorders>
          </w:tcPr>
          <w:p w14:paraId="74C6F23A" w14:textId="5D9CA9F3" w:rsidR="00F1154A" w:rsidRPr="00163CE4" w:rsidRDefault="00F1154A" w:rsidP="00E350F6">
            <w:pPr>
              <w:jc w:val="both"/>
              <w:rPr>
                <w:rFonts w:ascii="Arial" w:eastAsiaTheme="majorEastAsia" w:hAnsi="Arial" w:cs="Arial"/>
                <w:b/>
                <w:bCs/>
                <w:i/>
                <w:iCs/>
                <w:color w:val="404040" w:themeColor="text1" w:themeTint="BF"/>
                <w:sz w:val="16"/>
                <w:szCs w:val="16"/>
              </w:rPr>
            </w:pPr>
            <w:r w:rsidRPr="00163CE4">
              <w:rPr>
                <w:rFonts w:ascii="Arial" w:hAnsi="Arial" w:cs="Arial"/>
                <w:sz w:val="16"/>
                <w:szCs w:val="16"/>
              </w:rPr>
              <w:t>Not serious</w:t>
            </w:r>
            <w:r w:rsidR="007E0994">
              <w:rPr>
                <w:rFonts w:ascii="Arial" w:hAnsi="Arial" w:cs="Arial"/>
                <w:sz w:val="16"/>
                <w:szCs w:val="16"/>
                <w:vertAlign w:val="superscript"/>
              </w:rPr>
              <w:t>5</w:t>
            </w:r>
          </w:p>
        </w:tc>
        <w:tc>
          <w:tcPr>
            <w:tcW w:w="431" w:type="pct"/>
            <w:tcBorders>
              <w:left w:val="single" w:sz="6" w:space="0" w:color="000000"/>
              <w:bottom w:val="single" w:sz="6" w:space="0" w:color="000000"/>
              <w:right w:val="single" w:sz="6" w:space="0" w:color="000000"/>
            </w:tcBorders>
          </w:tcPr>
          <w:p w14:paraId="0F479BCD" w14:textId="77777777" w:rsidR="00F1154A" w:rsidRPr="00163CE4" w:rsidRDefault="00F1154A" w:rsidP="00E350F6">
            <w:pPr>
              <w:jc w:val="both"/>
              <w:rPr>
                <w:rFonts w:ascii="Arial" w:eastAsiaTheme="majorEastAsia" w:hAnsi="Arial" w:cs="Arial"/>
                <w:b/>
                <w:bCs/>
                <w:i/>
                <w:iCs/>
                <w:color w:val="404040" w:themeColor="text1" w:themeTint="BF"/>
                <w:sz w:val="16"/>
                <w:szCs w:val="16"/>
              </w:rPr>
            </w:pPr>
            <w:r w:rsidRPr="00163CE4">
              <w:rPr>
                <w:rFonts w:ascii="Arial" w:hAnsi="Arial" w:cs="Arial"/>
                <w:sz w:val="16"/>
                <w:szCs w:val="16"/>
              </w:rPr>
              <w:t>Not serious</w:t>
            </w:r>
          </w:p>
        </w:tc>
        <w:tc>
          <w:tcPr>
            <w:tcW w:w="436" w:type="pct"/>
            <w:tcBorders>
              <w:left w:val="single" w:sz="6" w:space="0" w:color="000000"/>
              <w:bottom w:val="single" w:sz="6" w:space="0" w:color="000000"/>
              <w:right w:val="single" w:sz="6" w:space="0" w:color="000000"/>
            </w:tcBorders>
          </w:tcPr>
          <w:p w14:paraId="4930BD59" w14:textId="5E30B973" w:rsidR="00F1154A" w:rsidRPr="00163CE4" w:rsidRDefault="00F1154A" w:rsidP="00E350F6">
            <w:pPr>
              <w:jc w:val="both"/>
              <w:rPr>
                <w:rFonts w:ascii="Arial" w:eastAsiaTheme="majorEastAsia" w:hAnsi="Arial" w:cs="Arial"/>
                <w:b/>
                <w:bCs/>
                <w:color w:val="1F3763" w:themeColor="accent1" w:themeShade="7F"/>
                <w:sz w:val="16"/>
                <w:szCs w:val="16"/>
              </w:rPr>
            </w:pPr>
            <w:r w:rsidRPr="00163CE4">
              <w:rPr>
                <w:rFonts w:ascii="Arial" w:hAnsi="Arial" w:cs="Arial"/>
                <w:sz w:val="16"/>
                <w:szCs w:val="16"/>
              </w:rPr>
              <w:t>Serious</w:t>
            </w:r>
            <w:r w:rsidR="007E0994">
              <w:rPr>
                <w:rFonts w:ascii="Arial" w:hAnsi="Arial" w:cs="Arial"/>
                <w:sz w:val="16"/>
                <w:szCs w:val="16"/>
                <w:vertAlign w:val="superscript"/>
              </w:rPr>
              <w:t>6</w:t>
            </w:r>
          </w:p>
        </w:tc>
        <w:tc>
          <w:tcPr>
            <w:tcW w:w="373" w:type="pct"/>
            <w:tcBorders>
              <w:left w:val="single" w:sz="6" w:space="0" w:color="000000"/>
              <w:bottom w:val="single" w:sz="6" w:space="0" w:color="000000"/>
              <w:right w:val="single" w:sz="6" w:space="0" w:color="000000"/>
            </w:tcBorders>
          </w:tcPr>
          <w:p w14:paraId="6DDCC9CF" w14:textId="0E475961" w:rsidR="00F1154A" w:rsidRPr="00163CE4" w:rsidRDefault="00F1154A" w:rsidP="00E350F6">
            <w:pPr>
              <w:jc w:val="both"/>
              <w:rPr>
                <w:rFonts w:ascii="Arial" w:eastAsiaTheme="majorEastAsia" w:hAnsi="Arial" w:cs="Arial"/>
                <w:b/>
                <w:bCs/>
                <w:i/>
                <w:iCs/>
                <w:color w:val="404040" w:themeColor="text1" w:themeTint="BF"/>
                <w:sz w:val="16"/>
                <w:szCs w:val="16"/>
              </w:rPr>
            </w:pPr>
            <w:r w:rsidRPr="00163CE4">
              <w:rPr>
                <w:rFonts w:ascii="Arial" w:hAnsi="Arial" w:cs="Arial"/>
                <w:sz w:val="16"/>
                <w:szCs w:val="16"/>
              </w:rPr>
              <w:t>Serious</w:t>
            </w:r>
            <w:r w:rsidR="007E0994" w:rsidRPr="00FD3FC4">
              <w:rPr>
                <w:rFonts w:ascii="Arial" w:hAnsi="Arial" w:cs="Arial"/>
                <w:sz w:val="16"/>
                <w:szCs w:val="16"/>
                <w:vertAlign w:val="superscript"/>
              </w:rPr>
              <w:t>6</w:t>
            </w:r>
          </w:p>
        </w:tc>
        <w:tc>
          <w:tcPr>
            <w:tcW w:w="402" w:type="pct"/>
            <w:tcBorders>
              <w:left w:val="single" w:sz="6" w:space="0" w:color="000000"/>
              <w:bottom w:val="single" w:sz="6" w:space="0" w:color="000000"/>
              <w:right w:val="single" w:sz="6" w:space="0" w:color="000000"/>
            </w:tcBorders>
          </w:tcPr>
          <w:p w14:paraId="4A36F92B" w14:textId="77777777" w:rsidR="00F1154A" w:rsidRPr="00163CE4" w:rsidRDefault="00F1154A" w:rsidP="00E350F6">
            <w:pPr>
              <w:jc w:val="both"/>
              <w:rPr>
                <w:rFonts w:ascii="Arial" w:eastAsiaTheme="majorEastAsia" w:hAnsi="Arial" w:cs="Arial"/>
                <w:b/>
                <w:bCs/>
                <w:i/>
                <w:iCs/>
                <w:color w:val="404040" w:themeColor="text1" w:themeTint="BF"/>
                <w:sz w:val="16"/>
                <w:szCs w:val="16"/>
              </w:rPr>
            </w:pPr>
            <w:r w:rsidRPr="00163CE4">
              <w:rPr>
                <w:rFonts w:ascii="Arial" w:hAnsi="Arial" w:cs="Arial"/>
                <w:sz w:val="16"/>
                <w:szCs w:val="16"/>
              </w:rPr>
              <w:t>Not serious</w:t>
            </w:r>
          </w:p>
        </w:tc>
        <w:tc>
          <w:tcPr>
            <w:tcW w:w="612" w:type="pct"/>
            <w:tcBorders>
              <w:left w:val="single" w:sz="6" w:space="0" w:color="000000"/>
              <w:bottom w:val="single" w:sz="6" w:space="0" w:color="000000"/>
              <w:right w:val="single" w:sz="6" w:space="0" w:color="000000"/>
            </w:tcBorders>
          </w:tcPr>
          <w:p w14:paraId="3A01C0E9" w14:textId="77777777" w:rsidR="00F1154A" w:rsidRPr="00163CE4" w:rsidRDefault="00F1154A" w:rsidP="00E350F6">
            <w:pPr>
              <w:pStyle w:val="Default"/>
              <w:jc w:val="both"/>
              <w:rPr>
                <w:rFonts w:ascii="Arial" w:hAnsi="Arial" w:cs="Arial"/>
                <w:b/>
                <w:bCs/>
                <w:i/>
                <w:iCs/>
                <w:sz w:val="16"/>
                <w:szCs w:val="16"/>
                <w:lang w:val="en-GB"/>
              </w:rPr>
            </w:pPr>
            <w:r w:rsidRPr="00163CE4">
              <w:rPr>
                <w:rFonts w:ascii="Arial" w:hAnsi="Arial" w:cs="Arial"/>
                <w:sz w:val="16"/>
                <w:szCs w:val="16"/>
                <w:lang w:val="en-GB"/>
              </w:rPr>
              <w:t>NR £</w:t>
            </w:r>
          </w:p>
          <w:p w14:paraId="70527FC3" w14:textId="77777777" w:rsidR="00F1154A" w:rsidRPr="00163CE4" w:rsidRDefault="00F1154A" w:rsidP="00E350F6">
            <w:pPr>
              <w:pStyle w:val="Default"/>
              <w:jc w:val="both"/>
              <w:rPr>
                <w:rFonts w:ascii="Arial" w:hAnsi="Arial" w:cs="Arial"/>
                <w:b/>
                <w:bCs/>
                <w:i/>
                <w:iCs/>
                <w:sz w:val="16"/>
                <w:szCs w:val="16"/>
                <w:lang w:val="en-GB"/>
              </w:rPr>
            </w:pPr>
            <w:r w:rsidRPr="00163CE4">
              <w:rPr>
                <w:rFonts w:ascii="Arial" w:hAnsi="Arial" w:cs="Arial"/>
                <w:sz w:val="16"/>
                <w:szCs w:val="16"/>
                <w:lang w:val="en-GB"/>
              </w:rPr>
              <w:t>(lifetime horizon)</w:t>
            </w:r>
          </w:p>
        </w:tc>
        <w:tc>
          <w:tcPr>
            <w:tcW w:w="676" w:type="pct"/>
            <w:tcBorders>
              <w:top w:val="single" w:sz="6" w:space="0" w:color="000000"/>
              <w:left w:val="single" w:sz="6" w:space="0" w:color="000000"/>
              <w:bottom w:val="single" w:sz="6" w:space="0" w:color="000000"/>
              <w:right w:val="single" w:sz="6" w:space="0" w:color="000000"/>
            </w:tcBorders>
          </w:tcPr>
          <w:p w14:paraId="27FC42DE" w14:textId="77777777" w:rsidR="00F1154A" w:rsidRPr="00163CE4" w:rsidRDefault="00F1154A" w:rsidP="00E350F6">
            <w:pPr>
              <w:pStyle w:val="Default"/>
              <w:jc w:val="both"/>
              <w:rPr>
                <w:rFonts w:ascii="Arial" w:hAnsi="Arial" w:cs="Arial"/>
                <w:b/>
                <w:bCs/>
                <w:i/>
                <w:iCs/>
                <w:color w:val="auto"/>
                <w:sz w:val="16"/>
                <w:szCs w:val="16"/>
                <w:lang w:val="en-GB"/>
              </w:rPr>
            </w:pPr>
            <w:r w:rsidRPr="00163CE4">
              <w:rPr>
                <w:rFonts w:ascii="Arial" w:hAnsi="Arial" w:cs="Arial"/>
                <w:color w:val="auto"/>
                <w:sz w:val="16"/>
                <w:szCs w:val="16"/>
                <w:lang w:val="en-GB"/>
              </w:rPr>
              <w:t>NR QALYs</w:t>
            </w:r>
          </w:p>
          <w:p w14:paraId="139E0F33" w14:textId="77777777" w:rsidR="00F1154A" w:rsidRPr="00163CE4" w:rsidRDefault="00F1154A" w:rsidP="00E350F6">
            <w:pPr>
              <w:pStyle w:val="Default"/>
              <w:jc w:val="both"/>
              <w:rPr>
                <w:rFonts w:ascii="Arial" w:hAnsi="Arial" w:cs="Arial"/>
                <w:b/>
                <w:bCs/>
                <w:i/>
                <w:iCs/>
                <w:color w:val="auto"/>
                <w:sz w:val="16"/>
                <w:szCs w:val="16"/>
                <w:lang w:val="en-GB"/>
              </w:rPr>
            </w:pPr>
            <w:r w:rsidRPr="00163CE4">
              <w:rPr>
                <w:rFonts w:ascii="Arial" w:hAnsi="Arial" w:cs="Arial"/>
                <w:sz w:val="16"/>
                <w:szCs w:val="16"/>
                <w:lang w:val="en-GB"/>
              </w:rPr>
              <w:t>(lifetime horizon)</w:t>
            </w:r>
          </w:p>
          <w:p w14:paraId="31B9D51F" w14:textId="77777777" w:rsidR="00F1154A" w:rsidRPr="00163CE4" w:rsidRDefault="00F1154A" w:rsidP="00E350F6">
            <w:pPr>
              <w:pStyle w:val="Default"/>
              <w:jc w:val="both"/>
              <w:rPr>
                <w:rFonts w:ascii="Arial" w:hAnsi="Arial" w:cs="Arial"/>
                <w:sz w:val="16"/>
                <w:szCs w:val="16"/>
                <w:lang w:val="en-GB"/>
              </w:rPr>
            </w:pPr>
          </w:p>
        </w:tc>
        <w:tc>
          <w:tcPr>
            <w:tcW w:w="605" w:type="pct"/>
            <w:tcBorders>
              <w:top w:val="single" w:sz="6" w:space="0" w:color="000000"/>
              <w:left w:val="single" w:sz="6" w:space="0" w:color="000000"/>
              <w:bottom w:val="single" w:sz="6" w:space="0" w:color="000000"/>
              <w:right w:val="single" w:sz="6" w:space="0" w:color="000000"/>
            </w:tcBorders>
          </w:tcPr>
          <w:p w14:paraId="4131C594" w14:textId="5EC8A795" w:rsidR="00F1154A" w:rsidRPr="00163CE4" w:rsidRDefault="00F1154A" w:rsidP="00E350F6">
            <w:pPr>
              <w:pStyle w:val="Default"/>
              <w:jc w:val="both"/>
              <w:rPr>
                <w:rFonts w:ascii="Arial" w:hAnsi="Arial" w:cs="Arial"/>
                <w:b/>
                <w:bCs/>
                <w:i/>
                <w:iCs/>
                <w:sz w:val="16"/>
                <w:szCs w:val="16"/>
                <w:lang w:val="en-GB"/>
              </w:rPr>
            </w:pPr>
            <w:r w:rsidRPr="00163CE4">
              <w:rPr>
                <w:rFonts w:ascii="Arial" w:hAnsi="Arial" w:cs="Arial"/>
                <w:sz w:val="16"/>
                <w:szCs w:val="16"/>
                <w:lang w:val="en-GB"/>
              </w:rPr>
              <w:t xml:space="preserve">39,135 </w:t>
            </w:r>
            <w:proofErr w:type="gramStart"/>
            <w:r w:rsidRPr="00163CE4">
              <w:rPr>
                <w:rFonts w:ascii="Arial" w:hAnsi="Arial" w:cs="Arial"/>
                <w:sz w:val="16"/>
                <w:szCs w:val="16"/>
                <w:lang w:val="en-GB"/>
              </w:rPr>
              <w:t>£  /</w:t>
            </w:r>
            <w:proofErr w:type="gramEnd"/>
            <w:r w:rsidRPr="00163CE4">
              <w:rPr>
                <w:rFonts w:ascii="Arial" w:hAnsi="Arial" w:cs="Arial"/>
                <w:sz w:val="16"/>
                <w:szCs w:val="16"/>
                <w:lang w:val="en-GB"/>
              </w:rPr>
              <w:t xml:space="preserve"> QALY</w:t>
            </w:r>
            <w:r w:rsidR="007E0994" w:rsidRPr="00FD3FC4">
              <w:rPr>
                <w:rFonts w:ascii="Arial" w:hAnsi="Arial" w:cs="Arial"/>
                <w:sz w:val="16"/>
                <w:szCs w:val="16"/>
                <w:vertAlign w:val="superscript"/>
                <w:lang w:val="en-GB"/>
              </w:rPr>
              <w:t>4</w:t>
            </w:r>
          </w:p>
        </w:tc>
        <w:tc>
          <w:tcPr>
            <w:tcW w:w="358" w:type="pct"/>
            <w:tcBorders>
              <w:left w:val="single" w:sz="6" w:space="0" w:color="000000"/>
              <w:bottom w:val="single" w:sz="6" w:space="0" w:color="000000"/>
            </w:tcBorders>
          </w:tcPr>
          <w:p w14:paraId="2D7584E6" w14:textId="77777777" w:rsidR="00F1154A" w:rsidRPr="00163CE4" w:rsidRDefault="00F1154A" w:rsidP="00E350F6">
            <w:pPr>
              <w:jc w:val="both"/>
              <w:rPr>
                <w:rStyle w:val="quality-sign"/>
                <w:rFonts w:ascii="Arial" w:eastAsia="MS Mincho" w:hAnsi="Arial" w:cs="Arial"/>
                <w:color w:val="000000"/>
                <w:sz w:val="16"/>
                <w:szCs w:val="16"/>
                <w:lang w:eastAsia="en-GB"/>
              </w:rPr>
            </w:pPr>
            <w:r w:rsidRPr="00163CE4">
              <w:rPr>
                <w:rStyle w:val="quality-sign"/>
                <w:rFonts w:ascii="Cambria Math" w:hAnsi="Cambria Math" w:cs="Cambria Math"/>
                <w:sz w:val="16"/>
                <w:szCs w:val="16"/>
              </w:rPr>
              <w:t>⨁⨁</w:t>
            </w:r>
            <w:r w:rsidRPr="00163CE4">
              <w:rPr>
                <w:rStyle w:val="quality-sign"/>
                <w:rFonts w:ascii="Segoe UI Symbol" w:eastAsia="ヒラギノ角ゴシック W3" w:hAnsi="Segoe UI Symbol" w:cs="Segoe UI Symbol"/>
                <w:sz w:val="16"/>
                <w:szCs w:val="16"/>
              </w:rPr>
              <w:t>◯◯</w:t>
            </w:r>
          </w:p>
          <w:p w14:paraId="107845FF" w14:textId="77777777" w:rsidR="00F1154A" w:rsidRPr="00163CE4" w:rsidRDefault="00F1154A" w:rsidP="00E350F6">
            <w:pPr>
              <w:jc w:val="both"/>
              <w:rPr>
                <w:rStyle w:val="quality-sign"/>
                <w:rFonts w:ascii="Arial" w:hAnsi="Arial" w:cs="Arial"/>
                <w:sz w:val="16"/>
                <w:szCs w:val="16"/>
              </w:rPr>
            </w:pPr>
            <w:r w:rsidRPr="00163CE4">
              <w:rPr>
                <w:rStyle w:val="quality-sign"/>
                <w:rFonts w:ascii="Arial" w:hAnsi="Arial" w:cs="Arial"/>
                <w:sz w:val="16"/>
                <w:szCs w:val="16"/>
              </w:rPr>
              <w:t>LOW</w:t>
            </w:r>
          </w:p>
        </w:tc>
      </w:tr>
    </w:tbl>
    <w:p w14:paraId="410CE94D" w14:textId="77777777" w:rsidR="00F1154A" w:rsidRPr="0075421E" w:rsidRDefault="00F1154A" w:rsidP="00F1154A">
      <w:pPr>
        <w:jc w:val="both"/>
        <w:rPr>
          <w:rFonts w:ascii="Arial" w:hAnsi="Arial" w:cs="Arial"/>
          <w:sz w:val="16"/>
          <w:szCs w:val="16"/>
        </w:rPr>
      </w:pPr>
      <w:r w:rsidRPr="0075421E">
        <w:rPr>
          <w:rFonts w:ascii="Arial" w:hAnsi="Arial" w:cs="Arial"/>
          <w:sz w:val="16"/>
          <w:szCs w:val="16"/>
        </w:rPr>
        <w:t xml:space="preserve">*Incremental cost and effect due to the addition of Benralizumab. </w:t>
      </w:r>
    </w:p>
    <w:p w14:paraId="275F0046" w14:textId="77777777" w:rsidR="00F1154A" w:rsidRPr="0075421E" w:rsidRDefault="00F1154A" w:rsidP="00F1154A">
      <w:pPr>
        <w:jc w:val="both"/>
        <w:rPr>
          <w:rFonts w:ascii="Arial" w:hAnsi="Arial" w:cs="Arial"/>
          <w:sz w:val="16"/>
          <w:szCs w:val="16"/>
        </w:rPr>
      </w:pPr>
      <w:r w:rsidRPr="0075421E">
        <w:rPr>
          <w:rFonts w:ascii="Arial" w:hAnsi="Arial" w:cs="Arial"/>
          <w:sz w:val="16"/>
          <w:szCs w:val="16"/>
        </w:rPr>
        <w:t>ICER: Incremental cost-effectiveness ratio. QALY: Quality adjusted life years. $: US Dollar</w:t>
      </w:r>
      <w:r w:rsidRPr="0075421E">
        <w:rPr>
          <w:rFonts w:ascii="Arial" w:hAnsi="Arial" w:cs="Arial"/>
          <w:color w:val="000000"/>
          <w:sz w:val="16"/>
          <w:szCs w:val="16"/>
          <w:lang w:eastAsia="en-GB"/>
        </w:rPr>
        <w:t>. £: British pounds. NR: Not reported.</w:t>
      </w:r>
    </w:p>
    <w:p w14:paraId="029A33FB" w14:textId="77777777" w:rsidR="00F1154A" w:rsidRPr="0075421E" w:rsidRDefault="00F1154A" w:rsidP="00F1154A">
      <w:pPr>
        <w:pStyle w:val="ListParagraph"/>
        <w:numPr>
          <w:ilvl w:val="0"/>
          <w:numId w:val="11"/>
        </w:numPr>
        <w:spacing w:after="200" w:line="276" w:lineRule="auto"/>
        <w:jc w:val="both"/>
        <w:rPr>
          <w:rFonts w:ascii="Arial" w:hAnsi="Arial" w:cs="Arial"/>
          <w:sz w:val="16"/>
          <w:szCs w:val="16"/>
        </w:rPr>
      </w:pPr>
      <w:r w:rsidRPr="0075421E">
        <w:rPr>
          <w:rFonts w:ascii="Arial" w:hAnsi="Arial" w:cs="Arial"/>
          <w:sz w:val="16"/>
          <w:szCs w:val="16"/>
        </w:rPr>
        <w:t xml:space="preserve">Markov model study with low risk of bias (CHEC score 13 or higher). </w:t>
      </w:r>
    </w:p>
    <w:p w14:paraId="70C8E0A6" w14:textId="77777777" w:rsidR="00F1154A" w:rsidRPr="0075421E" w:rsidRDefault="00F1154A" w:rsidP="00F1154A">
      <w:pPr>
        <w:pStyle w:val="ListParagraph"/>
        <w:numPr>
          <w:ilvl w:val="0"/>
          <w:numId w:val="11"/>
        </w:numPr>
        <w:spacing w:after="200" w:line="276" w:lineRule="auto"/>
        <w:jc w:val="both"/>
        <w:rPr>
          <w:rFonts w:ascii="Arial" w:hAnsi="Arial" w:cs="Arial"/>
          <w:sz w:val="16"/>
          <w:szCs w:val="16"/>
        </w:rPr>
      </w:pPr>
      <w:r w:rsidRPr="0075421E">
        <w:rPr>
          <w:rFonts w:ascii="Arial" w:hAnsi="Arial" w:cs="Arial"/>
          <w:sz w:val="16"/>
          <w:szCs w:val="16"/>
        </w:rPr>
        <w:t>One single study performed in the USA. The results may not be applicable to other countries.</w:t>
      </w:r>
    </w:p>
    <w:p w14:paraId="655F308C" w14:textId="44CF7616" w:rsidR="00F1154A" w:rsidRDefault="00F1154A" w:rsidP="00F1154A">
      <w:pPr>
        <w:pStyle w:val="ListParagraph"/>
        <w:numPr>
          <w:ilvl w:val="0"/>
          <w:numId w:val="11"/>
        </w:numPr>
        <w:spacing w:after="200" w:line="276" w:lineRule="auto"/>
        <w:jc w:val="both"/>
        <w:rPr>
          <w:rFonts w:ascii="Arial" w:hAnsi="Arial" w:cs="Arial"/>
          <w:sz w:val="16"/>
          <w:szCs w:val="16"/>
        </w:rPr>
      </w:pPr>
      <w:r w:rsidRPr="0075421E">
        <w:rPr>
          <w:rFonts w:ascii="Arial" w:hAnsi="Arial" w:cs="Arial"/>
          <w:sz w:val="16"/>
          <w:szCs w:val="16"/>
        </w:rPr>
        <w:t>The deterministic sensitivity analysis showed large variations in the ICER value from 250,000 $ to 950,000 $ (0.85 to 0.81 utilities gained, respectively). Furthermore, at a threshold of 50,000, the probability for benralizumab to be cost-effective was 0%.</w:t>
      </w:r>
    </w:p>
    <w:p w14:paraId="65F1F957" w14:textId="4FD61C76" w:rsidR="007E0994" w:rsidRPr="00FD3FC4" w:rsidRDefault="007E0994" w:rsidP="00FD3FC4">
      <w:pPr>
        <w:pStyle w:val="ListParagraph"/>
        <w:numPr>
          <w:ilvl w:val="0"/>
          <w:numId w:val="11"/>
        </w:numPr>
        <w:rPr>
          <w:rFonts w:ascii="Arial" w:hAnsi="Arial" w:cs="Arial"/>
          <w:sz w:val="16"/>
          <w:szCs w:val="16"/>
        </w:rPr>
      </w:pPr>
      <w:r w:rsidRPr="007E0994">
        <w:rPr>
          <w:rFonts w:ascii="Arial" w:hAnsi="Arial" w:cs="Arial"/>
          <w:sz w:val="16"/>
          <w:szCs w:val="16"/>
        </w:rPr>
        <w:t>The incremental cost-effectiveness ratio drops substantially from ~400k/ QALY to ~200k/QALY when the responder definition is factored into the cost-effectiveness model.</w:t>
      </w:r>
    </w:p>
    <w:p w14:paraId="0FD65F87" w14:textId="77777777" w:rsidR="00F1154A" w:rsidRPr="0075421E" w:rsidRDefault="00F1154A" w:rsidP="00F1154A">
      <w:pPr>
        <w:pStyle w:val="ListParagraph"/>
        <w:numPr>
          <w:ilvl w:val="0"/>
          <w:numId w:val="11"/>
        </w:numPr>
        <w:spacing w:after="200" w:line="276" w:lineRule="auto"/>
        <w:jc w:val="both"/>
        <w:rPr>
          <w:rFonts w:ascii="Arial" w:hAnsi="Arial" w:cs="Arial"/>
          <w:sz w:val="16"/>
          <w:szCs w:val="16"/>
        </w:rPr>
      </w:pPr>
      <w:r w:rsidRPr="0075421E">
        <w:rPr>
          <w:rFonts w:ascii="Arial" w:hAnsi="Arial" w:cs="Arial"/>
          <w:sz w:val="16"/>
          <w:szCs w:val="16"/>
        </w:rPr>
        <w:t>One single study performed in the UK. The results may not be applicable to other countries.</w:t>
      </w:r>
    </w:p>
    <w:p w14:paraId="2E1B6A67" w14:textId="77777777" w:rsidR="00F1154A" w:rsidRPr="0075421E" w:rsidRDefault="00F1154A" w:rsidP="00F1154A">
      <w:pPr>
        <w:pStyle w:val="ListParagraph"/>
        <w:numPr>
          <w:ilvl w:val="0"/>
          <w:numId w:val="11"/>
        </w:numPr>
        <w:spacing w:after="200" w:line="276" w:lineRule="auto"/>
        <w:jc w:val="both"/>
        <w:rPr>
          <w:rFonts w:ascii="Arial" w:hAnsi="Arial" w:cs="Arial"/>
          <w:sz w:val="16"/>
          <w:szCs w:val="16"/>
        </w:rPr>
      </w:pPr>
      <w:r w:rsidRPr="0075421E">
        <w:rPr>
          <w:rFonts w:ascii="Arial" w:hAnsi="Arial" w:cs="Arial"/>
          <w:sz w:val="16"/>
          <w:szCs w:val="16"/>
        </w:rPr>
        <w:t>The ICER varied from 34,270 £ reported by AstraZeneca to 73,560 £ found by the University of Exter in the deterministic sensitivity analysis (zero asthma related mortality).</w:t>
      </w:r>
    </w:p>
    <w:p w14:paraId="4DD8299F" w14:textId="27D52129" w:rsidR="00E210BC" w:rsidRPr="00E210BC" w:rsidRDefault="00F1154A" w:rsidP="00E210BC">
      <w:pPr>
        <w:spacing w:after="200" w:line="276" w:lineRule="auto"/>
        <w:jc w:val="both"/>
        <w:rPr>
          <w:rFonts w:ascii="Arial" w:hAnsi="Arial" w:cs="Arial"/>
          <w:color w:val="000000"/>
          <w:sz w:val="16"/>
          <w:szCs w:val="16"/>
        </w:rPr>
      </w:pPr>
      <w:r w:rsidRPr="0075421E">
        <w:rPr>
          <w:rFonts w:ascii="Arial" w:hAnsi="Arial" w:cs="Arial"/>
          <w:sz w:val="16"/>
          <w:szCs w:val="16"/>
        </w:rPr>
        <w:t>AstraZeneca financed the original model critiqued by the University of Exeter. The University explored ICER sensitivity through changes in the age-stratified probabilities for hospitalised patients, oral corticosteroids use at baseline (42%), administration cost of benralizumab, and treatment discontinuation rate (0.0041/cycle</w:t>
      </w:r>
    </w:p>
    <w:p w14:paraId="089E3C47" w14:textId="705F5586" w:rsidR="00A44FD1" w:rsidRPr="002A55D2" w:rsidRDefault="00A44FD1" w:rsidP="00A44FD1">
      <w:pPr>
        <w:rPr>
          <w:b/>
          <w:sz w:val="20"/>
          <w:szCs w:val="20"/>
        </w:rPr>
      </w:pPr>
      <w:r w:rsidRPr="00A44FD1">
        <w:rPr>
          <w:b/>
          <w:bCs/>
          <w:color w:val="000000"/>
          <w:sz w:val="20"/>
          <w:szCs w:val="20"/>
          <w:lang w:val="en"/>
        </w:rPr>
        <w:t>Table S</w:t>
      </w:r>
      <w:r w:rsidR="002A55D2">
        <w:rPr>
          <w:b/>
          <w:bCs/>
          <w:color w:val="000000"/>
          <w:sz w:val="20"/>
          <w:szCs w:val="20"/>
          <w:lang w:val="en"/>
        </w:rPr>
        <w:t>13</w:t>
      </w:r>
      <w:r w:rsidRPr="00A44FD1">
        <w:rPr>
          <w:b/>
          <w:bCs/>
          <w:color w:val="000000"/>
          <w:sz w:val="20"/>
          <w:szCs w:val="20"/>
          <w:lang w:val="en"/>
        </w:rPr>
        <w:t xml:space="preserve"> </w:t>
      </w:r>
      <w:r w:rsidRPr="002A55D2">
        <w:rPr>
          <w:b/>
          <w:sz w:val="20"/>
          <w:szCs w:val="20"/>
        </w:rPr>
        <w:t>Evidence to decision table supporting recommendations for benralizumab for severe allergic asthma in adults (exacerbations)</w:t>
      </w:r>
    </w:p>
    <w:p w14:paraId="429D8FE7" w14:textId="77777777" w:rsidR="00A44FD1" w:rsidRPr="00A44FD1" w:rsidRDefault="00A44FD1" w:rsidP="00A44FD1">
      <w:pPr>
        <w:rPr>
          <w:b/>
          <w:bCs/>
          <w:color w:val="000000"/>
          <w:sz w:val="20"/>
          <w:szCs w:val="20"/>
          <w:lang w:val="en"/>
        </w:rPr>
      </w:pPr>
    </w:p>
    <w:tbl>
      <w:tblPr>
        <w:tblW w:w="0" w:type="auto"/>
        <w:tblCellMar>
          <w:left w:w="0" w:type="dxa"/>
          <w:right w:w="0" w:type="dxa"/>
        </w:tblCellMar>
        <w:tblLook w:val="04A0" w:firstRow="1" w:lastRow="0" w:firstColumn="1" w:lastColumn="0" w:noHBand="0" w:noVBand="1"/>
      </w:tblPr>
      <w:tblGrid>
        <w:gridCol w:w="3103"/>
        <w:gridCol w:w="948"/>
        <w:gridCol w:w="1017"/>
        <w:gridCol w:w="1843"/>
        <w:gridCol w:w="1134"/>
        <w:gridCol w:w="1417"/>
        <w:gridCol w:w="1276"/>
        <w:gridCol w:w="1843"/>
      </w:tblGrid>
      <w:tr w:rsidR="00A44FD1" w:rsidRPr="00F07060" w14:paraId="5FA3B3E7" w14:textId="77777777" w:rsidTr="002A55D2">
        <w:trPr>
          <w:trHeight w:val="529"/>
        </w:trPr>
        <w:tc>
          <w:tcPr>
            <w:tcW w:w="0" w:type="auto"/>
            <w:tcBorders>
              <w:top w:val="single" w:sz="8" w:space="0" w:color="FFFFFF"/>
              <w:left w:val="single" w:sz="8" w:space="0" w:color="FFFFFF"/>
              <w:bottom w:val="single" w:sz="24" w:space="0" w:color="FFFFFF"/>
              <w:right w:val="single" w:sz="8" w:space="0" w:color="FFFFFF"/>
            </w:tcBorders>
            <w:shd w:val="clear" w:color="auto" w:fill="5B9BD5"/>
            <w:tcMar>
              <w:top w:w="74" w:type="dxa"/>
              <w:left w:w="74" w:type="dxa"/>
              <w:bottom w:w="74" w:type="dxa"/>
              <w:right w:w="74" w:type="dxa"/>
            </w:tcMar>
            <w:vAlign w:val="center"/>
            <w:hideMark/>
          </w:tcPr>
          <w:p w14:paraId="31A67AB8" w14:textId="77777777" w:rsidR="00A44FD1" w:rsidRPr="00F07060" w:rsidRDefault="00A44FD1" w:rsidP="00E350F6">
            <w:pPr>
              <w:rPr>
                <w:b/>
                <w:bCs/>
                <w:color w:val="000000"/>
                <w:sz w:val="16"/>
                <w:szCs w:val="16"/>
              </w:rPr>
            </w:pPr>
          </w:p>
        </w:tc>
        <w:tc>
          <w:tcPr>
            <w:tcW w:w="9478" w:type="dxa"/>
            <w:gridSpan w:val="7"/>
            <w:tcBorders>
              <w:top w:val="single" w:sz="8" w:space="0" w:color="FFFFFF"/>
              <w:left w:val="single" w:sz="8" w:space="0" w:color="FFFFFF"/>
              <w:bottom w:val="single" w:sz="24" w:space="0" w:color="FFFFFF"/>
              <w:right w:val="single" w:sz="8" w:space="0" w:color="FFFFFF"/>
            </w:tcBorders>
            <w:shd w:val="clear" w:color="auto" w:fill="5B9BD5"/>
            <w:tcMar>
              <w:top w:w="74" w:type="dxa"/>
              <w:left w:w="74" w:type="dxa"/>
              <w:bottom w:w="74" w:type="dxa"/>
              <w:right w:w="74" w:type="dxa"/>
            </w:tcMar>
            <w:vAlign w:val="center"/>
            <w:hideMark/>
          </w:tcPr>
          <w:p w14:paraId="5ABEAA9A" w14:textId="77777777" w:rsidR="00A44FD1" w:rsidRPr="00F07060" w:rsidRDefault="00A44FD1" w:rsidP="00E350F6">
            <w:pPr>
              <w:rPr>
                <w:b/>
                <w:bCs/>
                <w:color w:val="000000"/>
                <w:sz w:val="16"/>
                <w:szCs w:val="16"/>
              </w:rPr>
            </w:pPr>
            <w:r w:rsidRPr="00F07060">
              <w:rPr>
                <w:b/>
                <w:bCs/>
                <w:color w:val="000000"/>
                <w:sz w:val="16"/>
                <w:szCs w:val="16"/>
              </w:rPr>
              <w:t>Judgement</w:t>
            </w:r>
          </w:p>
        </w:tc>
      </w:tr>
      <w:tr w:rsidR="00A44FD1" w:rsidRPr="00F07060" w14:paraId="6B094FE9" w14:textId="77777777" w:rsidTr="002A55D2">
        <w:trPr>
          <w:trHeight w:val="120"/>
        </w:trPr>
        <w:tc>
          <w:tcPr>
            <w:tcW w:w="0" w:type="auto"/>
            <w:tcBorders>
              <w:top w:val="single" w:sz="24"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26399C95" w14:textId="77777777" w:rsidR="00A44FD1" w:rsidRPr="00F07060" w:rsidRDefault="00A44FD1" w:rsidP="00E350F6">
            <w:pPr>
              <w:rPr>
                <w:b/>
                <w:bCs/>
                <w:color w:val="000000"/>
                <w:sz w:val="16"/>
                <w:szCs w:val="16"/>
              </w:rPr>
            </w:pPr>
            <w:r w:rsidRPr="00F07060">
              <w:rPr>
                <w:b/>
                <w:bCs/>
                <w:color w:val="000000"/>
                <w:sz w:val="16"/>
                <w:szCs w:val="16"/>
              </w:rPr>
              <w:t>Problem (importance)</w:t>
            </w:r>
          </w:p>
        </w:tc>
        <w:tc>
          <w:tcPr>
            <w:tcW w:w="948"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B38B6AE" w14:textId="77777777" w:rsidR="00A44FD1" w:rsidRPr="00F07060" w:rsidRDefault="00A44FD1" w:rsidP="00E350F6">
            <w:pPr>
              <w:rPr>
                <w:b/>
                <w:bCs/>
                <w:color w:val="000000"/>
                <w:sz w:val="16"/>
                <w:szCs w:val="16"/>
              </w:rPr>
            </w:pPr>
            <w:r w:rsidRPr="00F07060">
              <w:rPr>
                <w:b/>
                <w:bCs/>
                <w:color w:val="000000"/>
                <w:sz w:val="16"/>
                <w:szCs w:val="16"/>
              </w:rPr>
              <w:t>No</w:t>
            </w:r>
          </w:p>
        </w:tc>
        <w:tc>
          <w:tcPr>
            <w:tcW w:w="1017"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9C4EDAE" w14:textId="77777777" w:rsidR="00A44FD1" w:rsidRPr="00F07060" w:rsidRDefault="00A44FD1" w:rsidP="00E350F6">
            <w:pPr>
              <w:rPr>
                <w:b/>
                <w:bCs/>
                <w:color w:val="000000"/>
                <w:sz w:val="16"/>
                <w:szCs w:val="16"/>
              </w:rPr>
            </w:pPr>
            <w:r w:rsidRPr="00F07060">
              <w:rPr>
                <w:b/>
                <w:bCs/>
                <w:color w:val="000000"/>
                <w:sz w:val="16"/>
                <w:szCs w:val="16"/>
              </w:rPr>
              <w:t>Probably no</w:t>
            </w:r>
          </w:p>
        </w:tc>
        <w:tc>
          <w:tcPr>
            <w:tcW w:w="1843"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2DEF617" w14:textId="77777777" w:rsidR="00A44FD1" w:rsidRPr="00F07060" w:rsidRDefault="00A44FD1" w:rsidP="00E350F6">
            <w:pPr>
              <w:rPr>
                <w:b/>
                <w:bCs/>
                <w:color w:val="000000"/>
                <w:sz w:val="16"/>
                <w:szCs w:val="16"/>
              </w:rPr>
            </w:pPr>
            <w:r w:rsidRPr="00F07060">
              <w:rPr>
                <w:b/>
                <w:bCs/>
                <w:color w:val="000000"/>
                <w:sz w:val="16"/>
                <w:szCs w:val="16"/>
              </w:rPr>
              <w:t>Probably yes</w:t>
            </w:r>
          </w:p>
        </w:tc>
        <w:tc>
          <w:tcPr>
            <w:tcW w:w="1134" w:type="dxa"/>
            <w:tcBorders>
              <w:top w:val="single" w:sz="24"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2E93ADF1" w14:textId="77777777" w:rsidR="00A44FD1" w:rsidRPr="00F07060" w:rsidRDefault="00A44FD1" w:rsidP="00E350F6">
            <w:pPr>
              <w:rPr>
                <w:b/>
                <w:bCs/>
                <w:color w:val="000000"/>
                <w:sz w:val="16"/>
                <w:szCs w:val="16"/>
              </w:rPr>
            </w:pPr>
            <w:r w:rsidRPr="00F07060">
              <w:rPr>
                <w:b/>
                <w:bCs/>
                <w:color w:val="000000"/>
                <w:sz w:val="16"/>
                <w:szCs w:val="16"/>
              </w:rPr>
              <w:t>Yes</w:t>
            </w:r>
          </w:p>
        </w:tc>
        <w:tc>
          <w:tcPr>
            <w:tcW w:w="1417"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284CB5E" w14:textId="77777777" w:rsidR="00A44FD1" w:rsidRPr="00F07060" w:rsidRDefault="00A44FD1" w:rsidP="00E350F6">
            <w:pPr>
              <w:rPr>
                <w:b/>
                <w:bCs/>
                <w:color w:val="000000"/>
                <w:sz w:val="16"/>
                <w:szCs w:val="16"/>
              </w:rPr>
            </w:pPr>
          </w:p>
        </w:tc>
        <w:tc>
          <w:tcPr>
            <w:tcW w:w="1276"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B7AC6AA" w14:textId="77777777" w:rsidR="00A44FD1" w:rsidRPr="00F07060" w:rsidRDefault="00A44FD1" w:rsidP="00E350F6">
            <w:pPr>
              <w:rPr>
                <w:b/>
                <w:bCs/>
                <w:color w:val="000000"/>
                <w:sz w:val="16"/>
                <w:szCs w:val="16"/>
              </w:rPr>
            </w:pPr>
            <w:r w:rsidRPr="00F07060">
              <w:rPr>
                <w:b/>
                <w:bCs/>
                <w:color w:val="000000"/>
                <w:sz w:val="16"/>
                <w:szCs w:val="16"/>
              </w:rPr>
              <w:t>Varies</w:t>
            </w:r>
          </w:p>
        </w:tc>
        <w:tc>
          <w:tcPr>
            <w:tcW w:w="1843"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02448CA" w14:textId="77777777" w:rsidR="00A44FD1" w:rsidRPr="00F07060" w:rsidRDefault="00A44FD1" w:rsidP="00E350F6">
            <w:pPr>
              <w:rPr>
                <w:b/>
                <w:bCs/>
                <w:color w:val="000000"/>
                <w:sz w:val="16"/>
                <w:szCs w:val="16"/>
              </w:rPr>
            </w:pPr>
            <w:r w:rsidRPr="00F07060">
              <w:rPr>
                <w:b/>
                <w:bCs/>
                <w:color w:val="000000"/>
                <w:sz w:val="16"/>
                <w:szCs w:val="16"/>
              </w:rPr>
              <w:t>Don't know</w:t>
            </w:r>
          </w:p>
        </w:tc>
      </w:tr>
      <w:tr w:rsidR="00A44FD1" w:rsidRPr="00F07060" w14:paraId="7A86849C" w14:textId="77777777" w:rsidTr="002A55D2">
        <w:trPr>
          <w:trHeight w:val="1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5F4B9860" w14:textId="77777777" w:rsidR="00A44FD1" w:rsidRPr="00F07060" w:rsidRDefault="00A44FD1" w:rsidP="00E350F6">
            <w:pPr>
              <w:rPr>
                <w:b/>
                <w:bCs/>
                <w:color w:val="000000"/>
                <w:sz w:val="16"/>
                <w:szCs w:val="16"/>
              </w:rPr>
            </w:pPr>
            <w:r w:rsidRPr="00F07060">
              <w:rPr>
                <w:b/>
                <w:bCs/>
                <w:color w:val="000000"/>
                <w:sz w:val="16"/>
                <w:szCs w:val="16"/>
              </w:rPr>
              <w:t>Desirable Effects</w:t>
            </w:r>
          </w:p>
        </w:tc>
        <w:tc>
          <w:tcPr>
            <w:tcW w:w="948"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2218917" w14:textId="77777777" w:rsidR="00A44FD1" w:rsidRPr="00F07060" w:rsidRDefault="00A44FD1" w:rsidP="00E350F6">
            <w:pPr>
              <w:rPr>
                <w:b/>
                <w:bCs/>
                <w:color w:val="000000"/>
                <w:sz w:val="16"/>
                <w:szCs w:val="16"/>
              </w:rPr>
            </w:pPr>
            <w:r w:rsidRPr="00F07060">
              <w:rPr>
                <w:b/>
                <w:bCs/>
                <w:color w:val="000000"/>
                <w:sz w:val="16"/>
                <w:szCs w:val="16"/>
              </w:rPr>
              <w:t>Trivial</w:t>
            </w:r>
          </w:p>
        </w:tc>
        <w:tc>
          <w:tcPr>
            <w:tcW w:w="1017"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B953EFB" w14:textId="77777777" w:rsidR="00A44FD1" w:rsidRPr="00F07060" w:rsidRDefault="00A44FD1" w:rsidP="00E350F6">
            <w:pPr>
              <w:rPr>
                <w:b/>
                <w:bCs/>
                <w:color w:val="000000"/>
                <w:sz w:val="16"/>
                <w:szCs w:val="16"/>
              </w:rPr>
            </w:pPr>
            <w:r w:rsidRPr="00F07060">
              <w:rPr>
                <w:b/>
                <w:bCs/>
                <w:color w:val="000000"/>
                <w:sz w:val="16"/>
                <w:szCs w:val="16"/>
              </w:rPr>
              <w:t>Small</w:t>
            </w:r>
          </w:p>
        </w:tc>
        <w:tc>
          <w:tcPr>
            <w:tcW w:w="1843"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79DCDF7" w14:textId="77777777" w:rsidR="00A44FD1" w:rsidRPr="00F07060" w:rsidRDefault="00A44FD1" w:rsidP="00E350F6">
            <w:pPr>
              <w:rPr>
                <w:b/>
                <w:bCs/>
                <w:color w:val="000000"/>
                <w:sz w:val="16"/>
                <w:szCs w:val="16"/>
              </w:rPr>
            </w:pPr>
            <w:r w:rsidRPr="00F07060">
              <w:rPr>
                <w:b/>
                <w:bCs/>
                <w:color w:val="000000"/>
                <w:sz w:val="16"/>
                <w:szCs w:val="16"/>
              </w:rPr>
              <w:t>Moderate</w:t>
            </w:r>
          </w:p>
        </w:tc>
        <w:tc>
          <w:tcPr>
            <w:tcW w:w="1134"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7BF37211" w14:textId="77777777" w:rsidR="00A44FD1" w:rsidRPr="00F07060" w:rsidRDefault="00A44FD1" w:rsidP="00E350F6">
            <w:pPr>
              <w:rPr>
                <w:b/>
                <w:bCs/>
                <w:color w:val="000000"/>
                <w:sz w:val="16"/>
                <w:szCs w:val="16"/>
              </w:rPr>
            </w:pPr>
            <w:r w:rsidRPr="00F07060">
              <w:rPr>
                <w:b/>
                <w:bCs/>
                <w:color w:val="000000"/>
                <w:sz w:val="16"/>
                <w:szCs w:val="16"/>
              </w:rPr>
              <w:t>Large</w:t>
            </w:r>
          </w:p>
        </w:tc>
        <w:tc>
          <w:tcPr>
            <w:tcW w:w="1417"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56BE166" w14:textId="77777777" w:rsidR="00A44FD1" w:rsidRPr="00F07060" w:rsidRDefault="00A44FD1" w:rsidP="00E350F6">
            <w:pPr>
              <w:rPr>
                <w:b/>
                <w:bCs/>
                <w:color w:val="000000"/>
                <w:sz w:val="16"/>
                <w:szCs w:val="16"/>
              </w:rPr>
            </w:pPr>
          </w:p>
        </w:tc>
        <w:tc>
          <w:tcPr>
            <w:tcW w:w="12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6B2DD32" w14:textId="77777777" w:rsidR="00A44FD1" w:rsidRPr="00F07060" w:rsidRDefault="00A44FD1" w:rsidP="00E350F6">
            <w:pPr>
              <w:rPr>
                <w:b/>
                <w:bCs/>
                <w:color w:val="000000"/>
                <w:sz w:val="16"/>
                <w:szCs w:val="16"/>
              </w:rPr>
            </w:pPr>
            <w:r w:rsidRPr="00F07060">
              <w:rPr>
                <w:b/>
                <w:bCs/>
                <w:color w:val="000000"/>
                <w:sz w:val="16"/>
                <w:szCs w:val="16"/>
              </w:rPr>
              <w:t>Varies</w:t>
            </w:r>
          </w:p>
        </w:tc>
        <w:tc>
          <w:tcPr>
            <w:tcW w:w="1843"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6DCAA85" w14:textId="77777777" w:rsidR="00A44FD1" w:rsidRPr="00F07060" w:rsidRDefault="00A44FD1" w:rsidP="00E350F6">
            <w:pPr>
              <w:rPr>
                <w:b/>
                <w:bCs/>
                <w:color w:val="000000"/>
                <w:sz w:val="16"/>
                <w:szCs w:val="16"/>
              </w:rPr>
            </w:pPr>
            <w:r w:rsidRPr="00F07060">
              <w:rPr>
                <w:b/>
                <w:bCs/>
                <w:color w:val="000000"/>
                <w:sz w:val="16"/>
                <w:szCs w:val="16"/>
              </w:rPr>
              <w:t>Don't know</w:t>
            </w:r>
          </w:p>
        </w:tc>
      </w:tr>
      <w:tr w:rsidR="00A44FD1" w:rsidRPr="00F07060" w14:paraId="7C066F06" w14:textId="77777777" w:rsidTr="002A55D2">
        <w:trPr>
          <w:trHeight w:val="128"/>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159A3BC7" w14:textId="77777777" w:rsidR="00A44FD1" w:rsidRPr="00F07060" w:rsidRDefault="00A44FD1" w:rsidP="00E350F6">
            <w:pPr>
              <w:rPr>
                <w:b/>
                <w:bCs/>
                <w:color w:val="000000"/>
                <w:sz w:val="16"/>
                <w:szCs w:val="16"/>
              </w:rPr>
            </w:pPr>
            <w:r w:rsidRPr="00F07060">
              <w:rPr>
                <w:b/>
                <w:bCs/>
                <w:color w:val="000000"/>
                <w:sz w:val="16"/>
                <w:szCs w:val="16"/>
              </w:rPr>
              <w:t>Undesirable Effects</w:t>
            </w:r>
          </w:p>
        </w:tc>
        <w:tc>
          <w:tcPr>
            <w:tcW w:w="948"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8F3F25F" w14:textId="77777777" w:rsidR="00A44FD1" w:rsidRPr="00F07060" w:rsidRDefault="00A44FD1" w:rsidP="00E350F6">
            <w:pPr>
              <w:rPr>
                <w:b/>
                <w:bCs/>
                <w:color w:val="000000"/>
                <w:sz w:val="16"/>
                <w:szCs w:val="16"/>
              </w:rPr>
            </w:pPr>
            <w:r w:rsidRPr="00F07060">
              <w:rPr>
                <w:b/>
                <w:bCs/>
                <w:color w:val="000000"/>
                <w:sz w:val="16"/>
                <w:szCs w:val="16"/>
              </w:rPr>
              <w:t>Large</w:t>
            </w:r>
          </w:p>
        </w:tc>
        <w:tc>
          <w:tcPr>
            <w:tcW w:w="1017"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1A5FF61" w14:textId="77777777" w:rsidR="00A44FD1" w:rsidRPr="00F07060" w:rsidRDefault="00A44FD1" w:rsidP="00E350F6">
            <w:pPr>
              <w:rPr>
                <w:b/>
                <w:bCs/>
                <w:color w:val="000000"/>
                <w:sz w:val="16"/>
                <w:szCs w:val="16"/>
              </w:rPr>
            </w:pPr>
            <w:r w:rsidRPr="00F07060">
              <w:rPr>
                <w:b/>
                <w:bCs/>
                <w:color w:val="000000"/>
                <w:sz w:val="16"/>
                <w:szCs w:val="16"/>
              </w:rPr>
              <w:t>Moderate</w:t>
            </w:r>
          </w:p>
        </w:tc>
        <w:tc>
          <w:tcPr>
            <w:tcW w:w="1843"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7842F00C" w14:textId="77777777" w:rsidR="00A44FD1" w:rsidRPr="00F07060" w:rsidRDefault="00A44FD1" w:rsidP="00E350F6">
            <w:pPr>
              <w:rPr>
                <w:b/>
                <w:bCs/>
                <w:color w:val="000000"/>
                <w:sz w:val="16"/>
                <w:szCs w:val="16"/>
              </w:rPr>
            </w:pPr>
            <w:r w:rsidRPr="00F07060">
              <w:rPr>
                <w:b/>
                <w:bCs/>
                <w:color w:val="000000"/>
                <w:sz w:val="16"/>
                <w:szCs w:val="16"/>
              </w:rPr>
              <w:t>Small</w:t>
            </w:r>
          </w:p>
        </w:tc>
        <w:tc>
          <w:tcPr>
            <w:tcW w:w="113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AFFE4F6" w14:textId="77777777" w:rsidR="00A44FD1" w:rsidRPr="00F07060" w:rsidRDefault="00A44FD1" w:rsidP="00E350F6">
            <w:pPr>
              <w:rPr>
                <w:b/>
                <w:bCs/>
                <w:color w:val="000000"/>
                <w:sz w:val="16"/>
                <w:szCs w:val="16"/>
              </w:rPr>
            </w:pPr>
            <w:r w:rsidRPr="00F07060">
              <w:rPr>
                <w:b/>
                <w:bCs/>
                <w:color w:val="000000"/>
                <w:sz w:val="16"/>
                <w:szCs w:val="16"/>
              </w:rPr>
              <w:t>Trivial</w:t>
            </w:r>
          </w:p>
        </w:tc>
        <w:tc>
          <w:tcPr>
            <w:tcW w:w="1417"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5FF7ABA" w14:textId="77777777" w:rsidR="00A44FD1" w:rsidRPr="00F07060" w:rsidRDefault="00A44FD1" w:rsidP="00E350F6">
            <w:pPr>
              <w:rPr>
                <w:b/>
                <w:bCs/>
                <w:color w:val="000000"/>
                <w:sz w:val="16"/>
                <w:szCs w:val="16"/>
              </w:rPr>
            </w:pPr>
          </w:p>
        </w:tc>
        <w:tc>
          <w:tcPr>
            <w:tcW w:w="127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513DE61" w14:textId="77777777" w:rsidR="00A44FD1" w:rsidRPr="00F07060" w:rsidRDefault="00A44FD1" w:rsidP="00E350F6">
            <w:pPr>
              <w:rPr>
                <w:b/>
                <w:bCs/>
                <w:color w:val="000000"/>
                <w:sz w:val="16"/>
                <w:szCs w:val="16"/>
              </w:rPr>
            </w:pPr>
            <w:r w:rsidRPr="00F07060">
              <w:rPr>
                <w:b/>
                <w:bCs/>
                <w:color w:val="000000"/>
                <w:sz w:val="16"/>
                <w:szCs w:val="16"/>
              </w:rPr>
              <w:t>Varies</w:t>
            </w:r>
          </w:p>
        </w:tc>
        <w:tc>
          <w:tcPr>
            <w:tcW w:w="1843"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646FA8A" w14:textId="77777777" w:rsidR="00A44FD1" w:rsidRPr="00F07060" w:rsidRDefault="00A44FD1" w:rsidP="00E350F6">
            <w:pPr>
              <w:rPr>
                <w:b/>
                <w:bCs/>
                <w:color w:val="000000"/>
                <w:sz w:val="16"/>
                <w:szCs w:val="16"/>
              </w:rPr>
            </w:pPr>
            <w:r w:rsidRPr="00F07060">
              <w:rPr>
                <w:b/>
                <w:bCs/>
                <w:color w:val="000000"/>
                <w:sz w:val="16"/>
                <w:szCs w:val="16"/>
              </w:rPr>
              <w:t>Don't know</w:t>
            </w:r>
          </w:p>
        </w:tc>
      </w:tr>
      <w:tr w:rsidR="00A44FD1" w:rsidRPr="00F07060" w14:paraId="0436BF97" w14:textId="77777777" w:rsidTr="002A55D2">
        <w:trPr>
          <w:trHeight w:val="62"/>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1DDE32CA" w14:textId="77777777" w:rsidR="00A44FD1" w:rsidRPr="00F07060" w:rsidRDefault="00A44FD1" w:rsidP="00E350F6">
            <w:pPr>
              <w:rPr>
                <w:b/>
                <w:bCs/>
                <w:color w:val="000000"/>
                <w:sz w:val="16"/>
                <w:szCs w:val="16"/>
              </w:rPr>
            </w:pPr>
            <w:r w:rsidRPr="00F07060">
              <w:rPr>
                <w:b/>
                <w:bCs/>
                <w:color w:val="000000"/>
                <w:sz w:val="16"/>
                <w:szCs w:val="16"/>
              </w:rPr>
              <w:t>Certainty of evidence</w:t>
            </w:r>
          </w:p>
        </w:tc>
        <w:tc>
          <w:tcPr>
            <w:tcW w:w="948"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04F41BA" w14:textId="77777777" w:rsidR="00A44FD1" w:rsidRPr="00F07060" w:rsidRDefault="00A44FD1" w:rsidP="00E350F6">
            <w:pPr>
              <w:rPr>
                <w:b/>
                <w:bCs/>
                <w:color w:val="000000"/>
                <w:sz w:val="16"/>
                <w:szCs w:val="16"/>
              </w:rPr>
            </w:pPr>
            <w:r w:rsidRPr="00F07060">
              <w:rPr>
                <w:b/>
                <w:bCs/>
                <w:color w:val="000000"/>
                <w:sz w:val="16"/>
                <w:szCs w:val="16"/>
              </w:rPr>
              <w:t>Very low</w:t>
            </w:r>
          </w:p>
        </w:tc>
        <w:tc>
          <w:tcPr>
            <w:tcW w:w="1017"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B996E50" w14:textId="77777777" w:rsidR="00A44FD1" w:rsidRPr="00F07060" w:rsidRDefault="00A44FD1" w:rsidP="00E350F6">
            <w:pPr>
              <w:rPr>
                <w:b/>
                <w:bCs/>
                <w:color w:val="000000"/>
                <w:sz w:val="16"/>
                <w:szCs w:val="16"/>
              </w:rPr>
            </w:pPr>
            <w:r w:rsidRPr="00F07060">
              <w:rPr>
                <w:b/>
                <w:bCs/>
                <w:color w:val="000000"/>
                <w:sz w:val="16"/>
                <w:szCs w:val="16"/>
              </w:rPr>
              <w:t>Low</w:t>
            </w:r>
          </w:p>
        </w:tc>
        <w:tc>
          <w:tcPr>
            <w:tcW w:w="184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4" w:type="dxa"/>
              <w:left w:w="74" w:type="dxa"/>
              <w:bottom w:w="74" w:type="dxa"/>
              <w:right w:w="74" w:type="dxa"/>
            </w:tcMar>
            <w:vAlign w:val="center"/>
            <w:hideMark/>
          </w:tcPr>
          <w:p w14:paraId="3829C2B6" w14:textId="77777777" w:rsidR="00A44FD1" w:rsidRPr="00F07060" w:rsidRDefault="00A44FD1" w:rsidP="00E350F6">
            <w:pPr>
              <w:rPr>
                <w:b/>
                <w:bCs/>
                <w:color w:val="000000"/>
                <w:sz w:val="16"/>
                <w:szCs w:val="16"/>
              </w:rPr>
            </w:pPr>
            <w:r w:rsidRPr="00F07060">
              <w:rPr>
                <w:b/>
                <w:bCs/>
                <w:color w:val="000000"/>
                <w:sz w:val="16"/>
                <w:szCs w:val="16"/>
              </w:rPr>
              <w:t>Moderate</w:t>
            </w:r>
          </w:p>
        </w:tc>
        <w:tc>
          <w:tcPr>
            <w:tcW w:w="1134"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351F9D2E" w14:textId="77777777" w:rsidR="00A44FD1" w:rsidRPr="00F07060" w:rsidRDefault="00A44FD1" w:rsidP="00E350F6">
            <w:pPr>
              <w:rPr>
                <w:b/>
                <w:bCs/>
                <w:color w:val="000000"/>
                <w:sz w:val="16"/>
                <w:szCs w:val="16"/>
              </w:rPr>
            </w:pPr>
            <w:r w:rsidRPr="00F07060">
              <w:rPr>
                <w:b/>
                <w:bCs/>
                <w:color w:val="000000"/>
                <w:sz w:val="16"/>
                <w:szCs w:val="16"/>
              </w:rPr>
              <w:t>High</w:t>
            </w:r>
          </w:p>
        </w:tc>
        <w:tc>
          <w:tcPr>
            <w:tcW w:w="1417"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8DDB81E" w14:textId="77777777" w:rsidR="00A44FD1" w:rsidRPr="00F07060" w:rsidRDefault="00A44FD1" w:rsidP="00E350F6">
            <w:pPr>
              <w:rPr>
                <w:b/>
                <w:bCs/>
                <w:color w:val="000000"/>
                <w:sz w:val="16"/>
                <w:szCs w:val="16"/>
              </w:rPr>
            </w:pPr>
          </w:p>
        </w:tc>
        <w:tc>
          <w:tcPr>
            <w:tcW w:w="12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CED188A" w14:textId="77777777" w:rsidR="00A44FD1" w:rsidRPr="00F07060" w:rsidRDefault="00A44FD1" w:rsidP="00E350F6">
            <w:pPr>
              <w:rPr>
                <w:b/>
                <w:bCs/>
                <w:color w:val="000000"/>
                <w:sz w:val="16"/>
                <w:szCs w:val="16"/>
              </w:rPr>
            </w:pPr>
          </w:p>
        </w:tc>
        <w:tc>
          <w:tcPr>
            <w:tcW w:w="1843"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ED31E1A" w14:textId="77777777" w:rsidR="00A44FD1" w:rsidRPr="00F07060" w:rsidRDefault="00A44FD1" w:rsidP="00E350F6">
            <w:pPr>
              <w:rPr>
                <w:b/>
                <w:bCs/>
                <w:color w:val="000000"/>
                <w:sz w:val="16"/>
                <w:szCs w:val="16"/>
              </w:rPr>
            </w:pPr>
            <w:r w:rsidRPr="00F07060">
              <w:rPr>
                <w:b/>
                <w:bCs/>
                <w:color w:val="000000"/>
                <w:sz w:val="16"/>
                <w:szCs w:val="16"/>
              </w:rPr>
              <w:t>No included studies</w:t>
            </w:r>
          </w:p>
        </w:tc>
      </w:tr>
      <w:tr w:rsidR="00A44FD1" w:rsidRPr="00F07060" w14:paraId="2450CAB2" w14:textId="77777777" w:rsidTr="002A55D2">
        <w:trPr>
          <w:trHeight w:val="833"/>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4360A5F3" w14:textId="77777777" w:rsidR="00A44FD1" w:rsidRPr="00F07060" w:rsidRDefault="00A44FD1" w:rsidP="00E350F6">
            <w:pPr>
              <w:rPr>
                <w:b/>
                <w:bCs/>
                <w:color w:val="000000"/>
                <w:sz w:val="16"/>
                <w:szCs w:val="16"/>
              </w:rPr>
            </w:pPr>
            <w:r w:rsidRPr="00F07060">
              <w:rPr>
                <w:b/>
                <w:bCs/>
                <w:color w:val="000000"/>
                <w:sz w:val="16"/>
                <w:szCs w:val="16"/>
              </w:rPr>
              <w:t>Values</w:t>
            </w:r>
          </w:p>
        </w:tc>
        <w:tc>
          <w:tcPr>
            <w:tcW w:w="948"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DCB278D" w14:textId="77777777" w:rsidR="00A44FD1" w:rsidRPr="00F07060" w:rsidRDefault="00A44FD1" w:rsidP="00E350F6">
            <w:pPr>
              <w:rPr>
                <w:b/>
                <w:bCs/>
                <w:color w:val="000000"/>
                <w:sz w:val="16"/>
                <w:szCs w:val="16"/>
              </w:rPr>
            </w:pPr>
            <w:r w:rsidRPr="00F07060">
              <w:rPr>
                <w:b/>
                <w:bCs/>
                <w:color w:val="000000"/>
                <w:sz w:val="16"/>
                <w:szCs w:val="16"/>
              </w:rPr>
              <w:t>Important uncertainty or variability</w:t>
            </w:r>
          </w:p>
        </w:tc>
        <w:tc>
          <w:tcPr>
            <w:tcW w:w="1017"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5B948FB" w14:textId="77777777" w:rsidR="00A44FD1" w:rsidRPr="00F07060" w:rsidRDefault="00A44FD1" w:rsidP="00E350F6">
            <w:pPr>
              <w:rPr>
                <w:b/>
                <w:bCs/>
                <w:color w:val="000000"/>
                <w:sz w:val="16"/>
                <w:szCs w:val="16"/>
              </w:rPr>
            </w:pPr>
            <w:r w:rsidRPr="00F07060">
              <w:rPr>
                <w:b/>
                <w:bCs/>
                <w:color w:val="000000"/>
                <w:sz w:val="16"/>
                <w:szCs w:val="16"/>
              </w:rPr>
              <w:t>Possibly important uncertainty or variability</w:t>
            </w:r>
          </w:p>
        </w:tc>
        <w:tc>
          <w:tcPr>
            <w:tcW w:w="1843"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031894B" w14:textId="77777777" w:rsidR="00A44FD1" w:rsidRPr="00F07060" w:rsidRDefault="00A44FD1" w:rsidP="00E350F6">
            <w:pPr>
              <w:rPr>
                <w:b/>
                <w:bCs/>
                <w:color w:val="000000"/>
                <w:sz w:val="16"/>
                <w:szCs w:val="16"/>
              </w:rPr>
            </w:pPr>
            <w:r w:rsidRPr="00F07060">
              <w:rPr>
                <w:b/>
                <w:bCs/>
                <w:color w:val="000000"/>
                <w:sz w:val="16"/>
                <w:szCs w:val="16"/>
              </w:rPr>
              <w:t>Probably no important uncertainty or variability</w:t>
            </w:r>
          </w:p>
        </w:tc>
        <w:tc>
          <w:tcPr>
            <w:tcW w:w="1134"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176CE05C" w14:textId="77777777" w:rsidR="00A44FD1" w:rsidRPr="00F07060" w:rsidRDefault="00A44FD1" w:rsidP="00E350F6">
            <w:pPr>
              <w:rPr>
                <w:b/>
                <w:bCs/>
                <w:color w:val="000000"/>
                <w:sz w:val="16"/>
                <w:szCs w:val="16"/>
              </w:rPr>
            </w:pPr>
            <w:r w:rsidRPr="00F07060">
              <w:rPr>
                <w:b/>
                <w:bCs/>
                <w:color w:val="000000"/>
                <w:sz w:val="16"/>
                <w:szCs w:val="16"/>
              </w:rPr>
              <w:t>no important uncertainty or variability</w:t>
            </w:r>
          </w:p>
        </w:tc>
        <w:tc>
          <w:tcPr>
            <w:tcW w:w="1417"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6E7E24B" w14:textId="77777777" w:rsidR="00A44FD1" w:rsidRPr="00F07060" w:rsidRDefault="00A44FD1" w:rsidP="00E350F6">
            <w:pPr>
              <w:rPr>
                <w:b/>
                <w:bCs/>
                <w:color w:val="000000"/>
                <w:sz w:val="16"/>
                <w:szCs w:val="16"/>
              </w:rPr>
            </w:pPr>
          </w:p>
        </w:tc>
        <w:tc>
          <w:tcPr>
            <w:tcW w:w="127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8E12BEA" w14:textId="77777777" w:rsidR="00A44FD1" w:rsidRPr="00F07060" w:rsidRDefault="00A44FD1" w:rsidP="00E350F6">
            <w:pPr>
              <w:rPr>
                <w:b/>
                <w:bCs/>
                <w:color w:val="000000"/>
                <w:sz w:val="16"/>
                <w:szCs w:val="16"/>
              </w:rPr>
            </w:pPr>
          </w:p>
        </w:tc>
        <w:tc>
          <w:tcPr>
            <w:tcW w:w="1843"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15E9397" w14:textId="77777777" w:rsidR="00A44FD1" w:rsidRPr="00F07060" w:rsidRDefault="00A44FD1" w:rsidP="00E350F6">
            <w:pPr>
              <w:rPr>
                <w:b/>
                <w:bCs/>
                <w:color w:val="000000"/>
                <w:sz w:val="16"/>
                <w:szCs w:val="16"/>
              </w:rPr>
            </w:pPr>
          </w:p>
        </w:tc>
      </w:tr>
      <w:tr w:rsidR="00A44FD1" w:rsidRPr="00F07060" w14:paraId="0D89D243" w14:textId="77777777" w:rsidTr="002A55D2">
        <w:trPr>
          <w:trHeight w:val="601"/>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4A7CC30A" w14:textId="77777777" w:rsidR="00A44FD1" w:rsidRPr="00F07060" w:rsidRDefault="00A44FD1" w:rsidP="00E350F6">
            <w:pPr>
              <w:rPr>
                <w:b/>
                <w:bCs/>
                <w:color w:val="000000"/>
                <w:sz w:val="16"/>
                <w:szCs w:val="16"/>
              </w:rPr>
            </w:pPr>
            <w:r w:rsidRPr="00F07060">
              <w:rPr>
                <w:b/>
                <w:bCs/>
                <w:color w:val="000000"/>
                <w:sz w:val="16"/>
                <w:szCs w:val="16"/>
              </w:rPr>
              <w:t>Balance of effects</w:t>
            </w:r>
          </w:p>
        </w:tc>
        <w:tc>
          <w:tcPr>
            <w:tcW w:w="948"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F533AB3" w14:textId="77777777" w:rsidR="00A44FD1" w:rsidRPr="00F07060" w:rsidRDefault="00A44FD1" w:rsidP="00E350F6">
            <w:pPr>
              <w:rPr>
                <w:b/>
                <w:bCs/>
                <w:color w:val="000000"/>
                <w:sz w:val="16"/>
                <w:szCs w:val="16"/>
              </w:rPr>
            </w:pPr>
            <w:r w:rsidRPr="00F07060">
              <w:rPr>
                <w:b/>
                <w:bCs/>
                <w:color w:val="000000"/>
                <w:sz w:val="16"/>
                <w:szCs w:val="16"/>
              </w:rPr>
              <w:t>Favors the comparison</w:t>
            </w:r>
          </w:p>
        </w:tc>
        <w:tc>
          <w:tcPr>
            <w:tcW w:w="1017"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6FFC1F1" w14:textId="77777777" w:rsidR="00A44FD1" w:rsidRPr="00F07060" w:rsidRDefault="00A44FD1" w:rsidP="00E350F6">
            <w:pPr>
              <w:rPr>
                <w:b/>
                <w:bCs/>
                <w:color w:val="000000"/>
                <w:sz w:val="16"/>
                <w:szCs w:val="16"/>
              </w:rPr>
            </w:pPr>
            <w:r w:rsidRPr="00F07060">
              <w:rPr>
                <w:b/>
                <w:bCs/>
                <w:color w:val="000000"/>
                <w:sz w:val="16"/>
                <w:szCs w:val="16"/>
              </w:rPr>
              <w:t>Probably favors the comparison</w:t>
            </w:r>
          </w:p>
        </w:tc>
        <w:tc>
          <w:tcPr>
            <w:tcW w:w="1843"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CBFF705" w14:textId="77777777" w:rsidR="00A44FD1" w:rsidRPr="00F07060" w:rsidRDefault="00A44FD1" w:rsidP="00E350F6">
            <w:pPr>
              <w:rPr>
                <w:b/>
                <w:bCs/>
                <w:color w:val="000000"/>
                <w:sz w:val="16"/>
                <w:szCs w:val="16"/>
              </w:rPr>
            </w:pPr>
            <w:r w:rsidRPr="00F07060">
              <w:rPr>
                <w:b/>
                <w:bCs/>
                <w:color w:val="000000"/>
                <w:sz w:val="16"/>
                <w:szCs w:val="16"/>
              </w:rPr>
              <w:t>Does not favor either the intervention or the comparison</w:t>
            </w:r>
          </w:p>
        </w:tc>
        <w:tc>
          <w:tcPr>
            <w:tcW w:w="113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B7444B3" w14:textId="77777777" w:rsidR="00A44FD1" w:rsidRPr="00F07060" w:rsidRDefault="00A44FD1" w:rsidP="00E350F6">
            <w:pPr>
              <w:rPr>
                <w:b/>
                <w:bCs/>
                <w:color w:val="000000"/>
                <w:sz w:val="16"/>
                <w:szCs w:val="16"/>
              </w:rPr>
            </w:pPr>
            <w:r w:rsidRPr="00F07060">
              <w:rPr>
                <w:b/>
                <w:bCs/>
                <w:color w:val="000000"/>
                <w:sz w:val="16"/>
                <w:szCs w:val="16"/>
              </w:rPr>
              <w:t>Probably favors the intervention</w:t>
            </w:r>
          </w:p>
        </w:tc>
        <w:tc>
          <w:tcPr>
            <w:tcW w:w="1417"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267C3E40" w14:textId="77777777" w:rsidR="00A44FD1" w:rsidRPr="00F07060" w:rsidRDefault="00A44FD1" w:rsidP="00E350F6">
            <w:pPr>
              <w:rPr>
                <w:b/>
                <w:bCs/>
                <w:color w:val="000000"/>
                <w:sz w:val="16"/>
                <w:szCs w:val="16"/>
              </w:rPr>
            </w:pPr>
            <w:r w:rsidRPr="00F07060">
              <w:rPr>
                <w:b/>
                <w:bCs/>
                <w:color w:val="000000"/>
                <w:sz w:val="16"/>
                <w:szCs w:val="16"/>
              </w:rPr>
              <w:t>Favors the intervention</w:t>
            </w:r>
          </w:p>
        </w:tc>
        <w:tc>
          <w:tcPr>
            <w:tcW w:w="12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76CF213" w14:textId="77777777" w:rsidR="00A44FD1" w:rsidRPr="00F07060" w:rsidRDefault="00A44FD1" w:rsidP="00E350F6">
            <w:pPr>
              <w:rPr>
                <w:b/>
                <w:bCs/>
                <w:color w:val="000000"/>
                <w:sz w:val="16"/>
                <w:szCs w:val="16"/>
              </w:rPr>
            </w:pPr>
            <w:r w:rsidRPr="00F07060">
              <w:rPr>
                <w:b/>
                <w:bCs/>
                <w:color w:val="000000"/>
                <w:sz w:val="16"/>
                <w:szCs w:val="16"/>
              </w:rPr>
              <w:t>Varies</w:t>
            </w:r>
          </w:p>
        </w:tc>
        <w:tc>
          <w:tcPr>
            <w:tcW w:w="1843"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98F67B0" w14:textId="77777777" w:rsidR="00A44FD1" w:rsidRPr="00F07060" w:rsidRDefault="00A44FD1" w:rsidP="00E350F6">
            <w:pPr>
              <w:rPr>
                <w:b/>
                <w:bCs/>
                <w:color w:val="000000"/>
                <w:sz w:val="16"/>
                <w:szCs w:val="16"/>
              </w:rPr>
            </w:pPr>
            <w:r w:rsidRPr="00F07060">
              <w:rPr>
                <w:b/>
                <w:bCs/>
                <w:color w:val="000000"/>
                <w:sz w:val="16"/>
                <w:szCs w:val="16"/>
              </w:rPr>
              <w:t>Don't know</w:t>
            </w:r>
          </w:p>
        </w:tc>
      </w:tr>
      <w:tr w:rsidR="00A44FD1" w:rsidRPr="00F07060" w14:paraId="3A97D101" w14:textId="77777777" w:rsidTr="002A55D2">
        <w:trPr>
          <w:trHeight w:val="190"/>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7B54099C" w14:textId="77777777" w:rsidR="00A44FD1" w:rsidRPr="00F07060" w:rsidRDefault="00A44FD1" w:rsidP="00E350F6">
            <w:pPr>
              <w:rPr>
                <w:b/>
                <w:bCs/>
                <w:color w:val="000000"/>
                <w:sz w:val="16"/>
                <w:szCs w:val="16"/>
              </w:rPr>
            </w:pPr>
            <w:r w:rsidRPr="00F07060">
              <w:rPr>
                <w:b/>
                <w:bCs/>
                <w:color w:val="000000"/>
                <w:sz w:val="16"/>
                <w:szCs w:val="16"/>
              </w:rPr>
              <w:t>Resources required</w:t>
            </w:r>
          </w:p>
        </w:tc>
        <w:tc>
          <w:tcPr>
            <w:tcW w:w="948"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201AB7E" w14:textId="77777777" w:rsidR="00A44FD1" w:rsidRPr="00F07060" w:rsidRDefault="00A44FD1" w:rsidP="00E350F6">
            <w:pPr>
              <w:rPr>
                <w:b/>
                <w:bCs/>
                <w:color w:val="000000"/>
                <w:sz w:val="16"/>
                <w:szCs w:val="16"/>
              </w:rPr>
            </w:pPr>
            <w:r w:rsidRPr="00F07060">
              <w:rPr>
                <w:b/>
                <w:bCs/>
                <w:color w:val="000000"/>
                <w:sz w:val="16"/>
                <w:szCs w:val="16"/>
              </w:rPr>
              <w:t>Large costs</w:t>
            </w:r>
          </w:p>
        </w:tc>
        <w:tc>
          <w:tcPr>
            <w:tcW w:w="1017"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51CEA7F" w14:textId="77777777" w:rsidR="00A44FD1" w:rsidRPr="00F07060" w:rsidRDefault="00A44FD1" w:rsidP="00E350F6">
            <w:pPr>
              <w:rPr>
                <w:b/>
                <w:bCs/>
                <w:color w:val="000000"/>
                <w:sz w:val="16"/>
                <w:szCs w:val="16"/>
              </w:rPr>
            </w:pPr>
            <w:r w:rsidRPr="00F07060">
              <w:rPr>
                <w:b/>
                <w:bCs/>
                <w:color w:val="000000"/>
                <w:sz w:val="16"/>
                <w:szCs w:val="16"/>
              </w:rPr>
              <w:t>Moderate costs</w:t>
            </w:r>
          </w:p>
        </w:tc>
        <w:tc>
          <w:tcPr>
            <w:tcW w:w="1843"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15CEF4A" w14:textId="77777777" w:rsidR="00A44FD1" w:rsidRPr="00F07060" w:rsidRDefault="00A44FD1" w:rsidP="00E350F6">
            <w:pPr>
              <w:rPr>
                <w:b/>
                <w:bCs/>
                <w:color w:val="000000"/>
                <w:sz w:val="16"/>
                <w:szCs w:val="16"/>
              </w:rPr>
            </w:pPr>
            <w:r w:rsidRPr="00F07060">
              <w:rPr>
                <w:b/>
                <w:bCs/>
                <w:color w:val="000000"/>
                <w:sz w:val="16"/>
                <w:szCs w:val="16"/>
              </w:rPr>
              <w:t>Negligible costs and savings</w:t>
            </w:r>
          </w:p>
        </w:tc>
        <w:tc>
          <w:tcPr>
            <w:tcW w:w="113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554CC1E" w14:textId="77777777" w:rsidR="00A44FD1" w:rsidRPr="00F07060" w:rsidRDefault="00A44FD1" w:rsidP="00E350F6">
            <w:pPr>
              <w:rPr>
                <w:b/>
                <w:bCs/>
                <w:color w:val="000000"/>
                <w:sz w:val="16"/>
                <w:szCs w:val="16"/>
              </w:rPr>
            </w:pPr>
            <w:r w:rsidRPr="00F07060">
              <w:rPr>
                <w:b/>
                <w:bCs/>
                <w:color w:val="000000"/>
                <w:sz w:val="16"/>
                <w:szCs w:val="16"/>
              </w:rPr>
              <w:t>Moderate savings</w:t>
            </w:r>
          </w:p>
        </w:tc>
        <w:tc>
          <w:tcPr>
            <w:tcW w:w="1417"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1275377" w14:textId="77777777" w:rsidR="00A44FD1" w:rsidRPr="00F07060" w:rsidRDefault="00A44FD1" w:rsidP="00E350F6">
            <w:pPr>
              <w:rPr>
                <w:b/>
                <w:bCs/>
                <w:color w:val="000000"/>
                <w:sz w:val="16"/>
                <w:szCs w:val="16"/>
              </w:rPr>
            </w:pPr>
            <w:r w:rsidRPr="00F07060">
              <w:rPr>
                <w:b/>
                <w:bCs/>
                <w:color w:val="000000"/>
                <w:sz w:val="16"/>
                <w:szCs w:val="16"/>
              </w:rPr>
              <w:t>Large savings</w:t>
            </w:r>
          </w:p>
        </w:tc>
        <w:tc>
          <w:tcPr>
            <w:tcW w:w="1276"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0CBA01C2" w14:textId="77777777" w:rsidR="00A44FD1" w:rsidRPr="00F07060" w:rsidRDefault="00A44FD1" w:rsidP="00E350F6">
            <w:pPr>
              <w:rPr>
                <w:b/>
                <w:bCs/>
                <w:color w:val="000000"/>
                <w:sz w:val="16"/>
                <w:szCs w:val="16"/>
              </w:rPr>
            </w:pPr>
            <w:r w:rsidRPr="00F07060">
              <w:rPr>
                <w:b/>
                <w:bCs/>
                <w:color w:val="000000"/>
                <w:sz w:val="16"/>
                <w:szCs w:val="16"/>
              </w:rPr>
              <w:t>Varies</w:t>
            </w:r>
          </w:p>
        </w:tc>
        <w:tc>
          <w:tcPr>
            <w:tcW w:w="1843"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6E216F6" w14:textId="77777777" w:rsidR="00A44FD1" w:rsidRPr="00F07060" w:rsidRDefault="00A44FD1" w:rsidP="00E350F6">
            <w:pPr>
              <w:rPr>
                <w:b/>
                <w:bCs/>
                <w:color w:val="000000"/>
                <w:sz w:val="16"/>
                <w:szCs w:val="16"/>
              </w:rPr>
            </w:pPr>
            <w:r w:rsidRPr="00F07060">
              <w:rPr>
                <w:b/>
                <w:bCs/>
                <w:color w:val="000000"/>
                <w:sz w:val="16"/>
                <w:szCs w:val="16"/>
              </w:rPr>
              <w:t>Don't know</w:t>
            </w:r>
          </w:p>
        </w:tc>
      </w:tr>
      <w:tr w:rsidR="00A44FD1" w:rsidRPr="00F07060" w14:paraId="53599BEE" w14:textId="77777777" w:rsidTr="002A55D2">
        <w:trPr>
          <w:trHeight w:val="48"/>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6D39F3F2" w14:textId="77777777" w:rsidR="00A44FD1" w:rsidRPr="00F07060" w:rsidRDefault="00A44FD1" w:rsidP="00E350F6">
            <w:pPr>
              <w:rPr>
                <w:b/>
                <w:bCs/>
                <w:color w:val="000000"/>
                <w:sz w:val="16"/>
                <w:szCs w:val="16"/>
              </w:rPr>
            </w:pPr>
            <w:r w:rsidRPr="00F07060">
              <w:rPr>
                <w:b/>
                <w:bCs/>
                <w:color w:val="000000"/>
                <w:sz w:val="16"/>
                <w:szCs w:val="16"/>
              </w:rPr>
              <w:lastRenderedPageBreak/>
              <w:t>Certainty of evidence of required resources</w:t>
            </w:r>
          </w:p>
        </w:tc>
        <w:tc>
          <w:tcPr>
            <w:tcW w:w="948"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35069EC" w14:textId="77777777" w:rsidR="00A44FD1" w:rsidRPr="00F07060" w:rsidRDefault="00A44FD1" w:rsidP="00E350F6">
            <w:pPr>
              <w:rPr>
                <w:b/>
                <w:bCs/>
                <w:color w:val="000000"/>
                <w:sz w:val="16"/>
                <w:szCs w:val="16"/>
              </w:rPr>
            </w:pPr>
            <w:r w:rsidRPr="00F07060">
              <w:rPr>
                <w:b/>
                <w:bCs/>
                <w:color w:val="000000"/>
                <w:sz w:val="16"/>
                <w:szCs w:val="16"/>
              </w:rPr>
              <w:t>Very low</w:t>
            </w:r>
          </w:p>
        </w:tc>
        <w:tc>
          <w:tcPr>
            <w:tcW w:w="1017"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EFC68DD" w14:textId="77777777" w:rsidR="00A44FD1" w:rsidRPr="00F07060" w:rsidRDefault="00A44FD1" w:rsidP="00E350F6">
            <w:pPr>
              <w:rPr>
                <w:b/>
                <w:bCs/>
                <w:color w:val="000000"/>
                <w:sz w:val="16"/>
                <w:szCs w:val="16"/>
              </w:rPr>
            </w:pPr>
            <w:r w:rsidRPr="00F07060">
              <w:rPr>
                <w:b/>
                <w:bCs/>
                <w:color w:val="000000"/>
                <w:sz w:val="16"/>
                <w:szCs w:val="16"/>
              </w:rPr>
              <w:t>Low</w:t>
            </w:r>
          </w:p>
        </w:tc>
        <w:tc>
          <w:tcPr>
            <w:tcW w:w="1843"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44FAFDD" w14:textId="77777777" w:rsidR="00A44FD1" w:rsidRPr="00F07060" w:rsidRDefault="00A44FD1" w:rsidP="00E350F6">
            <w:pPr>
              <w:rPr>
                <w:b/>
                <w:bCs/>
                <w:color w:val="000000"/>
                <w:sz w:val="16"/>
                <w:szCs w:val="16"/>
              </w:rPr>
            </w:pPr>
            <w:r w:rsidRPr="00F07060">
              <w:rPr>
                <w:b/>
                <w:bCs/>
                <w:color w:val="000000"/>
                <w:sz w:val="16"/>
                <w:szCs w:val="16"/>
              </w:rPr>
              <w:t>Moderate</w:t>
            </w:r>
          </w:p>
        </w:tc>
        <w:tc>
          <w:tcPr>
            <w:tcW w:w="113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01A995D" w14:textId="77777777" w:rsidR="00A44FD1" w:rsidRPr="00F07060" w:rsidRDefault="00A44FD1" w:rsidP="00E350F6">
            <w:pPr>
              <w:rPr>
                <w:b/>
                <w:bCs/>
                <w:color w:val="000000"/>
                <w:sz w:val="16"/>
                <w:szCs w:val="16"/>
              </w:rPr>
            </w:pPr>
            <w:r w:rsidRPr="00F07060">
              <w:rPr>
                <w:b/>
                <w:bCs/>
                <w:color w:val="000000"/>
                <w:sz w:val="16"/>
                <w:szCs w:val="16"/>
              </w:rPr>
              <w:t>High</w:t>
            </w:r>
          </w:p>
        </w:tc>
        <w:tc>
          <w:tcPr>
            <w:tcW w:w="1417"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77A43B9" w14:textId="77777777" w:rsidR="00A44FD1" w:rsidRPr="00F07060" w:rsidRDefault="00A44FD1" w:rsidP="00E350F6">
            <w:pPr>
              <w:rPr>
                <w:b/>
                <w:bCs/>
                <w:color w:val="000000"/>
                <w:sz w:val="16"/>
                <w:szCs w:val="16"/>
              </w:rPr>
            </w:pPr>
          </w:p>
        </w:tc>
        <w:tc>
          <w:tcPr>
            <w:tcW w:w="12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8850039" w14:textId="77777777" w:rsidR="00A44FD1" w:rsidRPr="00F07060" w:rsidRDefault="00A44FD1" w:rsidP="00E350F6">
            <w:pPr>
              <w:rPr>
                <w:b/>
                <w:bCs/>
                <w:color w:val="000000"/>
                <w:sz w:val="16"/>
                <w:szCs w:val="16"/>
              </w:rPr>
            </w:pPr>
          </w:p>
        </w:tc>
        <w:tc>
          <w:tcPr>
            <w:tcW w:w="1843"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016679C1" w14:textId="77777777" w:rsidR="00A44FD1" w:rsidRPr="00F07060" w:rsidRDefault="00A44FD1" w:rsidP="00E350F6">
            <w:pPr>
              <w:rPr>
                <w:b/>
                <w:bCs/>
                <w:color w:val="000000"/>
                <w:sz w:val="16"/>
                <w:szCs w:val="16"/>
              </w:rPr>
            </w:pPr>
            <w:r w:rsidRPr="00F07060">
              <w:rPr>
                <w:b/>
                <w:bCs/>
                <w:color w:val="000000"/>
                <w:sz w:val="16"/>
                <w:szCs w:val="16"/>
              </w:rPr>
              <w:t>No included studies</w:t>
            </w:r>
          </w:p>
        </w:tc>
      </w:tr>
      <w:tr w:rsidR="00A44FD1" w:rsidRPr="00F07060" w14:paraId="62BB6D23" w14:textId="77777777" w:rsidTr="002A55D2">
        <w:trPr>
          <w:trHeight w:val="474"/>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2FBFE9DB" w14:textId="77777777" w:rsidR="00A44FD1" w:rsidRPr="00F07060" w:rsidRDefault="00A44FD1" w:rsidP="00E350F6">
            <w:pPr>
              <w:rPr>
                <w:b/>
                <w:bCs/>
                <w:color w:val="000000"/>
                <w:sz w:val="16"/>
                <w:szCs w:val="16"/>
              </w:rPr>
            </w:pPr>
            <w:r w:rsidRPr="00F07060">
              <w:rPr>
                <w:b/>
                <w:bCs/>
                <w:color w:val="000000"/>
                <w:sz w:val="16"/>
                <w:szCs w:val="16"/>
              </w:rPr>
              <w:t>Cost effectiveness</w:t>
            </w:r>
          </w:p>
        </w:tc>
        <w:tc>
          <w:tcPr>
            <w:tcW w:w="948"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07B472E" w14:textId="77777777" w:rsidR="00A44FD1" w:rsidRPr="00F07060" w:rsidRDefault="00A44FD1" w:rsidP="00E350F6">
            <w:pPr>
              <w:rPr>
                <w:b/>
                <w:bCs/>
                <w:color w:val="000000"/>
                <w:sz w:val="16"/>
                <w:szCs w:val="16"/>
              </w:rPr>
            </w:pPr>
            <w:r w:rsidRPr="00F07060">
              <w:rPr>
                <w:b/>
                <w:bCs/>
                <w:color w:val="000000"/>
                <w:sz w:val="16"/>
                <w:szCs w:val="16"/>
              </w:rPr>
              <w:t>Favors the comparison</w:t>
            </w:r>
          </w:p>
        </w:tc>
        <w:tc>
          <w:tcPr>
            <w:tcW w:w="1017"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4669AA2" w14:textId="77777777" w:rsidR="00A44FD1" w:rsidRPr="00F07060" w:rsidRDefault="00A44FD1" w:rsidP="00E350F6">
            <w:pPr>
              <w:rPr>
                <w:b/>
                <w:bCs/>
                <w:color w:val="000000"/>
                <w:sz w:val="16"/>
                <w:szCs w:val="16"/>
              </w:rPr>
            </w:pPr>
            <w:r w:rsidRPr="00F07060">
              <w:rPr>
                <w:b/>
                <w:bCs/>
                <w:color w:val="000000"/>
                <w:sz w:val="16"/>
                <w:szCs w:val="16"/>
              </w:rPr>
              <w:t>Probably favors the comparison</w:t>
            </w:r>
          </w:p>
        </w:tc>
        <w:tc>
          <w:tcPr>
            <w:tcW w:w="1843"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F471A7C" w14:textId="77777777" w:rsidR="00A44FD1" w:rsidRPr="00F07060" w:rsidRDefault="00A44FD1" w:rsidP="00E350F6">
            <w:pPr>
              <w:rPr>
                <w:b/>
                <w:bCs/>
                <w:color w:val="000000"/>
                <w:sz w:val="16"/>
                <w:szCs w:val="16"/>
              </w:rPr>
            </w:pPr>
            <w:r w:rsidRPr="00F07060">
              <w:rPr>
                <w:b/>
                <w:bCs/>
                <w:color w:val="000000"/>
                <w:sz w:val="16"/>
                <w:szCs w:val="16"/>
              </w:rPr>
              <w:t>Does not favor either the intervention or the comparison</w:t>
            </w:r>
          </w:p>
        </w:tc>
        <w:tc>
          <w:tcPr>
            <w:tcW w:w="1134" w:type="dxa"/>
            <w:tcBorders>
              <w:top w:val="single" w:sz="8" w:space="0" w:color="FFFFFF"/>
              <w:left w:val="single" w:sz="8" w:space="0" w:color="FFFFFF"/>
              <w:bottom w:val="single" w:sz="8" w:space="0" w:color="FFFFFF"/>
              <w:right w:val="single" w:sz="8" w:space="0" w:color="FFFFFF"/>
            </w:tcBorders>
            <w:shd w:val="clear" w:color="auto" w:fill="D6DCE5"/>
            <w:tcMar>
              <w:top w:w="74" w:type="dxa"/>
              <w:left w:w="74" w:type="dxa"/>
              <w:bottom w:w="74" w:type="dxa"/>
              <w:right w:w="74" w:type="dxa"/>
            </w:tcMar>
            <w:vAlign w:val="center"/>
            <w:hideMark/>
          </w:tcPr>
          <w:p w14:paraId="55CFD486" w14:textId="77777777" w:rsidR="00A44FD1" w:rsidRPr="00F07060" w:rsidRDefault="00A44FD1" w:rsidP="00E350F6">
            <w:pPr>
              <w:rPr>
                <w:b/>
                <w:bCs/>
                <w:color w:val="000000"/>
                <w:sz w:val="16"/>
                <w:szCs w:val="16"/>
              </w:rPr>
            </w:pPr>
            <w:r w:rsidRPr="00F07060">
              <w:rPr>
                <w:b/>
                <w:bCs/>
                <w:color w:val="000000"/>
                <w:sz w:val="16"/>
                <w:szCs w:val="16"/>
              </w:rPr>
              <w:t>Probably favors the intervention</w:t>
            </w:r>
          </w:p>
        </w:tc>
        <w:tc>
          <w:tcPr>
            <w:tcW w:w="1417"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118EB7A" w14:textId="77777777" w:rsidR="00A44FD1" w:rsidRPr="00F07060" w:rsidRDefault="00A44FD1" w:rsidP="00E350F6">
            <w:pPr>
              <w:rPr>
                <w:b/>
                <w:bCs/>
                <w:color w:val="000000"/>
                <w:sz w:val="16"/>
                <w:szCs w:val="16"/>
              </w:rPr>
            </w:pPr>
            <w:r w:rsidRPr="00F07060">
              <w:rPr>
                <w:b/>
                <w:bCs/>
                <w:color w:val="000000"/>
                <w:sz w:val="16"/>
                <w:szCs w:val="16"/>
              </w:rPr>
              <w:t>Favors the intervention</w:t>
            </w:r>
          </w:p>
        </w:tc>
        <w:tc>
          <w:tcPr>
            <w:tcW w:w="1276"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540E7625" w14:textId="77777777" w:rsidR="00A44FD1" w:rsidRPr="00F07060" w:rsidRDefault="00A44FD1" w:rsidP="00E350F6">
            <w:pPr>
              <w:rPr>
                <w:b/>
                <w:bCs/>
                <w:color w:val="000000"/>
                <w:sz w:val="16"/>
                <w:szCs w:val="16"/>
              </w:rPr>
            </w:pPr>
            <w:r w:rsidRPr="00F07060">
              <w:rPr>
                <w:b/>
                <w:bCs/>
                <w:color w:val="000000"/>
                <w:sz w:val="16"/>
                <w:szCs w:val="16"/>
              </w:rPr>
              <w:t>Varies</w:t>
            </w:r>
          </w:p>
        </w:tc>
        <w:tc>
          <w:tcPr>
            <w:tcW w:w="184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4" w:type="dxa"/>
              <w:left w:w="74" w:type="dxa"/>
              <w:bottom w:w="74" w:type="dxa"/>
              <w:right w:w="74" w:type="dxa"/>
            </w:tcMar>
            <w:vAlign w:val="center"/>
            <w:hideMark/>
          </w:tcPr>
          <w:p w14:paraId="49D74694" w14:textId="77777777" w:rsidR="00A44FD1" w:rsidRPr="00F07060" w:rsidRDefault="00A44FD1" w:rsidP="00E350F6">
            <w:pPr>
              <w:rPr>
                <w:b/>
                <w:bCs/>
                <w:color w:val="000000"/>
                <w:sz w:val="16"/>
                <w:szCs w:val="16"/>
              </w:rPr>
            </w:pPr>
            <w:r w:rsidRPr="00F07060">
              <w:rPr>
                <w:b/>
                <w:bCs/>
                <w:color w:val="000000"/>
                <w:sz w:val="16"/>
                <w:szCs w:val="16"/>
              </w:rPr>
              <w:t>No included studies</w:t>
            </w:r>
          </w:p>
        </w:tc>
      </w:tr>
      <w:tr w:rsidR="00A44FD1" w:rsidRPr="00F07060" w14:paraId="2FA03661" w14:textId="77777777" w:rsidTr="002A55D2">
        <w:trPr>
          <w:trHeight w:val="441"/>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4B56BB98" w14:textId="77777777" w:rsidR="00A44FD1" w:rsidRPr="00F07060" w:rsidRDefault="00A44FD1" w:rsidP="00E350F6">
            <w:pPr>
              <w:rPr>
                <w:b/>
                <w:bCs/>
                <w:color w:val="000000"/>
                <w:sz w:val="16"/>
                <w:szCs w:val="16"/>
              </w:rPr>
            </w:pPr>
            <w:r w:rsidRPr="00F07060">
              <w:rPr>
                <w:b/>
                <w:bCs/>
                <w:color w:val="000000"/>
                <w:sz w:val="16"/>
                <w:szCs w:val="16"/>
              </w:rPr>
              <w:t>Equity</w:t>
            </w:r>
          </w:p>
        </w:tc>
        <w:tc>
          <w:tcPr>
            <w:tcW w:w="948"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96794ED" w14:textId="77777777" w:rsidR="00A44FD1" w:rsidRPr="00F07060" w:rsidRDefault="00A44FD1" w:rsidP="00E350F6">
            <w:pPr>
              <w:rPr>
                <w:b/>
                <w:bCs/>
                <w:color w:val="000000"/>
                <w:sz w:val="16"/>
                <w:szCs w:val="16"/>
              </w:rPr>
            </w:pPr>
            <w:r w:rsidRPr="00F07060">
              <w:rPr>
                <w:b/>
                <w:bCs/>
                <w:color w:val="000000"/>
                <w:sz w:val="16"/>
                <w:szCs w:val="16"/>
              </w:rPr>
              <w:t>Reduced</w:t>
            </w:r>
          </w:p>
        </w:tc>
        <w:tc>
          <w:tcPr>
            <w:tcW w:w="1017"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5C938B6" w14:textId="77777777" w:rsidR="00A44FD1" w:rsidRPr="00F07060" w:rsidRDefault="00A44FD1" w:rsidP="00E350F6">
            <w:pPr>
              <w:rPr>
                <w:b/>
                <w:bCs/>
                <w:color w:val="000000"/>
                <w:sz w:val="16"/>
                <w:szCs w:val="16"/>
              </w:rPr>
            </w:pPr>
            <w:r w:rsidRPr="00F07060">
              <w:rPr>
                <w:b/>
                <w:bCs/>
                <w:color w:val="000000"/>
                <w:sz w:val="16"/>
                <w:szCs w:val="16"/>
              </w:rPr>
              <w:t>Probably reduced</w:t>
            </w:r>
          </w:p>
        </w:tc>
        <w:tc>
          <w:tcPr>
            <w:tcW w:w="1843"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3919E8B" w14:textId="77777777" w:rsidR="00A44FD1" w:rsidRPr="00F07060" w:rsidRDefault="00A44FD1" w:rsidP="00E350F6">
            <w:pPr>
              <w:rPr>
                <w:b/>
                <w:bCs/>
                <w:color w:val="000000"/>
                <w:sz w:val="16"/>
                <w:szCs w:val="16"/>
              </w:rPr>
            </w:pPr>
            <w:r w:rsidRPr="00F07060">
              <w:rPr>
                <w:b/>
                <w:bCs/>
                <w:color w:val="000000"/>
                <w:sz w:val="16"/>
                <w:szCs w:val="16"/>
              </w:rPr>
              <w:t>Probably no impact</w:t>
            </w:r>
          </w:p>
        </w:tc>
        <w:tc>
          <w:tcPr>
            <w:tcW w:w="113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47C2139" w14:textId="77777777" w:rsidR="00A44FD1" w:rsidRPr="00F07060" w:rsidRDefault="00A44FD1" w:rsidP="00E350F6">
            <w:pPr>
              <w:rPr>
                <w:b/>
                <w:bCs/>
                <w:color w:val="000000"/>
                <w:sz w:val="16"/>
                <w:szCs w:val="16"/>
              </w:rPr>
            </w:pPr>
            <w:r w:rsidRPr="00F07060">
              <w:rPr>
                <w:b/>
                <w:bCs/>
                <w:color w:val="000000"/>
                <w:sz w:val="16"/>
                <w:szCs w:val="16"/>
              </w:rPr>
              <w:t>Probably increased</w:t>
            </w:r>
          </w:p>
        </w:tc>
        <w:tc>
          <w:tcPr>
            <w:tcW w:w="1417"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91362AB" w14:textId="77777777" w:rsidR="00A44FD1" w:rsidRPr="00F07060" w:rsidRDefault="00A44FD1" w:rsidP="00E350F6">
            <w:pPr>
              <w:rPr>
                <w:b/>
                <w:bCs/>
                <w:color w:val="000000"/>
                <w:sz w:val="16"/>
                <w:szCs w:val="16"/>
              </w:rPr>
            </w:pPr>
            <w:r w:rsidRPr="00F07060">
              <w:rPr>
                <w:b/>
                <w:bCs/>
                <w:color w:val="000000"/>
                <w:sz w:val="16"/>
                <w:szCs w:val="16"/>
              </w:rPr>
              <w:t>Increased</w:t>
            </w:r>
          </w:p>
        </w:tc>
        <w:tc>
          <w:tcPr>
            <w:tcW w:w="12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7BD2798" w14:textId="77777777" w:rsidR="00A44FD1" w:rsidRPr="00F07060" w:rsidRDefault="00A44FD1" w:rsidP="00E350F6">
            <w:pPr>
              <w:rPr>
                <w:b/>
                <w:bCs/>
                <w:color w:val="000000"/>
                <w:sz w:val="16"/>
                <w:szCs w:val="16"/>
              </w:rPr>
            </w:pPr>
            <w:r w:rsidRPr="00F07060">
              <w:rPr>
                <w:b/>
                <w:bCs/>
                <w:color w:val="000000"/>
                <w:sz w:val="16"/>
                <w:szCs w:val="16"/>
              </w:rPr>
              <w:t>Varies</w:t>
            </w:r>
          </w:p>
        </w:tc>
        <w:tc>
          <w:tcPr>
            <w:tcW w:w="1843"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1EA4B428" w14:textId="77777777" w:rsidR="00A44FD1" w:rsidRPr="00F07060" w:rsidRDefault="00A44FD1" w:rsidP="00E350F6">
            <w:pPr>
              <w:rPr>
                <w:b/>
                <w:bCs/>
                <w:color w:val="000000"/>
                <w:sz w:val="16"/>
                <w:szCs w:val="16"/>
              </w:rPr>
            </w:pPr>
            <w:r w:rsidRPr="00F07060">
              <w:rPr>
                <w:b/>
                <w:bCs/>
                <w:color w:val="000000"/>
                <w:sz w:val="16"/>
                <w:szCs w:val="16"/>
              </w:rPr>
              <w:t>Don't know</w:t>
            </w:r>
          </w:p>
        </w:tc>
      </w:tr>
      <w:tr w:rsidR="00A44FD1" w:rsidRPr="00F07060" w14:paraId="64D95107" w14:textId="77777777" w:rsidTr="002A55D2">
        <w:trPr>
          <w:trHeight w:val="1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3052E488" w14:textId="77777777" w:rsidR="00A44FD1" w:rsidRPr="00F07060" w:rsidRDefault="00A44FD1" w:rsidP="00E350F6">
            <w:pPr>
              <w:rPr>
                <w:b/>
                <w:bCs/>
                <w:color w:val="000000"/>
                <w:sz w:val="16"/>
                <w:szCs w:val="16"/>
              </w:rPr>
            </w:pPr>
            <w:r w:rsidRPr="00F07060">
              <w:rPr>
                <w:b/>
                <w:bCs/>
                <w:color w:val="000000"/>
                <w:sz w:val="16"/>
                <w:szCs w:val="16"/>
              </w:rPr>
              <w:t>Acceptability</w:t>
            </w:r>
          </w:p>
        </w:tc>
        <w:tc>
          <w:tcPr>
            <w:tcW w:w="948"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715FF35" w14:textId="77777777" w:rsidR="00A44FD1" w:rsidRPr="00F07060" w:rsidRDefault="00A44FD1" w:rsidP="00E350F6">
            <w:pPr>
              <w:rPr>
                <w:b/>
                <w:bCs/>
                <w:color w:val="000000"/>
                <w:sz w:val="16"/>
                <w:szCs w:val="16"/>
              </w:rPr>
            </w:pPr>
            <w:r w:rsidRPr="00F07060">
              <w:rPr>
                <w:b/>
                <w:bCs/>
                <w:color w:val="000000"/>
                <w:sz w:val="16"/>
                <w:szCs w:val="16"/>
              </w:rPr>
              <w:t>No</w:t>
            </w:r>
          </w:p>
        </w:tc>
        <w:tc>
          <w:tcPr>
            <w:tcW w:w="1017"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1EC913D" w14:textId="77777777" w:rsidR="00A44FD1" w:rsidRPr="00F07060" w:rsidRDefault="00A44FD1" w:rsidP="00E350F6">
            <w:pPr>
              <w:rPr>
                <w:b/>
                <w:bCs/>
                <w:color w:val="000000"/>
                <w:sz w:val="16"/>
                <w:szCs w:val="16"/>
              </w:rPr>
            </w:pPr>
            <w:r w:rsidRPr="00F07060">
              <w:rPr>
                <w:b/>
                <w:bCs/>
                <w:color w:val="000000"/>
                <w:sz w:val="16"/>
                <w:szCs w:val="16"/>
              </w:rPr>
              <w:t>Probably no</w:t>
            </w:r>
          </w:p>
        </w:tc>
        <w:tc>
          <w:tcPr>
            <w:tcW w:w="1843"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0B8C83BE" w14:textId="77777777" w:rsidR="00A44FD1" w:rsidRPr="00F07060" w:rsidRDefault="00A44FD1" w:rsidP="00E350F6">
            <w:pPr>
              <w:rPr>
                <w:b/>
                <w:bCs/>
                <w:color w:val="000000"/>
                <w:sz w:val="16"/>
                <w:szCs w:val="16"/>
              </w:rPr>
            </w:pPr>
            <w:r w:rsidRPr="00F07060">
              <w:rPr>
                <w:b/>
                <w:bCs/>
                <w:color w:val="000000"/>
                <w:sz w:val="16"/>
                <w:szCs w:val="16"/>
              </w:rPr>
              <w:t>Probably yes</w:t>
            </w:r>
          </w:p>
        </w:tc>
        <w:tc>
          <w:tcPr>
            <w:tcW w:w="113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8A6B471" w14:textId="77777777" w:rsidR="00A44FD1" w:rsidRPr="00F07060" w:rsidRDefault="00A44FD1" w:rsidP="00E350F6">
            <w:pPr>
              <w:rPr>
                <w:b/>
                <w:bCs/>
                <w:color w:val="000000"/>
                <w:sz w:val="16"/>
                <w:szCs w:val="16"/>
              </w:rPr>
            </w:pPr>
            <w:r w:rsidRPr="00F07060">
              <w:rPr>
                <w:b/>
                <w:bCs/>
                <w:color w:val="000000"/>
                <w:sz w:val="16"/>
                <w:szCs w:val="16"/>
              </w:rPr>
              <w:t>Yes</w:t>
            </w:r>
          </w:p>
        </w:tc>
        <w:tc>
          <w:tcPr>
            <w:tcW w:w="1417"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E65112B" w14:textId="77777777" w:rsidR="00A44FD1" w:rsidRPr="00F07060" w:rsidRDefault="00A44FD1" w:rsidP="00E350F6">
            <w:pPr>
              <w:rPr>
                <w:b/>
                <w:bCs/>
                <w:color w:val="000000"/>
                <w:sz w:val="16"/>
                <w:szCs w:val="16"/>
              </w:rPr>
            </w:pPr>
          </w:p>
        </w:tc>
        <w:tc>
          <w:tcPr>
            <w:tcW w:w="127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650685A" w14:textId="77777777" w:rsidR="00A44FD1" w:rsidRPr="00F07060" w:rsidRDefault="00A44FD1" w:rsidP="00E350F6">
            <w:pPr>
              <w:rPr>
                <w:b/>
                <w:bCs/>
                <w:color w:val="000000"/>
                <w:sz w:val="16"/>
                <w:szCs w:val="16"/>
              </w:rPr>
            </w:pPr>
            <w:r w:rsidRPr="00F07060">
              <w:rPr>
                <w:b/>
                <w:bCs/>
                <w:color w:val="000000"/>
                <w:sz w:val="16"/>
                <w:szCs w:val="16"/>
              </w:rPr>
              <w:t>Varies</w:t>
            </w:r>
          </w:p>
        </w:tc>
        <w:tc>
          <w:tcPr>
            <w:tcW w:w="1843"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5C01457" w14:textId="77777777" w:rsidR="00A44FD1" w:rsidRPr="00F07060" w:rsidRDefault="00A44FD1" w:rsidP="00E350F6">
            <w:pPr>
              <w:rPr>
                <w:b/>
                <w:bCs/>
                <w:color w:val="000000"/>
                <w:sz w:val="16"/>
                <w:szCs w:val="16"/>
              </w:rPr>
            </w:pPr>
            <w:r w:rsidRPr="00F07060">
              <w:rPr>
                <w:b/>
                <w:bCs/>
                <w:color w:val="000000"/>
                <w:sz w:val="16"/>
                <w:szCs w:val="16"/>
              </w:rPr>
              <w:t>Don't know</w:t>
            </w:r>
          </w:p>
        </w:tc>
      </w:tr>
      <w:tr w:rsidR="00A44FD1" w:rsidRPr="00F07060" w14:paraId="6AA1B489" w14:textId="77777777" w:rsidTr="002A55D2">
        <w:trPr>
          <w:trHeight w:val="72"/>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00066A77" w14:textId="77777777" w:rsidR="00A44FD1" w:rsidRPr="00F07060" w:rsidRDefault="00A44FD1" w:rsidP="00E350F6">
            <w:pPr>
              <w:rPr>
                <w:b/>
                <w:bCs/>
                <w:color w:val="000000"/>
                <w:sz w:val="16"/>
                <w:szCs w:val="16"/>
              </w:rPr>
            </w:pPr>
            <w:r w:rsidRPr="00F07060">
              <w:rPr>
                <w:b/>
                <w:bCs/>
                <w:color w:val="000000"/>
                <w:sz w:val="16"/>
                <w:szCs w:val="16"/>
              </w:rPr>
              <w:t>Feasibility</w:t>
            </w:r>
          </w:p>
        </w:tc>
        <w:tc>
          <w:tcPr>
            <w:tcW w:w="948"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12F0072" w14:textId="77777777" w:rsidR="00A44FD1" w:rsidRPr="00F07060" w:rsidRDefault="00A44FD1" w:rsidP="00E350F6">
            <w:pPr>
              <w:rPr>
                <w:b/>
                <w:bCs/>
                <w:color w:val="000000"/>
                <w:sz w:val="16"/>
                <w:szCs w:val="16"/>
              </w:rPr>
            </w:pPr>
            <w:r w:rsidRPr="00F07060">
              <w:rPr>
                <w:b/>
                <w:bCs/>
                <w:color w:val="000000"/>
                <w:sz w:val="16"/>
                <w:szCs w:val="16"/>
              </w:rPr>
              <w:t>No</w:t>
            </w:r>
          </w:p>
        </w:tc>
        <w:tc>
          <w:tcPr>
            <w:tcW w:w="1017"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330C525" w14:textId="77777777" w:rsidR="00A44FD1" w:rsidRPr="00F07060" w:rsidRDefault="00A44FD1" w:rsidP="00E350F6">
            <w:pPr>
              <w:rPr>
                <w:b/>
                <w:bCs/>
                <w:color w:val="000000"/>
                <w:sz w:val="16"/>
                <w:szCs w:val="16"/>
              </w:rPr>
            </w:pPr>
            <w:r w:rsidRPr="00F07060">
              <w:rPr>
                <w:b/>
                <w:bCs/>
                <w:color w:val="000000"/>
                <w:sz w:val="16"/>
                <w:szCs w:val="16"/>
              </w:rPr>
              <w:t>Probably no</w:t>
            </w:r>
          </w:p>
        </w:tc>
        <w:tc>
          <w:tcPr>
            <w:tcW w:w="1843"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1107F8A0" w14:textId="77777777" w:rsidR="00A44FD1" w:rsidRPr="00F07060" w:rsidRDefault="00A44FD1" w:rsidP="00E350F6">
            <w:pPr>
              <w:rPr>
                <w:b/>
                <w:bCs/>
                <w:color w:val="000000"/>
                <w:sz w:val="16"/>
                <w:szCs w:val="16"/>
              </w:rPr>
            </w:pPr>
            <w:r w:rsidRPr="00F07060">
              <w:rPr>
                <w:b/>
                <w:bCs/>
                <w:color w:val="000000"/>
                <w:sz w:val="16"/>
                <w:szCs w:val="16"/>
              </w:rPr>
              <w:t>Probably yes</w:t>
            </w:r>
          </w:p>
        </w:tc>
        <w:tc>
          <w:tcPr>
            <w:tcW w:w="113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9D9CDC4" w14:textId="77777777" w:rsidR="00A44FD1" w:rsidRPr="00F07060" w:rsidRDefault="00A44FD1" w:rsidP="00E350F6">
            <w:pPr>
              <w:rPr>
                <w:b/>
                <w:bCs/>
                <w:color w:val="000000"/>
                <w:sz w:val="16"/>
                <w:szCs w:val="16"/>
              </w:rPr>
            </w:pPr>
            <w:r w:rsidRPr="00F07060">
              <w:rPr>
                <w:b/>
                <w:bCs/>
                <w:color w:val="000000"/>
                <w:sz w:val="16"/>
                <w:szCs w:val="16"/>
              </w:rPr>
              <w:t>Yes</w:t>
            </w:r>
          </w:p>
        </w:tc>
        <w:tc>
          <w:tcPr>
            <w:tcW w:w="1417"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3B7C886" w14:textId="77777777" w:rsidR="00A44FD1" w:rsidRPr="00F07060" w:rsidRDefault="00A44FD1" w:rsidP="00E350F6">
            <w:pPr>
              <w:rPr>
                <w:b/>
                <w:bCs/>
                <w:color w:val="000000"/>
                <w:sz w:val="16"/>
                <w:szCs w:val="16"/>
              </w:rPr>
            </w:pPr>
          </w:p>
        </w:tc>
        <w:tc>
          <w:tcPr>
            <w:tcW w:w="12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C947AF2" w14:textId="77777777" w:rsidR="00A44FD1" w:rsidRPr="00F07060" w:rsidRDefault="00A44FD1" w:rsidP="00E350F6">
            <w:pPr>
              <w:rPr>
                <w:b/>
                <w:bCs/>
                <w:color w:val="000000"/>
                <w:sz w:val="16"/>
                <w:szCs w:val="16"/>
              </w:rPr>
            </w:pPr>
            <w:r w:rsidRPr="00F07060">
              <w:rPr>
                <w:b/>
                <w:bCs/>
                <w:color w:val="000000"/>
                <w:sz w:val="16"/>
                <w:szCs w:val="16"/>
              </w:rPr>
              <w:t>Varies</w:t>
            </w:r>
          </w:p>
        </w:tc>
        <w:tc>
          <w:tcPr>
            <w:tcW w:w="1843"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73D6D94" w14:textId="77777777" w:rsidR="00A44FD1" w:rsidRPr="00F07060" w:rsidRDefault="00A44FD1" w:rsidP="00E350F6">
            <w:pPr>
              <w:rPr>
                <w:b/>
                <w:bCs/>
                <w:color w:val="000000"/>
                <w:sz w:val="16"/>
                <w:szCs w:val="16"/>
              </w:rPr>
            </w:pPr>
            <w:r w:rsidRPr="00F07060">
              <w:rPr>
                <w:b/>
                <w:bCs/>
                <w:color w:val="000000"/>
                <w:sz w:val="16"/>
                <w:szCs w:val="16"/>
              </w:rPr>
              <w:t>Don't know</w:t>
            </w:r>
          </w:p>
        </w:tc>
      </w:tr>
    </w:tbl>
    <w:p w14:paraId="5897C994" w14:textId="77777777" w:rsidR="00A44FD1" w:rsidRPr="00A44FD1" w:rsidRDefault="00A44FD1" w:rsidP="00A44FD1">
      <w:pPr>
        <w:rPr>
          <w:b/>
          <w:bCs/>
          <w:color w:val="000000"/>
          <w:sz w:val="20"/>
          <w:szCs w:val="20"/>
          <w:lang w:val="en"/>
        </w:rPr>
      </w:pPr>
    </w:p>
    <w:p w14:paraId="521D1C7D" w14:textId="18A5A732" w:rsidR="00A44FD1" w:rsidRPr="002A55D2" w:rsidRDefault="00A44FD1" w:rsidP="00A44FD1">
      <w:pPr>
        <w:rPr>
          <w:b/>
          <w:sz w:val="20"/>
          <w:szCs w:val="20"/>
        </w:rPr>
      </w:pPr>
      <w:r w:rsidRPr="00A44FD1">
        <w:rPr>
          <w:b/>
          <w:bCs/>
          <w:color w:val="000000"/>
          <w:sz w:val="20"/>
          <w:szCs w:val="20"/>
          <w:lang w:val="en"/>
        </w:rPr>
        <w:t>Table S</w:t>
      </w:r>
      <w:r w:rsidR="002A55D2">
        <w:rPr>
          <w:b/>
          <w:bCs/>
          <w:color w:val="000000"/>
          <w:sz w:val="20"/>
          <w:szCs w:val="20"/>
          <w:lang w:val="en"/>
        </w:rPr>
        <w:t>14</w:t>
      </w:r>
      <w:r w:rsidRPr="00A44FD1">
        <w:rPr>
          <w:b/>
          <w:bCs/>
          <w:color w:val="000000"/>
          <w:sz w:val="20"/>
          <w:szCs w:val="20"/>
          <w:lang w:val="en"/>
        </w:rPr>
        <w:t xml:space="preserve"> </w:t>
      </w:r>
      <w:r w:rsidRPr="002A55D2">
        <w:rPr>
          <w:b/>
          <w:sz w:val="20"/>
          <w:szCs w:val="20"/>
        </w:rPr>
        <w:t>Evidence to decision table supporting recommendations for benralizumab for severe allergic asthma in adults (asthma control, QoL)</w:t>
      </w:r>
    </w:p>
    <w:p w14:paraId="41DACC90" w14:textId="77777777" w:rsidR="00A44FD1" w:rsidRPr="00A44FD1" w:rsidRDefault="00A44FD1" w:rsidP="00A44FD1">
      <w:pPr>
        <w:pStyle w:val="ListParagraph"/>
        <w:rPr>
          <w:b/>
          <w:bCs/>
          <w:color w:val="000000"/>
          <w:sz w:val="20"/>
          <w:szCs w:val="20"/>
          <w:lang w:val="en"/>
        </w:rPr>
      </w:pPr>
    </w:p>
    <w:tbl>
      <w:tblPr>
        <w:tblW w:w="0" w:type="auto"/>
        <w:tblCellMar>
          <w:left w:w="0" w:type="dxa"/>
          <w:right w:w="0" w:type="dxa"/>
        </w:tblCellMar>
        <w:tblLook w:val="04A0" w:firstRow="1" w:lastRow="0" w:firstColumn="1" w:lastColumn="0" w:noHBand="0" w:noVBand="1"/>
      </w:tblPr>
      <w:tblGrid>
        <w:gridCol w:w="2967"/>
        <w:gridCol w:w="1214"/>
        <w:gridCol w:w="1842"/>
        <w:gridCol w:w="1985"/>
        <w:gridCol w:w="1701"/>
        <w:gridCol w:w="1134"/>
        <w:gridCol w:w="992"/>
        <w:gridCol w:w="1134"/>
      </w:tblGrid>
      <w:tr w:rsidR="00A44FD1" w:rsidRPr="00F07060" w14:paraId="40305078" w14:textId="77777777" w:rsidTr="002A55D2">
        <w:trPr>
          <w:trHeight w:val="286"/>
        </w:trPr>
        <w:tc>
          <w:tcPr>
            <w:tcW w:w="2967" w:type="dxa"/>
            <w:tcBorders>
              <w:top w:val="single" w:sz="8" w:space="0" w:color="FFFFFF"/>
              <w:left w:val="single" w:sz="8" w:space="0" w:color="FFFFFF"/>
              <w:bottom w:val="single" w:sz="24" w:space="0" w:color="FFFFFF"/>
              <w:right w:val="single" w:sz="8" w:space="0" w:color="FFFFFF"/>
            </w:tcBorders>
            <w:shd w:val="clear" w:color="auto" w:fill="5B9BD5"/>
            <w:tcMar>
              <w:top w:w="74" w:type="dxa"/>
              <w:left w:w="74" w:type="dxa"/>
              <w:bottom w:w="74" w:type="dxa"/>
              <w:right w:w="74" w:type="dxa"/>
            </w:tcMar>
            <w:vAlign w:val="center"/>
            <w:hideMark/>
          </w:tcPr>
          <w:p w14:paraId="01E69266" w14:textId="77777777" w:rsidR="00A44FD1" w:rsidRPr="00F07060" w:rsidRDefault="00A44FD1" w:rsidP="00E350F6">
            <w:pPr>
              <w:rPr>
                <w:b/>
                <w:bCs/>
                <w:color w:val="000000"/>
                <w:sz w:val="16"/>
                <w:szCs w:val="16"/>
              </w:rPr>
            </w:pPr>
          </w:p>
        </w:tc>
        <w:tc>
          <w:tcPr>
            <w:tcW w:w="10002" w:type="dxa"/>
            <w:gridSpan w:val="7"/>
            <w:tcBorders>
              <w:top w:val="single" w:sz="8" w:space="0" w:color="FFFFFF"/>
              <w:left w:val="single" w:sz="8" w:space="0" w:color="FFFFFF"/>
              <w:bottom w:val="single" w:sz="24" w:space="0" w:color="FFFFFF"/>
              <w:right w:val="single" w:sz="8" w:space="0" w:color="FFFFFF"/>
            </w:tcBorders>
            <w:shd w:val="clear" w:color="auto" w:fill="5B9BD5"/>
            <w:tcMar>
              <w:top w:w="74" w:type="dxa"/>
              <w:left w:w="74" w:type="dxa"/>
              <w:bottom w:w="74" w:type="dxa"/>
              <w:right w:w="74" w:type="dxa"/>
            </w:tcMar>
            <w:vAlign w:val="center"/>
            <w:hideMark/>
          </w:tcPr>
          <w:p w14:paraId="058AFD9E" w14:textId="77777777" w:rsidR="00A44FD1" w:rsidRPr="00F07060" w:rsidRDefault="00A44FD1" w:rsidP="00E350F6">
            <w:pPr>
              <w:rPr>
                <w:b/>
                <w:bCs/>
                <w:color w:val="000000"/>
                <w:sz w:val="16"/>
                <w:szCs w:val="16"/>
              </w:rPr>
            </w:pPr>
            <w:r w:rsidRPr="00F07060">
              <w:rPr>
                <w:b/>
                <w:bCs/>
                <w:color w:val="000000"/>
                <w:sz w:val="16"/>
                <w:szCs w:val="16"/>
              </w:rPr>
              <w:t>Judgement</w:t>
            </w:r>
          </w:p>
        </w:tc>
      </w:tr>
      <w:tr w:rsidR="00A44FD1" w:rsidRPr="00F07060" w14:paraId="21F3C767" w14:textId="77777777" w:rsidTr="002A55D2">
        <w:trPr>
          <w:trHeight w:val="68"/>
        </w:trPr>
        <w:tc>
          <w:tcPr>
            <w:tcW w:w="2967" w:type="dxa"/>
            <w:tcBorders>
              <w:top w:val="single" w:sz="24"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188BF3AA" w14:textId="77777777" w:rsidR="00A44FD1" w:rsidRPr="00F07060" w:rsidRDefault="00A44FD1" w:rsidP="00E350F6">
            <w:pPr>
              <w:rPr>
                <w:b/>
                <w:bCs/>
                <w:color w:val="000000"/>
                <w:sz w:val="16"/>
                <w:szCs w:val="16"/>
              </w:rPr>
            </w:pPr>
            <w:r w:rsidRPr="00F07060">
              <w:rPr>
                <w:b/>
                <w:bCs/>
                <w:color w:val="000000"/>
                <w:sz w:val="16"/>
                <w:szCs w:val="16"/>
              </w:rPr>
              <w:t>Problem (importance)</w:t>
            </w:r>
          </w:p>
        </w:tc>
        <w:tc>
          <w:tcPr>
            <w:tcW w:w="1214"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C0F7069" w14:textId="77777777" w:rsidR="00A44FD1" w:rsidRPr="00F07060" w:rsidRDefault="00A44FD1" w:rsidP="00E350F6">
            <w:pPr>
              <w:rPr>
                <w:b/>
                <w:bCs/>
                <w:color w:val="000000"/>
                <w:sz w:val="16"/>
                <w:szCs w:val="16"/>
              </w:rPr>
            </w:pPr>
            <w:r w:rsidRPr="00F07060">
              <w:rPr>
                <w:b/>
                <w:bCs/>
                <w:color w:val="000000"/>
                <w:sz w:val="16"/>
                <w:szCs w:val="16"/>
              </w:rPr>
              <w:t>No</w:t>
            </w:r>
          </w:p>
        </w:tc>
        <w:tc>
          <w:tcPr>
            <w:tcW w:w="1842"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7585A11" w14:textId="77777777" w:rsidR="00A44FD1" w:rsidRPr="00F07060" w:rsidRDefault="00A44FD1" w:rsidP="00E350F6">
            <w:pPr>
              <w:rPr>
                <w:b/>
                <w:bCs/>
                <w:color w:val="000000"/>
                <w:sz w:val="16"/>
                <w:szCs w:val="16"/>
              </w:rPr>
            </w:pPr>
            <w:r w:rsidRPr="00F07060">
              <w:rPr>
                <w:b/>
                <w:bCs/>
                <w:color w:val="000000"/>
                <w:sz w:val="16"/>
                <w:szCs w:val="16"/>
              </w:rPr>
              <w:t>Probably no</w:t>
            </w:r>
          </w:p>
        </w:tc>
        <w:tc>
          <w:tcPr>
            <w:tcW w:w="1985"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384038F" w14:textId="77777777" w:rsidR="00A44FD1" w:rsidRPr="00F07060" w:rsidRDefault="00A44FD1" w:rsidP="00E350F6">
            <w:pPr>
              <w:rPr>
                <w:b/>
                <w:bCs/>
                <w:color w:val="000000"/>
                <w:sz w:val="16"/>
                <w:szCs w:val="16"/>
              </w:rPr>
            </w:pPr>
            <w:r w:rsidRPr="00F07060">
              <w:rPr>
                <w:b/>
                <w:bCs/>
                <w:color w:val="000000"/>
                <w:sz w:val="16"/>
                <w:szCs w:val="16"/>
              </w:rPr>
              <w:t>Probably yes</w:t>
            </w:r>
          </w:p>
        </w:tc>
        <w:tc>
          <w:tcPr>
            <w:tcW w:w="1701" w:type="dxa"/>
            <w:tcBorders>
              <w:top w:val="single" w:sz="24"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5A89666E" w14:textId="77777777" w:rsidR="00A44FD1" w:rsidRPr="00F07060" w:rsidRDefault="00A44FD1" w:rsidP="00E350F6">
            <w:pPr>
              <w:rPr>
                <w:b/>
                <w:bCs/>
                <w:color w:val="000000"/>
                <w:sz w:val="16"/>
                <w:szCs w:val="16"/>
              </w:rPr>
            </w:pPr>
            <w:r w:rsidRPr="00F07060">
              <w:rPr>
                <w:b/>
                <w:bCs/>
                <w:color w:val="000000"/>
                <w:sz w:val="16"/>
                <w:szCs w:val="16"/>
              </w:rPr>
              <w:t>Yes</w:t>
            </w:r>
          </w:p>
        </w:tc>
        <w:tc>
          <w:tcPr>
            <w:tcW w:w="1134"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42B6FDD" w14:textId="77777777" w:rsidR="00A44FD1" w:rsidRPr="00F07060" w:rsidRDefault="00A44FD1" w:rsidP="00E350F6">
            <w:pPr>
              <w:rPr>
                <w:b/>
                <w:bCs/>
                <w:color w:val="000000"/>
                <w:sz w:val="16"/>
                <w:szCs w:val="16"/>
              </w:rPr>
            </w:pPr>
          </w:p>
        </w:tc>
        <w:tc>
          <w:tcPr>
            <w:tcW w:w="992"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16F4C52" w14:textId="77777777" w:rsidR="00A44FD1" w:rsidRPr="00F07060" w:rsidRDefault="00A44FD1" w:rsidP="00E350F6">
            <w:pPr>
              <w:rPr>
                <w:b/>
                <w:bCs/>
                <w:color w:val="000000"/>
                <w:sz w:val="16"/>
                <w:szCs w:val="16"/>
              </w:rPr>
            </w:pPr>
            <w:r w:rsidRPr="00F07060">
              <w:rPr>
                <w:b/>
                <w:bCs/>
                <w:color w:val="000000"/>
                <w:sz w:val="16"/>
                <w:szCs w:val="16"/>
              </w:rPr>
              <w:t>Varies</w:t>
            </w:r>
          </w:p>
        </w:tc>
        <w:tc>
          <w:tcPr>
            <w:tcW w:w="1134"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5CFDA3A" w14:textId="77777777" w:rsidR="00A44FD1" w:rsidRPr="00F07060" w:rsidRDefault="00A44FD1" w:rsidP="00E350F6">
            <w:pPr>
              <w:rPr>
                <w:b/>
                <w:bCs/>
                <w:color w:val="000000"/>
                <w:sz w:val="16"/>
                <w:szCs w:val="16"/>
              </w:rPr>
            </w:pPr>
            <w:r w:rsidRPr="00F07060">
              <w:rPr>
                <w:b/>
                <w:bCs/>
                <w:color w:val="000000"/>
                <w:sz w:val="16"/>
                <w:szCs w:val="16"/>
              </w:rPr>
              <w:t>Don't know</w:t>
            </w:r>
          </w:p>
        </w:tc>
      </w:tr>
      <w:tr w:rsidR="00A44FD1" w:rsidRPr="00F07060" w14:paraId="3921C74D" w14:textId="77777777" w:rsidTr="002A55D2">
        <w:trPr>
          <w:trHeight w:val="156"/>
        </w:trPr>
        <w:tc>
          <w:tcPr>
            <w:tcW w:w="2967"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20357637" w14:textId="77777777" w:rsidR="00A44FD1" w:rsidRPr="00F07060" w:rsidRDefault="00A44FD1" w:rsidP="00E350F6">
            <w:pPr>
              <w:rPr>
                <w:b/>
                <w:bCs/>
                <w:color w:val="000000"/>
                <w:sz w:val="16"/>
                <w:szCs w:val="16"/>
              </w:rPr>
            </w:pPr>
            <w:r w:rsidRPr="00F07060">
              <w:rPr>
                <w:b/>
                <w:bCs/>
                <w:color w:val="000000"/>
                <w:sz w:val="16"/>
                <w:szCs w:val="16"/>
              </w:rPr>
              <w:t>Desirable Effects</w:t>
            </w:r>
          </w:p>
        </w:tc>
        <w:tc>
          <w:tcPr>
            <w:tcW w:w="121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E04CD82" w14:textId="77777777" w:rsidR="00A44FD1" w:rsidRPr="00F07060" w:rsidRDefault="00A44FD1" w:rsidP="00E350F6">
            <w:pPr>
              <w:rPr>
                <w:b/>
                <w:bCs/>
                <w:color w:val="000000"/>
                <w:sz w:val="16"/>
                <w:szCs w:val="16"/>
              </w:rPr>
            </w:pPr>
            <w:r w:rsidRPr="00F07060">
              <w:rPr>
                <w:b/>
                <w:bCs/>
                <w:color w:val="000000"/>
                <w:sz w:val="16"/>
                <w:szCs w:val="16"/>
              </w:rPr>
              <w:t>Trivial</w:t>
            </w:r>
          </w:p>
        </w:tc>
        <w:tc>
          <w:tcPr>
            <w:tcW w:w="1842"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94CD089" w14:textId="77777777" w:rsidR="00A44FD1" w:rsidRPr="00F07060" w:rsidRDefault="00A44FD1" w:rsidP="00E350F6">
            <w:pPr>
              <w:rPr>
                <w:b/>
                <w:bCs/>
                <w:color w:val="000000"/>
                <w:sz w:val="16"/>
                <w:szCs w:val="16"/>
              </w:rPr>
            </w:pPr>
            <w:r w:rsidRPr="00F07060">
              <w:rPr>
                <w:b/>
                <w:bCs/>
                <w:color w:val="000000"/>
                <w:sz w:val="16"/>
                <w:szCs w:val="16"/>
              </w:rPr>
              <w:t>Small</w:t>
            </w:r>
          </w:p>
        </w:tc>
        <w:tc>
          <w:tcPr>
            <w:tcW w:w="198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2E90F94" w14:textId="77777777" w:rsidR="00A44FD1" w:rsidRPr="00F07060" w:rsidRDefault="00A44FD1" w:rsidP="00E350F6">
            <w:pPr>
              <w:rPr>
                <w:b/>
                <w:bCs/>
                <w:color w:val="000000"/>
                <w:sz w:val="16"/>
                <w:szCs w:val="16"/>
              </w:rPr>
            </w:pPr>
            <w:r w:rsidRPr="00F07060">
              <w:rPr>
                <w:b/>
                <w:bCs/>
                <w:color w:val="000000"/>
                <w:sz w:val="16"/>
                <w:szCs w:val="16"/>
              </w:rPr>
              <w:t>Moderate</w:t>
            </w:r>
          </w:p>
        </w:tc>
        <w:tc>
          <w:tcPr>
            <w:tcW w:w="1701"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72078B9C" w14:textId="77777777" w:rsidR="00A44FD1" w:rsidRPr="00F07060" w:rsidRDefault="00A44FD1" w:rsidP="00E350F6">
            <w:pPr>
              <w:rPr>
                <w:b/>
                <w:bCs/>
                <w:color w:val="000000"/>
                <w:sz w:val="16"/>
                <w:szCs w:val="16"/>
              </w:rPr>
            </w:pPr>
            <w:r w:rsidRPr="00F07060">
              <w:rPr>
                <w:b/>
                <w:bCs/>
                <w:color w:val="000000"/>
                <w:sz w:val="16"/>
                <w:szCs w:val="16"/>
              </w:rPr>
              <w:t>Large</w:t>
            </w:r>
          </w:p>
        </w:tc>
        <w:tc>
          <w:tcPr>
            <w:tcW w:w="113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683E0C6" w14:textId="77777777" w:rsidR="00A44FD1" w:rsidRPr="00F07060" w:rsidRDefault="00A44FD1" w:rsidP="00E350F6">
            <w:pPr>
              <w:rPr>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C52E492" w14:textId="77777777" w:rsidR="00A44FD1" w:rsidRPr="00F07060" w:rsidRDefault="00A44FD1" w:rsidP="00E350F6">
            <w:pPr>
              <w:rPr>
                <w:b/>
                <w:bCs/>
                <w:color w:val="000000"/>
                <w:sz w:val="16"/>
                <w:szCs w:val="16"/>
              </w:rPr>
            </w:pPr>
            <w:r w:rsidRPr="00F07060">
              <w:rPr>
                <w:b/>
                <w:bCs/>
                <w:color w:val="000000"/>
                <w:sz w:val="16"/>
                <w:szCs w:val="16"/>
              </w:rPr>
              <w:t>Varies</w:t>
            </w:r>
          </w:p>
        </w:tc>
        <w:tc>
          <w:tcPr>
            <w:tcW w:w="113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3178A50" w14:textId="77777777" w:rsidR="00A44FD1" w:rsidRPr="00F07060" w:rsidRDefault="00A44FD1" w:rsidP="00E350F6">
            <w:pPr>
              <w:rPr>
                <w:b/>
                <w:bCs/>
                <w:color w:val="000000"/>
                <w:sz w:val="16"/>
                <w:szCs w:val="16"/>
              </w:rPr>
            </w:pPr>
            <w:r w:rsidRPr="00F07060">
              <w:rPr>
                <w:b/>
                <w:bCs/>
                <w:color w:val="000000"/>
                <w:sz w:val="16"/>
                <w:szCs w:val="16"/>
              </w:rPr>
              <w:t>Don't know</w:t>
            </w:r>
          </w:p>
        </w:tc>
      </w:tr>
      <w:tr w:rsidR="00A44FD1" w:rsidRPr="00F07060" w14:paraId="5714A224" w14:textId="77777777" w:rsidTr="002A55D2">
        <w:trPr>
          <w:trHeight w:val="76"/>
        </w:trPr>
        <w:tc>
          <w:tcPr>
            <w:tcW w:w="2967"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5FE79D34" w14:textId="77777777" w:rsidR="00A44FD1" w:rsidRPr="00F07060" w:rsidRDefault="00A44FD1" w:rsidP="00E350F6">
            <w:pPr>
              <w:rPr>
                <w:b/>
                <w:bCs/>
                <w:color w:val="000000"/>
                <w:sz w:val="16"/>
                <w:szCs w:val="16"/>
              </w:rPr>
            </w:pPr>
            <w:r w:rsidRPr="00F07060">
              <w:rPr>
                <w:b/>
                <w:bCs/>
                <w:color w:val="000000"/>
                <w:sz w:val="16"/>
                <w:szCs w:val="16"/>
              </w:rPr>
              <w:t>Undesirable Effects</w:t>
            </w:r>
          </w:p>
        </w:tc>
        <w:tc>
          <w:tcPr>
            <w:tcW w:w="121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386C8A1" w14:textId="77777777" w:rsidR="00A44FD1" w:rsidRPr="00F07060" w:rsidRDefault="00A44FD1" w:rsidP="00E350F6">
            <w:pPr>
              <w:rPr>
                <w:b/>
                <w:bCs/>
                <w:color w:val="000000"/>
                <w:sz w:val="16"/>
                <w:szCs w:val="16"/>
              </w:rPr>
            </w:pPr>
            <w:r w:rsidRPr="00F07060">
              <w:rPr>
                <w:b/>
                <w:bCs/>
                <w:color w:val="000000"/>
                <w:sz w:val="16"/>
                <w:szCs w:val="16"/>
              </w:rPr>
              <w:t>Large</w:t>
            </w:r>
          </w:p>
        </w:tc>
        <w:tc>
          <w:tcPr>
            <w:tcW w:w="1842"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4CBA22D" w14:textId="77777777" w:rsidR="00A44FD1" w:rsidRPr="00F07060" w:rsidRDefault="00A44FD1" w:rsidP="00E350F6">
            <w:pPr>
              <w:rPr>
                <w:b/>
                <w:bCs/>
                <w:color w:val="000000"/>
                <w:sz w:val="16"/>
                <w:szCs w:val="16"/>
              </w:rPr>
            </w:pPr>
            <w:r w:rsidRPr="00F07060">
              <w:rPr>
                <w:b/>
                <w:bCs/>
                <w:color w:val="000000"/>
                <w:sz w:val="16"/>
                <w:szCs w:val="16"/>
              </w:rPr>
              <w:t>Moderate</w:t>
            </w:r>
          </w:p>
        </w:tc>
        <w:tc>
          <w:tcPr>
            <w:tcW w:w="1985"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43198272" w14:textId="77777777" w:rsidR="00A44FD1" w:rsidRPr="00F07060" w:rsidRDefault="00A44FD1" w:rsidP="00E350F6">
            <w:pPr>
              <w:rPr>
                <w:b/>
                <w:bCs/>
                <w:color w:val="000000"/>
                <w:sz w:val="16"/>
                <w:szCs w:val="16"/>
              </w:rPr>
            </w:pPr>
            <w:r w:rsidRPr="00F07060">
              <w:rPr>
                <w:b/>
                <w:bCs/>
                <w:color w:val="000000"/>
                <w:sz w:val="16"/>
                <w:szCs w:val="16"/>
              </w:rPr>
              <w:t>Small</w:t>
            </w: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4AE310C" w14:textId="77777777" w:rsidR="00A44FD1" w:rsidRPr="00F07060" w:rsidRDefault="00A44FD1" w:rsidP="00E350F6">
            <w:pPr>
              <w:rPr>
                <w:b/>
                <w:bCs/>
                <w:color w:val="000000"/>
                <w:sz w:val="16"/>
                <w:szCs w:val="16"/>
              </w:rPr>
            </w:pPr>
            <w:r w:rsidRPr="00F07060">
              <w:rPr>
                <w:b/>
                <w:bCs/>
                <w:color w:val="000000"/>
                <w:sz w:val="16"/>
                <w:szCs w:val="16"/>
              </w:rPr>
              <w:t>Trivial</w:t>
            </w:r>
          </w:p>
        </w:tc>
        <w:tc>
          <w:tcPr>
            <w:tcW w:w="113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99C66D5" w14:textId="77777777" w:rsidR="00A44FD1" w:rsidRPr="00F07060" w:rsidRDefault="00A44FD1" w:rsidP="00E350F6">
            <w:pPr>
              <w:rPr>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021F28A" w14:textId="77777777" w:rsidR="00A44FD1" w:rsidRPr="00F07060" w:rsidRDefault="00A44FD1" w:rsidP="00E350F6">
            <w:pPr>
              <w:rPr>
                <w:b/>
                <w:bCs/>
                <w:color w:val="000000"/>
                <w:sz w:val="16"/>
                <w:szCs w:val="16"/>
              </w:rPr>
            </w:pPr>
            <w:r w:rsidRPr="00F07060">
              <w:rPr>
                <w:b/>
                <w:bCs/>
                <w:color w:val="000000"/>
                <w:sz w:val="16"/>
                <w:szCs w:val="16"/>
              </w:rPr>
              <w:t>Varies</w:t>
            </w:r>
          </w:p>
        </w:tc>
        <w:tc>
          <w:tcPr>
            <w:tcW w:w="113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16266F6" w14:textId="77777777" w:rsidR="00A44FD1" w:rsidRPr="00F07060" w:rsidRDefault="00A44FD1" w:rsidP="00E350F6">
            <w:pPr>
              <w:rPr>
                <w:b/>
                <w:bCs/>
                <w:color w:val="000000"/>
                <w:sz w:val="16"/>
                <w:szCs w:val="16"/>
              </w:rPr>
            </w:pPr>
            <w:r w:rsidRPr="00F07060">
              <w:rPr>
                <w:b/>
                <w:bCs/>
                <w:color w:val="000000"/>
                <w:sz w:val="16"/>
                <w:szCs w:val="16"/>
              </w:rPr>
              <w:t>Don't know</w:t>
            </w:r>
          </w:p>
        </w:tc>
      </w:tr>
      <w:tr w:rsidR="00A44FD1" w:rsidRPr="00F07060" w14:paraId="288F4910" w14:textId="77777777" w:rsidTr="002A55D2">
        <w:trPr>
          <w:trHeight w:val="19"/>
        </w:trPr>
        <w:tc>
          <w:tcPr>
            <w:tcW w:w="2967"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4D9D1073" w14:textId="77777777" w:rsidR="00A44FD1" w:rsidRPr="00F07060" w:rsidRDefault="00A44FD1" w:rsidP="00E350F6">
            <w:pPr>
              <w:rPr>
                <w:b/>
                <w:bCs/>
                <w:color w:val="000000"/>
                <w:sz w:val="16"/>
                <w:szCs w:val="16"/>
              </w:rPr>
            </w:pPr>
            <w:r w:rsidRPr="00F07060">
              <w:rPr>
                <w:b/>
                <w:bCs/>
                <w:color w:val="000000"/>
                <w:sz w:val="16"/>
                <w:szCs w:val="16"/>
              </w:rPr>
              <w:t>Certainty of evidence</w:t>
            </w:r>
          </w:p>
        </w:tc>
        <w:tc>
          <w:tcPr>
            <w:tcW w:w="121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D8CEFA9" w14:textId="77777777" w:rsidR="00A44FD1" w:rsidRPr="00F07060" w:rsidRDefault="00A44FD1" w:rsidP="00E350F6">
            <w:pPr>
              <w:rPr>
                <w:b/>
                <w:bCs/>
                <w:color w:val="000000"/>
                <w:sz w:val="16"/>
                <w:szCs w:val="16"/>
              </w:rPr>
            </w:pPr>
            <w:r w:rsidRPr="00F07060">
              <w:rPr>
                <w:b/>
                <w:bCs/>
                <w:color w:val="000000"/>
                <w:sz w:val="16"/>
                <w:szCs w:val="16"/>
              </w:rPr>
              <w:t>Very low</w:t>
            </w:r>
          </w:p>
        </w:tc>
        <w:tc>
          <w:tcPr>
            <w:tcW w:w="1842"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2D2DEBE" w14:textId="77777777" w:rsidR="00A44FD1" w:rsidRPr="00F07060" w:rsidRDefault="00A44FD1" w:rsidP="00E350F6">
            <w:pPr>
              <w:rPr>
                <w:b/>
                <w:bCs/>
                <w:color w:val="000000"/>
                <w:sz w:val="16"/>
                <w:szCs w:val="16"/>
              </w:rPr>
            </w:pPr>
            <w:r w:rsidRPr="00F07060">
              <w:rPr>
                <w:b/>
                <w:bCs/>
                <w:color w:val="000000"/>
                <w:sz w:val="16"/>
                <w:szCs w:val="16"/>
              </w:rPr>
              <w:t>Low</w:t>
            </w:r>
          </w:p>
        </w:tc>
        <w:tc>
          <w:tcPr>
            <w:tcW w:w="198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4" w:type="dxa"/>
              <w:left w:w="74" w:type="dxa"/>
              <w:bottom w:w="74" w:type="dxa"/>
              <w:right w:w="74" w:type="dxa"/>
            </w:tcMar>
            <w:vAlign w:val="center"/>
            <w:hideMark/>
          </w:tcPr>
          <w:p w14:paraId="2EB7E947" w14:textId="77777777" w:rsidR="00A44FD1" w:rsidRPr="00F07060" w:rsidRDefault="00A44FD1" w:rsidP="00E350F6">
            <w:pPr>
              <w:rPr>
                <w:b/>
                <w:bCs/>
                <w:color w:val="000000"/>
                <w:sz w:val="16"/>
                <w:szCs w:val="16"/>
              </w:rPr>
            </w:pPr>
            <w:r w:rsidRPr="00F07060">
              <w:rPr>
                <w:b/>
                <w:bCs/>
                <w:color w:val="000000"/>
                <w:sz w:val="16"/>
                <w:szCs w:val="16"/>
              </w:rPr>
              <w:t>Moderate</w:t>
            </w:r>
          </w:p>
        </w:tc>
        <w:tc>
          <w:tcPr>
            <w:tcW w:w="1701"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607D22DB" w14:textId="77777777" w:rsidR="00A44FD1" w:rsidRPr="00F07060" w:rsidRDefault="00A44FD1" w:rsidP="00E350F6">
            <w:pPr>
              <w:rPr>
                <w:b/>
                <w:bCs/>
                <w:color w:val="000000"/>
                <w:sz w:val="16"/>
                <w:szCs w:val="16"/>
              </w:rPr>
            </w:pPr>
            <w:r w:rsidRPr="00F07060">
              <w:rPr>
                <w:b/>
                <w:bCs/>
                <w:color w:val="000000"/>
                <w:sz w:val="16"/>
                <w:szCs w:val="16"/>
              </w:rPr>
              <w:t>High</w:t>
            </w:r>
          </w:p>
        </w:tc>
        <w:tc>
          <w:tcPr>
            <w:tcW w:w="113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BAF1223" w14:textId="77777777" w:rsidR="00A44FD1" w:rsidRPr="00F07060" w:rsidRDefault="00A44FD1" w:rsidP="00E350F6">
            <w:pPr>
              <w:rPr>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65795BE" w14:textId="77777777" w:rsidR="00A44FD1" w:rsidRPr="00F07060" w:rsidRDefault="00A44FD1" w:rsidP="00E350F6">
            <w:pPr>
              <w:rPr>
                <w:b/>
                <w:bCs/>
                <w:color w:val="000000"/>
                <w:sz w:val="16"/>
                <w:szCs w:val="16"/>
              </w:rPr>
            </w:pPr>
          </w:p>
        </w:tc>
        <w:tc>
          <w:tcPr>
            <w:tcW w:w="113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9186960" w14:textId="77777777" w:rsidR="00A44FD1" w:rsidRPr="00F07060" w:rsidRDefault="00A44FD1" w:rsidP="00E350F6">
            <w:pPr>
              <w:rPr>
                <w:b/>
                <w:bCs/>
                <w:color w:val="000000"/>
                <w:sz w:val="16"/>
                <w:szCs w:val="16"/>
              </w:rPr>
            </w:pPr>
            <w:r w:rsidRPr="00F07060">
              <w:rPr>
                <w:b/>
                <w:bCs/>
                <w:color w:val="000000"/>
                <w:sz w:val="16"/>
                <w:szCs w:val="16"/>
              </w:rPr>
              <w:t>No included studies</w:t>
            </w:r>
          </w:p>
        </w:tc>
      </w:tr>
      <w:tr w:rsidR="00A44FD1" w:rsidRPr="00F07060" w14:paraId="43C8EA9F" w14:textId="77777777" w:rsidTr="002A55D2">
        <w:trPr>
          <w:trHeight w:val="19"/>
        </w:trPr>
        <w:tc>
          <w:tcPr>
            <w:tcW w:w="2967"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1BF2C5B4" w14:textId="77777777" w:rsidR="00A44FD1" w:rsidRPr="00F07060" w:rsidRDefault="00A44FD1" w:rsidP="00E350F6">
            <w:pPr>
              <w:rPr>
                <w:b/>
                <w:bCs/>
                <w:color w:val="000000"/>
                <w:sz w:val="16"/>
                <w:szCs w:val="16"/>
              </w:rPr>
            </w:pPr>
            <w:r w:rsidRPr="00F07060">
              <w:rPr>
                <w:b/>
                <w:bCs/>
                <w:color w:val="000000"/>
                <w:sz w:val="16"/>
                <w:szCs w:val="16"/>
              </w:rPr>
              <w:t>Values</w:t>
            </w:r>
          </w:p>
        </w:tc>
        <w:tc>
          <w:tcPr>
            <w:tcW w:w="121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B974A87" w14:textId="77777777" w:rsidR="00A44FD1" w:rsidRPr="00F07060" w:rsidRDefault="00A44FD1" w:rsidP="00E350F6">
            <w:pPr>
              <w:rPr>
                <w:b/>
                <w:bCs/>
                <w:color w:val="000000"/>
                <w:sz w:val="16"/>
                <w:szCs w:val="16"/>
              </w:rPr>
            </w:pPr>
            <w:r w:rsidRPr="00F07060">
              <w:rPr>
                <w:b/>
                <w:bCs/>
                <w:color w:val="000000"/>
                <w:sz w:val="16"/>
                <w:szCs w:val="16"/>
              </w:rPr>
              <w:t>Important uncertainty or variability</w:t>
            </w:r>
          </w:p>
        </w:tc>
        <w:tc>
          <w:tcPr>
            <w:tcW w:w="1842"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6130978" w14:textId="77777777" w:rsidR="00A44FD1" w:rsidRPr="00F07060" w:rsidRDefault="00A44FD1" w:rsidP="00E350F6">
            <w:pPr>
              <w:rPr>
                <w:b/>
                <w:bCs/>
                <w:color w:val="000000"/>
                <w:sz w:val="16"/>
                <w:szCs w:val="16"/>
              </w:rPr>
            </w:pPr>
            <w:r w:rsidRPr="00F07060">
              <w:rPr>
                <w:b/>
                <w:bCs/>
                <w:color w:val="000000"/>
                <w:sz w:val="16"/>
                <w:szCs w:val="16"/>
              </w:rPr>
              <w:t>Possibly important uncertainty or variability</w:t>
            </w:r>
          </w:p>
        </w:tc>
        <w:tc>
          <w:tcPr>
            <w:tcW w:w="1985"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35EEDB4" w14:textId="77777777" w:rsidR="00A44FD1" w:rsidRPr="00F07060" w:rsidRDefault="00A44FD1" w:rsidP="00E350F6">
            <w:pPr>
              <w:rPr>
                <w:b/>
                <w:bCs/>
                <w:color w:val="000000"/>
                <w:sz w:val="16"/>
                <w:szCs w:val="16"/>
              </w:rPr>
            </w:pPr>
            <w:r w:rsidRPr="00F07060">
              <w:rPr>
                <w:b/>
                <w:bCs/>
                <w:color w:val="000000"/>
                <w:sz w:val="16"/>
                <w:szCs w:val="16"/>
              </w:rPr>
              <w:t>Probably no important uncertainty or variability</w:t>
            </w:r>
          </w:p>
        </w:tc>
        <w:tc>
          <w:tcPr>
            <w:tcW w:w="1701"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0BD1D335" w14:textId="77777777" w:rsidR="00A44FD1" w:rsidRPr="00F07060" w:rsidRDefault="00A44FD1" w:rsidP="00E350F6">
            <w:pPr>
              <w:rPr>
                <w:b/>
                <w:bCs/>
                <w:color w:val="000000"/>
                <w:sz w:val="16"/>
                <w:szCs w:val="16"/>
              </w:rPr>
            </w:pPr>
            <w:r w:rsidRPr="00F07060">
              <w:rPr>
                <w:b/>
                <w:bCs/>
                <w:color w:val="000000"/>
                <w:sz w:val="16"/>
                <w:szCs w:val="16"/>
              </w:rPr>
              <w:t>no important uncertainty or variability</w:t>
            </w:r>
          </w:p>
        </w:tc>
        <w:tc>
          <w:tcPr>
            <w:tcW w:w="113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BA0504E" w14:textId="77777777" w:rsidR="00A44FD1" w:rsidRPr="00F07060" w:rsidRDefault="00A44FD1" w:rsidP="00E350F6">
            <w:pPr>
              <w:rPr>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0356EB8" w14:textId="77777777" w:rsidR="00A44FD1" w:rsidRPr="00F07060" w:rsidRDefault="00A44FD1" w:rsidP="00E350F6">
            <w:pPr>
              <w:rPr>
                <w:b/>
                <w:bCs/>
                <w:color w:val="000000"/>
                <w:sz w:val="16"/>
                <w:szCs w:val="16"/>
              </w:rPr>
            </w:pPr>
          </w:p>
        </w:tc>
        <w:tc>
          <w:tcPr>
            <w:tcW w:w="113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CE54D07" w14:textId="77777777" w:rsidR="00A44FD1" w:rsidRPr="00F07060" w:rsidRDefault="00A44FD1" w:rsidP="00E350F6">
            <w:pPr>
              <w:rPr>
                <w:b/>
                <w:bCs/>
                <w:color w:val="000000"/>
                <w:sz w:val="16"/>
                <w:szCs w:val="16"/>
              </w:rPr>
            </w:pPr>
          </w:p>
        </w:tc>
      </w:tr>
      <w:tr w:rsidR="00A44FD1" w:rsidRPr="00F07060" w14:paraId="035566D8" w14:textId="77777777" w:rsidTr="002A55D2">
        <w:trPr>
          <w:trHeight w:val="19"/>
        </w:trPr>
        <w:tc>
          <w:tcPr>
            <w:tcW w:w="2967"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0DDDB0E1" w14:textId="77777777" w:rsidR="00A44FD1" w:rsidRPr="00F07060" w:rsidRDefault="00A44FD1" w:rsidP="00E350F6">
            <w:pPr>
              <w:rPr>
                <w:b/>
                <w:bCs/>
                <w:color w:val="000000"/>
                <w:sz w:val="16"/>
                <w:szCs w:val="16"/>
              </w:rPr>
            </w:pPr>
            <w:r w:rsidRPr="00F07060">
              <w:rPr>
                <w:b/>
                <w:bCs/>
                <w:color w:val="000000"/>
                <w:sz w:val="16"/>
                <w:szCs w:val="16"/>
              </w:rPr>
              <w:t>Balance of effects</w:t>
            </w:r>
          </w:p>
        </w:tc>
        <w:tc>
          <w:tcPr>
            <w:tcW w:w="121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CD7566C" w14:textId="77777777" w:rsidR="00A44FD1" w:rsidRPr="00F07060" w:rsidRDefault="00A44FD1" w:rsidP="00E350F6">
            <w:pPr>
              <w:rPr>
                <w:b/>
                <w:bCs/>
                <w:color w:val="000000"/>
                <w:sz w:val="16"/>
                <w:szCs w:val="16"/>
              </w:rPr>
            </w:pPr>
            <w:r w:rsidRPr="00F07060">
              <w:rPr>
                <w:b/>
                <w:bCs/>
                <w:color w:val="000000"/>
                <w:sz w:val="16"/>
                <w:szCs w:val="16"/>
              </w:rPr>
              <w:t>Favors the comparison</w:t>
            </w:r>
          </w:p>
        </w:tc>
        <w:tc>
          <w:tcPr>
            <w:tcW w:w="1842"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C1B26EE" w14:textId="77777777" w:rsidR="00A44FD1" w:rsidRPr="00F07060" w:rsidRDefault="00A44FD1" w:rsidP="00E350F6">
            <w:pPr>
              <w:rPr>
                <w:b/>
                <w:bCs/>
                <w:color w:val="000000"/>
                <w:sz w:val="16"/>
                <w:szCs w:val="16"/>
              </w:rPr>
            </w:pPr>
            <w:r w:rsidRPr="00F07060">
              <w:rPr>
                <w:b/>
                <w:bCs/>
                <w:color w:val="000000"/>
                <w:sz w:val="16"/>
                <w:szCs w:val="16"/>
              </w:rPr>
              <w:t>Probably favors the comparison</w:t>
            </w:r>
          </w:p>
        </w:tc>
        <w:tc>
          <w:tcPr>
            <w:tcW w:w="198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8B14D0D" w14:textId="77777777" w:rsidR="00A44FD1" w:rsidRPr="00F07060" w:rsidRDefault="00A44FD1" w:rsidP="00E350F6">
            <w:pPr>
              <w:rPr>
                <w:b/>
                <w:bCs/>
                <w:color w:val="000000"/>
                <w:sz w:val="16"/>
                <w:szCs w:val="16"/>
              </w:rPr>
            </w:pPr>
            <w:r w:rsidRPr="00F07060">
              <w:rPr>
                <w:b/>
                <w:bCs/>
                <w:color w:val="000000"/>
                <w:sz w:val="16"/>
                <w:szCs w:val="16"/>
              </w:rPr>
              <w:t>Does not favor either the intervention or the comparison</w:t>
            </w:r>
          </w:p>
        </w:tc>
        <w:tc>
          <w:tcPr>
            <w:tcW w:w="1701"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44E5EEB3" w14:textId="77777777" w:rsidR="00A44FD1" w:rsidRPr="00F07060" w:rsidRDefault="00A44FD1" w:rsidP="00E350F6">
            <w:pPr>
              <w:rPr>
                <w:b/>
                <w:bCs/>
                <w:color w:val="000000"/>
                <w:sz w:val="16"/>
                <w:szCs w:val="16"/>
              </w:rPr>
            </w:pPr>
            <w:r w:rsidRPr="00F07060">
              <w:rPr>
                <w:b/>
                <w:bCs/>
                <w:color w:val="000000"/>
                <w:sz w:val="16"/>
                <w:szCs w:val="16"/>
              </w:rPr>
              <w:t>Probably favors the intervention</w:t>
            </w:r>
          </w:p>
        </w:tc>
        <w:tc>
          <w:tcPr>
            <w:tcW w:w="1134"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4" w:type="dxa"/>
              <w:left w:w="74" w:type="dxa"/>
              <w:bottom w:w="74" w:type="dxa"/>
              <w:right w:w="74" w:type="dxa"/>
            </w:tcMar>
            <w:vAlign w:val="center"/>
            <w:hideMark/>
          </w:tcPr>
          <w:p w14:paraId="44030FFC" w14:textId="77777777" w:rsidR="00A44FD1" w:rsidRPr="00F07060" w:rsidRDefault="00A44FD1" w:rsidP="00E350F6">
            <w:pPr>
              <w:rPr>
                <w:b/>
                <w:bCs/>
                <w:color w:val="000000"/>
                <w:sz w:val="16"/>
                <w:szCs w:val="16"/>
              </w:rPr>
            </w:pPr>
            <w:r w:rsidRPr="00F07060">
              <w:rPr>
                <w:b/>
                <w:bCs/>
                <w:color w:val="000000"/>
                <w:sz w:val="16"/>
                <w:szCs w:val="16"/>
              </w:rPr>
              <w:t>Favors the intervention</w:t>
            </w:r>
          </w:p>
        </w:tc>
        <w:tc>
          <w:tcPr>
            <w:tcW w:w="992"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48910E9" w14:textId="77777777" w:rsidR="00A44FD1" w:rsidRPr="00F07060" w:rsidRDefault="00A44FD1" w:rsidP="00E350F6">
            <w:pPr>
              <w:rPr>
                <w:b/>
                <w:bCs/>
                <w:color w:val="000000"/>
                <w:sz w:val="16"/>
                <w:szCs w:val="16"/>
              </w:rPr>
            </w:pPr>
            <w:r w:rsidRPr="00F07060">
              <w:rPr>
                <w:b/>
                <w:bCs/>
                <w:color w:val="000000"/>
                <w:sz w:val="16"/>
                <w:szCs w:val="16"/>
              </w:rPr>
              <w:t>Varies</w:t>
            </w:r>
          </w:p>
        </w:tc>
        <w:tc>
          <w:tcPr>
            <w:tcW w:w="113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95A96BB" w14:textId="77777777" w:rsidR="00A44FD1" w:rsidRPr="00F07060" w:rsidRDefault="00A44FD1" w:rsidP="00E350F6">
            <w:pPr>
              <w:rPr>
                <w:b/>
                <w:bCs/>
                <w:color w:val="000000"/>
                <w:sz w:val="16"/>
                <w:szCs w:val="16"/>
              </w:rPr>
            </w:pPr>
            <w:r w:rsidRPr="00F07060">
              <w:rPr>
                <w:b/>
                <w:bCs/>
                <w:color w:val="000000"/>
                <w:sz w:val="16"/>
                <w:szCs w:val="16"/>
              </w:rPr>
              <w:t>Don't know</w:t>
            </w:r>
          </w:p>
        </w:tc>
      </w:tr>
      <w:tr w:rsidR="00A44FD1" w:rsidRPr="00F07060" w14:paraId="7167C179" w14:textId="77777777" w:rsidTr="002A55D2">
        <w:trPr>
          <w:trHeight w:val="19"/>
        </w:trPr>
        <w:tc>
          <w:tcPr>
            <w:tcW w:w="2967"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7E5716F3" w14:textId="77777777" w:rsidR="00A44FD1" w:rsidRPr="00F07060" w:rsidRDefault="00A44FD1" w:rsidP="00E350F6">
            <w:pPr>
              <w:rPr>
                <w:b/>
                <w:bCs/>
                <w:color w:val="000000"/>
                <w:sz w:val="16"/>
                <w:szCs w:val="16"/>
              </w:rPr>
            </w:pPr>
            <w:r w:rsidRPr="00F07060">
              <w:rPr>
                <w:b/>
                <w:bCs/>
                <w:color w:val="000000"/>
                <w:sz w:val="16"/>
                <w:szCs w:val="16"/>
              </w:rPr>
              <w:t>Resources required</w:t>
            </w:r>
          </w:p>
        </w:tc>
        <w:tc>
          <w:tcPr>
            <w:tcW w:w="121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E18681B" w14:textId="77777777" w:rsidR="00A44FD1" w:rsidRPr="00F07060" w:rsidRDefault="00A44FD1" w:rsidP="00E350F6">
            <w:pPr>
              <w:rPr>
                <w:b/>
                <w:bCs/>
                <w:color w:val="000000"/>
                <w:sz w:val="16"/>
                <w:szCs w:val="16"/>
              </w:rPr>
            </w:pPr>
            <w:r w:rsidRPr="00F07060">
              <w:rPr>
                <w:b/>
                <w:bCs/>
                <w:color w:val="000000"/>
                <w:sz w:val="16"/>
                <w:szCs w:val="16"/>
              </w:rPr>
              <w:t>Large costs</w:t>
            </w:r>
          </w:p>
        </w:tc>
        <w:tc>
          <w:tcPr>
            <w:tcW w:w="1842"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95EC015" w14:textId="77777777" w:rsidR="00A44FD1" w:rsidRPr="00F07060" w:rsidRDefault="00A44FD1" w:rsidP="00E350F6">
            <w:pPr>
              <w:rPr>
                <w:b/>
                <w:bCs/>
                <w:color w:val="000000"/>
                <w:sz w:val="16"/>
                <w:szCs w:val="16"/>
              </w:rPr>
            </w:pPr>
            <w:r w:rsidRPr="00F07060">
              <w:rPr>
                <w:b/>
                <w:bCs/>
                <w:color w:val="000000"/>
                <w:sz w:val="16"/>
                <w:szCs w:val="16"/>
              </w:rPr>
              <w:t>Moderate costs</w:t>
            </w:r>
          </w:p>
        </w:tc>
        <w:tc>
          <w:tcPr>
            <w:tcW w:w="1985"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2FBAB3E" w14:textId="77777777" w:rsidR="00A44FD1" w:rsidRPr="00F07060" w:rsidRDefault="00A44FD1" w:rsidP="00E350F6">
            <w:pPr>
              <w:rPr>
                <w:b/>
                <w:bCs/>
                <w:color w:val="000000"/>
                <w:sz w:val="16"/>
                <w:szCs w:val="16"/>
              </w:rPr>
            </w:pPr>
            <w:r w:rsidRPr="00F07060">
              <w:rPr>
                <w:b/>
                <w:bCs/>
                <w:color w:val="000000"/>
                <w:sz w:val="16"/>
                <w:szCs w:val="16"/>
              </w:rPr>
              <w:t>Negligible costs and savings</w:t>
            </w: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BE51330" w14:textId="77777777" w:rsidR="00A44FD1" w:rsidRPr="00F07060" w:rsidRDefault="00A44FD1" w:rsidP="00E350F6">
            <w:pPr>
              <w:rPr>
                <w:b/>
                <w:bCs/>
                <w:color w:val="000000"/>
                <w:sz w:val="16"/>
                <w:szCs w:val="16"/>
              </w:rPr>
            </w:pPr>
            <w:r w:rsidRPr="00F07060">
              <w:rPr>
                <w:b/>
                <w:bCs/>
                <w:color w:val="000000"/>
                <w:sz w:val="16"/>
                <w:szCs w:val="16"/>
              </w:rPr>
              <w:t>Moderate savings</w:t>
            </w:r>
          </w:p>
        </w:tc>
        <w:tc>
          <w:tcPr>
            <w:tcW w:w="113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E1DCB9D" w14:textId="77777777" w:rsidR="00A44FD1" w:rsidRPr="00F07060" w:rsidRDefault="00A44FD1" w:rsidP="00E350F6">
            <w:pPr>
              <w:rPr>
                <w:b/>
                <w:bCs/>
                <w:color w:val="000000"/>
                <w:sz w:val="16"/>
                <w:szCs w:val="16"/>
              </w:rPr>
            </w:pPr>
            <w:r w:rsidRPr="00F07060">
              <w:rPr>
                <w:b/>
                <w:bCs/>
                <w:color w:val="000000"/>
                <w:sz w:val="16"/>
                <w:szCs w:val="16"/>
              </w:rPr>
              <w:t>Large savings</w:t>
            </w:r>
          </w:p>
        </w:tc>
        <w:tc>
          <w:tcPr>
            <w:tcW w:w="992"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08193932" w14:textId="77777777" w:rsidR="00A44FD1" w:rsidRPr="00F07060" w:rsidRDefault="00A44FD1" w:rsidP="00E350F6">
            <w:pPr>
              <w:rPr>
                <w:b/>
                <w:bCs/>
                <w:color w:val="000000"/>
                <w:sz w:val="16"/>
                <w:szCs w:val="16"/>
              </w:rPr>
            </w:pPr>
            <w:r w:rsidRPr="00F07060">
              <w:rPr>
                <w:b/>
                <w:bCs/>
                <w:color w:val="000000"/>
                <w:sz w:val="16"/>
                <w:szCs w:val="16"/>
              </w:rPr>
              <w:t>Varies</w:t>
            </w:r>
          </w:p>
        </w:tc>
        <w:tc>
          <w:tcPr>
            <w:tcW w:w="113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AB3DE66" w14:textId="77777777" w:rsidR="00A44FD1" w:rsidRPr="00F07060" w:rsidRDefault="00A44FD1" w:rsidP="00E350F6">
            <w:pPr>
              <w:rPr>
                <w:b/>
                <w:bCs/>
                <w:color w:val="000000"/>
                <w:sz w:val="16"/>
                <w:szCs w:val="16"/>
              </w:rPr>
            </w:pPr>
            <w:r w:rsidRPr="00F07060">
              <w:rPr>
                <w:b/>
                <w:bCs/>
                <w:color w:val="000000"/>
                <w:sz w:val="16"/>
                <w:szCs w:val="16"/>
              </w:rPr>
              <w:t>Don't know</w:t>
            </w:r>
          </w:p>
        </w:tc>
      </w:tr>
      <w:tr w:rsidR="00A44FD1" w:rsidRPr="00F07060" w14:paraId="64B9FE59" w14:textId="77777777" w:rsidTr="002A55D2">
        <w:trPr>
          <w:trHeight w:val="46"/>
        </w:trPr>
        <w:tc>
          <w:tcPr>
            <w:tcW w:w="2967"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347637AB" w14:textId="77777777" w:rsidR="00A44FD1" w:rsidRPr="00F07060" w:rsidRDefault="00A44FD1" w:rsidP="00E350F6">
            <w:pPr>
              <w:rPr>
                <w:b/>
                <w:bCs/>
                <w:color w:val="000000"/>
                <w:sz w:val="16"/>
                <w:szCs w:val="16"/>
              </w:rPr>
            </w:pPr>
            <w:r w:rsidRPr="00F07060">
              <w:rPr>
                <w:b/>
                <w:bCs/>
                <w:color w:val="000000"/>
                <w:sz w:val="16"/>
                <w:szCs w:val="16"/>
              </w:rPr>
              <w:t>Certainty of evidence of required resources</w:t>
            </w:r>
          </w:p>
        </w:tc>
        <w:tc>
          <w:tcPr>
            <w:tcW w:w="121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6426693" w14:textId="77777777" w:rsidR="00A44FD1" w:rsidRPr="00F07060" w:rsidRDefault="00A44FD1" w:rsidP="00E350F6">
            <w:pPr>
              <w:rPr>
                <w:b/>
                <w:bCs/>
                <w:color w:val="000000"/>
                <w:sz w:val="16"/>
                <w:szCs w:val="16"/>
              </w:rPr>
            </w:pPr>
            <w:r w:rsidRPr="00F07060">
              <w:rPr>
                <w:b/>
                <w:bCs/>
                <w:color w:val="000000"/>
                <w:sz w:val="16"/>
                <w:szCs w:val="16"/>
              </w:rPr>
              <w:t>Very low</w:t>
            </w:r>
          </w:p>
        </w:tc>
        <w:tc>
          <w:tcPr>
            <w:tcW w:w="1842"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C65EBDF" w14:textId="77777777" w:rsidR="00A44FD1" w:rsidRPr="00F07060" w:rsidRDefault="00A44FD1" w:rsidP="00E350F6">
            <w:pPr>
              <w:rPr>
                <w:b/>
                <w:bCs/>
                <w:color w:val="000000"/>
                <w:sz w:val="16"/>
                <w:szCs w:val="16"/>
              </w:rPr>
            </w:pPr>
            <w:r w:rsidRPr="00F07060">
              <w:rPr>
                <w:b/>
                <w:bCs/>
                <w:color w:val="000000"/>
                <w:sz w:val="16"/>
                <w:szCs w:val="16"/>
              </w:rPr>
              <w:t>Low</w:t>
            </w:r>
          </w:p>
        </w:tc>
        <w:tc>
          <w:tcPr>
            <w:tcW w:w="198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D169503" w14:textId="77777777" w:rsidR="00A44FD1" w:rsidRPr="00F07060" w:rsidRDefault="00A44FD1" w:rsidP="00E350F6">
            <w:pPr>
              <w:rPr>
                <w:b/>
                <w:bCs/>
                <w:color w:val="000000"/>
                <w:sz w:val="16"/>
                <w:szCs w:val="16"/>
              </w:rPr>
            </w:pPr>
            <w:r w:rsidRPr="00F07060">
              <w:rPr>
                <w:b/>
                <w:bCs/>
                <w:color w:val="000000"/>
                <w:sz w:val="16"/>
                <w:szCs w:val="16"/>
              </w:rPr>
              <w:t>Moderate</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65F8D79" w14:textId="77777777" w:rsidR="00A44FD1" w:rsidRPr="00F07060" w:rsidRDefault="00A44FD1" w:rsidP="00E350F6">
            <w:pPr>
              <w:rPr>
                <w:b/>
                <w:bCs/>
                <w:color w:val="000000"/>
                <w:sz w:val="16"/>
                <w:szCs w:val="16"/>
              </w:rPr>
            </w:pPr>
            <w:r w:rsidRPr="00F07060">
              <w:rPr>
                <w:b/>
                <w:bCs/>
                <w:color w:val="000000"/>
                <w:sz w:val="16"/>
                <w:szCs w:val="16"/>
              </w:rPr>
              <w:t>High</w:t>
            </w:r>
          </w:p>
        </w:tc>
        <w:tc>
          <w:tcPr>
            <w:tcW w:w="113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AC33EAF" w14:textId="77777777" w:rsidR="00A44FD1" w:rsidRPr="00F07060" w:rsidRDefault="00A44FD1" w:rsidP="00E350F6">
            <w:pPr>
              <w:rPr>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F48B6B7" w14:textId="77777777" w:rsidR="00A44FD1" w:rsidRPr="00F07060" w:rsidRDefault="00A44FD1" w:rsidP="00E350F6">
            <w:pPr>
              <w:rPr>
                <w:b/>
                <w:bCs/>
                <w:color w:val="000000"/>
                <w:sz w:val="16"/>
                <w:szCs w:val="16"/>
              </w:rPr>
            </w:pPr>
          </w:p>
        </w:tc>
        <w:tc>
          <w:tcPr>
            <w:tcW w:w="1134"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7396369C" w14:textId="77777777" w:rsidR="00A44FD1" w:rsidRPr="00F07060" w:rsidRDefault="00A44FD1" w:rsidP="00E350F6">
            <w:pPr>
              <w:rPr>
                <w:b/>
                <w:bCs/>
                <w:color w:val="000000"/>
                <w:sz w:val="16"/>
                <w:szCs w:val="16"/>
              </w:rPr>
            </w:pPr>
            <w:r w:rsidRPr="00F07060">
              <w:rPr>
                <w:b/>
                <w:bCs/>
                <w:color w:val="000000"/>
                <w:sz w:val="16"/>
                <w:szCs w:val="16"/>
              </w:rPr>
              <w:t>No included studies</w:t>
            </w:r>
          </w:p>
        </w:tc>
      </w:tr>
      <w:tr w:rsidR="00A44FD1" w:rsidRPr="00F07060" w14:paraId="4CE230B9" w14:textId="77777777" w:rsidTr="002A55D2">
        <w:trPr>
          <w:trHeight w:val="366"/>
        </w:trPr>
        <w:tc>
          <w:tcPr>
            <w:tcW w:w="2967"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4E5F89F4" w14:textId="77777777" w:rsidR="00A44FD1" w:rsidRPr="00F07060" w:rsidRDefault="00A44FD1" w:rsidP="00E350F6">
            <w:pPr>
              <w:rPr>
                <w:b/>
                <w:bCs/>
                <w:color w:val="000000"/>
                <w:sz w:val="16"/>
                <w:szCs w:val="16"/>
              </w:rPr>
            </w:pPr>
            <w:r w:rsidRPr="00F07060">
              <w:rPr>
                <w:b/>
                <w:bCs/>
                <w:color w:val="000000"/>
                <w:sz w:val="16"/>
                <w:szCs w:val="16"/>
              </w:rPr>
              <w:t>Cost effectiveness</w:t>
            </w:r>
          </w:p>
        </w:tc>
        <w:tc>
          <w:tcPr>
            <w:tcW w:w="121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23C2584" w14:textId="77777777" w:rsidR="00A44FD1" w:rsidRPr="00F07060" w:rsidRDefault="00A44FD1" w:rsidP="00E350F6">
            <w:pPr>
              <w:rPr>
                <w:b/>
                <w:bCs/>
                <w:color w:val="000000"/>
                <w:sz w:val="16"/>
                <w:szCs w:val="16"/>
              </w:rPr>
            </w:pPr>
            <w:r w:rsidRPr="00F07060">
              <w:rPr>
                <w:b/>
                <w:bCs/>
                <w:color w:val="000000"/>
                <w:sz w:val="16"/>
                <w:szCs w:val="16"/>
              </w:rPr>
              <w:t>Favors the comparison</w:t>
            </w:r>
          </w:p>
        </w:tc>
        <w:tc>
          <w:tcPr>
            <w:tcW w:w="1842"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878048F" w14:textId="77777777" w:rsidR="00A44FD1" w:rsidRPr="00F07060" w:rsidRDefault="00A44FD1" w:rsidP="00E350F6">
            <w:pPr>
              <w:rPr>
                <w:b/>
                <w:bCs/>
                <w:color w:val="000000"/>
                <w:sz w:val="16"/>
                <w:szCs w:val="16"/>
              </w:rPr>
            </w:pPr>
            <w:r w:rsidRPr="00F07060">
              <w:rPr>
                <w:b/>
                <w:bCs/>
                <w:color w:val="000000"/>
                <w:sz w:val="16"/>
                <w:szCs w:val="16"/>
              </w:rPr>
              <w:t>Probably favors the comparison</w:t>
            </w:r>
          </w:p>
        </w:tc>
        <w:tc>
          <w:tcPr>
            <w:tcW w:w="1985"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F539FFD" w14:textId="77777777" w:rsidR="00A44FD1" w:rsidRPr="00F07060" w:rsidRDefault="00A44FD1" w:rsidP="00E350F6">
            <w:pPr>
              <w:rPr>
                <w:b/>
                <w:bCs/>
                <w:color w:val="000000"/>
                <w:sz w:val="16"/>
                <w:szCs w:val="16"/>
              </w:rPr>
            </w:pPr>
            <w:r w:rsidRPr="00F07060">
              <w:rPr>
                <w:b/>
                <w:bCs/>
                <w:color w:val="000000"/>
                <w:sz w:val="16"/>
                <w:szCs w:val="16"/>
              </w:rPr>
              <w:t>Does not favor either the intervention or the comparison</w:t>
            </w:r>
          </w:p>
        </w:tc>
        <w:tc>
          <w:tcPr>
            <w:tcW w:w="1701" w:type="dxa"/>
            <w:tcBorders>
              <w:top w:val="single" w:sz="8" w:space="0" w:color="FFFFFF"/>
              <w:left w:val="single" w:sz="8" w:space="0" w:color="FFFFFF"/>
              <w:bottom w:val="single" w:sz="8" w:space="0" w:color="FFFFFF"/>
              <w:right w:val="single" w:sz="8" w:space="0" w:color="FFFFFF"/>
            </w:tcBorders>
            <w:shd w:val="clear" w:color="auto" w:fill="D6DCE5"/>
            <w:tcMar>
              <w:top w:w="74" w:type="dxa"/>
              <w:left w:w="74" w:type="dxa"/>
              <w:bottom w:w="74" w:type="dxa"/>
              <w:right w:w="74" w:type="dxa"/>
            </w:tcMar>
            <w:vAlign w:val="center"/>
            <w:hideMark/>
          </w:tcPr>
          <w:p w14:paraId="562D9609" w14:textId="77777777" w:rsidR="00A44FD1" w:rsidRPr="00F07060" w:rsidRDefault="00A44FD1" w:rsidP="00E350F6">
            <w:pPr>
              <w:rPr>
                <w:b/>
                <w:bCs/>
                <w:color w:val="000000"/>
                <w:sz w:val="16"/>
                <w:szCs w:val="16"/>
              </w:rPr>
            </w:pPr>
            <w:r w:rsidRPr="00F07060">
              <w:rPr>
                <w:b/>
                <w:bCs/>
                <w:color w:val="000000"/>
                <w:sz w:val="16"/>
                <w:szCs w:val="16"/>
              </w:rPr>
              <w:t>Probably favors the intervention</w:t>
            </w:r>
          </w:p>
        </w:tc>
        <w:tc>
          <w:tcPr>
            <w:tcW w:w="113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DE1AB0A" w14:textId="77777777" w:rsidR="00A44FD1" w:rsidRPr="00F07060" w:rsidRDefault="00A44FD1" w:rsidP="00E350F6">
            <w:pPr>
              <w:rPr>
                <w:b/>
                <w:bCs/>
                <w:color w:val="000000"/>
                <w:sz w:val="16"/>
                <w:szCs w:val="16"/>
              </w:rPr>
            </w:pPr>
            <w:r w:rsidRPr="00F07060">
              <w:rPr>
                <w:b/>
                <w:bCs/>
                <w:color w:val="000000"/>
                <w:sz w:val="16"/>
                <w:szCs w:val="16"/>
              </w:rPr>
              <w:t>Favors the intervention</w:t>
            </w:r>
          </w:p>
        </w:tc>
        <w:tc>
          <w:tcPr>
            <w:tcW w:w="992"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56B7B52" w14:textId="77777777" w:rsidR="00A44FD1" w:rsidRPr="00F07060" w:rsidRDefault="00A44FD1" w:rsidP="00E350F6">
            <w:pPr>
              <w:rPr>
                <w:b/>
                <w:bCs/>
                <w:color w:val="000000"/>
                <w:sz w:val="16"/>
                <w:szCs w:val="16"/>
              </w:rPr>
            </w:pPr>
            <w:r w:rsidRPr="00F07060">
              <w:rPr>
                <w:b/>
                <w:bCs/>
                <w:color w:val="000000"/>
                <w:sz w:val="16"/>
                <w:szCs w:val="16"/>
              </w:rPr>
              <w:t>Varies</w:t>
            </w:r>
          </w:p>
        </w:tc>
        <w:tc>
          <w:tcPr>
            <w:tcW w:w="1134"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4766C6B7" w14:textId="77777777" w:rsidR="00A44FD1" w:rsidRPr="00F07060" w:rsidRDefault="00A44FD1" w:rsidP="00E350F6">
            <w:pPr>
              <w:rPr>
                <w:b/>
                <w:bCs/>
                <w:color w:val="000000"/>
                <w:sz w:val="16"/>
                <w:szCs w:val="16"/>
              </w:rPr>
            </w:pPr>
            <w:r w:rsidRPr="00F07060">
              <w:rPr>
                <w:b/>
                <w:bCs/>
                <w:color w:val="000000"/>
                <w:sz w:val="16"/>
                <w:szCs w:val="16"/>
              </w:rPr>
              <w:t>No included studies</w:t>
            </w:r>
          </w:p>
        </w:tc>
      </w:tr>
      <w:tr w:rsidR="00A44FD1" w:rsidRPr="00F07060" w14:paraId="7BBB83A7" w14:textId="77777777" w:rsidTr="002A55D2">
        <w:trPr>
          <w:trHeight w:val="64"/>
        </w:trPr>
        <w:tc>
          <w:tcPr>
            <w:tcW w:w="2967"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1C7405AC" w14:textId="77777777" w:rsidR="00A44FD1" w:rsidRPr="00F07060" w:rsidRDefault="00A44FD1" w:rsidP="00E350F6">
            <w:pPr>
              <w:rPr>
                <w:b/>
                <w:bCs/>
                <w:color w:val="000000"/>
                <w:sz w:val="16"/>
                <w:szCs w:val="16"/>
              </w:rPr>
            </w:pPr>
            <w:r w:rsidRPr="00F07060">
              <w:rPr>
                <w:b/>
                <w:bCs/>
                <w:color w:val="000000"/>
                <w:sz w:val="16"/>
                <w:szCs w:val="16"/>
              </w:rPr>
              <w:t>Equity</w:t>
            </w:r>
          </w:p>
        </w:tc>
        <w:tc>
          <w:tcPr>
            <w:tcW w:w="121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A0A5082" w14:textId="77777777" w:rsidR="00A44FD1" w:rsidRPr="00F07060" w:rsidRDefault="00A44FD1" w:rsidP="00E350F6">
            <w:pPr>
              <w:rPr>
                <w:b/>
                <w:bCs/>
                <w:color w:val="000000"/>
                <w:sz w:val="16"/>
                <w:szCs w:val="16"/>
              </w:rPr>
            </w:pPr>
            <w:r w:rsidRPr="00F07060">
              <w:rPr>
                <w:b/>
                <w:bCs/>
                <w:color w:val="000000"/>
                <w:sz w:val="16"/>
                <w:szCs w:val="16"/>
              </w:rPr>
              <w:t>Reduced</w:t>
            </w:r>
          </w:p>
        </w:tc>
        <w:tc>
          <w:tcPr>
            <w:tcW w:w="1842"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8BF4777" w14:textId="77777777" w:rsidR="00A44FD1" w:rsidRPr="00F07060" w:rsidRDefault="00A44FD1" w:rsidP="00E350F6">
            <w:pPr>
              <w:rPr>
                <w:b/>
                <w:bCs/>
                <w:color w:val="000000"/>
                <w:sz w:val="16"/>
                <w:szCs w:val="16"/>
              </w:rPr>
            </w:pPr>
            <w:r w:rsidRPr="00F07060">
              <w:rPr>
                <w:b/>
                <w:bCs/>
                <w:color w:val="000000"/>
                <w:sz w:val="16"/>
                <w:szCs w:val="16"/>
              </w:rPr>
              <w:t>Probably reduced</w:t>
            </w:r>
          </w:p>
        </w:tc>
        <w:tc>
          <w:tcPr>
            <w:tcW w:w="198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D25A1EF" w14:textId="77777777" w:rsidR="00A44FD1" w:rsidRPr="00F07060" w:rsidRDefault="00A44FD1" w:rsidP="00E350F6">
            <w:pPr>
              <w:rPr>
                <w:b/>
                <w:bCs/>
                <w:color w:val="000000"/>
                <w:sz w:val="16"/>
                <w:szCs w:val="16"/>
              </w:rPr>
            </w:pPr>
            <w:r w:rsidRPr="00F07060">
              <w:rPr>
                <w:b/>
                <w:bCs/>
                <w:color w:val="000000"/>
                <w:sz w:val="16"/>
                <w:szCs w:val="16"/>
              </w:rPr>
              <w:t>Probably no impact</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7C21168" w14:textId="77777777" w:rsidR="00A44FD1" w:rsidRPr="00F07060" w:rsidRDefault="00A44FD1" w:rsidP="00E350F6">
            <w:pPr>
              <w:rPr>
                <w:b/>
                <w:bCs/>
                <w:color w:val="000000"/>
                <w:sz w:val="16"/>
                <w:szCs w:val="16"/>
              </w:rPr>
            </w:pPr>
            <w:r w:rsidRPr="00F07060">
              <w:rPr>
                <w:b/>
                <w:bCs/>
                <w:color w:val="000000"/>
                <w:sz w:val="16"/>
                <w:szCs w:val="16"/>
              </w:rPr>
              <w:t>Probably increased</w:t>
            </w:r>
          </w:p>
        </w:tc>
        <w:tc>
          <w:tcPr>
            <w:tcW w:w="113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B22BCD6" w14:textId="77777777" w:rsidR="00A44FD1" w:rsidRPr="00F07060" w:rsidRDefault="00A44FD1" w:rsidP="00E350F6">
            <w:pPr>
              <w:rPr>
                <w:b/>
                <w:bCs/>
                <w:color w:val="000000"/>
                <w:sz w:val="16"/>
                <w:szCs w:val="16"/>
              </w:rPr>
            </w:pPr>
            <w:r w:rsidRPr="00F07060">
              <w:rPr>
                <w:b/>
                <w:bCs/>
                <w:color w:val="000000"/>
                <w:sz w:val="16"/>
                <w:szCs w:val="16"/>
              </w:rPr>
              <w:t>Increased</w:t>
            </w:r>
          </w:p>
        </w:tc>
        <w:tc>
          <w:tcPr>
            <w:tcW w:w="992"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EB359E6" w14:textId="77777777" w:rsidR="00A44FD1" w:rsidRPr="00F07060" w:rsidRDefault="00A44FD1" w:rsidP="00E350F6">
            <w:pPr>
              <w:rPr>
                <w:b/>
                <w:bCs/>
                <w:color w:val="000000"/>
                <w:sz w:val="16"/>
                <w:szCs w:val="16"/>
              </w:rPr>
            </w:pPr>
            <w:r w:rsidRPr="00F07060">
              <w:rPr>
                <w:b/>
                <w:bCs/>
                <w:color w:val="000000"/>
                <w:sz w:val="16"/>
                <w:szCs w:val="16"/>
              </w:rPr>
              <w:t>Varies</w:t>
            </w:r>
          </w:p>
        </w:tc>
        <w:tc>
          <w:tcPr>
            <w:tcW w:w="1134"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318CA5A5" w14:textId="77777777" w:rsidR="00A44FD1" w:rsidRPr="00F07060" w:rsidRDefault="00A44FD1" w:rsidP="00E350F6">
            <w:pPr>
              <w:rPr>
                <w:b/>
                <w:bCs/>
                <w:color w:val="000000"/>
                <w:sz w:val="16"/>
                <w:szCs w:val="16"/>
              </w:rPr>
            </w:pPr>
            <w:r w:rsidRPr="00F07060">
              <w:rPr>
                <w:b/>
                <w:bCs/>
                <w:color w:val="000000"/>
                <w:sz w:val="16"/>
                <w:szCs w:val="16"/>
              </w:rPr>
              <w:t>Don't know</w:t>
            </w:r>
          </w:p>
        </w:tc>
      </w:tr>
      <w:tr w:rsidR="00A44FD1" w:rsidRPr="00F07060" w14:paraId="725E8BD3" w14:textId="77777777" w:rsidTr="002A55D2">
        <w:trPr>
          <w:trHeight w:val="529"/>
        </w:trPr>
        <w:tc>
          <w:tcPr>
            <w:tcW w:w="2967"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63B6A044" w14:textId="77777777" w:rsidR="00A44FD1" w:rsidRPr="00F07060" w:rsidRDefault="00A44FD1" w:rsidP="00E350F6">
            <w:pPr>
              <w:rPr>
                <w:b/>
                <w:bCs/>
                <w:color w:val="000000"/>
                <w:sz w:val="16"/>
                <w:szCs w:val="16"/>
              </w:rPr>
            </w:pPr>
            <w:r w:rsidRPr="00F07060">
              <w:rPr>
                <w:b/>
                <w:bCs/>
                <w:color w:val="000000"/>
                <w:sz w:val="16"/>
                <w:szCs w:val="16"/>
              </w:rPr>
              <w:t>Acceptability</w:t>
            </w:r>
          </w:p>
        </w:tc>
        <w:tc>
          <w:tcPr>
            <w:tcW w:w="121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02F419E" w14:textId="77777777" w:rsidR="00A44FD1" w:rsidRPr="00F07060" w:rsidRDefault="00A44FD1" w:rsidP="00E350F6">
            <w:pPr>
              <w:rPr>
                <w:b/>
                <w:bCs/>
                <w:color w:val="000000"/>
                <w:sz w:val="16"/>
                <w:szCs w:val="16"/>
              </w:rPr>
            </w:pPr>
            <w:r w:rsidRPr="00F07060">
              <w:rPr>
                <w:b/>
                <w:bCs/>
                <w:color w:val="000000"/>
                <w:sz w:val="16"/>
                <w:szCs w:val="16"/>
              </w:rPr>
              <w:t>No</w:t>
            </w:r>
          </w:p>
        </w:tc>
        <w:tc>
          <w:tcPr>
            <w:tcW w:w="1842"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FF54055" w14:textId="77777777" w:rsidR="00A44FD1" w:rsidRPr="00F07060" w:rsidRDefault="00A44FD1" w:rsidP="00E350F6">
            <w:pPr>
              <w:rPr>
                <w:b/>
                <w:bCs/>
                <w:color w:val="000000"/>
                <w:sz w:val="16"/>
                <w:szCs w:val="16"/>
              </w:rPr>
            </w:pPr>
            <w:r w:rsidRPr="00F07060">
              <w:rPr>
                <w:b/>
                <w:bCs/>
                <w:color w:val="000000"/>
                <w:sz w:val="16"/>
                <w:szCs w:val="16"/>
              </w:rPr>
              <w:t>Probably no</w:t>
            </w:r>
          </w:p>
        </w:tc>
        <w:tc>
          <w:tcPr>
            <w:tcW w:w="1985"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5EB1F97C" w14:textId="77777777" w:rsidR="00A44FD1" w:rsidRPr="00F07060" w:rsidRDefault="00A44FD1" w:rsidP="00E350F6">
            <w:pPr>
              <w:rPr>
                <w:b/>
                <w:bCs/>
                <w:color w:val="000000"/>
                <w:sz w:val="16"/>
                <w:szCs w:val="16"/>
              </w:rPr>
            </w:pPr>
            <w:r w:rsidRPr="00F07060">
              <w:rPr>
                <w:b/>
                <w:bCs/>
                <w:color w:val="000000"/>
                <w:sz w:val="16"/>
                <w:szCs w:val="16"/>
              </w:rPr>
              <w:t>Probably yes</w:t>
            </w: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CBCE682" w14:textId="77777777" w:rsidR="00A44FD1" w:rsidRPr="00F07060" w:rsidRDefault="00A44FD1" w:rsidP="00E350F6">
            <w:pPr>
              <w:rPr>
                <w:b/>
                <w:bCs/>
                <w:color w:val="000000"/>
                <w:sz w:val="16"/>
                <w:szCs w:val="16"/>
              </w:rPr>
            </w:pPr>
            <w:r w:rsidRPr="00F07060">
              <w:rPr>
                <w:b/>
                <w:bCs/>
                <w:color w:val="000000"/>
                <w:sz w:val="16"/>
                <w:szCs w:val="16"/>
              </w:rPr>
              <w:t>Yes</w:t>
            </w:r>
          </w:p>
        </w:tc>
        <w:tc>
          <w:tcPr>
            <w:tcW w:w="113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5E3E89D" w14:textId="77777777" w:rsidR="00A44FD1" w:rsidRPr="00F07060" w:rsidRDefault="00A44FD1" w:rsidP="00E350F6">
            <w:pPr>
              <w:rPr>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35F8B5B" w14:textId="77777777" w:rsidR="00A44FD1" w:rsidRPr="00F07060" w:rsidRDefault="00A44FD1" w:rsidP="00E350F6">
            <w:pPr>
              <w:rPr>
                <w:b/>
                <w:bCs/>
                <w:color w:val="000000"/>
                <w:sz w:val="16"/>
                <w:szCs w:val="16"/>
              </w:rPr>
            </w:pPr>
            <w:r w:rsidRPr="00F07060">
              <w:rPr>
                <w:b/>
                <w:bCs/>
                <w:color w:val="000000"/>
                <w:sz w:val="16"/>
                <w:szCs w:val="16"/>
              </w:rPr>
              <w:t>Varies</w:t>
            </w:r>
          </w:p>
        </w:tc>
        <w:tc>
          <w:tcPr>
            <w:tcW w:w="113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371DE00" w14:textId="77777777" w:rsidR="00A44FD1" w:rsidRPr="00F07060" w:rsidRDefault="00A44FD1" w:rsidP="00E350F6">
            <w:pPr>
              <w:rPr>
                <w:b/>
                <w:bCs/>
                <w:color w:val="000000"/>
                <w:sz w:val="16"/>
                <w:szCs w:val="16"/>
              </w:rPr>
            </w:pPr>
            <w:r w:rsidRPr="00F07060">
              <w:rPr>
                <w:b/>
                <w:bCs/>
                <w:color w:val="000000"/>
                <w:sz w:val="16"/>
                <w:szCs w:val="16"/>
              </w:rPr>
              <w:t>Don't know</w:t>
            </w:r>
          </w:p>
        </w:tc>
      </w:tr>
      <w:tr w:rsidR="00A44FD1" w:rsidRPr="00F07060" w14:paraId="2D73C785" w14:textId="77777777" w:rsidTr="002A55D2">
        <w:trPr>
          <w:trHeight w:val="529"/>
        </w:trPr>
        <w:tc>
          <w:tcPr>
            <w:tcW w:w="2967"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30271829" w14:textId="77777777" w:rsidR="00A44FD1" w:rsidRPr="00F07060" w:rsidRDefault="00A44FD1" w:rsidP="00E350F6">
            <w:pPr>
              <w:rPr>
                <w:b/>
                <w:bCs/>
                <w:color w:val="000000"/>
                <w:sz w:val="16"/>
                <w:szCs w:val="16"/>
              </w:rPr>
            </w:pPr>
            <w:r w:rsidRPr="00F07060">
              <w:rPr>
                <w:b/>
                <w:bCs/>
                <w:color w:val="000000"/>
                <w:sz w:val="16"/>
                <w:szCs w:val="16"/>
              </w:rPr>
              <w:lastRenderedPageBreak/>
              <w:t>Feasibility</w:t>
            </w:r>
          </w:p>
        </w:tc>
        <w:tc>
          <w:tcPr>
            <w:tcW w:w="121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6D6B622" w14:textId="77777777" w:rsidR="00A44FD1" w:rsidRPr="00F07060" w:rsidRDefault="00A44FD1" w:rsidP="00E350F6">
            <w:pPr>
              <w:rPr>
                <w:b/>
                <w:bCs/>
                <w:color w:val="000000"/>
                <w:sz w:val="16"/>
                <w:szCs w:val="16"/>
              </w:rPr>
            </w:pPr>
            <w:r w:rsidRPr="00F07060">
              <w:rPr>
                <w:b/>
                <w:bCs/>
                <w:color w:val="000000"/>
                <w:sz w:val="16"/>
                <w:szCs w:val="16"/>
              </w:rPr>
              <w:t>No</w:t>
            </w:r>
          </w:p>
        </w:tc>
        <w:tc>
          <w:tcPr>
            <w:tcW w:w="1842"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6161D01" w14:textId="77777777" w:rsidR="00A44FD1" w:rsidRPr="00F07060" w:rsidRDefault="00A44FD1" w:rsidP="00E350F6">
            <w:pPr>
              <w:rPr>
                <w:b/>
                <w:bCs/>
                <w:color w:val="000000"/>
                <w:sz w:val="16"/>
                <w:szCs w:val="16"/>
              </w:rPr>
            </w:pPr>
            <w:r w:rsidRPr="00F07060">
              <w:rPr>
                <w:b/>
                <w:bCs/>
                <w:color w:val="000000"/>
                <w:sz w:val="16"/>
                <w:szCs w:val="16"/>
              </w:rPr>
              <w:t>Probably no</w:t>
            </w:r>
          </w:p>
        </w:tc>
        <w:tc>
          <w:tcPr>
            <w:tcW w:w="1985"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2963835C" w14:textId="77777777" w:rsidR="00A44FD1" w:rsidRPr="00F07060" w:rsidRDefault="00A44FD1" w:rsidP="00E350F6">
            <w:pPr>
              <w:rPr>
                <w:b/>
                <w:bCs/>
                <w:color w:val="000000"/>
                <w:sz w:val="16"/>
                <w:szCs w:val="16"/>
              </w:rPr>
            </w:pPr>
            <w:r w:rsidRPr="00F07060">
              <w:rPr>
                <w:b/>
                <w:bCs/>
                <w:color w:val="000000"/>
                <w:sz w:val="16"/>
                <w:szCs w:val="16"/>
              </w:rPr>
              <w:t>Probably yes</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9B32BA6" w14:textId="77777777" w:rsidR="00A44FD1" w:rsidRPr="00F07060" w:rsidRDefault="00A44FD1" w:rsidP="00E350F6">
            <w:pPr>
              <w:rPr>
                <w:b/>
                <w:bCs/>
                <w:color w:val="000000"/>
                <w:sz w:val="16"/>
                <w:szCs w:val="16"/>
              </w:rPr>
            </w:pPr>
            <w:r w:rsidRPr="00F07060">
              <w:rPr>
                <w:b/>
                <w:bCs/>
                <w:color w:val="000000"/>
                <w:sz w:val="16"/>
                <w:szCs w:val="16"/>
              </w:rPr>
              <w:t>Yes</w:t>
            </w:r>
          </w:p>
        </w:tc>
        <w:tc>
          <w:tcPr>
            <w:tcW w:w="113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99E673C" w14:textId="77777777" w:rsidR="00A44FD1" w:rsidRPr="00F07060" w:rsidRDefault="00A44FD1" w:rsidP="00E350F6">
            <w:pPr>
              <w:rPr>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CEB19CC" w14:textId="77777777" w:rsidR="00A44FD1" w:rsidRPr="00F07060" w:rsidRDefault="00A44FD1" w:rsidP="00E350F6">
            <w:pPr>
              <w:rPr>
                <w:b/>
                <w:bCs/>
                <w:color w:val="000000"/>
                <w:sz w:val="16"/>
                <w:szCs w:val="16"/>
              </w:rPr>
            </w:pPr>
            <w:r w:rsidRPr="00F07060">
              <w:rPr>
                <w:b/>
                <w:bCs/>
                <w:color w:val="000000"/>
                <w:sz w:val="16"/>
                <w:szCs w:val="16"/>
              </w:rPr>
              <w:t>Varies</w:t>
            </w:r>
          </w:p>
        </w:tc>
        <w:tc>
          <w:tcPr>
            <w:tcW w:w="113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2499F5F" w14:textId="77777777" w:rsidR="00A44FD1" w:rsidRPr="00F07060" w:rsidRDefault="00A44FD1" w:rsidP="00E350F6">
            <w:pPr>
              <w:rPr>
                <w:b/>
                <w:bCs/>
                <w:color w:val="000000"/>
                <w:sz w:val="16"/>
                <w:szCs w:val="16"/>
              </w:rPr>
            </w:pPr>
            <w:r w:rsidRPr="00F07060">
              <w:rPr>
                <w:b/>
                <w:bCs/>
                <w:color w:val="000000"/>
                <w:sz w:val="16"/>
                <w:szCs w:val="16"/>
              </w:rPr>
              <w:t>Don't know</w:t>
            </w:r>
          </w:p>
        </w:tc>
      </w:tr>
    </w:tbl>
    <w:p w14:paraId="4DBA0225" w14:textId="77777777" w:rsidR="00A44FD1" w:rsidRPr="00A44FD1" w:rsidRDefault="00A44FD1" w:rsidP="00A44FD1">
      <w:pPr>
        <w:rPr>
          <w:b/>
          <w:bCs/>
          <w:color w:val="000000"/>
          <w:sz w:val="20"/>
          <w:szCs w:val="20"/>
          <w:lang w:val="en"/>
        </w:rPr>
      </w:pPr>
    </w:p>
    <w:p w14:paraId="73F1348F" w14:textId="42925560" w:rsidR="00A44FD1" w:rsidRPr="002A55D2" w:rsidRDefault="00A44FD1" w:rsidP="00A44FD1">
      <w:pPr>
        <w:rPr>
          <w:b/>
          <w:sz w:val="20"/>
          <w:szCs w:val="20"/>
        </w:rPr>
      </w:pPr>
      <w:r w:rsidRPr="00A44FD1">
        <w:rPr>
          <w:b/>
          <w:bCs/>
          <w:color w:val="000000"/>
          <w:sz w:val="20"/>
          <w:szCs w:val="20"/>
          <w:lang w:val="en"/>
        </w:rPr>
        <w:t>Table S</w:t>
      </w:r>
      <w:r w:rsidR="002A55D2">
        <w:rPr>
          <w:b/>
          <w:bCs/>
          <w:color w:val="000000"/>
          <w:sz w:val="20"/>
          <w:szCs w:val="20"/>
          <w:lang w:val="en"/>
        </w:rPr>
        <w:t>15</w:t>
      </w:r>
      <w:r w:rsidRPr="00A44FD1">
        <w:rPr>
          <w:b/>
          <w:bCs/>
          <w:color w:val="000000"/>
          <w:sz w:val="20"/>
          <w:szCs w:val="20"/>
          <w:lang w:val="en"/>
        </w:rPr>
        <w:t xml:space="preserve"> </w:t>
      </w:r>
      <w:r w:rsidRPr="002A55D2">
        <w:rPr>
          <w:b/>
          <w:sz w:val="20"/>
          <w:szCs w:val="20"/>
        </w:rPr>
        <w:t xml:space="preserve">Evidence to decision table supporting recommendations for benralizumab for severe </w:t>
      </w:r>
      <w:r w:rsidR="00D03AA9" w:rsidRPr="002A55D2">
        <w:rPr>
          <w:b/>
          <w:sz w:val="20"/>
          <w:szCs w:val="20"/>
        </w:rPr>
        <w:t>allergic</w:t>
      </w:r>
      <w:r w:rsidRPr="002A55D2">
        <w:rPr>
          <w:b/>
          <w:sz w:val="20"/>
          <w:szCs w:val="20"/>
        </w:rPr>
        <w:t xml:space="preserve"> asthma in adults (lung function)</w:t>
      </w:r>
    </w:p>
    <w:p w14:paraId="077A3A1A" w14:textId="77777777" w:rsidR="00A44FD1" w:rsidRPr="00A44FD1" w:rsidRDefault="00A44FD1" w:rsidP="00A44FD1">
      <w:pPr>
        <w:pStyle w:val="ListParagraph"/>
        <w:rPr>
          <w:b/>
          <w:bCs/>
          <w:color w:val="000000"/>
          <w:sz w:val="20"/>
          <w:szCs w:val="20"/>
          <w:lang w:val="en"/>
        </w:rPr>
      </w:pPr>
    </w:p>
    <w:tbl>
      <w:tblPr>
        <w:tblW w:w="0" w:type="auto"/>
        <w:tblCellMar>
          <w:left w:w="0" w:type="dxa"/>
          <w:right w:w="0" w:type="dxa"/>
        </w:tblCellMar>
        <w:tblLook w:val="04A0" w:firstRow="1" w:lastRow="0" w:firstColumn="1" w:lastColumn="0" w:noHBand="0" w:noVBand="1"/>
      </w:tblPr>
      <w:tblGrid>
        <w:gridCol w:w="2741"/>
        <w:gridCol w:w="1203"/>
        <w:gridCol w:w="1857"/>
        <w:gridCol w:w="1802"/>
        <w:gridCol w:w="1936"/>
        <w:gridCol w:w="1262"/>
        <w:gridCol w:w="1096"/>
        <w:gridCol w:w="993"/>
      </w:tblGrid>
      <w:tr w:rsidR="00A44FD1" w:rsidRPr="00F07060" w14:paraId="4FC09134" w14:textId="77777777" w:rsidTr="002A55D2">
        <w:trPr>
          <w:trHeight w:val="529"/>
        </w:trPr>
        <w:tc>
          <w:tcPr>
            <w:tcW w:w="2741" w:type="dxa"/>
            <w:tcBorders>
              <w:top w:val="single" w:sz="8" w:space="0" w:color="FFFFFF"/>
              <w:left w:val="single" w:sz="8" w:space="0" w:color="FFFFFF"/>
              <w:bottom w:val="single" w:sz="24" w:space="0" w:color="FFFFFF"/>
              <w:right w:val="single" w:sz="8" w:space="0" w:color="FFFFFF"/>
            </w:tcBorders>
            <w:shd w:val="clear" w:color="auto" w:fill="5B9BD5"/>
            <w:tcMar>
              <w:top w:w="74" w:type="dxa"/>
              <w:left w:w="74" w:type="dxa"/>
              <w:bottom w:w="74" w:type="dxa"/>
              <w:right w:w="74" w:type="dxa"/>
            </w:tcMar>
            <w:vAlign w:val="center"/>
            <w:hideMark/>
          </w:tcPr>
          <w:p w14:paraId="7713BD80" w14:textId="77777777" w:rsidR="00A44FD1" w:rsidRPr="00F07060" w:rsidRDefault="00A44FD1" w:rsidP="00E350F6">
            <w:pPr>
              <w:rPr>
                <w:b/>
                <w:bCs/>
                <w:color w:val="000000"/>
                <w:sz w:val="16"/>
                <w:szCs w:val="16"/>
              </w:rPr>
            </w:pPr>
          </w:p>
        </w:tc>
        <w:tc>
          <w:tcPr>
            <w:tcW w:w="10149" w:type="dxa"/>
            <w:gridSpan w:val="7"/>
            <w:tcBorders>
              <w:top w:val="single" w:sz="8" w:space="0" w:color="FFFFFF"/>
              <w:left w:val="single" w:sz="8" w:space="0" w:color="FFFFFF"/>
              <w:bottom w:val="single" w:sz="24" w:space="0" w:color="FFFFFF"/>
              <w:right w:val="single" w:sz="8" w:space="0" w:color="FFFFFF"/>
            </w:tcBorders>
            <w:shd w:val="clear" w:color="auto" w:fill="5B9BD5"/>
            <w:tcMar>
              <w:top w:w="74" w:type="dxa"/>
              <w:left w:w="74" w:type="dxa"/>
              <w:bottom w:w="74" w:type="dxa"/>
              <w:right w:w="74" w:type="dxa"/>
            </w:tcMar>
            <w:vAlign w:val="center"/>
            <w:hideMark/>
          </w:tcPr>
          <w:p w14:paraId="4B59D155" w14:textId="77777777" w:rsidR="00A44FD1" w:rsidRPr="00F07060" w:rsidRDefault="00A44FD1" w:rsidP="00E350F6">
            <w:pPr>
              <w:rPr>
                <w:b/>
                <w:bCs/>
                <w:color w:val="000000"/>
                <w:sz w:val="16"/>
                <w:szCs w:val="16"/>
              </w:rPr>
            </w:pPr>
            <w:r w:rsidRPr="00F07060">
              <w:rPr>
                <w:b/>
                <w:bCs/>
                <w:color w:val="000000"/>
                <w:sz w:val="16"/>
                <w:szCs w:val="16"/>
              </w:rPr>
              <w:t>Judgement</w:t>
            </w:r>
          </w:p>
        </w:tc>
      </w:tr>
      <w:tr w:rsidR="00A44FD1" w:rsidRPr="00F07060" w14:paraId="15660B3E" w14:textId="77777777" w:rsidTr="002A55D2">
        <w:trPr>
          <w:trHeight w:val="37"/>
        </w:trPr>
        <w:tc>
          <w:tcPr>
            <w:tcW w:w="2741" w:type="dxa"/>
            <w:tcBorders>
              <w:top w:val="single" w:sz="24"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298F643D" w14:textId="77777777" w:rsidR="00A44FD1" w:rsidRPr="00F07060" w:rsidRDefault="00A44FD1" w:rsidP="00E350F6">
            <w:pPr>
              <w:rPr>
                <w:b/>
                <w:bCs/>
                <w:color w:val="000000"/>
                <w:sz w:val="16"/>
                <w:szCs w:val="16"/>
              </w:rPr>
            </w:pPr>
            <w:r w:rsidRPr="00F07060">
              <w:rPr>
                <w:b/>
                <w:bCs/>
                <w:color w:val="000000"/>
                <w:sz w:val="16"/>
                <w:szCs w:val="16"/>
              </w:rPr>
              <w:t>Problem (importance)</w:t>
            </w:r>
          </w:p>
        </w:tc>
        <w:tc>
          <w:tcPr>
            <w:tcW w:w="1203"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D0544A9" w14:textId="77777777" w:rsidR="00A44FD1" w:rsidRPr="00F07060" w:rsidRDefault="00A44FD1" w:rsidP="00E350F6">
            <w:pPr>
              <w:rPr>
                <w:b/>
                <w:bCs/>
                <w:color w:val="000000"/>
                <w:sz w:val="16"/>
                <w:szCs w:val="16"/>
              </w:rPr>
            </w:pPr>
            <w:r w:rsidRPr="00F07060">
              <w:rPr>
                <w:b/>
                <w:bCs/>
                <w:color w:val="000000"/>
                <w:sz w:val="16"/>
                <w:szCs w:val="16"/>
              </w:rPr>
              <w:t>No</w:t>
            </w:r>
          </w:p>
        </w:tc>
        <w:tc>
          <w:tcPr>
            <w:tcW w:w="1857"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E27F2B1" w14:textId="77777777" w:rsidR="00A44FD1" w:rsidRPr="00F07060" w:rsidRDefault="00A44FD1" w:rsidP="00E350F6">
            <w:pPr>
              <w:rPr>
                <w:b/>
                <w:bCs/>
                <w:color w:val="000000"/>
                <w:sz w:val="16"/>
                <w:szCs w:val="16"/>
              </w:rPr>
            </w:pPr>
            <w:r w:rsidRPr="00F07060">
              <w:rPr>
                <w:b/>
                <w:bCs/>
                <w:color w:val="000000"/>
                <w:sz w:val="16"/>
                <w:szCs w:val="16"/>
              </w:rPr>
              <w:t>Probably no</w:t>
            </w:r>
          </w:p>
        </w:tc>
        <w:tc>
          <w:tcPr>
            <w:tcW w:w="1802"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D964E55" w14:textId="77777777" w:rsidR="00A44FD1" w:rsidRPr="00F07060" w:rsidRDefault="00A44FD1" w:rsidP="00E350F6">
            <w:pPr>
              <w:rPr>
                <w:b/>
                <w:bCs/>
                <w:color w:val="000000"/>
                <w:sz w:val="16"/>
                <w:szCs w:val="16"/>
              </w:rPr>
            </w:pPr>
            <w:r w:rsidRPr="00F07060">
              <w:rPr>
                <w:b/>
                <w:bCs/>
                <w:color w:val="000000"/>
                <w:sz w:val="16"/>
                <w:szCs w:val="16"/>
              </w:rPr>
              <w:t>Probably yes</w:t>
            </w:r>
          </w:p>
        </w:tc>
        <w:tc>
          <w:tcPr>
            <w:tcW w:w="1936" w:type="dxa"/>
            <w:tcBorders>
              <w:top w:val="single" w:sz="24"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3A481182" w14:textId="77777777" w:rsidR="00A44FD1" w:rsidRPr="00F07060" w:rsidRDefault="00A44FD1" w:rsidP="00E350F6">
            <w:pPr>
              <w:rPr>
                <w:b/>
                <w:bCs/>
                <w:color w:val="000000"/>
                <w:sz w:val="16"/>
                <w:szCs w:val="16"/>
              </w:rPr>
            </w:pPr>
            <w:r w:rsidRPr="00F07060">
              <w:rPr>
                <w:b/>
                <w:bCs/>
                <w:color w:val="000000"/>
                <w:sz w:val="16"/>
                <w:szCs w:val="16"/>
              </w:rPr>
              <w:t>Yes</w:t>
            </w:r>
          </w:p>
        </w:tc>
        <w:tc>
          <w:tcPr>
            <w:tcW w:w="1262"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9D4812A" w14:textId="77777777" w:rsidR="00A44FD1" w:rsidRPr="00F07060" w:rsidRDefault="00A44FD1" w:rsidP="00E350F6">
            <w:pPr>
              <w:rPr>
                <w:b/>
                <w:bCs/>
                <w:color w:val="000000"/>
                <w:sz w:val="16"/>
                <w:szCs w:val="16"/>
              </w:rPr>
            </w:pPr>
          </w:p>
        </w:tc>
        <w:tc>
          <w:tcPr>
            <w:tcW w:w="1096"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86C1966" w14:textId="77777777" w:rsidR="00A44FD1" w:rsidRPr="00F07060" w:rsidRDefault="00A44FD1" w:rsidP="00E350F6">
            <w:pPr>
              <w:rPr>
                <w:b/>
                <w:bCs/>
                <w:color w:val="000000"/>
                <w:sz w:val="16"/>
                <w:szCs w:val="16"/>
              </w:rPr>
            </w:pPr>
            <w:r w:rsidRPr="00F07060">
              <w:rPr>
                <w:b/>
                <w:bCs/>
                <w:color w:val="000000"/>
                <w:sz w:val="16"/>
                <w:szCs w:val="16"/>
              </w:rPr>
              <w:t>Varies</w:t>
            </w:r>
          </w:p>
        </w:tc>
        <w:tc>
          <w:tcPr>
            <w:tcW w:w="993"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61742B0" w14:textId="77777777" w:rsidR="00A44FD1" w:rsidRPr="00F07060" w:rsidRDefault="00A44FD1" w:rsidP="00E350F6">
            <w:pPr>
              <w:rPr>
                <w:b/>
                <w:bCs/>
                <w:color w:val="000000"/>
                <w:sz w:val="16"/>
                <w:szCs w:val="16"/>
              </w:rPr>
            </w:pPr>
            <w:r w:rsidRPr="00F07060">
              <w:rPr>
                <w:b/>
                <w:bCs/>
                <w:color w:val="000000"/>
                <w:sz w:val="16"/>
                <w:szCs w:val="16"/>
              </w:rPr>
              <w:t>Don't know</w:t>
            </w:r>
          </w:p>
        </w:tc>
      </w:tr>
      <w:tr w:rsidR="00A44FD1" w:rsidRPr="00F07060" w14:paraId="6611A7A5" w14:textId="77777777" w:rsidTr="002A55D2">
        <w:trPr>
          <w:trHeight w:val="19"/>
        </w:trPr>
        <w:tc>
          <w:tcPr>
            <w:tcW w:w="2741"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06CA10EF" w14:textId="77777777" w:rsidR="00A44FD1" w:rsidRPr="00F07060" w:rsidRDefault="00A44FD1" w:rsidP="00E350F6">
            <w:pPr>
              <w:rPr>
                <w:b/>
                <w:bCs/>
                <w:color w:val="000000"/>
                <w:sz w:val="16"/>
                <w:szCs w:val="16"/>
              </w:rPr>
            </w:pPr>
            <w:r w:rsidRPr="00F07060">
              <w:rPr>
                <w:b/>
                <w:bCs/>
                <w:color w:val="000000"/>
                <w:sz w:val="16"/>
                <w:szCs w:val="16"/>
              </w:rPr>
              <w:t>Desirable Effects</w:t>
            </w:r>
          </w:p>
        </w:tc>
        <w:tc>
          <w:tcPr>
            <w:tcW w:w="1203"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0F85846" w14:textId="77777777" w:rsidR="00A44FD1" w:rsidRPr="00F07060" w:rsidRDefault="00A44FD1" w:rsidP="00E350F6">
            <w:pPr>
              <w:rPr>
                <w:b/>
                <w:bCs/>
                <w:color w:val="000000"/>
                <w:sz w:val="16"/>
                <w:szCs w:val="16"/>
              </w:rPr>
            </w:pPr>
            <w:r w:rsidRPr="00F07060">
              <w:rPr>
                <w:b/>
                <w:bCs/>
                <w:color w:val="000000"/>
                <w:sz w:val="16"/>
                <w:szCs w:val="16"/>
              </w:rPr>
              <w:t>Trivial</w:t>
            </w:r>
          </w:p>
        </w:tc>
        <w:tc>
          <w:tcPr>
            <w:tcW w:w="1857"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25F38CB" w14:textId="77777777" w:rsidR="00A44FD1" w:rsidRPr="00F07060" w:rsidRDefault="00A44FD1" w:rsidP="00E350F6">
            <w:pPr>
              <w:rPr>
                <w:b/>
                <w:bCs/>
                <w:color w:val="000000"/>
                <w:sz w:val="16"/>
                <w:szCs w:val="16"/>
              </w:rPr>
            </w:pPr>
            <w:r w:rsidRPr="00F07060">
              <w:rPr>
                <w:b/>
                <w:bCs/>
                <w:color w:val="000000"/>
                <w:sz w:val="16"/>
                <w:szCs w:val="16"/>
              </w:rPr>
              <w:t>Small</w:t>
            </w:r>
          </w:p>
        </w:tc>
        <w:tc>
          <w:tcPr>
            <w:tcW w:w="1802"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4" w:type="dxa"/>
              <w:left w:w="74" w:type="dxa"/>
              <w:bottom w:w="74" w:type="dxa"/>
              <w:right w:w="74" w:type="dxa"/>
            </w:tcMar>
            <w:vAlign w:val="center"/>
            <w:hideMark/>
          </w:tcPr>
          <w:p w14:paraId="3A128289" w14:textId="77777777" w:rsidR="00A44FD1" w:rsidRPr="00F07060" w:rsidRDefault="00A44FD1" w:rsidP="00E350F6">
            <w:pPr>
              <w:rPr>
                <w:b/>
                <w:bCs/>
                <w:color w:val="000000"/>
                <w:sz w:val="16"/>
                <w:szCs w:val="16"/>
              </w:rPr>
            </w:pPr>
            <w:r w:rsidRPr="00F07060">
              <w:rPr>
                <w:b/>
                <w:bCs/>
                <w:color w:val="000000"/>
                <w:sz w:val="16"/>
                <w:szCs w:val="16"/>
              </w:rPr>
              <w:t>Moderate</w:t>
            </w:r>
          </w:p>
        </w:tc>
        <w:tc>
          <w:tcPr>
            <w:tcW w:w="1936"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7326A3D9" w14:textId="77777777" w:rsidR="00A44FD1" w:rsidRPr="00F07060" w:rsidRDefault="00A44FD1" w:rsidP="00E350F6">
            <w:pPr>
              <w:rPr>
                <w:b/>
                <w:bCs/>
                <w:color w:val="000000"/>
                <w:sz w:val="16"/>
                <w:szCs w:val="16"/>
              </w:rPr>
            </w:pPr>
            <w:r w:rsidRPr="00F07060">
              <w:rPr>
                <w:b/>
                <w:bCs/>
                <w:color w:val="000000"/>
                <w:sz w:val="16"/>
                <w:szCs w:val="16"/>
              </w:rPr>
              <w:t>Large</w:t>
            </w:r>
          </w:p>
        </w:tc>
        <w:tc>
          <w:tcPr>
            <w:tcW w:w="1262"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C68B31F" w14:textId="77777777" w:rsidR="00A44FD1" w:rsidRPr="00F07060" w:rsidRDefault="00A44FD1" w:rsidP="00E350F6">
            <w:pPr>
              <w:rPr>
                <w:b/>
                <w:bCs/>
                <w:color w:val="000000"/>
                <w:sz w:val="16"/>
                <w:szCs w:val="16"/>
              </w:rPr>
            </w:pPr>
          </w:p>
        </w:tc>
        <w:tc>
          <w:tcPr>
            <w:tcW w:w="109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7AC6655" w14:textId="77777777" w:rsidR="00A44FD1" w:rsidRPr="00F07060" w:rsidRDefault="00A44FD1" w:rsidP="00E350F6">
            <w:pPr>
              <w:rPr>
                <w:b/>
                <w:bCs/>
                <w:color w:val="000000"/>
                <w:sz w:val="16"/>
                <w:szCs w:val="16"/>
              </w:rPr>
            </w:pPr>
            <w:r w:rsidRPr="00F07060">
              <w:rPr>
                <w:b/>
                <w:bCs/>
                <w:color w:val="000000"/>
                <w:sz w:val="16"/>
                <w:szCs w:val="16"/>
              </w:rPr>
              <w:t>Varies</w:t>
            </w:r>
          </w:p>
        </w:tc>
        <w:tc>
          <w:tcPr>
            <w:tcW w:w="993"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BDE9BF4" w14:textId="77777777" w:rsidR="00A44FD1" w:rsidRPr="00F07060" w:rsidRDefault="00A44FD1" w:rsidP="00E350F6">
            <w:pPr>
              <w:rPr>
                <w:b/>
                <w:bCs/>
                <w:color w:val="000000"/>
                <w:sz w:val="16"/>
                <w:szCs w:val="16"/>
              </w:rPr>
            </w:pPr>
            <w:r w:rsidRPr="00F07060">
              <w:rPr>
                <w:b/>
                <w:bCs/>
                <w:color w:val="000000"/>
                <w:sz w:val="16"/>
                <w:szCs w:val="16"/>
              </w:rPr>
              <w:t>Don't know</w:t>
            </w:r>
          </w:p>
        </w:tc>
      </w:tr>
      <w:tr w:rsidR="00A44FD1" w:rsidRPr="00F07060" w14:paraId="2C1D9454" w14:textId="77777777" w:rsidTr="002A55D2">
        <w:trPr>
          <w:trHeight w:val="32"/>
        </w:trPr>
        <w:tc>
          <w:tcPr>
            <w:tcW w:w="2741"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4E595422" w14:textId="77777777" w:rsidR="00A44FD1" w:rsidRPr="00F07060" w:rsidRDefault="00A44FD1" w:rsidP="00E350F6">
            <w:pPr>
              <w:rPr>
                <w:b/>
                <w:bCs/>
                <w:color w:val="000000"/>
                <w:sz w:val="16"/>
                <w:szCs w:val="16"/>
              </w:rPr>
            </w:pPr>
            <w:r w:rsidRPr="00F07060">
              <w:rPr>
                <w:b/>
                <w:bCs/>
                <w:color w:val="000000"/>
                <w:sz w:val="16"/>
                <w:szCs w:val="16"/>
              </w:rPr>
              <w:t>Undesirable Effects</w:t>
            </w:r>
          </w:p>
        </w:tc>
        <w:tc>
          <w:tcPr>
            <w:tcW w:w="1203"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3FD8B78" w14:textId="77777777" w:rsidR="00A44FD1" w:rsidRPr="00F07060" w:rsidRDefault="00A44FD1" w:rsidP="00E350F6">
            <w:pPr>
              <w:rPr>
                <w:b/>
                <w:bCs/>
                <w:color w:val="000000"/>
                <w:sz w:val="16"/>
                <w:szCs w:val="16"/>
              </w:rPr>
            </w:pPr>
            <w:r w:rsidRPr="00F07060">
              <w:rPr>
                <w:b/>
                <w:bCs/>
                <w:color w:val="000000"/>
                <w:sz w:val="16"/>
                <w:szCs w:val="16"/>
              </w:rPr>
              <w:t>Large</w:t>
            </w:r>
          </w:p>
        </w:tc>
        <w:tc>
          <w:tcPr>
            <w:tcW w:w="1857"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0DC62BF" w14:textId="77777777" w:rsidR="00A44FD1" w:rsidRPr="00F07060" w:rsidRDefault="00A44FD1" w:rsidP="00E350F6">
            <w:pPr>
              <w:rPr>
                <w:b/>
                <w:bCs/>
                <w:color w:val="000000"/>
                <w:sz w:val="16"/>
                <w:szCs w:val="16"/>
              </w:rPr>
            </w:pPr>
            <w:r w:rsidRPr="00F07060">
              <w:rPr>
                <w:b/>
                <w:bCs/>
                <w:color w:val="000000"/>
                <w:sz w:val="16"/>
                <w:szCs w:val="16"/>
              </w:rPr>
              <w:t>Moderate</w:t>
            </w:r>
          </w:p>
        </w:tc>
        <w:tc>
          <w:tcPr>
            <w:tcW w:w="1802"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61C4FF4B" w14:textId="77777777" w:rsidR="00A44FD1" w:rsidRPr="00F07060" w:rsidRDefault="00A44FD1" w:rsidP="00E350F6">
            <w:pPr>
              <w:rPr>
                <w:b/>
                <w:bCs/>
                <w:color w:val="000000"/>
                <w:sz w:val="16"/>
                <w:szCs w:val="16"/>
              </w:rPr>
            </w:pPr>
            <w:r w:rsidRPr="00F07060">
              <w:rPr>
                <w:b/>
                <w:bCs/>
                <w:color w:val="000000"/>
                <w:sz w:val="16"/>
                <w:szCs w:val="16"/>
              </w:rPr>
              <w:t>Small</w:t>
            </w:r>
          </w:p>
        </w:tc>
        <w:tc>
          <w:tcPr>
            <w:tcW w:w="193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D82CC24" w14:textId="77777777" w:rsidR="00A44FD1" w:rsidRPr="00F07060" w:rsidRDefault="00A44FD1" w:rsidP="00E350F6">
            <w:pPr>
              <w:rPr>
                <w:b/>
                <w:bCs/>
                <w:color w:val="000000"/>
                <w:sz w:val="16"/>
                <w:szCs w:val="16"/>
              </w:rPr>
            </w:pPr>
            <w:r w:rsidRPr="00F07060">
              <w:rPr>
                <w:b/>
                <w:bCs/>
                <w:color w:val="000000"/>
                <w:sz w:val="16"/>
                <w:szCs w:val="16"/>
              </w:rPr>
              <w:t>Trivial</w:t>
            </w:r>
          </w:p>
        </w:tc>
        <w:tc>
          <w:tcPr>
            <w:tcW w:w="1262"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DDE707E" w14:textId="77777777" w:rsidR="00A44FD1" w:rsidRPr="00F07060" w:rsidRDefault="00A44FD1" w:rsidP="00E350F6">
            <w:pPr>
              <w:rPr>
                <w:b/>
                <w:bCs/>
                <w:color w:val="000000"/>
                <w:sz w:val="16"/>
                <w:szCs w:val="16"/>
              </w:rPr>
            </w:pPr>
          </w:p>
        </w:tc>
        <w:tc>
          <w:tcPr>
            <w:tcW w:w="109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98E95CC" w14:textId="77777777" w:rsidR="00A44FD1" w:rsidRPr="00F07060" w:rsidRDefault="00A44FD1" w:rsidP="00E350F6">
            <w:pPr>
              <w:rPr>
                <w:b/>
                <w:bCs/>
                <w:color w:val="000000"/>
                <w:sz w:val="16"/>
                <w:szCs w:val="16"/>
              </w:rPr>
            </w:pPr>
            <w:r w:rsidRPr="00F07060">
              <w:rPr>
                <w:b/>
                <w:bCs/>
                <w:color w:val="000000"/>
                <w:sz w:val="16"/>
                <w:szCs w:val="16"/>
              </w:rPr>
              <w:t>Varies</w:t>
            </w:r>
          </w:p>
        </w:tc>
        <w:tc>
          <w:tcPr>
            <w:tcW w:w="993"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E158F0C" w14:textId="77777777" w:rsidR="00A44FD1" w:rsidRPr="00F07060" w:rsidRDefault="00A44FD1" w:rsidP="00E350F6">
            <w:pPr>
              <w:rPr>
                <w:b/>
                <w:bCs/>
                <w:color w:val="000000"/>
                <w:sz w:val="16"/>
                <w:szCs w:val="16"/>
              </w:rPr>
            </w:pPr>
            <w:r w:rsidRPr="00F07060">
              <w:rPr>
                <w:b/>
                <w:bCs/>
                <w:color w:val="000000"/>
                <w:sz w:val="16"/>
                <w:szCs w:val="16"/>
              </w:rPr>
              <w:t>Don't know</w:t>
            </w:r>
          </w:p>
        </w:tc>
      </w:tr>
      <w:tr w:rsidR="00A44FD1" w:rsidRPr="00F07060" w14:paraId="072A96AF" w14:textId="77777777" w:rsidTr="002A55D2">
        <w:trPr>
          <w:trHeight w:val="19"/>
        </w:trPr>
        <w:tc>
          <w:tcPr>
            <w:tcW w:w="2741"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05D0339C" w14:textId="77777777" w:rsidR="00A44FD1" w:rsidRPr="00F07060" w:rsidRDefault="00A44FD1" w:rsidP="00E350F6">
            <w:pPr>
              <w:rPr>
                <w:b/>
                <w:bCs/>
                <w:color w:val="000000"/>
                <w:sz w:val="16"/>
                <w:szCs w:val="16"/>
              </w:rPr>
            </w:pPr>
            <w:r w:rsidRPr="00F07060">
              <w:rPr>
                <w:b/>
                <w:bCs/>
                <w:color w:val="000000"/>
                <w:sz w:val="16"/>
                <w:szCs w:val="16"/>
              </w:rPr>
              <w:t>Certainty of evidence</w:t>
            </w:r>
          </w:p>
        </w:tc>
        <w:tc>
          <w:tcPr>
            <w:tcW w:w="1203"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F589A07" w14:textId="77777777" w:rsidR="00A44FD1" w:rsidRPr="00F07060" w:rsidRDefault="00A44FD1" w:rsidP="00E350F6">
            <w:pPr>
              <w:rPr>
                <w:b/>
                <w:bCs/>
                <w:color w:val="000000"/>
                <w:sz w:val="16"/>
                <w:szCs w:val="16"/>
              </w:rPr>
            </w:pPr>
            <w:r w:rsidRPr="00F07060">
              <w:rPr>
                <w:b/>
                <w:bCs/>
                <w:color w:val="000000"/>
                <w:sz w:val="16"/>
                <w:szCs w:val="16"/>
              </w:rPr>
              <w:t>Very low</w:t>
            </w:r>
          </w:p>
        </w:tc>
        <w:tc>
          <w:tcPr>
            <w:tcW w:w="1857"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519B46B" w14:textId="77777777" w:rsidR="00A44FD1" w:rsidRPr="00F07060" w:rsidRDefault="00A44FD1" w:rsidP="00E350F6">
            <w:pPr>
              <w:rPr>
                <w:b/>
                <w:bCs/>
                <w:color w:val="000000"/>
                <w:sz w:val="16"/>
                <w:szCs w:val="16"/>
              </w:rPr>
            </w:pPr>
            <w:r w:rsidRPr="00F07060">
              <w:rPr>
                <w:b/>
                <w:bCs/>
                <w:color w:val="000000"/>
                <w:sz w:val="16"/>
                <w:szCs w:val="16"/>
              </w:rPr>
              <w:t>Low</w:t>
            </w:r>
          </w:p>
        </w:tc>
        <w:tc>
          <w:tcPr>
            <w:tcW w:w="1802"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662B3759" w14:textId="77777777" w:rsidR="00A44FD1" w:rsidRPr="00F07060" w:rsidRDefault="00A44FD1" w:rsidP="00E350F6">
            <w:pPr>
              <w:rPr>
                <w:b/>
                <w:bCs/>
                <w:color w:val="000000"/>
                <w:sz w:val="16"/>
                <w:szCs w:val="16"/>
              </w:rPr>
            </w:pPr>
            <w:r w:rsidRPr="00F07060">
              <w:rPr>
                <w:b/>
                <w:bCs/>
                <w:color w:val="000000"/>
                <w:sz w:val="16"/>
                <w:szCs w:val="16"/>
              </w:rPr>
              <w:t>Moderate</w:t>
            </w:r>
          </w:p>
        </w:tc>
        <w:tc>
          <w:tcPr>
            <w:tcW w:w="193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4" w:type="dxa"/>
              <w:left w:w="74" w:type="dxa"/>
              <w:bottom w:w="74" w:type="dxa"/>
              <w:right w:w="74" w:type="dxa"/>
            </w:tcMar>
            <w:vAlign w:val="center"/>
            <w:hideMark/>
          </w:tcPr>
          <w:p w14:paraId="22F7404E" w14:textId="77777777" w:rsidR="00A44FD1" w:rsidRPr="00F07060" w:rsidRDefault="00A44FD1" w:rsidP="00E350F6">
            <w:pPr>
              <w:rPr>
                <w:b/>
                <w:bCs/>
                <w:color w:val="000000"/>
                <w:sz w:val="16"/>
                <w:szCs w:val="16"/>
              </w:rPr>
            </w:pPr>
            <w:r w:rsidRPr="00F07060">
              <w:rPr>
                <w:b/>
                <w:bCs/>
                <w:color w:val="000000"/>
                <w:sz w:val="16"/>
                <w:szCs w:val="16"/>
              </w:rPr>
              <w:t>High</w:t>
            </w:r>
          </w:p>
        </w:tc>
        <w:tc>
          <w:tcPr>
            <w:tcW w:w="1262"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26AA431" w14:textId="77777777" w:rsidR="00A44FD1" w:rsidRPr="00F07060" w:rsidRDefault="00A44FD1" w:rsidP="00E350F6">
            <w:pPr>
              <w:rPr>
                <w:b/>
                <w:bCs/>
                <w:color w:val="000000"/>
                <w:sz w:val="16"/>
                <w:szCs w:val="16"/>
              </w:rPr>
            </w:pPr>
          </w:p>
        </w:tc>
        <w:tc>
          <w:tcPr>
            <w:tcW w:w="109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0299396" w14:textId="77777777" w:rsidR="00A44FD1" w:rsidRPr="00F07060" w:rsidRDefault="00A44FD1" w:rsidP="00E350F6">
            <w:pPr>
              <w:rPr>
                <w:b/>
                <w:bCs/>
                <w:color w:val="000000"/>
                <w:sz w:val="16"/>
                <w:szCs w:val="16"/>
              </w:rPr>
            </w:pPr>
          </w:p>
        </w:tc>
        <w:tc>
          <w:tcPr>
            <w:tcW w:w="993"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60FCCA4" w14:textId="77777777" w:rsidR="00A44FD1" w:rsidRPr="00F07060" w:rsidRDefault="00A44FD1" w:rsidP="00E350F6">
            <w:pPr>
              <w:rPr>
                <w:b/>
                <w:bCs/>
                <w:color w:val="000000"/>
                <w:sz w:val="16"/>
                <w:szCs w:val="16"/>
              </w:rPr>
            </w:pPr>
            <w:r w:rsidRPr="00F07060">
              <w:rPr>
                <w:b/>
                <w:bCs/>
                <w:color w:val="000000"/>
                <w:sz w:val="16"/>
                <w:szCs w:val="16"/>
              </w:rPr>
              <w:t>No included studies</w:t>
            </w:r>
          </w:p>
        </w:tc>
      </w:tr>
      <w:tr w:rsidR="00A44FD1" w:rsidRPr="00F07060" w14:paraId="054C5613" w14:textId="77777777" w:rsidTr="002A55D2">
        <w:trPr>
          <w:trHeight w:val="271"/>
        </w:trPr>
        <w:tc>
          <w:tcPr>
            <w:tcW w:w="2741"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07E368A8" w14:textId="77777777" w:rsidR="00A44FD1" w:rsidRPr="00F07060" w:rsidRDefault="00A44FD1" w:rsidP="00E350F6">
            <w:pPr>
              <w:rPr>
                <w:b/>
                <w:bCs/>
                <w:color w:val="000000"/>
                <w:sz w:val="16"/>
                <w:szCs w:val="16"/>
              </w:rPr>
            </w:pPr>
            <w:r w:rsidRPr="00F07060">
              <w:rPr>
                <w:b/>
                <w:bCs/>
                <w:color w:val="000000"/>
                <w:sz w:val="16"/>
                <w:szCs w:val="16"/>
              </w:rPr>
              <w:t>Values</w:t>
            </w:r>
          </w:p>
        </w:tc>
        <w:tc>
          <w:tcPr>
            <w:tcW w:w="1203"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A32A789" w14:textId="77777777" w:rsidR="00A44FD1" w:rsidRPr="00F07060" w:rsidRDefault="00A44FD1" w:rsidP="00E350F6">
            <w:pPr>
              <w:rPr>
                <w:b/>
                <w:bCs/>
                <w:color w:val="000000"/>
                <w:sz w:val="16"/>
                <w:szCs w:val="16"/>
              </w:rPr>
            </w:pPr>
            <w:r w:rsidRPr="00F07060">
              <w:rPr>
                <w:b/>
                <w:bCs/>
                <w:color w:val="000000"/>
                <w:sz w:val="16"/>
                <w:szCs w:val="16"/>
              </w:rPr>
              <w:t>Important uncertainty or variability</w:t>
            </w:r>
          </w:p>
        </w:tc>
        <w:tc>
          <w:tcPr>
            <w:tcW w:w="1857"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451F694" w14:textId="77777777" w:rsidR="00A44FD1" w:rsidRPr="00F07060" w:rsidRDefault="00A44FD1" w:rsidP="00E350F6">
            <w:pPr>
              <w:rPr>
                <w:b/>
                <w:bCs/>
                <w:color w:val="000000"/>
                <w:sz w:val="16"/>
                <w:szCs w:val="16"/>
              </w:rPr>
            </w:pPr>
            <w:r w:rsidRPr="00F07060">
              <w:rPr>
                <w:b/>
                <w:bCs/>
                <w:color w:val="000000"/>
                <w:sz w:val="16"/>
                <w:szCs w:val="16"/>
              </w:rPr>
              <w:t>Possibly important uncertainty or variability</w:t>
            </w:r>
          </w:p>
        </w:tc>
        <w:tc>
          <w:tcPr>
            <w:tcW w:w="1802"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76D745E" w14:textId="77777777" w:rsidR="00A44FD1" w:rsidRPr="00F07060" w:rsidRDefault="00A44FD1" w:rsidP="00E350F6">
            <w:pPr>
              <w:rPr>
                <w:b/>
                <w:bCs/>
                <w:color w:val="000000"/>
                <w:sz w:val="16"/>
                <w:szCs w:val="16"/>
              </w:rPr>
            </w:pPr>
            <w:r w:rsidRPr="00F07060">
              <w:rPr>
                <w:b/>
                <w:bCs/>
                <w:color w:val="000000"/>
                <w:sz w:val="16"/>
                <w:szCs w:val="16"/>
              </w:rPr>
              <w:t>Probably no important uncertainty or variability</w:t>
            </w:r>
          </w:p>
        </w:tc>
        <w:tc>
          <w:tcPr>
            <w:tcW w:w="1936"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5D160380" w14:textId="77777777" w:rsidR="00A44FD1" w:rsidRPr="00F07060" w:rsidRDefault="00A44FD1" w:rsidP="00E350F6">
            <w:pPr>
              <w:rPr>
                <w:b/>
                <w:bCs/>
                <w:color w:val="000000"/>
                <w:sz w:val="16"/>
                <w:szCs w:val="16"/>
              </w:rPr>
            </w:pPr>
            <w:r w:rsidRPr="00F07060">
              <w:rPr>
                <w:b/>
                <w:bCs/>
                <w:color w:val="000000"/>
                <w:sz w:val="16"/>
                <w:szCs w:val="16"/>
              </w:rPr>
              <w:t>no important uncertainty or variability</w:t>
            </w:r>
          </w:p>
        </w:tc>
        <w:tc>
          <w:tcPr>
            <w:tcW w:w="1262"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0913F09" w14:textId="77777777" w:rsidR="00A44FD1" w:rsidRPr="00F07060" w:rsidRDefault="00A44FD1" w:rsidP="00E350F6">
            <w:pPr>
              <w:rPr>
                <w:b/>
                <w:bCs/>
                <w:color w:val="000000"/>
                <w:sz w:val="16"/>
                <w:szCs w:val="16"/>
              </w:rPr>
            </w:pPr>
          </w:p>
        </w:tc>
        <w:tc>
          <w:tcPr>
            <w:tcW w:w="109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F2C0792" w14:textId="77777777" w:rsidR="00A44FD1" w:rsidRPr="00F07060" w:rsidRDefault="00A44FD1" w:rsidP="00E350F6">
            <w:pPr>
              <w:rPr>
                <w:b/>
                <w:bCs/>
                <w:color w:val="000000"/>
                <w:sz w:val="16"/>
                <w:szCs w:val="16"/>
              </w:rPr>
            </w:pPr>
          </w:p>
        </w:tc>
        <w:tc>
          <w:tcPr>
            <w:tcW w:w="993"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72B5AEE" w14:textId="77777777" w:rsidR="00A44FD1" w:rsidRPr="00F07060" w:rsidRDefault="00A44FD1" w:rsidP="00E350F6">
            <w:pPr>
              <w:rPr>
                <w:b/>
                <w:bCs/>
                <w:color w:val="000000"/>
                <w:sz w:val="16"/>
                <w:szCs w:val="16"/>
              </w:rPr>
            </w:pPr>
          </w:p>
        </w:tc>
      </w:tr>
      <w:tr w:rsidR="00A44FD1" w:rsidRPr="00F07060" w14:paraId="1CAC39DA" w14:textId="77777777" w:rsidTr="002A55D2">
        <w:trPr>
          <w:trHeight w:val="19"/>
        </w:trPr>
        <w:tc>
          <w:tcPr>
            <w:tcW w:w="2741"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5C8EC2CF" w14:textId="77777777" w:rsidR="00A44FD1" w:rsidRPr="00F07060" w:rsidRDefault="00A44FD1" w:rsidP="00E350F6">
            <w:pPr>
              <w:rPr>
                <w:b/>
                <w:bCs/>
                <w:color w:val="000000"/>
                <w:sz w:val="16"/>
                <w:szCs w:val="16"/>
              </w:rPr>
            </w:pPr>
            <w:r w:rsidRPr="00F07060">
              <w:rPr>
                <w:b/>
                <w:bCs/>
                <w:color w:val="000000"/>
                <w:sz w:val="16"/>
                <w:szCs w:val="16"/>
              </w:rPr>
              <w:t>Balance of effects</w:t>
            </w:r>
          </w:p>
        </w:tc>
        <w:tc>
          <w:tcPr>
            <w:tcW w:w="1203"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BD469F8" w14:textId="77777777" w:rsidR="00A44FD1" w:rsidRPr="00F07060" w:rsidRDefault="00A44FD1" w:rsidP="00E350F6">
            <w:pPr>
              <w:rPr>
                <w:b/>
                <w:bCs/>
                <w:color w:val="000000"/>
                <w:sz w:val="16"/>
                <w:szCs w:val="16"/>
              </w:rPr>
            </w:pPr>
            <w:r w:rsidRPr="00F07060">
              <w:rPr>
                <w:b/>
                <w:bCs/>
                <w:color w:val="000000"/>
                <w:sz w:val="16"/>
                <w:szCs w:val="16"/>
              </w:rPr>
              <w:t>Favors the comparison</w:t>
            </w:r>
          </w:p>
        </w:tc>
        <w:tc>
          <w:tcPr>
            <w:tcW w:w="1857"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EF24914" w14:textId="77777777" w:rsidR="00A44FD1" w:rsidRPr="00F07060" w:rsidRDefault="00A44FD1" w:rsidP="00E350F6">
            <w:pPr>
              <w:rPr>
                <w:b/>
                <w:bCs/>
                <w:color w:val="000000"/>
                <w:sz w:val="16"/>
                <w:szCs w:val="16"/>
              </w:rPr>
            </w:pPr>
            <w:r w:rsidRPr="00F07060">
              <w:rPr>
                <w:b/>
                <w:bCs/>
                <w:color w:val="000000"/>
                <w:sz w:val="16"/>
                <w:szCs w:val="16"/>
              </w:rPr>
              <w:t>Probably favors the comparison</w:t>
            </w:r>
          </w:p>
        </w:tc>
        <w:tc>
          <w:tcPr>
            <w:tcW w:w="1802"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FEA5304" w14:textId="77777777" w:rsidR="00A44FD1" w:rsidRPr="00F07060" w:rsidRDefault="00A44FD1" w:rsidP="00E350F6">
            <w:pPr>
              <w:rPr>
                <w:b/>
                <w:bCs/>
                <w:color w:val="000000"/>
                <w:sz w:val="16"/>
                <w:szCs w:val="16"/>
              </w:rPr>
            </w:pPr>
            <w:r w:rsidRPr="00F07060">
              <w:rPr>
                <w:b/>
                <w:bCs/>
                <w:color w:val="000000"/>
                <w:sz w:val="16"/>
                <w:szCs w:val="16"/>
              </w:rPr>
              <w:t>Does not favor either the intervention or the comparison</w:t>
            </w:r>
          </w:p>
        </w:tc>
        <w:tc>
          <w:tcPr>
            <w:tcW w:w="1936"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1B7F96A0" w14:textId="77777777" w:rsidR="00A44FD1" w:rsidRPr="00F07060" w:rsidRDefault="00A44FD1" w:rsidP="00E350F6">
            <w:pPr>
              <w:rPr>
                <w:b/>
                <w:bCs/>
                <w:color w:val="000000"/>
                <w:sz w:val="16"/>
                <w:szCs w:val="16"/>
              </w:rPr>
            </w:pPr>
            <w:r w:rsidRPr="00F07060">
              <w:rPr>
                <w:b/>
                <w:bCs/>
                <w:color w:val="000000"/>
                <w:sz w:val="16"/>
                <w:szCs w:val="16"/>
              </w:rPr>
              <w:t>Probably favors the intervention</w:t>
            </w:r>
          </w:p>
        </w:tc>
        <w:tc>
          <w:tcPr>
            <w:tcW w:w="1262"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4" w:type="dxa"/>
              <w:left w:w="74" w:type="dxa"/>
              <w:bottom w:w="74" w:type="dxa"/>
              <w:right w:w="74" w:type="dxa"/>
            </w:tcMar>
            <w:vAlign w:val="center"/>
            <w:hideMark/>
          </w:tcPr>
          <w:p w14:paraId="08C22742" w14:textId="77777777" w:rsidR="00A44FD1" w:rsidRPr="00F07060" w:rsidRDefault="00A44FD1" w:rsidP="00E350F6">
            <w:pPr>
              <w:rPr>
                <w:b/>
                <w:bCs/>
                <w:color w:val="000000"/>
                <w:sz w:val="16"/>
                <w:szCs w:val="16"/>
              </w:rPr>
            </w:pPr>
            <w:r w:rsidRPr="00F07060">
              <w:rPr>
                <w:b/>
                <w:bCs/>
                <w:color w:val="000000"/>
                <w:sz w:val="16"/>
                <w:szCs w:val="16"/>
              </w:rPr>
              <w:t>Favors the intervention</w:t>
            </w:r>
          </w:p>
        </w:tc>
        <w:tc>
          <w:tcPr>
            <w:tcW w:w="109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B68CC1F" w14:textId="77777777" w:rsidR="00A44FD1" w:rsidRPr="00F07060" w:rsidRDefault="00A44FD1" w:rsidP="00E350F6">
            <w:pPr>
              <w:rPr>
                <w:b/>
                <w:bCs/>
                <w:color w:val="000000"/>
                <w:sz w:val="16"/>
                <w:szCs w:val="16"/>
              </w:rPr>
            </w:pPr>
            <w:r w:rsidRPr="00F07060">
              <w:rPr>
                <w:b/>
                <w:bCs/>
                <w:color w:val="000000"/>
                <w:sz w:val="16"/>
                <w:szCs w:val="16"/>
              </w:rPr>
              <w:t>Varies</w:t>
            </w:r>
          </w:p>
        </w:tc>
        <w:tc>
          <w:tcPr>
            <w:tcW w:w="993"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E6B7D22" w14:textId="77777777" w:rsidR="00A44FD1" w:rsidRPr="00F07060" w:rsidRDefault="00A44FD1" w:rsidP="00E350F6">
            <w:pPr>
              <w:rPr>
                <w:b/>
                <w:bCs/>
                <w:color w:val="000000"/>
                <w:sz w:val="16"/>
                <w:szCs w:val="16"/>
              </w:rPr>
            </w:pPr>
            <w:r w:rsidRPr="00F07060">
              <w:rPr>
                <w:b/>
                <w:bCs/>
                <w:color w:val="000000"/>
                <w:sz w:val="16"/>
                <w:szCs w:val="16"/>
              </w:rPr>
              <w:t>Don't know</w:t>
            </w:r>
          </w:p>
        </w:tc>
      </w:tr>
      <w:tr w:rsidR="00A44FD1" w:rsidRPr="00F07060" w14:paraId="6B80D43F" w14:textId="77777777" w:rsidTr="002A55D2">
        <w:trPr>
          <w:trHeight w:val="19"/>
        </w:trPr>
        <w:tc>
          <w:tcPr>
            <w:tcW w:w="2741"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16341207" w14:textId="77777777" w:rsidR="00A44FD1" w:rsidRPr="00F07060" w:rsidRDefault="00A44FD1" w:rsidP="00E350F6">
            <w:pPr>
              <w:rPr>
                <w:b/>
                <w:bCs/>
                <w:color w:val="000000"/>
                <w:sz w:val="16"/>
                <w:szCs w:val="16"/>
              </w:rPr>
            </w:pPr>
            <w:r w:rsidRPr="00F07060">
              <w:rPr>
                <w:b/>
                <w:bCs/>
                <w:color w:val="000000"/>
                <w:sz w:val="16"/>
                <w:szCs w:val="16"/>
              </w:rPr>
              <w:t>Resources required</w:t>
            </w:r>
          </w:p>
        </w:tc>
        <w:tc>
          <w:tcPr>
            <w:tcW w:w="1203"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6A44200" w14:textId="77777777" w:rsidR="00A44FD1" w:rsidRPr="00F07060" w:rsidRDefault="00A44FD1" w:rsidP="00E350F6">
            <w:pPr>
              <w:rPr>
                <w:b/>
                <w:bCs/>
                <w:color w:val="000000"/>
                <w:sz w:val="16"/>
                <w:szCs w:val="16"/>
              </w:rPr>
            </w:pPr>
            <w:r w:rsidRPr="00F07060">
              <w:rPr>
                <w:b/>
                <w:bCs/>
                <w:color w:val="000000"/>
                <w:sz w:val="16"/>
                <w:szCs w:val="16"/>
              </w:rPr>
              <w:t>Large costs</w:t>
            </w:r>
          </w:p>
        </w:tc>
        <w:tc>
          <w:tcPr>
            <w:tcW w:w="1857"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684E153" w14:textId="77777777" w:rsidR="00A44FD1" w:rsidRPr="00F07060" w:rsidRDefault="00A44FD1" w:rsidP="00E350F6">
            <w:pPr>
              <w:rPr>
                <w:b/>
                <w:bCs/>
                <w:color w:val="000000"/>
                <w:sz w:val="16"/>
                <w:szCs w:val="16"/>
              </w:rPr>
            </w:pPr>
            <w:r w:rsidRPr="00F07060">
              <w:rPr>
                <w:b/>
                <w:bCs/>
                <w:color w:val="000000"/>
                <w:sz w:val="16"/>
                <w:szCs w:val="16"/>
              </w:rPr>
              <w:t>Moderate costs</w:t>
            </w:r>
          </w:p>
        </w:tc>
        <w:tc>
          <w:tcPr>
            <w:tcW w:w="1802"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2C5197F" w14:textId="77777777" w:rsidR="00A44FD1" w:rsidRPr="00F07060" w:rsidRDefault="00A44FD1" w:rsidP="00E350F6">
            <w:pPr>
              <w:rPr>
                <w:b/>
                <w:bCs/>
                <w:color w:val="000000"/>
                <w:sz w:val="16"/>
                <w:szCs w:val="16"/>
              </w:rPr>
            </w:pPr>
            <w:r w:rsidRPr="00F07060">
              <w:rPr>
                <w:b/>
                <w:bCs/>
                <w:color w:val="000000"/>
                <w:sz w:val="16"/>
                <w:szCs w:val="16"/>
              </w:rPr>
              <w:t>Negligible costs and savings</w:t>
            </w:r>
          </w:p>
        </w:tc>
        <w:tc>
          <w:tcPr>
            <w:tcW w:w="193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E701001" w14:textId="77777777" w:rsidR="00A44FD1" w:rsidRPr="00F07060" w:rsidRDefault="00A44FD1" w:rsidP="00E350F6">
            <w:pPr>
              <w:rPr>
                <w:b/>
                <w:bCs/>
                <w:color w:val="000000"/>
                <w:sz w:val="16"/>
                <w:szCs w:val="16"/>
              </w:rPr>
            </w:pPr>
            <w:r w:rsidRPr="00F07060">
              <w:rPr>
                <w:b/>
                <w:bCs/>
                <w:color w:val="000000"/>
                <w:sz w:val="16"/>
                <w:szCs w:val="16"/>
              </w:rPr>
              <w:t>Moderate savings</w:t>
            </w:r>
          </w:p>
        </w:tc>
        <w:tc>
          <w:tcPr>
            <w:tcW w:w="1262"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C22BB5E" w14:textId="77777777" w:rsidR="00A44FD1" w:rsidRPr="00F07060" w:rsidRDefault="00A44FD1" w:rsidP="00E350F6">
            <w:pPr>
              <w:rPr>
                <w:b/>
                <w:bCs/>
                <w:color w:val="000000"/>
                <w:sz w:val="16"/>
                <w:szCs w:val="16"/>
              </w:rPr>
            </w:pPr>
            <w:r w:rsidRPr="00F07060">
              <w:rPr>
                <w:b/>
                <w:bCs/>
                <w:color w:val="000000"/>
                <w:sz w:val="16"/>
                <w:szCs w:val="16"/>
              </w:rPr>
              <w:t>Large savings</w:t>
            </w:r>
          </w:p>
        </w:tc>
        <w:tc>
          <w:tcPr>
            <w:tcW w:w="1096"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5B7B1084" w14:textId="77777777" w:rsidR="00A44FD1" w:rsidRPr="00F07060" w:rsidRDefault="00A44FD1" w:rsidP="00E350F6">
            <w:pPr>
              <w:rPr>
                <w:b/>
                <w:bCs/>
                <w:color w:val="000000"/>
                <w:sz w:val="16"/>
                <w:szCs w:val="16"/>
              </w:rPr>
            </w:pPr>
            <w:r w:rsidRPr="00F07060">
              <w:rPr>
                <w:b/>
                <w:bCs/>
                <w:color w:val="000000"/>
                <w:sz w:val="16"/>
                <w:szCs w:val="16"/>
              </w:rPr>
              <w:t>Varies</w:t>
            </w:r>
          </w:p>
        </w:tc>
        <w:tc>
          <w:tcPr>
            <w:tcW w:w="993"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B356C1A" w14:textId="77777777" w:rsidR="00A44FD1" w:rsidRPr="00F07060" w:rsidRDefault="00A44FD1" w:rsidP="00E350F6">
            <w:pPr>
              <w:rPr>
                <w:b/>
                <w:bCs/>
                <w:color w:val="000000"/>
                <w:sz w:val="16"/>
                <w:szCs w:val="16"/>
              </w:rPr>
            </w:pPr>
            <w:r w:rsidRPr="00F07060">
              <w:rPr>
                <w:b/>
                <w:bCs/>
                <w:color w:val="000000"/>
                <w:sz w:val="16"/>
                <w:szCs w:val="16"/>
              </w:rPr>
              <w:t>Don't know</w:t>
            </w:r>
          </w:p>
        </w:tc>
      </w:tr>
      <w:tr w:rsidR="00A44FD1" w:rsidRPr="00F07060" w14:paraId="15EBE88F" w14:textId="77777777" w:rsidTr="002A55D2">
        <w:trPr>
          <w:trHeight w:val="19"/>
        </w:trPr>
        <w:tc>
          <w:tcPr>
            <w:tcW w:w="2741"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485B5492" w14:textId="77777777" w:rsidR="00A44FD1" w:rsidRPr="00F07060" w:rsidRDefault="00A44FD1" w:rsidP="00E350F6">
            <w:pPr>
              <w:rPr>
                <w:b/>
                <w:bCs/>
                <w:color w:val="000000"/>
                <w:sz w:val="16"/>
                <w:szCs w:val="16"/>
              </w:rPr>
            </w:pPr>
            <w:r w:rsidRPr="00F07060">
              <w:rPr>
                <w:b/>
                <w:bCs/>
                <w:color w:val="000000"/>
                <w:sz w:val="16"/>
                <w:szCs w:val="16"/>
              </w:rPr>
              <w:t>Certainty of evidence of required resources</w:t>
            </w:r>
          </w:p>
        </w:tc>
        <w:tc>
          <w:tcPr>
            <w:tcW w:w="1203"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2C83D3A" w14:textId="77777777" w:rsidR="00A44FD1" w:rsidRPr="00F07060" w:rsidRDefault="00A44FD1" w:rsidP="00E350F6">
            <w:pPr>
              <w:rPr>
                <w:b/>
                <w:bCs/>
                <w:color w:val="000000"/>
                <w:sz w:val="16"/>
                <w:szCs w:val="16"/>
              </w:rPr>
            </w:pPr>
            <w:r w:rsidRPr="00F07060">
              <w:rPr>
                <w:b/>
                <w:bCs/>
                <w:color w:val="000000"/>
                <w:sz w:val="16"/>
                <w:szCs w:val="16"/>
              </w:rPr>
              <w:t>Very low</w:t>
            </w:r>
          </w:p>
        </w:tc>
        <w:tc>
          <w:tcPr>
            <w:tcW w:w="1857"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6E1D242" w14:textId="77777777" w:rsidR="00A44FD1" w:rsidRPr="00F07060" w:rsidRDefault="00A44FD1" w:rsidP="00E350F6">
            <w:pPr>
              <w:rPr>
                <w:b/>
                <w:bCs/>
                <w:color w:val="000000"/>
                <w:sz w:val="16"/>
                <w:szCs w:val="16"/>
              </w:rPr>
            </w:pPr>
            <w:r w:rsidRPr="00F07060">
              <w:rPr>
                <w:b/>
                <w:bCs/>
                <w:color w:val="000000"/>
                <w:sz w:val="16"/>
                <w:szCs w:val="16"/>
              </w:rPr>
              <w:t>Low</w:t>
            </w:r>
          </w:p>
        </w:tc>
        <w:tc>
          <w:tcPr>
            <w:tcW w:w="1802"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04BEEF1" w14:textId="77777777" w:rsidR="00A44FD1" w:rsidRPr="00F07060" w:rsidRDefault="00A44FD1" w:rsidP="00E350F6">
            <w:pPr>
              <w:rPr>
                <w:b/>
                <w:bCs/>
                <w:color w:val="000000"/>
                <w:sz w:val="16"/>
                <w:szCs w:val="16"/>
              </w:rPr>
            </w:pPr>
            <w:r w:rsidRPr="00F07060">
              <w:rPr>
                <w:b/>
                <w:bCs/>
                <w:color w:val="000000"/>
                <w:sz w:val="16"/>
                <w:szCs w:val="16"/>
              </w:rPr>
              <w:t>Moderate</w:t>
            </w:r>
          </w:p>
        </w:tc>
        <w:tc>
          <w:tcPr>
            <w:tcW w:w="193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C1A5989" w14:textId="77777777" w:rsidR="00A44FD1" w:rsidRPr="00F07060" w:rsidRDefault="00A44FD1" w:rsidP="00E350F6">
            <w:pPr>
              <w:rPr>
                <w:b/>
                <w:bCs/>
                <w:color w:val="000000"/>
                <w:sz w:val="16"/>
                <w:szCs w:val="16"/>
              </w:rPr>
            </w:pPr>
            <w:r w:rsidRPr="00F07060">
              <w:rPr>
                <w:b/>
                <w:bCs/>
                <w:color w:val="000000"/>
                <w:sz w:val="16"/>
                <w:szCs w:val="16"/>
              </w:rPr>
              <w:t>High</w:t>
            </w:r>
          </w:p>
        </w:tc>
        <w:tc>
          <w:tcPr>
            <w:tcW w:w="1262"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9E9A946" w14:textId="77777777" w:rsidR="00A44FD1" w:rsidRPr="00F07060" w:rsidRDefault="00A44FD1" w:rsidP="00E350F6">
            <w:pPr>
              <w:rPr>
                <w:b/>
                <w:bCs/>
                <w:color w:val="000000"/>
                <w:sz w:val="16"/>
                <w:szCs w:val="16"/>
              </w:rPr>
            </w:pPr>
          </w:p>
        </w:tc>
        <w:tc>
          <w:tcPr>
            <w:tcW w:w="109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40FA75D" w14:textId="77777777" w:rsidR="00A44FD1" w:rsidRPr="00F07060" w:rsidRDefault="00A44FD1" w:rsidP="00E350F6">
            <w:pPr>
              <w:rPr>
                <w:b/>
                <w:bCs/>
                <w:color w:val="000000"/>
                <w:sz w:val="16"/>
                <w:szCs w:val="16"/>
              </w:rPr>
            </w:pPr>
          </w:p>
        </w:tc>
        <w:tc>
          <w:tcPr>
            <w:tcW w:w="993"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779478D1" w14:textId="77777777" w:rsidR="00A44FD1" w:rsidRPr="00F07060" w:rsidRDefault="00A44FD1" w:rsidP="00E350F6">
            <w:pPr>
              <w:rPr>
                <w:b/>
                <w:bCs/>
                <w:color w:val="000000"/>
                <w:sz w:val="16"/>
                <w:szCs w:val="16"/>
              </w:rPr>
            </w:pPr>
            <w:r w:rsidRPr="00F07060">
              <w:rPr>
                <w:b/>
                <w:bCs/>
                <w:color w:val="000000"/>
                <w:sz w:val="16"/>
                <w:szCs w:val="16"/>
              </w:rPr>
              <w:t>No included studies</w:t>
            </w:r>
          </w:p>
        </w:tc>
      </w:tr>
      <w:tr w:rsidR="00A44FD1" w:rsidRPr="00F07060" w14:paraId="7E96874E" w14:textId="77777777" w:rsidTr="002A55D2">
        <w:trPr>
          <w:trHeight w:val="19"/>
        </w:trPr>
        <w:tc>
          <w:tcPr>
            <w:tcW w:w="2741"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16456887" w14:textId="77777777" w:rsidR="00A44FD1" w:rsidRPr="00F07060" w:rsidRDefault="00A44FD1" w:rsidP="00E350F6">
            <w:pPr>
              <w:rPr>
                <w:b/>
                <w:bCs/>
                <w:color w:val="000000"/>
                <w:sz w:val="16"/>
                <w:szCs w:val="16"/>
              </w:rPr>
            </w:pPr>
            <w:r w:rsidRPr="00F07060">
              <w:rPr>
                <w:b/>
                <w:bCs/>
                <w:color w:val="000000"/>
                <w:sz w:val="16"/>
                <w:szCs w:val="16"/>
              </w:rPr>
              <w:t>Cost effectiveness</w:t>
            </w:r>
          </w:p>
        </w:tc>
        <w:tc>
          <w:tcPr>
            <w:tcW w:w="1203"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FC7CDD1" w14:textId="77777777" w:rsidR="00A44FD1" w:rsidRPr="00F07060" w:rsidRDefault="00A44FD1" w:rsidP="00E350F6">
            <w:pPr>
              <w:rPr>
                <w:b/>
                <w:bCs/>
                <w:color w:val="000000"/>
                <w:sz w:val="16"/>
                <w:szCs w:val="16"/>
              </w:rPr>
            </w:pPr>
            <w:r w:rsidRPr="00F07060">
              <w:rPr>
                <w:b/>
                <w:bCs/>
                <w:color w:val="000000"/>
                <w:sz w:val="16"/>
                <w:szCs w:val="16"/>
              </w:rPr>
              <w:t>Favors the comparison</w:t>
            </w:r>
          </w:p>
        </w:tc>
        <w:tc>
          <w:tcPr>
            <w:tcW w:w="1857"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F2FD5C5" w14:textId="77777777" w:rsidR="00A44FD1" w:rsidRPr="00F07060" w:rsidRDefault="00A44FD1" w:rsidP="00E350F6">
            <w:pPr>
              <w:rPr>
                <w:b/>
                <w:bCs/>
                <w:color w:val="000000"/>
                <w:sz w:val="16"/>
                <w:szCs w:val="16"/>
              </w:rPr>
            </w:pPr>
            <w:r w:rsidRPr="00F07060">
              <w:rPr>
                <w:b/>
                <w:bCs/>
                <w:color w:val="000000"/>
                <w:sz w:val="16"/>
                <w:szCs w:val="16"/>
              </w:rPr>
              <w:t>Probably favors the comparison</w:t>
            </w:r>
          </w:p>
        </w:tc>
        <w:tc>
          <w:tcPr>
            <w:tcW w:w="1802"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928B05F" w14:textId="77777777" w:rsidR="00A44FD1" w:rsidRPr="00F07060" w:rsidRDefault="00A44FD1" w:rsidP="00E350F6">
            <w:pPr>
              <w:rPr>
                <w:b/>
                <w:bCs/>
                <w:color w:val="000000"/>
                <w:sz w:val="16"/>
                <w:szCs w:val="16"/>
              </w:rPr>
            </w:pPr>
            <w:r w:rsidRPr="00F07060">
              <w:rPr>
                <w:b/>
                <w:bCs/>
                <w:color w:val="000000"/>
                <w:sz w:val="16"/>
                <w:szCs w:val="16"/>
              </w:rPr>
              <w:t>Does not favor either the intervention or the comparison</w:t>
            </w:r>
          </w:p>
        </w:tc>
        <w:tc>
          <w:tcPr>
            <w:tcW w:w="1936" w:type="dxa"/>
            <w:tcBorders>
              <w:top w:val="single" w:sz="8" w:space="0" w:color="FFFFFF"/>
              <w:left w:val="single" w:sz="8" w:space="0" w:color="FFFFFF"/>
              <w:bottom w:val="single" w:sz="8" w:space="0" w:color="FFFFFF"/>
              <w:right w:val="single" w:sz="8" w:space="0" w:color="FFFFFF"/>
            </w:tcBorders>
            <w:shd w:val="clear" w:color="auto" w:fill="D6DCE5"/>
            <w:tcMar>
              <w:top w:w="74" w:type="dxa"/>
              <w:left w:w="74" w:type="dxa"/>
              <w:bottom w:w="74" w:type="dxa"/>
              <w:right w:w="74" w:type="dxa"/>
            </w:tcMar>
            <w:vAlign w:val="center"/>
            <w:hideMark/>
          </w:tcPr>
          <w:p w14:paraId="09030322" w14:textId="77777777" w:rsidR="00A44FD1" w:rsidRPr="00F07060" w:rsidRDefault="00A44FD1" w:rsidP="00E350F6">
            <w:pPr>
              <w:rPr>
                <w:b/>
                <w:bCs/>
                <w:color w:val="000000"/>
                <w:sz w:val="16"/>
                <w:szCs w:val="16"/>
              </w:rPr>
            </w:pPr>
            <w:r w:rsidRPr="00F07060">
              <w:rPr>
                <w:b/>
                <w:bCs/>
                <w:color w:val="000000"/>
                <w:sz w:val="16"/>
                <w:szCs w:val="16"/>
              </w:rPr>
              <w:t>Probably favors the intervention</w:t>
            </w:r>
          </w:p>
        </w:tc>
        <w:tc>
          <w:tcPr>
            <w:tcW w:w="1262"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39BE1ED" w14:textId="77777777" w:rsidR="00A44FD1" w:rsidRPr="00F07060" w:rsidRDefault="00A44FD1" w:rsidP="00E350F6">
            <w:pPr>
              <w:rPr>
                <w:b/>
                <w:bCs/>
                <w:color w:val="000000"/>
                <w:sz w:val="16"/>
                <w:szCs w:val="16"/>
              </w:rPr>
            </w:pPr>
            <w:r w:rsidRPr="00F07060">
              <w:rPr>
                <w:b/>
                <w:bCs/>
                <w:color w:val="000000"/>
                <w:sz w:val="16"/>
                <w:szCs w:val="16"/>
              </w:rPr>
              <w:t>Favors the intervention</w:t>
            </w:r>
          </w:p>
        </w:tc>
        <w:tc>
          <w:tcPr>
            <w:tcW w:w="109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E37323E" w14:textId="77777777" w:rsidR="00A44FD1" w:rsidRPr="00F07060" w:rsidRDefault="00A44FD1" w:rsidP="00E350F6">
            <w:pPr>
              <w:rPr>
                <w:b/>
                <w:bCs/>
                <w:color w:val="000000"/>
                <w:sz w:val="16"/>
                <w:szCs w:val="16"/>
              </w:rPr>
            </w:pPr>
            <w:r w:rsidRPr="00F07060">
              <w:rPr>
                <w:b/>
                <w:bCs/>
                <w:color w:val="000000"/>
                <w:sz w:val="16"/>
                <w:szCs w:val="16"/>
              </w:rPr>
              <w:t>Varies</w:t>
            </w:r>
          </w:p>
        </w:tc>
        <w:tc>
          <w:tcPr>
            <w:tcW w:w="993"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468F32A4" w14:textId="77777777" w:rsidR="00A44FD1" w:rsidRPr="00F07060" w:rsidRDefault="00A44FD1" w:rsidP="00E350F6">
            <w:pPr>
              <w:rPr>
                <w:b/>
                <w:bCs/>
                <w:color w:val="000000"/>
                <w:sz w:val="16"/>
                <w:szCs w:val="16"/>
              </w:rPr>
            </w:pPr>
            <w:r w:rsidRPr="00F07060">
              <w:rPr>
                <w:b/>
                <w:bCs/>
                <w:color w:val="000000"/>
                <w:sz w:val="16"/>
                <w:szCs w:val="16"/>
              </w:rPr>
              <w:t>No included studies</w:t>
            </w:r>
          </w:p>
        </w:tc>
      </w:tr>
      <w:tr w:rsidR="00A44FD1" w:rsidRPr="00F07060" w14:paraId="781720B4" w14:textId="77777777" w:rsidTr="002A55D2">
        <w:trPr>
          <w:trHeight w:val="19"/>
        </w:trPr>
        <w:tc>
          <w:tcPr>
            <w:tcW w:w="2741"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6FD1B158" w14:textId="77777777" w:rsidR="00A44FD1" w:rsidRPr="00F07060" w:rsidRDefault="00A44FD1" w:rsidP="00E350F6">
            <w:pPr>
              <w:rPr>
                <w:b/>
                <w:bCs/>
                <w:color w:val="000000"/>
                <w:sz w:val="16"/>
                <w:szCs w:val="16"/>
              </w:rPr>
            </w:pPr>
            <w:r w:rsidRPr="00F07060">
              <w:rPr>
                <w:b/>
                <w:bCs/>
                <w:color w:val="000000"/>
                <w:sz w:val="16"/>
                <w:szCs w:val="16"/>
              </w:rPr>
              <w:t>Equity</w:t>
            </w:r>
          </w:p>
        </w:tc>
        <w:tc>
          <w:tcPr>
            <w:tcW w:w="1203"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A8D8077" w14:textId="77777777" w:rsidR="00A44FD1" w:rsidRPr="00F07060" w:rsidRDefault="00A44FD1" w:rsidP="00E350F6">
            <w:pPr>
              <w:rPr>
                <w:b/>
                <w:bCs/>
                <w:color w:val="000000"/>
                <w:sz w:val="16"/>
                <w:szCs w:val="16"/>
              </w:rPr>
            </w:pPr>
            <w:r w:rsidRPr="00F07060">
              <w:rPr>
                <w:b/>
                <w:bCs/>
                <w:color w:val="000000"/>
                <w:sz w:val="16"/>
                <w:szCs w:val="16"/>
              </w:rPr>
              <w:t>Reduced</w:t>
            </w:r>
          </w:p>
        </w:tc>
        <w:tc>
          <w:tcPr>
            <w:tcW w:w="1857"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1864D0C" w14:textId="77777777" w:rsidR="00A44FD1" w:rsidRPr="00F07060" w:rsidRDefault="00A44FD1" w:rsidP="00E350F6">
            <w:pPr>
              <w:rPr>
                <w:b/>
                <w:bCs/>
                <w:color w:val="000000"/>
                <w:sz w:val="16"/>
                <w:szCs w:val="16"/>
              </w:rPr>
            </w:pPr>
            <w:r w:rsidRPr="00F07060">
              <w:rPr>
                <w:b/>
                <w:bCs/>
                <w:color w:val="000000"/>
                <w:sz w:val="16"/>
                <w:szCs w:val="16"/>
              </w:rPr>
              <w:t>Probably reduced</w:t>
            </w:r>
          </w:p>
        </w:tc>
        <w:tc>
          <w:tcPr>
            <w:tcW w:w="1802"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846637C" w14:textId="77777777" w:rsidR="00A44FD1" w:rsidRPr="00F07060" w:rsidRDefault="00A44FD1" w:rsidP="00E350F6">
            <w:pPr>
              <w:rPr>
                <w:b/>
                <w:bCs/>
                <w:color w:val="000000"/>
                <w:sz w:val="16"/>
                <w:szCs w:val="16"/>
              </w:rPr>
            </w:pPr>
            <w:r w:rsidRPr="00F07060">
              <w:rPr>
                <w:b/>
                <w:bCs/>
                <w:color w:val="000000"/>
                <w:sz w:val="16"/>
                <w:szCs w:val="16"/>
              </w:rPr>
              <w:t>Probably no impact</w:t>
            </w:r>
          </w:p>
        </w:tc>
        <w:tc>
          <w:tcPr>
            <w:tcW w:w="193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F634045" w14:textId="77777777" w:rsidR="00A44FD1" w:rsidRPr="00F07060" w:rsidRDefault="00A44FD1" w:rsidP="00E350F6">
            <w:pPr>
              <w:rPr>
                <w:b/>
                <w:bCs/>
                <w:color w:val="000000"/>
                <w:sz w:val="16"/>
                <w:szCs w:val="16"/>
              </w:rPr>
            </w:pPr>
            <w:r w:rsidRPr="00F07060">
              <w:rPr>
                <w:b/>
                <w:bCs/>
                <w:color w:val="000000"/>
                <w:sz w:val="16"/>
                <w:szCs w:val="16"/>
              </w:rPr>
              <w:t>Probably increased</w:t>
            </w:r>
          </w:p>
        </w:tc>
        <w:tc>
          <w:tcPr>
            <w:tcW w:w="1262"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DA5938E" w14:textId="77777777" w:rsidR="00A44FD1" w:rsidRPr="00F07060" w:rsidRDefault="00A44FD1" w:rsidP="00E350F6">
            <w:pPr>
              <w:rPr>
                <w:b/>
                <w:bCs/>
                <w:color w:val="000000"/>
                <w:sz w:val="16"/>
                <w:szCs w:val="16"/>
              </w:rPr>
            </w:pPr>
            <w:r w:rsidRPr="00F07060">
              <w:rPr>
                <w:b/>
                <w:bCs/>
                <w:color w:val="000000"/>
                <w:sz w:val="16"/>
                <w:szCs w:val="16"/>
              </w:rPr>
              <w:t>Increased</w:t>
            </w:r>
          </w:p>
        </w:tc>
        <w:tc>
          <w:tcPr>
            <w:tcW w:w="109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41ABA1A" w14:textId="77777777" w:rsidR="00A44FD1" w:rsidRPr="00F07060" w:rsidRDefault="00A44FD1" w:rsidP="00E350F6">
            <w:pPr>
              <w:rPr>
                <w:b/>
                <w:bCs/>
                <w:color w:val="000000"/>
                <w:sz w:val="16"/>
                <w:szCs w:val="16"/>
              </w:rPr>
            </w:pPr>
            <w:r w:rsidRPr="00F07060">
              <w:rPr>
                <w:b/>
                <w:bCs/>
                <w:color w:val="000000"/>
                <w:sz w:val="16"/>
                <w:szCs w:val="16"/>
              </w:rPr>
              <w:t>Varies</w:t>
            </w:r>
          </w:p>
        </w:tc>
        <w:tc>
          <w:tcPr>
            <w:tcW w:w="993"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206259AE" w14:textId="77777777" w:rsidR="00A44FD1" w:rsidRPr="00F07060" w:rsidRDefault="00A44FD1" w:rsidP="00E350F6">
            <w:pPr>
              <w:rPr>
                <w:b/>
                <w:bCs/>
                <w:color w:val="000000"/>
                <w:sz w:val="16"/>
                <w:szCs w:val="16"/>
              </w:rPr>
            </w:pPr>
            <w:r w:rsidRPr="00F07060">
              <w:rPr>
                <w:b/>
                <w:bCs/>
                <w:color w:val="000000"/>
                <w:sz w:val="16"/>
                <w:szCs w:val="16"/>
              </w:rPr>
              <w:t>Don't know</w:t>
            </w:r>
          </w:p>
        </w:tc>
      </w:tr>
      <w:tr w:rsidR="00A44FD1" w:rsidRPr="00F07060" w14:paraId="50DC94AF" w14:textId="77777777" w:rsidTr="002A55D2">
        <w:trPr>
          <w:trHeight w:val="19"/>
        </w:trPr>
        <w:tc>
          <w:tcPr>
            <w:tcW w:w="2741"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2A4E97F2" w14:textId="77777777" w:rsidR="00A44FD1" w:rsidRPr="00F07060" w:rsidRDefault="00A44FD1" w:rsidP="00E350F6">
            <w:pPr>
              <w:rPr>
                <w:b/>
                <w:bCs/>
                <w:color w:val="000000"/>
                <w:sz w:val="16"/>
                <w:szCs w:val="16"/>
              </w:rPr>
            </w:pPr>
            <w:r w:rsidRPr="00F07060">
              <w:rPr>
                <w:b/>
                <w:bCs/>
                <w:color w:val="000000"/>
                <w:sz w:val="16"/>
                <w:szCs w:val="16"/>
              </w:rPr>
              <w:t>Acceptability</w:t>
            </w:r>
          </w:p>
        </w:tc>
        <w:tc>
          <w:tcPr>
            <w:tcW w:w="1203"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427F0D0" w14:textId="77777777" w:rsidR="00A44FD1" w:rsidRPr="00F07060" w:rsidRDefault="00A44FD1" w:rsidP="00E350F6">
            <w:pPr>
              <w:rPr>
                <w:b/>
                <w:bCs/>
                <w:color w:val="000000"/>
                <w:sz w:val="16"/>
                <w:szCs w:val="16"/>
              </w:rPr>
            </w:pPr>
            <w:r w:rsidRPr="00F07060">
              <w:rPr>
                <w:b/>
                <w:bCs/>
                <w:color w:val="000000"/>
                <w:sz w:val="16"/>
                <w:szCs w:val="16"/>
              </w:rPr>
              <w:t>No</w:t>
            </w:r>
          </w:p>
        </w:tc>
        <w:tc>
          <w:tcPr>
            <w:tcW w:w="1857"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B4E237F" w14:textId="77777777" w:rsidR="00A44FD1" w:rsidRPr="00F07060" w:rsidRDefault="00A44FD1" w:rsidP="00E350F6">
            <w:pPr>
              <w:rPr>
                <w:b/>
                <w:bCs/>
                <w:color w:val="000000"/>
                <w:sz w:val="16"/>
                <w:szCs w:val="16"/>
              </w:rPr>
            </w:pPr>
            <w:r w:rsidRPr="00F07060">
              <w:rPr>
                <w:b/>
                <w:bCs/>
                <w:color w:val="000000"/>
                <w:sz w:val="16"/>
                <w:szCs w:val="16"/>
              </w:rPr>
              <w:t>Probably no</w:t>
            </w:r>
          </w:p>
        </w:tc>
        <w:tc>
          <w:tcPr>
            <w:tcW w:w="1802"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6FB480FF" w14:textId="77777777" w:rsidR="00A44FD1" w:rsidRPr="00F07060" w:rsidRDefault="00A44FD1" w:rsidP="00E350F6">
            <w:pPr>
              <w:rPr>
                <w:b/>
                <w:bCs/>
                <w:color w:val="000000"/>
                <w:sz w:val="16"/>
                <w:szCs w:val="16"/>
              </w:rPr>
            </w:pPr>
            <w:r w:rsidRPr="00F07060">
              <w:rPr>
                <w:b/>
                <w:bCs/>
                <w:color w:val="000000"/>
                <w:sz w:val="16"/>
                <w:szCs w:val="16"/>
              </w:rPr>
              <w:t>Probably yes</w:t>
            </w:r>
          </w:p>
        </w:tc>
        <w:tc>
          <w:tcPr>
            <w:tcW w:w="193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AC5A9E0" w14:textId="77777777" w:rsidR="00A44FD1" w:rsidRPr="00F07060" w:rsidRDefault="00A44FD1" w:rsidP="00E350F6">
            <w:pPr>
              <w:rPr>
                <w:b/>
                <w:bCs/>
                <w:color w:val="000000"/>
                <w:sz w:val="16"/>
                <w:szCs w:val="16"/>
              </w:rPr>
            </w:pPr>
            <w:r w:rsidRPr="00F07060">
              <w:rPr>
                <w:b/>
                <w:bCs/>
                <w:color w:val="000000"/>
                <w:sz w:val="16"/>
                <w:szCs w:val="16"/>
              </w:rPr>
              <w:t>Yes</w:t>
            </w:r>
          </w:p>
        </w:tc>
        <w:tc>
          <w:tcPr>
            <w:tcW w:w="1262"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C12DE4E" w14:textId="77777777" w:rsidR="00A44FD1" w:rsidRPr="00F07060" w:rsidRDefault="00A44FD1" w:rsidP="00E350F6">
            <w:pPr>
              <w:rPr>
                <w:b/>
                <w:bCs/>
                <w:color w:val="000000"/>
                <w:sz w:val="16"/>
                <w:szCs w:val="16"/>
              </w:rPr>
            </w:pPr>
          </w:p>
        </w:tc>
        <w:tc>
          <w:tcPr>
            <w:tcW w:w="109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AE7076A" w14:textId="77777777" w:rsidR="00A44FD1" w:rsidRPr="00F07060" w:rsidRDefault="00A44FD1" w:rsidP="00E350F6">
            <w:pPr>
              <w:rPr>
                <w:b/>
                <w:bCs/>
                <w:color w:val="000000"/>
                <w:sz w:val="16"/>
                <w:szCs w:val="16"/>
              </w:rPr>
            </w:pPr>
            <w:r w:rsidRPr="00F07060">
              <w:rPr>
                <w:b/>
                <w:bCs/>
                <w:color w:val="000000"/>
                <w:sz w:val="16"/>
                <w:szCs w:val="16"/>
              </w:rPr>
              <w:t>Varies</w:t>
            </w:r>
          </w:p>
        </w:tc>
        <w:tc>
          <w:tcPr>
            <w:tcW w:w="993"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C144660" w14:textId="77777777" w:rsidR="00A44FD1" w:rsidRPr="00F07060" w:rsidRDefault="00A44FD1" w:rsidP="00E350F6">
            <w:pPr>
              <w:rPr>
                <w:b/>
                <w:bCs/>
                <w:color w:val="000000"/>
                <w:sz w:val="16"/>
                <w:szCs w:val="16"/>
              </w:rPr>
            </w:pPr>
            <w:r w:rsidRPr="00F07060">
              <w:rPr>
                <w:b/>
                <w:bCs/>
                <w:color w:val="000000"/>
                <w:sz w:val="16"/>
                <w:szCs w:val="16"/>
              </w:rPr>
              <w:t>Don't know</w:t>
            </w:r>
          </w:p>
        </w:tc>
      </w:tr>
      <w:tr w:rsidR="00A44FD1" w:rsidRPr="00F07060" w14:paraId="1EEA8443" w14:textId="77777777" w:rsidTr="002A55D2">
        <w:trPr>
          <w:trHeight w:val="19"/>
        </w:trPr>
        <w:tc>
          <w:tcPr>
            <w:tcW w:w="2741"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3940E62D" w14:textId="77777777" w:rsidR="00A44FD1" w:rsidRPr="00F07060" w:rsidRDefault="00A44FD1" w:rsidP="00E350F6">
            <w:pPr>
              <w:rPr>
                <w:b/>
                <w:bCs/>
                <w:color w:val="000000"/>
                <w:sz w:val="16"/>
                <w:szCs w:val="16"/>
              </w:rPr>
            </w:pPr>
            <w:r w:rsidRPr="00F07060">
              <w:rPr>
                <w:b/>
                <w:bCs/>
                <w:color w:val="000000"/>
                <w:sz w:val="16"/>
                <w:szCs w:val="16"/>
              </w:rPr>
              <w:t>Feasibility</w:t>
            </w:r>
          </w:p>
        </w:tc>
        <w:tc>
          <w:tcPr>
            <w:tcW w:w="1203"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9CB15B5" w14:textId="77777777" w:rsidR="00A44FD1" w:rsidRPr="00F07060" w:rsidRDefault="00A44FD1" w:rsidP="00E350F6">
            <w:pPr>
              <w:rPr>
                <w:b/>
                <w:bCs/>
                <w:color w:val="000000"/>
                <w:sz w:val="16"/>
                <w:szCs w:val="16"/>
              </w:rPr>
            </w:pPr>
            <w:r w:rsidRPr="00F07060">
              <w:rPr>
                <w:b/>
                <w:bCs/>
                <w:color w:val="000000"/>
                <w:sz w:val="16"/>
                <w:szCs w:val="16"/>
              </w:rPr>
              <w:t>No</w:t>
            </w:r>
          </w:p>
        </w:tc>
        <w:tc>
          <w:tcPr>
            <w:tcW w:w="1857"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F0C6D8F" w14:textId="77777777" w:rsidR="00A44FD1" w:rsidRPr="00F07060" w:rsidRDefault="00A44FD1" w:rsidP="00E350F6">
            <w:pPr>
              <w:rPr>
                <w:b/>
                <w:bCs/>
                <w:color w:val="000000"/>
                <w:sz w:val="16"/>
                <w:szCs w:val="16"/>
              </w:rPr>
            </w:pPr>
            <w:r w:rsidRPr="00F07060">
              <w:rPr>
                <w:b/>
                <w:bCs/>
                <w:color w:val="000000"/>
                <w:sz w:val="16"/>
                <w:szCs w:val="16"/>
              </w:rPr>
              <w:t>Probably no</w:t>
            </w:r>
          </w:p>
        </w:tc>
        <w:tc>
          <w:tcPr>
            <w:tcW w:w="1802"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2AD3F89E" w14:textId="77777777" w:rsidR="00A44FD1" w:rsidRPr="00F07060" w:rsidRDefault="00A44FD1" w:rsidP="00E350F6">
            <w:pPr>
              <w:rPr>
                <w:b/>
                <w:bCs/>
                <w:color w:val="000000"/>
                <w:sz w:val="16"/>
                <w:szCs w:val="16"/>
              </w:rPr>
            </w:pPr>
            <w:r w:rsidRPr="00F07060">
              <w:rPr>
                <w:b/>
                <w:bCs/>
                <w:color w:val="000000"/>
                <w:sz w:val="16"/>
                <w:szCs w:val="16"/>
              </w:rPr>
              <w:t>Probably yes</w:t>
            </w:r>
          </w:p>
        </w:tc>
        <w:tc>
          <w:tcPr>
            <w:tcW w:w="193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0F58DEE" w14:textId="77777777" w:rsidR="00A44FD1" w:rsidRPr="00F07060" w:rsidRDefault="00A44FD1" w:rsidP="00E350F6">
            <w:pPr>
              <w:rPr>
                <w:b/>
                <w:bCs/>
                <w:color w:val="000000"/>
                <w:sz w:val="16"/>
                <w:szCs w:val="16"/>
              </w:rPr>
            </w:pPr>
            <w:r w:rsidRPr="00F07060">
              <w:rPr>
                <w:b/>
                <w:bCs/>
                <w:color w:val="000000"/>
                <w:sz w:val="16"/>
                <w:szCs w:val="16"/>
              </w:rPr>
              <w:t>Yes</w:t>
            </w:r>
          </w:p>
        </w:tc>
        <w:tc>
          <w:tcPr>
            <w:tcW w:w="1262"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752B6B6" w14:textId="77777777" w:rsidR="00A44FD1" w:rsidRPr="00F07060" w:rsidRDefault="00A44FD1" w:rsidP="00E350F6">
            <w:pPr>
              <w:rPr>
                <w:b/>
                <w:bCs/>
                <w:color w:val="000000"/>
                <w:sz w:val="16"/>
                <w:szCs w:val="16"/>
              </w:rPr>
            </w:pPr>
          </w:p>
        </w:tc>
        <w:tc>
          <w:tcPr>
            <w:tcW w:w="109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B381007" w14:textId="77777777" w:rsidR="00A44FD1" w:rsidRPr="00F07060" w:rsidRDefault="00A44FD1" w:rsidP="00E350F6">
            <w:pPr>
              <w:rPr>
                <w:b/>
                <w:bCs/>
                <w:color w:val="000000"/>
                <w:sz w:val="16"/>
                <w:szCs w:val="16"/>
              </w:rPr>
            </w:pPr>
            <w:r w:rsidRPr="00F07060">
              <w:rPr>
                <w:b/>
                <w:bCs/>
                <w:color w:val="000000"/>
                <w:sz w:val="16"/>
                <w:szCs w:val="16"/>
              </w:rPr>
              <w:t>Varies</w:t>
            </w:r>
          </w:p>
        </w:tc>
        <w:tc>
          <w:tcPr>
            <w:tcW w:w="993"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0CBA0F5" w14:textId="77777777" w:rsidR="00A44FD1" w:rsidRPr="00F07060" w:rsidRDefault="00A44FD1" w:rsidP="00E350F6">
            <w:pPr>
              <w:rPr>
                <w:b/>
                <w:bCs/>
                <w:color w:val="000000"/>
                <w:sz w:val="16"/>
                <w:szCs w:val="16"/>
              </w:rPr>
            </w:pPr>
            <w:r w:rsidRPr="00F07060">
              <w:rPr>
                <w:b/>
                <w:bCs/>
                <w:color w:val="000000"/>
                <w:sz w:val="16"/>
                <w:szCs w:val="16"/>
              </w:rPr>
              <w:t>Don't know</w:t>
            </w:r>
          </w:p>
        </w:tc>
      </w:tr>
    </w:tbl>
    <w:p w14:paraId="376AF4CB" w14:textId="1D3DDA87" w:rsidR="000E2A22" w:rsidRDefault="000E2A22">
      <w:pPr>
        <w:rPr>
          <w:b/>
          <w:bCs/>
          <w:color w:val="000000"/>
          <w:sz w:val="20"/>
          <w:szCs w:val="20"/>
          <w:lang w:val="en"/>
        </w:rPr>
      </w:pPr>
    </w:p>
    <w:p w14:paraId="68F52B28" w14:textId="77777777" w:rsidR="000E2A22" w:rsidRDefault="000E2A22">
      <w:pPr>
        <w:rPr>
          <w:b/>
          <w:bCs/>
          <w:color w:val="000000"/>
          <w:sz w:val="20"/>
          <w:szCs w:val="20"/>
          <w:lang w:val="en"/>
        </w:rPr>
      </w:pPr>
    </w:p>
    <w:p w14:paraId="32F167DA" w14:textId="77777777" w:rsidR="000E2A22" w:rsidRDefault="000E2A22">
      <w:pPr>
        <w:rPr>
          <w:b/>
          <w:bCs/>
          <w:color w:val="000000"/>
          <w:sz w:val="20"/>
          <w:szCs w:val="20"/>
          <w:lang w:val="en"/>
        </w:rPr>
      </w:pPr>
    </w:p>
    <w:tbl>
      <w:tblPr>
        <w:tblW w:w="4167" w:type="pct"/>
        <w:tblCellMar>
          <w:top w:w="75" w:type="dxa"/>
          <w:left w:w="75" w:type="dxa"/>
          <w:bottom w:w="75" w:type="dxa"/>
          <w:right w:w="75" w:type="dxa"/>
        </w:tblCellMar>
        <w:tblLook w:val="00A0" w:firstRow="1" w:lastRow="0" w:firstColumn="1" w:lastColumn="0" w:noHBand="0" w:noVBand="0"/>
      </w:tblPr>
      <w:tblGrid>
        <w:gridCol w:w="2803"/>
        <w:gridCol w:w="1767"/>
        <w:gridCol w:w="1057"/>
        <w:gridCol w:w="1620"/>
        <w:gridCol w:w="2064"/>
        <w:gridCol w:w="2358"/>
      </w:tblGrid>
      <w:tr w:rsidR="00596BE0" w:rsidRPr="00601402" w14:paraId="2B9D4EC4" w14:textId="77777777" w:rsidTr="00596BE0">
        <w:trPr>
          <w:cantSplit/>
          <w:tblHeader/>
        </w:trPr>
        <w:tc>
          <w:tcPr>
            <w:tcW w:w="5000" w:type="pct"/>
            <w:gridSpan w:val="6"/>
            <w:tcBorders>
              <w:top w:val="single" w:sz="6" w:space="0" w:color="000000"/>
              <w:left w:val="nil"/>
              <w:bottom w:val="single" w:sz="6" w:space="0" w:color="000000"/>
              <w:right w:val="nil"/>
            </w:tcBorders>
            <w:shd w:val="clear" w:color="auto" w:fill="92D050"/>
          </w:tcPr>
          <w:p w14:paraId="50D23738" w14:textId="379E29D1" w:rsidR="00596BE0" w:rsidRPr="00601402" w:rsidRDefault="00596BE0" w:rsidP="00596BE0">
            <w:pPr>
              <w:pStyle w:val="Ttol1"/>
              <w:spacing w:before="0" w:beforeAutospacing="0" w:after="0" w:afterAutospacing="0"/>
              <w:rPr>
                <w:rFonts w:ascii="Arial" w:hAnsi="Arial" w:cs="Arial"/>
                <w:b/>
                <w:sz w:val="16"/>
                <w:szCs w:val="16"/>
              </w:rPr>
            </w:pPr>
            <w:r w:rsidRPr="00601402">
              <w:rPr>
                <w:rFonts w:ascii="Arial" w:hAnsi="Arial" w:cs="Arial"/>
                <w:b/>
                <w:sz w:val="16"/>
                <w:szCs w:val="16"/>
                <w:shd w:val="clear" w:color="auto" w:fill="FFFFFF"/>
              </w:rPr>
              <w:lastRenderedPageBreak/>
              <w:t xml:space="preserve">Table </w:t>
            </w:r>
            <w:r>
              <w:rPr>
                <w:rFonts w:ascii="Arial" w:hAnsi="Arial" w:cs="Arial"/>
                <w:b/>
                <w:sz w:val="16"/>
                <w:szCs w:val="16"/>
                <w:shd w:val="clear" w:color="auto" w:fill="FFFFFF"/>
              </w:rPr>
              <w:t>S</w:t>
            </w:r>
            <w:r w:rsidR="002A55D2">
              <w:rPr>
                <w:rFonts w:ascii="Arial" w:hAnsi="Arial" w:cs="Arial"/>
                <w:b/>
                <w:sz w:val="16"/>
                <w:szCs w:val="16"/>
                <w:shd w:val="clear" w:color="auto" w:fill="FFFFFF"/>
              </w:rPr>
              <w:t>16</w:t>
            </w:r>
            <w:r w:rsidRPr="00601402">
              <w:rPr>
                <w:rFonts w:ascii="Arial" w:hAnsi="Arial" w:cs="Arial"/>
                <w:b/>
                <w:sz w:val="16"/>
                <w:szCs w:val="16"/>
                <w:shd w:val="clear" w:color="auto" w:fill="FFFFFF"/>
              </w:rPr>
              <w:t xml:space="preserve">: Summary of findings </w:t>
            </w:r>
            <w:proofErr w:type="gramStart"/>
            <w:r w:rsidRPr="00601402">
              <w:rPr>
                <w:rFonts w:ascii="Arial" w:hAnsi="Arial" w:cs="Arial"/>
                <w:b/>
                <w:sz w:val="16"/>
                <w:szCs w:val="16"/>
                <w:shd w:val="clear" w:color="auto" w:fill="FFFFFF"/>
              </w:rPr>
              <w:t xml:space="preserve">of  </w:t>
            </w:r>
            <w:r w:rsidRPr="00601402">
              <w:rPr>
                <w:rFonts w:ascii="Arial" w:hAnsi="Arial" w:cs="Arial"/>
                <w:b/>
                <w:bCs/>
                <w:sz w:val="16"/>
                <w:szCs w:val="16"/>
              </w:rPr>
              <w:t>Dupilumab</w:t>
            </w:r>
            <w:proofErr w:type="gramEnd"/>
            <w:r w:rsidRPr="00601402">
              <w:rPr>
                <w:rFonts w:ascii="Arial" w:hAnsi="Arial" w:cs="Arial"/>
                <w:b/>
                <w:bCs/>
                <w:sz w:val="16"/>
                <w:szCs w:val="16"/>
              </w:rPr>
              <w:t xml:space="preserve"> compared to standard of care for eosinophilic asthma</w:t>
            </w:r>
          </w:p>
        </w:tc>
      </w:tr>
      <w:tr w:rsidR="00596BE0" w:rsidRPr="00601402" w14:paraId="4D66FA52" w14:textId="77777777" w:rsidTr="00596BE0">
        <w:trPr>
          <w:cantSplit/>
          <w:tblHeader/>
        </w:trPr>
        <w:tc>
          <w:tcPr>
            <w:tcW w:w="1203" w:type="pct"/>
            <w:vMerge w:val="restart"/>
            <w:tcBorders>
              <w:top w:val="single" w:sz="12" w:space="0" w:color="000000"/>
              <w:left w:val="nil"/>
              <w:bottom w:val="single" w:sz="6" w:space="0" w:color="000000"/>
              <w:right w:val="nil"/>
            </w:tcBorders>
            <w:shd w:val="clear" w:color="auto" w:fill="3271AA"/>
            <w:vAlign w:val="center"/>
          </w:tcPr>
          <w:p w14:paraId="4CE36C80" w14:textId="77777777" w:rsidR="00596BE0" w:rsidRPr="00601402" w:rsidRDefault="00596BE0" w:rsidP="00596BE0">
            <w:pPr>
              <w:pStyle w:val="NormalWeb"/>
              <w:spacing w:before="0" w:beforeAutospacing="0" w:after="0" w:afterAutospacing="0"/>
              <w:rPr>
                <w:rFonts w:ascii="Arial" w:hAnsi="Arial" w:cs="Arial"/>
                <w:b/>
                <w:bCs/>
                <w:color w:val="FFFFFF"/>
                <w:sz w:val="16"/>
                <w:szCs w:val="16"/>
              </w:rPr>
            </w:pPr>
            <w:r w:rsidRPr="00601402">
              <w:rPr>
                <w:rFonts w:ascii="Arial" w:hAnsi="Arial" w:cs="Arial"/>
                <w:b/>
                <w:bCs/>
                <w:color w:val="FFFFFF"/>
                <w:sz w:val="16"/>
                <w:szCs w:val="16"/>
              </w:rPr>
              <w:t>Outcomes</w:t>
            </w:r>
          </w:p>
        </w:tc>
        <w:tc>
          <w:tcPr>
            <w:tcW w:w="759" w:type="pct"/>
            <w:vMerge w:val="restart"/>
            <w:tcBorders>
              <w:top w:val="single" w:sz="12" w:space="0" w:color="000000"/>
              <w:left w:val="nil"/>
              <w:bottom w:val="single" w:sz="6" w:space="0" w:color="000000"/>
              <w:right w:val="nil"/>
            </w:tcBorders>
            <w:shd w:val="clear" w:color="auto" w:fill="3271AA"/>
            <w:vAlign w:val="center"/>
          </w:tcPr>
          <w:p w14:paraId="4BC64649" w14:textId="77777777" w:rsidR="00596BE0" w:rsidRPr="00601402" w:rsidRDefault="00596BE0" w:rsidP="00596BE0">
            <w:pPr>
              <w:pStyle w:val="NormalWeb"/>
              <w:spacing w:before="0" w:beforeAutospacing="0" w:after="0" w:afterAutospacing="0"/>
              <w:rPr>
                <w:rFonts w:ascii="Arial" w:hAnsi="Arial" w:cs="Arial"/>
                <w:b/>
                <w:bCs/>
                <w:color w:val="FFFFFF"/>
                <w:sz w:val="16"/>
                <w:szCs w:val="16"/>
              </w:rPr>
            </w:pPr>
            <w:r w:rsidRPr="00601402">
              <w:rPr>
                <w:rFonts w:ascii="Arial" w:hAnsi="Arial" w:cs="Arial"/>
                <w:b/>
                <w:bCs/>
                <w:color w:val="FFFFFF"/>
                <w:sz w:val="16"/>
                <w:szCs w:val="16"/>
              </w:rPr>
              <w:t>№ of participants</w:t>
            </w:r>
            <w:r w:rsidRPr="00601402">
              <w:rPr>
                <w:rFonts w:ascii="Arial" w:hAnsi="Arial" w:cs="Arial"/>
                <w:b/>
                <w:bCs/>
                <w:color w:val="FFFFFF"/>
                <w:sz w:val="16"/>
                <w:szCs w:val="16"/>
              </w:rPr>
              <w:br/>
              <w:t>(studies)</w:t>
            </w:r>
            <w:r w:rsidRPr="00601402">
              <w:rPr>
                <w:rFonts w:ascii="Arial" w:hAnsi="Arial" w:cs="Arial"/>
                <w:b/>
                <w:bCs/>
                <w:color w:val="FFFFFF"/>
                <w:sz w:val="16"/>
                <w:szCs w:val="16"/>
              </w:rPr>
              <w:br/>
              <w:t>Follow-up (range)</w:t>
            </w:r>
          </w:p>
        </w:tc>
        <w:tc>
          <w:tcPr>
            <w:tcW w:w="444" w:type="pct"/>
            <w:vMerge w:val="restart"/>
            <w:tcBorders>
              <w:top w:val="single" w:sz="12" w:space="0" w:color="000000"/>
              <w:left w:val="nil"/>
              <w:bottom w:val="single" w:sz="6" w:space="0" w:color="000000"/>
              <w:right w:val="nil"/>
            </w:tcBorders>
            <w:shd w:val="clear" w:color="auto" w:fill="3271AA"/>
            <w:vAlign w:val="center"/>
          </w:tcPr>
          <w:p w14:paraId="10834BEB" w14:textId="77777777" w:rsidR="00596BE0" w:rsidRPr="00601402" w:rsidRDefault="00596BE0" w:rsidP="00596BE0">
            <w:pPr>
              <w:pStyle w:val="NormalWeb"/>
              <w:spacing w:before="0" w:beforeAutospacing="0" w:after="0" w:afterAutospacing="0"/>
              <w:rPr>
                <w:rFonts w:ascii="Arial" w:hAnsi="Arial" w:cs="Arial"/>
                <w:b/>
                <w:bCs/>
                <w:color w:val="FFFFFF"/>
                <w:sz w:val="16"/>
                <w:szCs w:val="16"/>
              </w:rPr>
            </w:pPr>
            <w:r w:rsidRPr="00601402">
              <w:rPr>
                <w:rFonts w:ascii="Arial" w:hAnsi="Arial" w:cs="Arial"/>
                <w:b/>
                <w:bCs/>
                <w:color w:val="FFFFFF"/>
                <w:sz w:val="16"/>
                <w:szCs w:val="16"/>
              </w:rPr>
              <w:t>Certainty of the evidence</w:t>
            </w:r>
            <w:r w:rsidRPr="00601402">
              <w:rPr>
                <w:rFonts w:ascii="Arial" w:hAnsi="Arial" w:cs="Arial"/>
                <w:b/>
                <w:bCs/>
                <w:color w:val="FFFFFF"/>
                <w:sz w:val="16"/>
                <w:szCs w:val="16"/>
              </w:rPr>
              <w:br/>
              <w:t>(GRADE)</w:t>
            </w:r>
          </w:p>
        </w:tc>
        <w:tc>
          <w:tcPr>
            <w:tcW w:w="696" w:type="pct"/>
            <w:vMerge w:val="restart"/>
            <w:tcBorders>
              <w:top w:val="single" w:sz="12" w:space="0" w:color="000000"/>
              <w:left w:val="nil"/>
              <w:bottom w:val="single" w:sz="6" w:space="0" w:color="000000"/>
              <w:right w:val="nil"/>
            </w:tcBorders>
            <w:shd w:val="clear" w:color="auto" w:fill="3271AA"/>
            <w:vAlign w:val="center"/>
          </w:tcPr>
          <w:p w14:paraId="18043158" w14:textId="77777777" w:rsidR="00596BE0" w:rsidRPr="00601402" w:rsidRDefault="00596BE0" w:rsidP="00596BE0">
            <w:pPr>
              <w:pStyle w:val="NormalWeb"/>
              <w:spacing w:before="0" w:beforeAutospacing="0" w:after="0" w:afterAutospacing="0"/>
              <w:rPr>
                <w:rFonts w:ascii="Arial" w:hAnsi="Arial" w:cs="Arial"/>
                <w:b/>
                <w:bCs/>
                <w:color w:val="FFFFFF"/>
                <w:sz w:val="16"/>
                <w:szCs w:val="16"/>
              </w:rPr>
            </w:pPr>
            <w:r w:rsidRPr="00601402">
              <w:rPr>
                <w:rFonts w:ascii="Arial" w:hAnsi="Arial" w:cs="Arial"/>
                <w:b/>
                <w:bCs/>
                <w:color w:val="FFFFFF"/>
                <w:sz w:val="16"/>
                <w:szCs w:val="16"/>
              </w:rPr>
              <w:t>Relative effect</w:t>
            </w:r>
            <w:r w:rsidRPr="00601402">
              <w:rPr>
                <w:rFonts w:ascii="Arial" w:hAnsi="Arial" w:cs="Arial"/>
                <w:b/>
                <w:bCs/>
                <w:color w:val="FFFFFF"/>
                <w:sz w:val="16"/>
                <w:szCs w:val="16"/>
              </w:rPr>
              <w:br/>
              <w:t>(95% CI)</w:t>
            </w:r>
          </w:p>
        </w:tc>
        <w:tc>
          <w:tcPr>
            <w:tcW w:w="1898" w:type="pct"/>
            <w:gridSpan w:val="2"/>
            <w:tcBorders>
              <w:top w:val="single" w:sz="12" w:space="0" w:color="000000"/>
              <w:left w:val="nil"/>
              <w:bottom w:val="single" w:sz="6" w:space="0" w:color="000000"/>
              <w:right w:val="nil"/>
            </w:tcBorders>
            <w:shd w:val="clear" w:color="auto" w:fill="D3D3D3"/>
            <w:vAlign w:val="center"/>
          </w:tcPr>
          <w:p w14:paraId="73E5AE92" w14:textId="77777777" w:rsidR="00596BE0" w:rsidRPr="00601402" w:rsidRDefault="00596BE0" w:rsidP="00596BE0">
            <w:pPr>
              <w:pStyle w:val="NormalWeb"/>
              <w:spacing w:before="0" w:beforeAutospacing="0" w:after="0" w:afterAutospacing="0"/>
              <w:rPr>
                <w:rFonts w:ascii="Arial" w:hAnsi="Arial" w:cs="Arial"/>
                <w:b/>
                <w:bCs/>
                <w:color w:val="000000"/>
                <w:sz w:val="16"/>
                <w:szCs w:val="16"/>
              </w:rPr>
            </w:pPr>
            <w:r w:rsidRPr="00601402">
              <w:rPr>
                <w:rFonts w:ascii="Arial" w:hAnsi="Arial" w:cs="Arial"/>
                <w:b/>
                <w:bCs/>
                <w:color w:val="000000"/>
                <w:sz w:val="16"/>
                <w:szCs w:val="16"/>
              </w:rPr>
              <w:t>Anticipated absolute effects</w:t>
            </w:r>
          </w:p>
        </w:tc>
      </w:tr>
      <w:tr w:rsidR="00596BE0" w:rsidRPr="00601402" w14:paraId="52876994" w14:textId="77777777" w:rsidTr="00596BE0">
        <w:trPr>
          <w:cantSplit/>
          <w:tblHeader/>
        </w:trPr>
        <w:tc>
          <w:tcPr>
            <w:tcW w:w="1203" w:type="pct"/>
            <w:vMerge/>
            <w:tcBorders>
              <w:top w:val="single" w:sz="12" w:space="0" w:color="000000"/>
              <w:left w:val="nil"/>
              <w:bottom w:val="single" w:sz="6" w:space="0" w:color="000000"/>
              <w:right w:val="nil"/>
            </w:tcBorders>
            <w:vAlign w:val="center"/>
          </w:tcPr>
          <w:p w14:paraId="029DE932" w14:textId="77777777" w:rsidR="00596BE0" w:rsidRPr="00601402" w:rsidRDefault="00596BE0" w:rsidP="00596BE0">
            <w:pPr>
              <w:rPr>
                <w:rFonts w:ascii="Arial" w:hAnsi="Arial" w:cs="Arial"/>
                <w:b/>
                <w:bCs/>
                <w:color w:val="FFFFFF"/>
                <w:sz w:val="16"/>
                <w:szCs w:val="16"/>
              </w:rPr>
            </w:pPr>
          </w:p>
        </w:tc>
        <w:tc>
          <w:tcPr>
            <w:tcW w:w="759" w:type="pct"/>
            <w:vMerge/>
            <w:tcBorders>
              <w:top w:val="single" w:sz="12" w:space="0" w:color="000000"/>
              <w:left w:val="nil"/>
              <w:bottom w:val="single" w:sz="6" w:space="0" w:color="000000"/>
              <w:right w:val="nil"/>
            </w:tcBorders>
            <w:vAlign w:val="center"/>
          </w:tcPr>
          <w:p w14:paraId="7F07C8A0" w14:textId="77777777" w:rsidR="00596BE0" w:rsidRPr="00601402" w:rsidRDefault="00596BE0" w:rsidP="00596BE0">
            <w:pPr>
              <w:rPr>
                <w:rFonts w:ascii="Arial" w:hAnsi="Arial" w:cs="Arial"/>
                <w:b/>
                <w:bCs/>
                <w:color w:val="FFFFFF"/>
                <w:sz w:val="16"/>
                <w:szCs w:val="16"/>
              </w:rPr>
            </w:pPr>
          </w:p>
        </w:tc>
        <w:tc>
          <w:tcPr>
            <w:tcW w:w="444" w:type="pct"/>
            <w:vMerge/>
            <w:tcBorders>
              <w:top w:val="single" w:sz="12" w:space="0" w:color="000000"/>
              <w:left w:val="nil"/>
              <w:bottom w:val="single" w:sz="6" w:space="0" w:color="000000"/>
              <w:right w:val="nil"/>
            </w:tcBorders>
            <w:vAlign w:val="center"/>
          </w:tcPr>
          <w:p w14:paraId="68A89B6F" w14:textId="77777777" w:rsidR="00596BE0" w:rsidRPr="00601402" w:rsidRDefault="00596BE0" w:rsidP="00596BE0">
            <w:pPr>
              <w:rPr>
                <w:rFonts w:ascii="Arial" w:hAnsi="Arial" w:cs="Arial"/>
                <w:b/>
                <w:bCs/>
                <w:color w:val="FFFFFF"/>
                <w:sz w:val="16"/>
                <w:szCs w:val="16"/>
              </w:rPr>
            </w:pPr>
          </w:p>
        </w:tc>
        <w:tc>
          <w:tcPr>
            <w:tcW w:w="696" w:type="pct"/>
            <w:vMerge/>
            <w:tcBorders>
              <w:top w:val="single" w:sz="12" w:space="0" w:color="000000"/>
              <w:left w:val="nil"/>
              <w:bottom w:val="single" w:sz="6" w:space="0" w:color="000000"/>
              <w:right w:val="nil"/>
            </w:tcBorders>
            <w:vAlign w:val="center"/>
          </w:tcPr>
          <w:p w14:paraId="275FE517" w14:textId="77777777" w:rsidR="00596BE0" w:rsidRPr="00601402" w:rsidRDefault="00596BE0" w:rsidP="00596BE0">
            <w:pPr>
              <w:rPr>
                <w:rFonts w:ascii="Arial" w:hAnsi="Arial" w:cs="Arial"/>
                <w:b/>
                <w:bCs/>
                <w:color w:val="FFFFFF"/>
                <w:sz w:val="16"/>
                <w:szCs w:val="16"/>
              </w:rPr>
            </w:pPr>
          </w:p>
        </w:tc>
        <w:tc>
          <w:tcPr>
            <w:tcW w:w="886" w:type="pct"/>
            <w:tcBorders>
              <w:top w:val="single" w:sz="12" w:space="0" w:color="000000"/>
              <w:left w:val="nil"/>
              <w:bottom w:val="single" w:sz="6" w:space="0" w:color="000000"/>
              <w:right w:val="nil"/>
            </w:tcBorders>
            <w:shd w:val="clear" w:color="auto" w:fill="D3D3D3"/>
            <w:vAlign w:val="center"/>
          </w:tcPr>
          <w:p w14:paraId="24E46F2F" w14:textId="77777777" w:rsidR="00596BE0" w:rsidRPr="00601402" w:rsidRDefault="00596BE0" w:rsidP="00596BE0">
            <w:pPr>
              <w:pStyle w:val="NormalWeb"/>
              <w:spacing w:before="0" w:beforeAutospacing="0" w:after="0" w:afterAutospacing="0"/>
              <w:rPr>
                <w:rFonts w:ascii="Arial" w:hAnsi="Arial" w:cs="Arial"/>
                <w:b/>
                <w:bCs/>
                <w:color w:val="000000"/>
                <w:sz w:val="16"/>
                <w:szCs w:val="16"/>
              </w:rPr>
            </w:pPr>
            <w:r w:rsidRPr="00601402">
              <w:rPr>
                <w:rFonts w:ascii="Arial" w:hAnsi="Arial" w:cs="Arial"/>
                <w:b/>
                <w:bCs/>
                <w:color w:val="000000"/>
                <w:sz w:val="16"/>
                <w:szCs w:val="16"/>
              </w:rPr>
              <w:t>Risk with standard of care</w:t>
            </w:r>
          </w:p>
        </w:tc>
        <w:tc>
          <w:tcPr>
            <w:tcW w:w="1012" w:type="pct"/>
            <w:tcBorders>
              <w:top w:val="single" w:sz="12" w:space="0" w:color="000000"/>
              <w:left w:val="nil"/>
              <w:bottom w:val="single" w:sz="6" w:space="0" w:color="000000"/>
              <w:right w:val="nil"/>
            </w:tcBorders>
            <w:shd w:val="clear" w:color="auto" w:fill="D3D3D3"/>
            <w:vAlign w:val="center"/>
          </w:tcPr>
          <w:p w14:paraId="6A8A3104" w14:textId="77777777" w:rsidR="00596BE0" w:rsidRPr="00601402" w:rsidRDefault="00596BE0" w:rsidP="00596BE0">
            <w:pPr>
              <w:pStyle w:val="NormalWeb"/>
              <w:spacing w:before="0" w:beforeAutospacing="0" w:after="0" w:afterAutospacing="0"/>
              <w:rPr>
                <w:rFonts w:ascii="Arial" w:hAnsi="Arial" w:cs="Arial"/>
                <w:b/>
                <w:bCs/>
                <w:color w:val="000000"/>
                <w:sz w:val="16"/>
                <w:szCs w:val="16"/>
              </w:rPr>
            </w:pPr>
            <w:r w:rsidRPr="00601402">
              <w:rPr>
                <w:rFonts w:ascii="Arial" w:hAnsi="Arial" w:cs="Arial"/>
                <w:b/>
                <w:bCs/>
                <w:color w:val="000000"/>
                <w:sz w:val="16"/>
                <w:szCs w:val="16"/>
              </w:rPr>
              <w:t>Risk difference with dupilumab</w:t>
            </w:r>
          </w:p>
        </w:tc>
      </w:tr>
      <w:tr w:rsidR="00596BE0" w:rsidRPr="00601402" w14:paraId="79D1C501" w14:textId="77777777" w:rsidTr="00596BE0">
        <w:trPr>
          <w:cantSplit/>
        </w:trPr>
        <w:tc>
          <w:tcPr>
            <w:tcW w:w="1203" w:type="pct"/>
            <w:tcBorders>
              <w:top w:val="single" w:sz="6" w:space="0" w:color="000000"/>
              <w:left w:val="nil"/>
              <w:bottom w:val="single" w:sz="6" w:space="0" w:color="000000"/>
              <w:right w:val="nil"/>
            </w:tcBorders>
            <w:vAlign w:val="center"/>
          </w:tcPr>
          <w:p w14:paraId="2FEA27A9" w14:textId="77777777" w:rsidR="00596BE0" w:rsidRPr="00601402" w:rsidRDefault="00596BE0" w:rsidP="00596BE0">
            <w:pPr>
              <w:rPr>
                <w:rStyle w:val="label"/>
                <w:rFonts w:ascii="Arial" w:hAnsi="Arial" w:cs="Arial"/>
                <w:b/>
                <w:sz w:val="16"/>
                <w:szCs w:val="16"/>
              </w:rPr>
            </w:pPr>
            <w:r w:rsidRPr="00601402">
              <w:rPr>
                <w:rStyle w:val="label"/>
                <w:rFonts w:ascii="Arial" w:hAnsi="Arial" w:cs="Arial"/>
                <w:b/>
                <w:sz w:val="16"/>
                <w:szCs w:val="16"/>
              </w:rPr>
              <w:t xml:space="preserve">Exacerbations </w:t>
            </w:r>
          </w:p>
          <w:p w14:paraId="45005084" w14:textId="77777777" w:rsidR="00596BE0" w:rsidRPr="00601402" w:rsidRDefault="00596BE0" w:rsidP="00596BE0">
            <w:pPr>
              <w:rPr>
                <w:rStyle w:val="label"/>
                <w:rFonts w:ascii="Arial" w:hAnsi="Arial" w:cs="Arial"/>
                <w:sz w:val="16"/>
                <w:szCs w:val="16"/>
              </w:rPr>
            </w:pPr>
            <w:r w:rsidRPr="00601402">
              <w:rPr>
                <w:rStyle w:val="label"/>
                <w:rFonts w:ascii="Arial" w:hAnsi="Arial" w:cs="Arial"/>
                <w:sz w:val="16"/>
                <w:szCs w:val="16"/>
              </w:rPr>
              <w:t>Assessed with annualised asthma exacerbation rate</w:t>
            </w:r>
          </w:p>
          <w:p w14:paraId="381DB4CA" w14:textId="77777777" w:rsidR="00596BE0" w:rsidRPr="00601402" w:rsidRDefault="00596BE0" w:rsidP="00596BE0">
            <w:pPr>
              <w:rPr>
                <w:rStyle w:val="label"/>
                <w:rFonts w:ascii="Arial" w:hAnsi="Arial" w:cs="Arial"/>
                <w:sz w:val="16"/>
                <w:szCs w:val="16"/>
              </w:rPr>
            </w:pPr>
          </w:p>
        </w:tc>
        <w:tc>
          <w:tcPr>
            <w:tcW w:w="759" w:type="pct"/>
            <w:tcBorders>
              <w:top w:val="single" w:sz="6" w:space="0" w:color="000000"/>
              <w:left w:val="nil"/>
              <w:bottom w:val="single" w:sz="6" w:space="0" w:color="000000"/>
              <w:right w:val="nil"/>
            </w:tcBorders>
            <w:vAlign w:val="center"/>
          </w:tcPr>
          <w:p w14:paraId="66AD853E" w14:textId="77777777" w:rsidR="00596BE0" w:rsidRPr="00601402" w:rsidRDefault="00596BE0" w:rsidP="00596BE0">
            <w:pPr>
              <w:rPr>
                <w:rFonts w:ascii="Arial" w:hAnsi="Arial" w:cs="Arial"/>
                <w:sz w:val="16"/>
                <w:szCs w:val="16"/>
              </w:rPr>
            </w:pPr>
            <w:r w:rsidRPr="00601402">
              <w:rPr>
                <w:rFonts w:ascii="Arial" w:hAnsi="Arial" w:cs="Arial"/>
                <w:sz w:val="16"/>
                <w:szCs w:val="16"/>
              </w:rPr>
              <w:t xml:space="preserve">1712 </w:t>
            </w:r>
          </w:p>
          <w:p w14:paraId="29DD8FE4" w14:textId="77777777" w:rsidR="00596BE0" w:rsidRPr="00601402" w:rsidRDefault="00596BE0" w:rsidP="00596BE0">
            <w:pPr>
              <w:rPr>
                <w:rFonts w:ascii="Arial" w:hAnsi="Arial" w:cs="Arial"/>
                <w:sz w:val="16"/>
                <w:szCs w:val="16"/>
                <w:vertAlign w:val="superscript"/>
              </w:rPr>
            </w:pPr>
            <w:r w:rsidRPr="00601402">
              <w:rPr>
                <w:rFonts w:ascii="Arial" w:hAnsi="Arial" w:cs="Arial"/>
                <w:sz w:val="16"/>
                <w:szCs w:val="16"/>
              </w:rPr>
              <w:t xml:space="preserve">(3 RCTs) </w:t>
            </w:r>
            <w:r w:rsidRPr="00601402">
              <w:rPr>
                <w:rFonts w:ascii="Arial" w:hAnsi="Arial" w:cs="Arial"/>
                <w:sz w:val="16"/>
                <w:szCs w:val="16"/>
                <w:vertAlign w:val="superscript"/>
              </w:rPr>
              <w:t>42,43,44</w:t>
            </w:r>
          </w:p>
          <w:p w14:paraId="33E5D4AD" w14:textId="77777777" w:rsidR="00596BE0" w:rsidRPr="00601402" w:rsidRDefault="00596BE0" w:rsidP="00596BE0">
            <w:pPr>
              <w:rPr>
                <w:rFonts w:ascii="Arial" w:hAnsi="Arial" w:cs="Arial"/>
                <w:sz w:val="16"/>
                <w:szCs w:val="16"/>
              </w:rPr>
            </w:pPr>
            <w:r w:rsidRPr="00601402">
              <w:rPr>
                <w:rStyle w:val="label"/>
                <w:rFonts w:ascii="Arial" w:hAnsi="Arial" w:cs="Arial"/>
                <w:sz w:val="16"/>
                <w:szCs w:val="16"/>
              </w:rPr>
              <w:t>24 to 52 weeks</w:t>
            </w:r>
          </w:p>
        </w:tc>
        <w:tc>
          <w:tcPr>
            <w:tcW w:w="444" w:type="pct"/>
            <w:tcBorders>
              <w:top w:val="single" w:sz="6" w:space="0" w:color="000000"/>
              <w:left w:val="nil"/>
              <w:bottom w:val="single" w:sz="6" w:space="0" w:color="000000"/>
              <w:right w:val="nil"/>
            </w:tcBorders>
            <w:vAlign w:val="center"/>
          </w:tcPr>
          <w:p w14:paraId="131CC931" w14:textId="77777777" w:rsidR="00596BE0" w:rsidRPr="00601402" w:rsidRDefault="00596BE0" w:rsidP="00596BE0">
            <w:pPr>
              <w:rPr>
                <w:rStyle w:val="quality-sign"/>
                <w:rFonts w:ascii="Arial" w:hAnsi="Arial" w:cs="Arial"/>
                <w:sz w:val="16"/>
                <w:szCs w:val="16"/>
              </w:rPr>
            </w:pPr>
            <w:r w:rsidRPr="00601402">
              <w:rPr>
                <w:rStyle w:val="quality-sign"/>
                <w:rFonts w:ascii="Cambria Math" w:hAnsi="Cambria Math" w:cs="Cambria Math"/>
                <w:sz w:val="16"/>
                <w:szCs w:val="16"/>
              </w:rPr>
              <w:t>⨁⨁⨁⨁</w:t>
            </w:r>
            <w:r w:rsidRPr="00601402">
              <w:rPr>
                <w:rFonts w:ascii="Arial" w:hAnsi="Arial" w:cs="Arial"/>
                <w:sz w:val="16"/>
                <w:szCs w:val="16"/>
              </w:rPr>
              <w:br/>
            </w:r>
            <w:r w:rsidRPr="00601402">
              <w:rPr>
                <w:rStyle w:val="quality-text"/>
                <w:rFonts w:ascii="Arial" w:hAnsi="Arial" w:cs="Arial"/>
                <w:sz w:val="16"/>
                <w:szCs w:val="16"/>
              </w:rPr>
              <w:t>HIGH</w:t>
            </w:r>
            <w:proofErr w:type="gramStart"/>
            <w:r w:rsidRPr="00601402">
              <w:rPr>
                <w:rFonts w:ascii="Arial" w:hAnsi="Arial" w:cs="Arial"/>
                <w:sz w:val="16"/>
                <w:szCs w:val="16"/>
                <w:vertAlign w:val="superscript"/>
              </w:rPr>
              <w:t>4</w:t>
            </w:r>
            <w:r w:rsidRPr="00601402">
              <w:rPr>
                <w:rStyle w:val="comma"/>
                <w:rFonts w:ascii="Arial" w:hAnsi="Arial" w:cs="Arial"/>
                <w:sz w:val="16"/>
                <w:szCs w:val="16"/>
                <w:vertAlign w:val="superscript"/>
              </w:rPr>
              <w:t>,</w:t>
            </w:r>
            <w:r w:rsidRPr="00601402">
              <w:rPr>
                <w:rFonts w:ascii="Arial" w:hAnsi="Arial" w:cs="Arial"/>
                <w:sz w:val="16"/>
                <w:szCs w:val="16"/>
                <w:vertAlign w:val="superscript"/>
              </w:rPr>
              <w:t>a</w:t>
            </w:r>
            <w:proofErr w:type="gramEnd"/>
            <w:r w:rsidRPr="00601402">
              <w:rPr>
                <w:rStyle w:val="comma"/>
                <w:rFonts w:ascii="Arial" w:hAnsi="Arial" w:cs="Arial"/>
                <w:sz w:val="16"/>
                <w:szCs w:val="16"/>
                <w:vertAlign w:val="superscript"/>
              </w:rPr>
              <w:t>,</w:t>
            </w:r>
            <w:r w:rsidRPr="00601402">
              <w:rPr>
                <w:rFonts w:ascii="Arial" w:hAnsi="Arial" w:cs="Arial"/>
                <w:sz w:val="16"/>
                <w:szCs w:val="16"/>
                <w:vertAlign w:val="superscript"/>
              </w:rPr>
              <w:t>b</w:t>
            </w:r>
          </w:p>
        </w:tc>
        <w:tc>
          <w:tcPr>
            <w:tcW w:w="696" w:type="pct"/>
            <w:tcBorders>
              <w:top w:val="single" w:sz="6" w:space="0" w:color="000000"/>
              <w:left w:val="nil"/>
              <w:bottom w:val="single" w:sz="6" w:space="0" w:color="000000"/>
              <w:right w:val="nil"/>
            </w:tcBorders>
            <w:vAlign w:val="center"/>
          </w:tcPr>
          <w:p w14:paraId="525F1632" w14:textId="52F04A17" w:rsidR="00596BE0" w:rsidRPr="00601402" w:rsidRDefault="00256864" w:rsidP="00596BE0">
            <w:pPr>
              <w:rPr>
                <w:rStyle w:val="cell"/>
                <w:rFonts w:ascii="Arial" w:hAnsi="Arial" w:cs="Arial"/>
                <w:sz w:val="16"/>
                <w:szCs w:val="16"/>
              </w:rPr>
            </w:pPr>
            <w:r>
              <w:rPr>
                <w:rStyle w:val="block"/>
                <w:rFonts w:ascii="Arial" w:hAnsi="Arial" w:cs="Arial"/>
                <w:b/>
                <w:bCs/>
                <w:sz w:val="16"/>
                <w:szCs w:val="16"/>
              </w:rPr>
              <w:t>Incidence r</w:t>
            </w:r>
            <w:r w:rsidR="00596BE0" w:rsidRPr="00601402">
              <w:rPr>
                <w:rStyle w:val="block"/>
                <w:rFonts w:ascii="Arial" w:hAnsi="Arial" w:cs="Arial"/>
                <w:b/>
                <w:bCs/>
                <w:sz w:val="16"/>
                <w:szCs w:val="16"/>
              </w:rPr>
              <w:t>ate ratio 0.44</w:t>
            </w:r>
            <w:r w:rsidR="00596BE0" w:rsidRPr="00601402">
              <w:rPr>
                <w:rStyle w:val="cell"/>
                <w:rFonts w:ascii="Arial" w:hAnsi="Arial" w:cs="Arial"/>
                <w:sz w:val="16"/>
                <w:szCs w:val="16"/>
              </w:rPr>
              <w:t>(0.32 to 0.59)</w:t>
            </w:r>
            <w:r w:rsidR="00596BE0" w:rsidRPr="00601402">
              <w:rPr>
                <w:rFonts w:ascii="Arial" w:hAnsi="Arial" w:cs="Arial"/>
                <w:sz w:val="16"/>
                <w:szCs w:val="16"/>
              </w:rPr>
              <w:t xml:space="preserve"> </w:t>
            </w:r>
          </w:p>
        </w:tc>
        <w:tc>
          <w:tcPr>
            <w:tcW w:w="886" w:type="pct"/>
            <w:tcBorders>
              <w:top w:val="single" w:sz="6" w:space="0" w:color="000000"/>
              <w:left w:val="nil"/>
              <w:bottom w:val="single" w:sz="6" w:space="0" w:color="000000"/>
              <w:right w:val="nil"/>
            </w:tcBorders>
            <w:shd w:val="clear" w:color="auto" w:fill="EDEDED"/>
            <w:vAlign w:val="center"/>
          </w:tcPr>
          <w:p w14:paraId="24E35B40" w14:textId="77777777" w:rsidR="00596BE0" w:rsidRPr="00601402" w:rsidRDefault="00596BE0" w:rsidP="00596BE0">
            <w:pPr>
              <w:rPr>
                <w:rFonts w:ascii="Arial" w:hAnsi="Arial" w:cs="Arial"/>
                <w:sz w:val="16"/>
                <w:szCs w:val="16"/>
              </w:rPr>
            </w:pPr>
            <w:r w:rsidRPr="00601402">
              <w:rPr>
                <w:rFonts w:ascii="Arial" w:hAnsi="Arial" w:cs="Arial"/>
                <w:sz w:val="16"/>
                <w:szCs w:val="16"/>
              </w:rPr>
              <w:t xml:space="preserve">1570 exacerbations per 1000 patients per year  </w:t>
            </w:r>
          </w:p>
        </w:tc>
        <w:tc>
          <w:tcPr>
            <w:tcW w:w="1012" w:type="pct"/>
            <w:tcBorders>
              <w:top w:val="single" w:sz="6" w:space="0" w:color="000000"/>
              <w:left w:val="nil"/>
              <w:bottom w:val="single" w:sz="6" w:space="0" w:color="000000"/>
              <w:right w:val="nil"/>
            </w:tcBorders>
            <w:shd w:val="clear" w:color="auto" w:fill="EDEDED"/>
            <w:vAlign w:val="center"/>
          </w:tcPr>
          <w:p w14:paraId="41306CFC" w14:textId="77777777" w:rsidR="00596BE0" w:rsidRPr="00601402" w:rsidRDefault="00596BE0" w:rsidP="00596BE0">
            <w:pPr>
              <w:rPr>
                <w:rStyle w:val="cell-value"/>
                <w:rFonts w:ascii="Arial" w:hAnsi="Arial" w:cs="Arial"/>
                <w:sz w:val="16"/>
                <w:szCs w:val="16"/>
              </w:rPr>
            </w:pPr>
            <w:r w:rsidRPr="00601402">
              <w:rPr>
                <w:rStyle w:val="cell-value"/>
                <w:rFonts w:ascii="Arial" w:hAnsi="Arial" w:cs="Arial"/>
                <w:b/>
                <w:bCs/>
                <w:sz w:val="16"/>
                <w:szCs w:val="16"/>
              </w:rPr>
              <w:t>894 fewer exacerbations per 1000 patients per year</w:t>
            </w:r>
            <w:r w:rsidRPr="00601402">
              <w:rPr>
                <w:rFonts w:ascii="Arial" w:hAnsi="Arial" w:cs="Arial"/>
                <w:sz w:val="16"/>
                <w:szCs w:val="16"/>
              </w:rPr>
              <w:br/>
            </w:r>
            <w:r w:rsidRPr="00601402">
              <w:rPr>
                <w:rStyle w:val="cell-value"/>
                <w:rFonts w:ascii="Arial" w:hAnsi="Arial" w:cs="Arial"/>
                <w:sz w:val="16"/>
                <w:szCs w:val="16"/>
              </w:rPr>
              <w:t xml:space="preserve">(1086 fewer to 655 </w:t>
            </w:r>
            <w:proofErr w:type="gramStart"/>
            <w:r w:rsidRPr="00601402">
              <w:rPr>
                <w:rStyle w:val="cell-value"/>
                <w:rFonts w:ascii="Arial" w:hAnsi="Arial" w:cs="Arial"/>
                <w:sz w:val="16"/>
                <w:szCs w:val="16"/>
              </w:rPr>
              <w:t>fewer)</w:t>
            </w:r>
            <w:r w:rsidRPr="00601402">
              <w:rPr>
                <w:rStyle w:val="cell-value"/>
                <w:rFonts w:ascii="Arial" w:hAnsi="Arial" w:cs="Arial"/>
                <w:sz w:val="16"/>
                <w:szCs w:val="16"/>
                <w:vertAlign w:val="superscript"/>
              </w:rPr>
              <w:t>c</w:t>
            </w:r>
            <w:proofErr w:type="gramEnd"/>
            <w:r w:rsidRPr="00601402">
              <w:rPr>
                <w:rFonts w:ascii="Arial" w:hAnsi="Arial" w:cs="Arial"/>
                <w:sz w:val="16"/>
                <w:szCs w:val="16"/>
                <w:vertAlign w:val="superscript"/>
              </w:rPr>
              <w:t xml:space="preserve"> </w:t>
            </w:r>
          </w:p>
        </w:tc>
      </w:tr>
      <w:tr w:rsidR="00596BE0" w:rsidRPr="00601402" w14:paraId="7B95A82F" w14:textId="77777777" w:rsidTr="00596BE0">
        <w:trPr>
          <w:cantSplit/>
          <w:trHeight w:val="445"/>
        </w:trPr>
        <w:tc>
          <w:tcPr>
            <w:tcW w:w="1203" w:type="pct"/>
            <w:tcBorders>
              <w:top w:val="single" w:sz="6" w:space="0" w:color="000000"/>
              <w:left w:val="nil"/>
              <w:bottom w:val="single" w:sz="6" w:space="0" w:color="000000"/>
              <w:right w:val="nil"/>
            </w:tcBorders>
            <w:vAlign w:val="center"/>
          </w:tcPr>
          <w:p w14:paraId="7F7F9FCF" w14:textId="77777777" w:rsidR="00596BE0" w:rsidRPr="00601402" w:rsidRDefault="00596BE0" w:rsidP="00596BE0">
            <w:pPr>
              <w:rPr>
                <w:rStyle w:val="label"/>
                <w:rFonts w:ascii="Arial" w:hAnsi="Arial" w:cs="Arial"/>
                <w:sz w:val="16"/>
                <w:szCs w:val="16"/>
              </w:rPr>
            </w:pPr>
            <w:r w:rsidRPr="00601402">
              <w:rPr>
                <w:rStyle w:val="label"/>
                <w:rFonts w:ascii="Arial" w:hAnsi="Arial" w:cs="Arial"/>
                <w:b/>
                <w:sz w:val="16"/>
                <w:szCs w:val="16"/>
              </w:rPr>
              <w:t>Asthma control</w:t>
            </w:r>
            <w:r w:rsidRPr="00601402">
              <w:rPr>
                <w:rStyle w:val="label"/>
                <w:rFonts w:ascii="Arial" w:hAnsi="Arial" w:cs="Arial"/>
                <w:sz w:val="16"/>
                <w:szCs w:val="16"/>
              </w:rPr>
              <w:t xml:space="preserve"> </w:t>
            </w:r>
            <w:r w:rsidRPr="00601402">
              <w:rPr>
                <w:rFonts w:ascii="Arial" w:hAnsi="Arial" w:cs="Arial"/>
                <w:sz w:val="16"/>
                <w:szCs w:val="16"/>
              </w:rPr>
              <w:br/>
            </w:r>
            <w:r w:rsidRPr="00601402">
              <w:rPr>
                <w:rStyle w:val="label"/>
                <w:rFonts w:ascii="Arial" w:hAnsi="Arial" w:cs="Arial"/>
                <w:sz w:val="16"/>
                <w:szCs w:val="16"/>
              </w:rPr>
              <w:t>assessed with: Asthma Control Questionnaire -5</w:t>
            </w:r>
            <w:r w:rsidRPr="00601402">
              <w:rPr>
                <w:rFonts w:ascii="Arial" w:hAnsi="Arial" w:cs="Arial"/>
                <w:sz w:val="16"/>
                <w:szCs w:val="16"/>
              </w:rPr>
              <w:br/>
            </w:r>
            <w:r w:rsidRPr="00601402">
              <w:rPr>
                <w:rStyle w:val="label"/>
                <w:rFonts w:ascii="Arial" w:hAnsi="Arial" w:cs="Arial"/>
                <w:sz w:val="16"/>
                <w:szCs w:val="16"/>
              </w:rPr>
              <w:t>Scale from: 1 to 5</w:t>
            </w:r>
          </w:p>
        </w:tc>
        <w:tc>
          <w:tcPr>
            <w:tcW w:w="759" w:type="pct"/>
            <w:tcBorders>
              <w:top w:val="single" w:sz="6" w:space="0" w:color="000000"/>
              <w:left w:val="nil"/>
              <w:bottom w:val="single" w:sz="6" w:space="0" w:color="000000"/>
              <w:right w:val="nil"/>
            </w:tcBorders>
            <w:vAlign w:val="center"/>
          </w:tcPr>
          <w:p w14:paraId="5E22D07E" w14:textId="77777777" w:rsidR="00596BE0" w:rsidRPr="00601402" w:rsidRDefault="00596BE0" w:rsidP="00596BE0">
            <w:pPr>
              <w:rPr>
                <w:rFonts w:ascii="Arial" w:hAnsi="Arial" w:cs="Arial"/>
                <w:sz w:val="16"/>
                <w:szCs w:val="16"/>
                <w:vertAlign w:val="superscript"/>
              </w:rPr>
            </w:pPr>
            <w:r w:rsidRPr="00601402">
              <w:rPr>
                <w:rFonts w:ascii="Arial" w:hAnsi="Arial" w:cs="Arial"/>
                <w:sz w:val="16"/>
                <w:szCs w:val="16"/>
              </w:rPr>
              <w:t>507</w:t>
            </w:r>
            <w:r w:rsidRPr="00601402">
              <w:rPr>
                <w:rFonts w:ascii="Arial" w:hAnsi="Arial" w:cs="Arial"/>
                <w:sz w:val="16"/>
                <w:szCs w:val="16"/>
              </w:rPr>
              <w:br/>
              <w:t xml:space="preserve">(1 RCT) </w:t>
            </w:r>
            <w:r w:rsidRPr="00601402">
              <w:rPr>
                <w:rFonts w:ascii="Arial" w:hAnsi="Arial" w:cs="Arial"/>
                <w:sz w:val="16"/>
                <w:szCs w:val="16"/>
                <w:vertAlign w:val="superscript"/>
              </w:rPr>
              <w:t>42</w:t>
            </w:r>
          </w:p>
          <w:p w14:paraId="78A55B32" w14:textId="77777777" w:rsidR="00596BE0" w:rsidRPr="00601402" w:rsidRDefault="00596BE0" w:rsidP="00596BE0">
            <w:pPr>
              <w:rPr>
                <w:rFonts w:ascii="Arial" w:hAnsi="Arial" w:cs="Arial"/>
                <w:sz w:val="16"/>
                <w:szCs w:val="16"/>
              </w:rPr>
            </w:pPr>
            <w:r w:rsidRPr="00601402">
              <w:rPr>
                <w:rStyle w:val="label"/>
                <w:rFonts w:ascii="Arial" w:hAnsi="Arial" w:cs="Arial"/>
                <w:sz w:val="16"/>
                <w:szCs w:val="16"/>
              </w:rPr>
              <w:t>24 weeks</w:t>
            </w:r>
          </w:p>
        </w:tc>
        <w:tc>
          <w:tcPr>
            <w:tcW w:w="444" w:type="pct"/>
            <w:tcBorders>
              <w:top w:val="single" w:sz="6" w:space="0" w:color="000000"/>
              <w:left w:val="nil"/>
              <w:bottom w:val="single" w:sz="6" w:space="0" w:color="000000"/>
              <w:right w:val="nil"/>
            </w:tcBorders>
            <w:vAlign w:val="center"/>
          </w:tcPr>
          <w:p w14:paraId="7AA87CCE" w14:textId="77777777" w:rsidR="00596BE0" w:rsidRPr="00601402" w:rsidRDefault="00596BE0" w:rsidP="00596BE0">
            <w:pPr>
              <w:rPr>
                <w:rStyle w:val="quality-sign"/>
                <w:rFonts w:ascii="Cambria Math" w:hAnsi="Cambria Math" w:cs="Cambria Math"/>
                <w:sz w:val="16"/>
                <w:szCs w:val="16"/>
              </w:rPr>
            </w:pPr>
            <w:r w:rsidRPr="00601402">
              <w:rPr>
                <w:rStyle w:val="quality-sign"/>
                <w:rFonts w:ascii="Cambria Math" w:hAnsi="Cambria Math" w:cs="Cambria Math"/>
                <w:sz w:val="16"/>
                <w:szCs w:val="16"/>
              </w:rPr>
              <w:t>⨁⨁⨁</w:t>
            </w:r>
            <w:r w:rsidRPr="00601402">
              <w:rPr>
                <w:rStyle w:val="quality-sign"/>
                <w:rFonts w:ascii="Segoe UI Symbol" w:eastAsia="MS Mincho" w:hAnsi="Segoe UI Symbol" w:cs="Segoe UI Symbol"/>
                <w:sz w:val="16"/>
                <w:szCs w:val="16"/>
              </w:rPr>
              <w:t>◯</w:t>
            </w:r>
            <w:r w:rsidRPr="00601402">
              <w:rPr>
                <w:rFonts w:ascii="Arial" w:hAnsi="Arial" w:cs="Arial"/>
                <w:sz w:val="16"/>
                <w:szCs w:val="16"/>
              </w:rPr>
              <w:br/>
            </w:r>
            <w:r w:rsidRPr="00601402">
              <w:rPr>
                <w:rStyle w:val="quality-text"/>
                <w:rFonts w:ascii="Arial" w:hAnsi="Arial" w:cs="Arial"/>
                <w:sz w:val="16"/>
                <w:szCs w:val="16"/>
              </w:rPr>
              <w:t>MODERATE</w:t>
            </w:r>
            <w:r w:rsidRPr="00601402">
              <w:rPr>
                <w:rFonts w:ascii="Arial" w:hAnsi="Arial" w:cs="Arial"/>
                <w:sz w:val="16"/>
                <w:szCs w:val="16"/>
              </w:rPr>
              <w:t xml:space="preserve"> </w:t>
            </w:r>
            <w:r w:rsidRPr="00601402">
              <w:rPr>
                <w:rFonts w:ascii="Arial" w:hAnsi="Arial" w:cs="Arial"/>
                <w:sz w:val="16"/>
                <w:szCs w:val="16"/>
                <w:vertAlign w:val="superscript"/>
              </w:rPr>
              <w:t>4</w:t>
            </w:r>
            <w:r w:rsidRPr="00601402">
              <w:rPr>
                <w:rStyle w:val="comma"/>
                <w:rFonts w:ascii="Arial" w:hAnsi="Arial" w:cs="Arial"/>
                <w:sz w:val="16"/>
                <w:szCs w:val="16"/>
                <w:vertAlign w:val="superscript"/>
              </w:rPr>
              <w:t>,</w:t>
            </w:r>
            <w:proofErr w:type="gramStart"/>
            <w:r w:rsidRPr="00601402">
              <w:rPr>
                <w:rFonts w:ascii="Arial" w:hAnsi="Arial" w:cs="Arial"/>
                <w:sz w:val="16"/>
                <w:szCs w:val="16"/>
                <w:vertAlign w:val="superscript"/>
              </w:rPr>
              <w:t>8</w:t>
            </w:r>
            <w:r w:rsidRPr="00601402">
              <w:rPr>
                <w:rStyle w:val="comma"/>
                <w:rFonts w:ascii="Arial" w:hAnsi="Arial" w:cs="Arial"/>
                <w:sz w:val="16"/>
                <w:szCs w:val="16"/>
                <w:vertAlign w:val="superscript"/>
              </w:rPr>
              <w:t>,</w:t>
            </w:r>
            <w:r w:rsidRPr="00601402">
              <w:rPr>
                <w:rFonts w:ascii="Arial" w:hAnsi="Arial" w:cs="Arial"/>
                <w:sz w:val="16"/>
                <w:szCs w:val="16"/>
                <w:vertAlign w:val="superscript"/>
              </w:rPr>
              <w:t>a</w:t>
            </w:r>
            <w:proofErr w:type="gramEnd"/>
            <w:r w:rsidRPr="00601402">
              <w:rPr>
                <w:rStyle w:val="comma"/>
                <w:rFonts w:ascii="Arial" w:hAnsi="Arial" w:cs="Arial"/>
                <w:sz w:val="16"/>
                <w:szCs w:val="16"/>
                <w:vertAlign w:val="superscript"/>
              </w:rPr>
              <w:t>,</w:t>
            </w:r>
            <w:r w:rsidRPr="00601402">
              <w:rPr>
                <w:rFonts w:ascii="Arial" w:hAnsi="Arial" w:cs="Arial"/>
                <w:sz w:val="16"/>
                <w:szCs w:val="16"/>
                <w:vertAlign w:val="superscript"/>
              </w:rPr>
              <w:t>b</w:t>
            </w:r>
            <w:r w:rsidRPr="00601402">
              <w:rPr>
                <w:rStyle w:val="comma"/>
                <w:rFonts w:ascii="Arial" w:hAnsi="Arial" w:cs="Arial"/>
                <w:sz w:val="16"/>
                <w:szCs w:val="16"/>
                <w:vertAlign w:val="superscript"/>
              </w:rPr>
              <w:t>,</w:t>
            </w:r>
            <w:r w:rsidRPr="00601402">
              <w:rPr>
                <w:rFonts w:ascii="Arial" w:hAnsi="Arial" w:cs="Arial"/>
                <w:sz w:val="16"/>
                <w:szCs w:val="16"/>
                <w:vertAlign w:val="superscript"/>
              </w:rPr>
              <w:t>g</w:t>
            </w:r>
          </w:p>
        </w:tc>
        <w:tc>
          <w:tcPr>
            <w:tcW w:w="696" w:type="pct"/>
            <w:tcBorders>
              <w:top w:val="single" w:sz="6" w:space="0" w:color="000000"/>
              <w:left w:val="nil"/>
              <w:bottom w:val="single" w:sz="6" w:space="0" w:color="000000"/>
              <w:right w:val="nil"/>
            </w:tcBorders>
            <w:vAlign w:val="center"/>
          </w:tcPr>
          <w:p w14:paraId="2CC8DD8D" w14:textId="77777777" w:rsidR="00596BE0" w:rsidRPr="00601402" w:rsidRDefault="00596BE0" w:rsidP="00596BE0">
            <w:pPr>
              <w:rPr>
                <w:rStyle w:val="block"/>
                <w:rFonts w:ascii="Arial" w:hAnsi="Arial" w:cs="Arial"/>
                <w:b/>
                <w:bCs/>
                <w:sz w:val="16"/>
                <w:szCs w:val="16"/>
              </w:rPr>
            </w:pPr>
            <w:r w:rsidRPr="00601402">
              <w:rPr>
                <w:rStyle w:val="cell"/>
                <w:rFonts w:ascii="Arial" w:hAnsi="Arial" w:cs="Arial"/>
                <w:sz w:val="16"/>
                <w:szCs w:val="16"/>
              </w:rPr>
              <w:t>-</w:t>
            </w:r>
            <w:r w:rsidRPr="00601402">
              <w:rPr>
                <w:rFonts w:ascii="Arial" w:hAnsi="Arial" w:cs="Arial"/>
                <w:sz w:val="16"/>
                <w:szCs w:val="16"/>
              </w:rPr>
              <w:t xml:space="preserve"> </w:t>
            </w:r>
          </w:p>
        </w:tc>
        <w:tc>
          <w:tcPr>
            <w:tcW w:w="886" w:type="pct"/>
            <w:tcBorders>
              <w:top w:val="single" w:sz="6" w:space="0" w:color="000000"/>
              <w:left w:val="nil"/>
              <w:bottom w:val="single" w:sz="6" w:space="0" w:color="000000"/>
              <w:right w:val="nil"/>
            </w:tcBorders>
            <w:shd w:val="clear" w:color="auto" w:fill="EDEDED"/>
            <w:vAlign w:val="center"/>
          </w:tcPr>
          <w:p w14:paraId="30E847A9" w14:textId="77777777" w:rsidR="00596BE0" w:rsidRPr="00601402" w:rsidRDefault="00596BE0" w:rsidP="00596BE0">
            <w:pPr>
              <w:rPr>
                <w:rFonts w:ascii="Arial" w:hAnsi="Arial" w:cs="Arial"/>
                <w:sz w:val="16"/>
                <w:szCs w:val="16"/>
              </w:rPr>
            </w:pPr>
          </w:p>
        </w:tc>
        <w:tc>
          <w:tcPr>
            <w:tcW w:w="1012" w:type="pct"/>
            <w:tcBorders>
              <w:top w:val="single" w:sz="6" w:space="0" w:color="000000"/>
              <w:left w:val="nil"/>
              <w:bottom w:val="single" w:sz="6" w:space="0" w:color="000000"/>
              <w:right w:val="nil"/>
            </w:tcBorders>
            <w:shd w:val="clear" w:color="auto" w:fill="EDEDED"/>
            <w:vAlign w:val="center"/>
          </w:tcPr>
          <w:p w14:paraId="5A11E547" w14:textId="523647E6" w:rsidR="00596BE0" w:rsidRPr="00601402" w:rsidRDefault="00596BE0" w:rsidP="00596BE0">
            <w:pPr>
              <w:rPr>
                <w:rStyle w:val="cell-value"/>
                <w:rFonts w:ascii="Arial" w:hAnsi="Arial" w:cs="Arial"/>
                <w:b/>
                <w:bCs/>
                <w:sz w:val="16"/>
                <w:szCs w:val="16"/>
              </w:rPr>
            </w:pPr>
            <w:r w:rsidRPr="00601402">
              <w:rPr>
                <w:rStyle w:val="cell-value"/>
                <w:rFonts w:ascii="Arial" w:hAnsi="Arial" w:cs="Arial"/>
                <w:sz w:val="16"/>
                <w:szCs w:val="16"/>
              </w:rPr>
              <w:t xml:space="preserve">mean difference - </w:t>
            </w:r>
            <w:r w:rsidRPr="00601402">
              <w:rPr>
                <w:rStyle w:val="cell-value"/>
                <w:rFonts w:ascii="Arial" w:hAnsi="Arial" w:cs="Arial"/>
                <w:b/>
                <w:bCs/>
                <w:sz w:val="16"/>
                <w:szCs w:val="16"/>
              </w:rPr>
              <w:t xml:space="preserve">0.48 </w:t>
            </w:r>
            <w:r w:rsidRPr="00601402">
              <w:rPr>
                <w:rFonts w:ascii="Arial" w:hAnsi="Arial" w:cs="Arial"/>
                <w:sz w:val="16"/>
                <w:szCs w:val="16"/>
              </w:rPr>
              <w:br/>
            </w:r>
            <w:r w:rsidRPr="00601402">
              <w:rPr>
                <w:rStyle w:val="cell-value"/>
                <w:rFonts w:ascii="Arial" w:hAnsi="Arial" w:cs="Arial"/>
                <w:sz w:val="16"/>
                <w:szCs w:val="16"/>
              </w:rPr>
              <w:t>(-0.88 to - 0.09)</w:t>
            </w:r>
            <w:r w:rsidRPr="00601402">
              <w:rPr>
                <w:rFonts w:ascii="Arial" w:hAnsi="Arial" w:cs="Arial"/>
                <w:sz w:val="16"/>
                <w:szCs w:val="16"/>
              </w:rPr>
              <w:t xml:space="preserve"> </w:t>
            </w:r>
          </w:p>
        </w:tc>
      </w:tr>
      <w:tr w:rsidR="00596BE0" w:rsidRPr="00601402" w14:paraId="17A315B2" w14:textId="77777777" w:rsidTr="00596BE0">
        <w:trPr>
          <w:cantSplit/>
        </w:trPr>
        <w:tc>
          <w:tcPr>
            <w:tcW w:w="1203" w:type="pct"/>
            <w:tcBorders>
              <w:top w:val="single" w:sz="6" w:space="0" w:color="000000"/>
              <w:left w:val="nil"/>
              <w:bottom w:val="single" w:sz="6" w:space="0" w:color="000000"/>
              <w:right w:val="nil"/>
            </w:tcBorders>
            <w:vAlign w:val="center"/>
          </w:tcPr>
          <w:p w14:paraId="376219A5" w14:textId="77777777" w:rsidR="00596BE0" w:rsidRPr="00601402" w:rsidRDefault="00596BE0" w:rsidP="00596BE0">
            <w:pPr>
              <w:rPr>
                <w:rStyle w:val="label"/>
                <w:rFonts w:ascii="Arial" w:hAnsi="Arial" w:cs="Arial"/>
                <w:sz w:val="16"/>
                <w:szCs w:val="16"/>
              </w:rPr>
            </w:pPr>
            <w:r w:rsidRPr="00601402">
              <w:rPr>
                <w:rStyle w:val="label"/>
                <w:rFonts w:ascii="Arial" w:hAnsi="Arial" w:cs="Arial"/>
                <w:b/>
                <w:sz w:val="16"/>
                <w:szCs w:val="16"/>
              </w:rPr>
              <w:t>Quality of life</w:t>
            </w:r>
            <w:r w:rsidRPr="00601402">
              <w:rPr>
                <w:rFonts w:ascii="Arial" w:hAnsi="Arial" w:cs="Arial"/>
                <w:sz w:val="16"/>
                <w:szCs w:val="16"/>
              </w:rPr>
              <w:br/>
            </w:r>
            <w:r w:rsidRPr="00601402">
              <w:rPr>
                <w:rStyle w:val="label"/>
                <w:rFonts w:ascii="Arial" w:hAnsi="Arial" w:cs="Arial"/>
                <w:sz w:val="16"/>
                <w:szCs w:val="16"/>
              </w:rPr>
              <w:t xml:space="preserve">Assessed with asthma Quality of Life Questionnaire </w:t>
            </w:r>
            <w:r w:rsidRPr="00601402">
              <w:rPr>
                <w:rFonts w:ascii="Arial" w:hAnsi="Arial" w:cs="Arial"/>
                <w:sz w:val="16"/>
                <w:szCs w:val="16"/>
              </w:rPr>
              <w:br/>
            </w:r>
            <w:r w:rsidRPr="00601402">
              <w:rPr>
                <w:rStyle w:val="label"/>
                <w:rFonts w:ascii="Arial" w:hAnsi="Arial" w:cs="Arial"/>
                <w:sz w:val="16"/>
                <w:szCs w:val="16"/>
              </w:rPr>
              <w:t>Scale from: 1 to 7</w:t>
            </w:r>
          </w:p>
        </w:tc>
        <w:tc>
          <w:tcPr>
            <w:tcW w:w="759" w:type="pct"/>
            <w:tcBorders>
              <w:top w:val="single" w:sz="6" w:space="0" w:color="000000"/>
              <w:left w:val="nil"/>
              <w:bottom w:val="single" w:sz="6" w:space="0" w:color="000000"/>
              <w:right w:val="nil"/>
            </w:tcBorders>
            <w:vAlign w:val="center"/>
          </w:tcPr>
          <w:p w14:paraId="497EB179" w14:textId="77777777" w:rsidR="00596BE0" w:rsidRPr="00601402" w:rsidRDefault="00596BE0" w:rsidP="00596BE0">
            <w:pPr>
              <w:rPr>
                <w:rFonts w:ascii="Arial" w:hAnsi="Arial" w:cs="Arial"/>
                <w:sz w:val="16"/>
                <w:szCs w:val="16"/>
                <w:vertAlign w:val="superscript"/>
              </w:rPr>
            </w:pPr>
            <w:r w:rsidRPr="00601402">
              <w:rPr>
                <w:rFonts w:ascii="Arial" w:hAnsi="Arial" w:cs="Arial"/>
                <w:sz w:val="16"/>
                <w:szCs w:val="16"/>
              </w:rPr>
              <w:t>958</w:t>
            </w:r>
            <w:r w:rsidRPr="00601402">
              <w:rPr>
                <w:rFonts w:ascii="Arial" w:hAnsi="Arial" w:cs="Arial"/>
                <w:sz w:val="16"/>
                <w:szCs w:val="16"/>
              </w:rPr>
              <w:br/>
              <w:t xml:space="preserve">(2 RCTs) </w:t>
            </w:r>
            <w:r w:rsidRPr="00601402">
              <w:rPr>
                <w:rFonts w:ascii="Arial" w:hAnsi="Arial" w:cs="Arial"/>
                <w:sz w:val="16"/>
                <w:szCs w:val="16"/>
                <w:vertAlign w:val="superscript"/>
              </w:rPr>
              <w:t>43,44</w:t>
            </w:r>
          </w:p>
          <w:p w14:paraId="1C6B4354" w14:textId="77777777" w:rsidR="00596BE0" w:rsidRPr="00601402" w:rsidRDefault="00596BE0" w:rsidP="00596BE0">
            <w:pPr>
              <w:rPr>
                <w:rFonts w:ascii="Arial" w:hAnsi="Arial" w:cs="Arial"/>
                <w:sz w:val="16"/>
                <w:szCs w:val="16"/>
              </w:rPr>
            </w:pPr>
            <w:r w:rsidRPr="00601402">
              <w:rPr>
                <w:rStyle w:val="label"/>
                <w:rFonts w:ascii="Arial" w:hAnsi="Arial" w:cs="Arial"/>
                <w:sz w:val="16"/>
                <w:szCs w:val="16"/>
              </w:rPr>
              <w:t>24 to 52 weeks</w:t>
            </w:r>
          </w:p>
        </w:tc>
        <w:tc>
          <w:tcPr>
            <w:tcW w:w="444" w:type="pct"/>
            <w:tcBorders>
              <w:top w:val="single" w:sz="6" w:space="0" w:color="000000"/>
              <w:left w:val="nil"/>
              <w:bottom w:val="single" w:sz="6" w:space="0" w:color="000000"/>
              <w:right w:val="nil"/>
            </w:tcBorders>
            <w:vAlign w:val="center"/>
          </w:tcPr>
          <w:p w14:paraId="5A02B539" w14:textId="77777777" w:rsidR="00596BE0" w:rsidRPr="00601402" w:rsidRDefault="00596BE0" w:rsidP="00596BE0">
            <w:pPr>
              <w:rPr>
                <w:rStyle w:val="quality-sign"/>
                <w:rFonts w:ascii="Cambria Math" w:hAnsi="Cambria Math" w:cs="Cambria Math"/>
                <w:sz w:val="16"/>
                <w:szCs w:val="16"/>
              </w:rPr>
            </w:pPr>
            <w:r w:rsidRPr="00601402">
              <w:rPr>
                <w:rStyle w:val="quality-sign"/>
                <w:rFonts w:ascii="Cambria Math" w:hAnsi="Cambria Math" w:cs="Cambria Math"/>
                <w:sz w:val="16"/>
                <w:szCs w:val="16"/>
              </w:rPr>
              <w:t>⨁⨁⨁</w:t>
            </w:r>
            <w:r w:rsidRPr="00601402">
              <w:rPr>
                <w:rStyle w:val="quality-sign"/>
                <w:rFonts w:ascii="Segoe UI Symbol" w:eastAsia="MS Mincho" w:hAnsi="Segoe UI Symbol" w:cs="Segoe UI Symbol"/>
                <w:sz w:val="16"/>
                <w:szCs w:val="16"/>
              </w:rPr>
              <w:t>◯</w:t>
            </w:r>
            <w:r w:rsidRPr="00601402">
              <w:rPr>
                <w:rFonts w:ascii="Arial" w:hAnsi="Arial" w:cs="Arial"/>
                <w:sz w:val="16"/>
                <w:szCs w:val="16"/>
              </w:rPr>
              <w:br/>
            </w:r>
            <w:r w:rsidRPr="00601402">
              <w:rPr>
                <w:rStyle w:val="quality-text"/>
                <w:rFonts w:ascii="Arial" w:hAnsi="Arial" w:cs="Arial"/>
                <w:sz w:val="16"/>
                <w:szCs w:val="16"/>
              </w:rPr>
              <w:t>MODERATE</w:t>
            </w:r>
            <w:r w:rsidRPr="00601402">
              <w:rPr>
                <w:rFonts w:ascii="Arial" w:hAnsi="Arial" w:cs="Arial"/>
                <w:sz w:val="16"/>
                <w:szCs w:val="16"/>
              </w:rPr>
              <w:t xml:space="preserve"> </w:t>
            </w:r>
            <w:r w:rsidRPr="00601402">
              <w:rPr>
                <w:rFonts w:ascii="Arial" w:hAnsi="Arial" w:cs="Arial"/>
                <w:sz w:val="16"/>
                <w:szCs w:val="16"/>
                <w:vertAlign w:val="superscript"/>
              </w:rPr>
              <w:t>4</w:t>
            </w:r>
            <w:r w:rsidRPr="00601402">
              <w:rPr>
                <w:rStyle w:val="comma"/>
                <w:rFonts w:ascii="Arial" w:hAnsi="Arial" w:cs="Arial"/>
                <w:sz w:val="16"/>
                <w:szCs w:val="16"/>
                <w:vertAlign w:val="superscript"/>
              </w:rPr>
              <w:t>,</w:t>
            </w:r>
            <w:proofErr w:type="gramStart"/>
            <w:r w:rsidRPr="00601402">
              <w:rPr>
                <w:rFonts w:ascii="Arial" w:hAnsi="Arial" w:cs="Arial"/>
                <w:sz w:val="16"/>
                <w:szCs w:val="16"/>
                <w:vertAlign w:val="superscript"/>
              </w:rPr>
              <w:t>9</w:t>
            </w:r>
            <w:r w:rsidRPr="00601402">
              <w:rPr>
                <w:rStyle w:val="comma"/>
                <w:rFonts w:ascii="Arial" w:hAnsi="Arial" w:cs="Arial"/>
                <w:sz w:val="16"/>
                <w:szCs w:val="16"/>
                <w:vertAlign w:val="superscript"/>
              </w:rPr>
              <w:t>,</w:t>
            </w:r>
            <w:r w:rsidRPr="00601402">
              <w:rPr>
                <w:rFonts w:ascii="Arial" w:hAnsi="Arial" w:cs="Arial"/>
                <w:sz w:val="16"/>
                <w:szCs w:val="16"/>
                <w:vertAlign w:val="superscript"/>
              </w:rPr>
              <w:t>a</w:t>
            </w:r>
            <w:proofErr w:type="gramEnd"/>
            <w:r w:rsidRPr="00601402">
              <w:rPr>
                <w:rStyle w:val="comma"/>
                <w:rFonts w:ascii="Arial" w:hAnsi="Arial" w:cs="Arial"/>
                <w:sz w:val="16"/>
                <w:szCs w:val="16"/>
                <w:vertAlign w:val="superscript"/>
              </w:rPr>
              <w:t>,</w:t>
            </w:r>
            <w:r w:rsidRPr="00601402">
              <w:rPr>
                <w:rFonts w:ascii="Arial" w:hAnsi="Arial" w:cs="Arial"/>
                <w:sz w:val="16"/>
                <w:szCs w:val="16"/>
                <w:vertAlign w:val="superscript"/>
              </w:rPr>
              <w:t>b</w:t>
            </w:r>
            <w:r w:rsidRPr="00601402">
              <w:rPr>
                <w:rStyle w:val="comma"/>
                <w:rFonts w:ascii="Arial" w:hAnsi="Arial" w:cs="Arial"/>
                <w:sz w:val="16"/>
                <w:szCs w:val="16"/>
                <w:vertAlign w:val="superscript"/>
              </w:rPr>
              <w:t>,</w:t>
            </w:r>
            <w:r w:rsidRPr="00601402">
              <w:rPr>
                <w:rFonts w:ascii="Arial" w:hAnsi="Arial" w:cs="Arial"/>
                <w:sz w:val="16"/>
                <w:szCs w:val="16"/>
                <w:vertAlign w:val="superscript"/>
              </w:rPr>
              <w:t>h</w:t>
            </w:r>
          </w:p>
        </w:tc>
        <w:tc>
          <w:tcPr>
            <w:tcW w:w="696" w:type="pct"/>
            <w:tcBorders>
              <w:top w:val="single" w:sz="6" w:space="0" w:color="000000"/>
              <w:left w:val="nil"/>
              <w:bottom w:val="single" w:sz="6" w:space="0" w:color="000000"/>
              <w:right w:val="nil"/>
            </w:tcBorders>
            <w:vAlign w:val="center"/>
          </w:tcPr>
          <w:p w14:paraId="34EF1F07" w14:textId="77777777" w:rsidR="00596BE0" w:rsidRPr="00601402" w:rsidRDefault="00596BE0" w:rsidP="00596BE0">
            <w:pPr>
              <w:rPr>
                <w:rStyle w:val="cell"/>
                <w:rFonts w:ascii="Arial" w:hAnsi="Arial" w:cs="Arial"/>
                <w:sz w:val="16"/>
                <w:szCs w:val="16"/>
              </w:rPr>
            </w:pPr>
            <w:r w:rsidRPr="00601402">
              <w:rPr>
                <w:rStyle w:val="cell"/>
                <w:rFonts w:ascii="Arial" w:hAnsi="Arial" w:cs="Arial"/>
                <w:sz w:val="16"/>
                <w:szCs w:val="16"/>
              </w:rPr>
              <w:t>-</w:t>
            </w:r>
            <w:r w:rsidRPr="00601402">
              <w:rPr>
                <w:rFonts w:ascii="Arial" w:hAnsi="Arial" w:cs="Arial"/>
                <w:sz w:val="16"/>
                <w:szCs w:val="16"/>
              </w:rPr>
              <w:t xml:space="preserve"> </w:t>
            </w:r>
          </w:p>
        </w:tc>
        <w:tc>
          <w:tcPr>
            <w:tcW w:w="886" w:type="pct"/>
            <w:tcBorders>
              <w:top w:val="single" w:sz="6" w:space="0" w:color="000000"/>
              <w:left w:val="nil"/>
              <w:bottom w:val="single" w:sz="6" w:space="0" w:color="000000"/>
              <w:right w:val="nil"/>
            </w:tcBorders>
            <w:shd w:val="clear" w:color="auto" w:fill="EDEDED"/>
            <w:vAlign w:val="center"/>
          </w:tcPr>
          <w:p w14:paraId="548628C8" w14:textId="77777777" w:rsidR="00596BE0" w:rsidRPr="00601402" w:rsidRDefault="00596BE0" w:rsidP="00596BE0">
            <w:pPr>
              <w:rPr>
                <w:rFonts w:ascii="Arial" w:hAnsi="Arial" w:cs="Arial"/>
                <w:sz w:val="16"/>
                <w:szCs w:val="16"/>
              </w:rPr>
            </w:pPr>
          </w:p>
        </w:tc>
        <w:tc>
          <w:tcPr>
            <w:tcW w:w="1012" w:type="pct"/>
            <w:tcBorders>
              <w:top w:val="single" w:sz="6" w:space="0" w:color="000000"/>
              <w:left w:val="nil"/>
              <w:bottom w:val="single" w:sz="6" w:space="0" w:color="000000"/>
              <w:right w:val="nil"/>
            </w:tcBorders>
            <w:shd w:val="clear" w:color="auto" w:fill="EDEDED"/>
            <w:vAlign w:val="center"/>
          </w:tcPr>
          <w:p w14:paraId="39D7674F" w14:textId="07712218" w:rsidR="00596BE0" w:rsidRPr="00601402" w:rsidRDefault="00596BE0" w:rsidP="00596BE0">
            <w:pPr>
              <w:rPr>
                <w:rStyle w:val="cell-value"/>
                <w:rFonts w:ascii="Arial" w:hAnsi="Arial" w:cs="Arial"/>
                <w:sz w:val="16"/>
                <w:szCs w:val="16"/>
              </w:rPr>
            </w:pPr>
            <w:r w:rsidRPr="00601402">
              <w:rPr>
                <w:rStyle w:val="cell-value"/>
                <w:rFonts w:ascii="Arial" w:hAnsi="Arial" w:cs="Arial"/>
                <w:sz w:val="16"/>
                <w:szCs w:val="16"/>
              </w:rPr>
              <w:t>mean difference +</w:t>
            </w:r>
            <w:r w:rsidRPr="00601402">
              <w:rPr>
                <w:rStyle w:val="cell-value"/>
              </w:rPr>
              <w:t xml:space="preserve"> </w:t>
            </w:r>
            <w:r w:rsidRPr="00601402">
              <w:rPr>
                <w:rStyle w:val="cell-value"/>
                <w:rFonts w:ascii="Arial" w:hAnsi="Arial" w:cs="Arial"/>
                <w:b/>
                <w:bCs/>
                <w:sz w:val="16"/>
                <w:szCs w:val="16"/>
              </w:rPr>
              <w:t xml:space="preserve">0.42 </w:t>
            </w:r>
            <w:r w:rsidRPr="00601402">
              <w:rPr>
                <w:rFonts w:ascii="Arial" w:hAnsi="Arial" w:cs="Arial"/>
                <w:sz w:val="16"/>
                <w:szCs w:val="16"/>
              </w:rPr>
              <w:br/>
            </w:r>
            <w:r w:rsidRPr="00601402">
              <w:rPr>
                <w:rStyle w:val="cell-value"/>
                <w:rFonts w:ascii="Arial" w:hAnsi="Arial" w:cs="Arial"/>
                <w:sz w:val="16"/>
                <w:szCs w:val="16"/>
              </w:rPr>
              <w:t>(+0.25 to +0.59)</w:t>
            </w:r>
            <w:r w:rsidRPr="00601402">
              <w:rPr>
                <w:rFonts w:ascii="Arial" w:hAnsi="Arial" w:cs="Arial"/>
                <w:sz w:val="16"/>
                <w:szCs w:val="16"/>
              </w:rPr>
              <w:t xml:space="preserve"> </w:t>
            </w:r>
          </w:p>
        </w:tc>
      </w:tr>
      <w:tr w:rsidR="00596BE0" w:rsidRPr="00601402" w14:paraId="54C930B8" w14:textId="77777777" w:rsidTr="00596BE0">
        <w:trPr>
          <w:cantSplit/>
        </w:trPr>
        <w:tc>
          <w:tcPr>
            <w:tcW w:w="1203" w:type="pct"/>
            <w:tcBorders>
              <w:top w:val="single" w:sz="6" w:space="0" w:color="000000"/>
              <w:left w:val="nil"/>
              <w:bottom w:val="single" w:sz="6" w:space="0" w:color="000000"/>
              <w:right w:val="nil"/>
            </w:tcBorders>
            <w:vAlign w:val="center"/>
          </w:tcPr>
          <w:p w14:paraId="668418E4" w14:textId="77777777" w:rsidR="00596BE0" w:rsidRPr="00601402" w:rsidRDefault="00596BE0" w:rsidP="00596BE0">
            <w:pPr>
              <w:rPr>
                <w:rStyle w:val="label"/>
                <w:rFonts w:ascii="Arial" w:hAnsi="Arial" w:cs="Arial"/>
                <w:b/>
                <w:sz w:val="16"/>
                <w:szCs w:val="16"/>
              </w:rPr>
            </w:pPr>
            <w:r w:rsidRPr="00601402">
              <w:rPr>
                <w:rStyle w:val="label"/>
                <w:rFonts w:ascii="Arial" w:hAnsi="Arial" w:cs="Arial"/>
                <w:b/>
                <w:sz w:val="16"/>
                <w:szCs w:val="16"/>
              </w:rPr>
              <w:t>Treatment-related adverse events (AE)</w:t>
            </w:r>
            <w:r w:rsidRPr="00601402">
              <w:rPr>
                <w:rFonts w:ascii="Arial" w:hAnsi="Arial" w:cs="Arial"/>
                <w:b/>
                <w:sz w:val="16"/>
                <w:szCs w:val="16"/>
              </w:rPr>
              <w:br/>
            </w:r>
            <w:r w:rsidRPr="00601402">
              <w:rPr>
                <w:rStyle w:val="label"/>
                <w:rFonts w:ascii="Arial" w:hAnsi="Arial" w:cs="Arial"/>
                <w:sz w:val="16"/>
                <w:szCs w:val="16"/>
              </w:rPr>
              <w:t>Assessed with number of events</w:t>
            </w:r>
          </w:p>
        </w:tc>
        <w:tc>
          <w:tcPr>
            <w:tcW w:w="759" w:type="pct"/>
            <w:tcBorders>
              <w:top w:val="single" w:sz="6" w:space="0" w:color="000000"/>
              <w:left w:val="nil"/>
              <w:bottom w:val="single" w:sz="6" w:space="0" w:color="000000"/>
              <w:right w:val="nil"/>
            </w:tcBorders>
            <w:vAlign w:val="center"/>
          </w:tcPr>
          <w:p w14:paraId="74BBCAC0" w14:textId="77777777" w:rsidR="00596BE0" w:rsidRPr="00601402" w:rsidRDefault="00596BE0" w:rsidP="00596BE0">
            <w:pPr>
              <w:rPr>
                <w:rFonts w:ascii="Arial" w:hAnsi="Arial" w:cs="Arial"/>
                <w:sz w:val="16"/>
                <w:szCs w:val="16"/>
                <w:vertAlign w:val="superscript"/>
              </w:rPr>
            </w:pPr>
            <w:r w:rsidRPr="00601402">
              <w:rPr>
                <w:rFonts w:ascii="Arial" w:hAnsi="Arial" w:cs="Arial"/>
                <w:sz w:val="16"/>
                <w:szCs w:val="16"/>
              </w:rPr>
              <w:t>264</w:t>
            </w:r>
            <w:r w:rsidRPr="00601402">
              <w:rPr>
                <w:rFonts w:ascii="Arial" w:hAnsi="Arial" w:cs="Arial"/>
                <w:sz w:val="16"/>
                <w:szCs w:val="16"/>
              </w:rPr>
              <w:br/>
              <w:t xml:space="preserve">(1 RCT) </w:t>
            </w:r>
            <w:r w:rsidRPr="00601402">
              <w:rPr>
                <w:rFonts w:ascii="Arial" w:hAnsi="Arial" w:cs="Arial"/>
                <w:sz w:val="16"/>
                <w:szCs w:val="16"/>
                <w:vertAlign w:val="superscript"/>
              </w:rPr>
              <w:t>42</w:t>
            </w:r>
          </w:p>
          <w:p w14:paraId="635E257A" w14:textId="77777777" w:rsidR="00596BE0" w:rsidRPr="00601402" w:rsidRDefault="00596BE0" w:rsidP="00596BE0">
            <w:pPr>
              <w:rPr>
                <w:rFonts w:ascii="Arial" w:hAnsi="Arial" w:cs="Arial"/>
                <w:sz w:val="16"/>
                <w:szCs w:val="16"/>
              </w:rPr>
            </w:pPr>
            <w:r w:rsidRPr="00601402">
              <w:rPr>
                <w:rStyle w:val="label"/>
                <w:rFonts w:ascii="Arial" w:hAnsi="Arial" w:cs="Arial"/>
                <w:sz w:val="16"/>
                <w:szCs w:val="16"/>
              </w:rPr>
              <w:t>24 weeks</w:t>
            </w:r>
          </w:p>
        </w:tc>
        <w:tc>
          <w:tcPr>
            <w:tcW w:w="444" w:type="pct"/>
            <w:tcBorders>
              <w:top w:val="single" w:sz="6" w:space="0" w:color="000000"/>
              <w:left w:val="nil"/>
              <w:bottom w:val="single" w:sz="6" w:space="0" w:color="000000"/>
              <w:right w:val="nil"/>
            </w:tcBorders>
            <w:vAlign w:val="center"/>
          </w:tcPr>
          <w:p w14:paraId="2DD0B1BB" w14:textId="77777777" w:rsidR="00596BE0" w:rsidRPr="00601402" w:rsidRDefault="00596BE0" w:rsidP="00596BE0">
            <w:pPr>
              <w:rPr>
                <w:rStyle w:val="quality-sign"/>
                <w:rFonts w:ascii="Cambria Math" w:hAnsi="Cambria Math" w:cs="Cambria Math"/>
                <w:sz w:val="16"/>
                <w:szCs w:val="16"/>
              </w:rPr>
            </w:pPr>
            <w:r w:rsidRPr="00601402">
              <w:rPr>
                <w:rStyle w:val="quality-sign"/>
                <w:rFonts w:ascii="Cambria Math" w:hAnsi="Cambria Math" w:cs="Cambria Math"/>
                <w:sz w:val="16"/>
                <w:szCs w:val="16"/>
              </w:rPr>
              <w:t>⨁⨁⨁</w:t>
            </w:r>
            <w:r w:rsidRPr="00601402">
              <w:rPr>
                <w:rStyle w:val="quality-sign"/>
                <w:rFonts w:ascii="Segoe UI Symbol" w:eastAsia="MS Mincho" w:hAnsi="Segoe UI Symbol" w:cs="Segoe UI Symbol"/>
                <w:sz w:val="16"/>
                <w:szCs w:val="16"/>
              </w:rPr>
              <w:t>◯</w:t>
            </w:r>
            <w:r w:rsidRPr="00601402">
              <w:rPr>
                <w:rFonts w:ascii="Arial" w:hAnsi="Arial" w:cs="Arial"/>
                <w:sz w:val="16"/>
                <w:szCs w:val="16"/>
              </w:rPr>
              <w:br/>
            </w:r>
            <w:r w:rsidRPr="00601402">
              <w:rPr>
                <w:rStyle w:val="quality-text"/>
                <w:rFonts w:ascii="Arial" w:hAnsi="Arial" w:cs="Arial"/>
                <w:sz w:val="16"/>
                <w:szCs w:val="16"/>
              </w:rPr>
              <w:t>MODERATE</w:t>
            </w:r>
            <w:r w:rsidRPr="00601402">
              <w:rPr>
                <w:rFonts w:ascii="Arial" w:hAnsi="Arial" w:cs="Arial"/>
                <w:sz w:val="16"/>
                <w:szCs w:val="16"/>
              </w:rPr>
              <w:t xml:space="preserve"> </w:t>
            </w:r>
            <w:proofErr w:type="gramStart"/>
            <w:r w:rsidRPr="00601402">
              <w:rPr>
                <w:rFonts w:ascii="Arial" w:hAnsi="Arial" w:cs="Arial"/>
                <w:sz w:val="16"/>
                <w:szCs w:val="16"/>
                <w:vertAlign w:val="superscript"/>
              </w:rPr>
              <w:t>4</w:t>
            </w:r>
            <w:r w:rsidRPr="00601402">
              <w:rPr>
                <w:rStyle w:val="comma"/>
                <w:rFonts w:ascii="Arial" w:hAnsi="Arial" w:cs="Arial"/>
                <w:sz w:val="16"/>
                <w:szCs w:val="16"/>
                <w:vertAlign w:val="superscript"/>
              </w:rPr>
              <w:t>,</w:t>
            </w:r>
            <w:r w:rsidRPr="00601402">
              <w:rPr>
                <w:rFonts w:ascii="Arial" w:hAnsi="Arial" w:cs="Arial"/>
                <w:sz w:val="16"/>
                <w:szCs w:val="16"/>
                <w:vertAlign w:val="superscript"/>
              </w:rPr>
              <w:t>a</w:t>
            </w:r>
            <w:proofErr w:type="gramEnd"/>
            <w:r w:rsidRPr="00601402">
              <w:rPr>
                <w:rStyle w:val="comma"/>
                <w:rFonts w:ascii="Arial" w:hAnsi="Arial" w:cs="Arial"/>
                <w:sz w:val="16"/>
                <w:szCs w:val="16"/>
                <w:vertAlign w:val="superscript"/>
              </w:rPr>
              <w:t>,</w:t>
            </w:r>
            <w:r w:rsidRPr="00601402">
              <w:rPr>
                <w:rFonts w:ascii="Arial" w:hAnsi="Arial" w:cs="Arial"/>
                <w:sz w:val="16"/>
                <w:szCs w:val="16"/>
                <w:vertAlign w:val="superscript"/>
              </w:rPr>
              <w:t>b</w:t>
            </w:r>
            <w:r w:rsidRPr="00601402">
              <w:rPr>
                <w:rStyle w:val="comma"/>
                <w:rFonts w:ascii="Arial" w:hAnsi="Arial" w:cs="Arial"/>
                <w:sz w:val="16"/>
                <w:szCs w:val="16"/>
                <w:vertAlign w:val="superscript"/>
              </w:rPr>
              <w:t>,</w:t>
            </w:r>
            <w:r w:rsidRPr="00601402">
              <w:rPr>
                <w:rFonts w:ascii="Arial" w:hAnsi="Arial" w:cs="Arial"/>
                <w:sz w:val="16"/>
                <w:szCs w:val="16"/>
                <w:vertAlign w:val="superscript"/>
              </w:rPr>
              <w:t>m</w:t>
            </w:r>
          </w:p>
        </w:tc>
        <w:tc>
          <w:tcPr>
            <w:tcW w:w="696" w:type="pct"/>
            <w:tcBorders>
              <w:top w:val="single" w:sz="6" w:space="0" w:color="000000"/>
              <w:left w:val="nil"/>
              <w:bottom w:val="single" w:sz="6" w:space="0" w:color="000000"/>
              <w:right w:val="nil"/>
            </w:tcBorders>
            <w:vAlign w:val="center"/>
          </w:tcPr>
          <w:p w14:paraId="3A3F28CD" w14:textId="12B83843" w:rsidR="00596BE0" w:rsidRPr="00601402" w:rsidRDefault="00256864" w:rsidP="00596BE0">
            <w:pPr>
              <w:rPr>
                <w:rStyle w:val="cell"/>
                <w:rFonts w:ascii="Arial" w:hAnsi="Arial" w:cs="Arial"/>
                <w:sz w:val="16"/>
                <w:szCs w:val="16"/>
              </w:rPr>
            </w:pPr>
            <w:r>
              <w:rPr>
                <w:rStyle w:val="block"/>
                <w:rFonts w:ascii="Arial" w:hAnsi="Arial" w:cs="Arial"/>
                <w:b/>
                <w:bCs/>
                <w:sz w:val="16"/>
                <w:szCs w:val="16"/>
              </w:rPr>
              <w:t>Risk</w:t>
            </w:r>
            <w:r w:rsidRPr="00601402">
              <w:rPr>
                <w:rStyle w:val="block"/>
                <w:rFonts w:ascii="Arial" w:hAnsi="Arial" w:cs="Arial"/>
                <w:b/>
                <w:bCs/>
                <w:sz w:val="16"/>
                <w:szCs w:val="16"/>
              </w:rPr>
              <w:t xml:space="preserve"> ratio</w:t>
            </w:r>
            <w:r w:rsidR="00596BE0" w:rsidRPr="00601402">
              <w:rPr>
                <w:rStyle w:val="block"/>
                <w:rFonts w:ascii="Arial" w:hAnsi="Arial" w:cs="Arial"/>
                <w:b/>
                <w:bCs/>
                <w:sz w:val="16"/>
                <w:szCs w:val="16"/>
              </w:rPr>
              <w:t xml:space="preserve"> 1.00</w:t>
            </w:r>
            <w:r w:rsidR="00596BE0" w:rsidRPr="00601402">
              <w:rPr>
                <w:rFonts w:ascii="Arial" w:hAnsi="Arial" w:cs="Arial"/>
                <w:sz w:val="16"/>
                <w:szCs w:val="16"/>
              </w:rPr>
              <w:br/>
            </w:r>
            <w:r w:rsidR="00596BE0" w:rsidRPr="00601402">
              <w:rPr>
                <w:rStyle w:val="cell"/>
                <w:rFonts w:ascii="Arial" w:hAnsi="Arial" w:cs="Arial"/>
                <w:sz w:val="16"/>
                <w:szCs w:val="16"/>
              </w:rPr>
              <w:t>(0.88 to 1.13)</w:t>
            </w:r>
            <w:r w:rsidR="00596BE0" w:rsidRPr="00601402">
              <w:rPr>
                <w:rFonts w:ascii="Arial" w:hAnsi="Arial" w:cs="Arial"/>
                <w:sz w:val="16"/>
                <w:szCs w:val="16"/>
              </w:rPr>
              <w:t xml:space="preserve"> </w:t>
            </w:r>
          </w:p>
        </w:tc>
        <w:tc>
          <w:tcPr>
            <w:tcW w:w="886" w:type="pct"/>
            <w:tcBorders>
              <w:top w:val="single" w:sz="6" w:space="0" w:color="000000"/>
              <w:left w:val="nil"/>
              <w:bottom w:val="single" w:sz="6" w:space="0" w:color="000000"/>
              <w:right w:val="nil"/>
            </w:tcBorders>
            <w:shd w:val="clear" w:color="auto" w:fill="EDEDED"/>
            <w:vAlign w:val="center"/>
          </w:tcPr>
          <w:p w14:paraId="240D2075" w14:textId="77777777" w:rsidR="00596BE0" w:rsidRPr="00601402" w:rsidRDefault="00596BE0" w:rsidP="00596BE0">
            <w:pPr>
              <w:rPr>
                <w:rFonts w:ascii="Arial" w:hAnsi="Arial" w:cs="Arial"/>
                <w:sz w:val="16"/>
                <w:szCs w:val="16"/>
              </w:rPr>
            </w:pPr>
            <w:r w:rsidRPr="00601402">
              <w:rPr>
                <w:rFonts w:ascii="Arial" w:hAnsi="Arial" w:cs="Arial"/>
                <w:sz w:val="16"/>
                <w:szCs w:val="16"/>
              </w:rPr>
              <w:t xml:space="preserve">794 per 1.000 </w:t>
            </w:r>
          </w:p>
        </w:tc>
        <w:tc>
          <w:tcPr>
            <w:tcW w:w="1012" w:type="pct"/>
            <w:tcBorders>
              <w:top w:val="single" w:sz="6" w:space="0" w:color="000000"/>
              <w:left w:val="nil"/>
              <w:bottom w:val="single" w:sz="6" w:space="0" w:color="000000"/>
              <w:right w:val="nil"/>
            </w:tcBorders>
            <w:shd w:val="clear" w:color="auto" w:fill="EDEDED"/>
            <w:vAlign w:val="center"/>
          </w:tcPr>
          <w:p w14:paraId="26A2F622" w14:textId="77777777" w:rsidR="00596BE0" w:rsidRPr="00601402" w:rsidRDefault="00596BE0" w:rsidP="00596BE0">
            <w:pPr>
              <w:rPr>
                <w:rStyle w:val="cell-value"/>
                <w:rFonts w:ascii="Arial" w:hAnsi="Arial" w:cs="Arial"/>
                <w:sz w:val="16"/>
                <w:szCs w:val="16"/>
              </w:rPr>
            </w:pPr>
            <w:r w:rsidRPr="00601402">
              <w:rPr>
                <w:rStyle w:val="cell-value"/>
                <w:rFonts w:ascii="Arial" w:hAnsi="Arial" w:cs="Arial"/>
                <w:b/>
                <w:bCs/>
                <w:sz w:val="16"/>
                <w:szCs w:val="16"/>
              </w:rPr>
              <w:t>0 fewer per 1.000</w:t>
            </w:r>
            <w:r w:rsidRPr="00601402">
              <w:rPr>
                <w:rFonts w:ascii="Arial" w:hAnsi="Arial" w:cs="Arial"/>
                <w:sz w:val="16"/>
                <w:szCs w:val="16"/>
              </w:rPr>
              <w:br/>
            </w:r>
            <w:r w:rsidRPr="00601402">
              <w:rPr>
                <w:rStyle w:val="cell-value"/>
                <w:rFonts w:ascii="Arial" w:hAnsi="Arial" w:cs="Arial"/>
                <w:sz w:val="16"/>
                <w:szCs w:val="16"/>
              </w:rPr>
              <w:t>(95 fewer to 103 more)</w:t>
            </w:r>
            <w:r w:rsidRPr="00601402">
              <w:rPr>
                <w:rFonts w:ascii="Arial" w:hAnsi="Arial" w:cs="Arial"/>
                <w:sz w:val="16"/>
                <w:szCs w:val="16"/>
              </w:rPr>
              <w:t xml:space="preserve"> </w:t>
            </w:r>
          </w:p>
        </w:tc>
      </w:tr>
      <w:tr w:rsidR="00596BE0" w:rsidRPr="00601402" w14:paraId="73EF8826" w14:textId="77777777" w:rsidTr="00596BE0">
        <w:trPr>
          <w:cantSplit/>
        </w:trPr>
        <w:tc>
          <w:tcPr>
            <w:tcW w:w="1203" w:type="pct"/>
            <w:tcBorders>
              <w:top w:val="single" w:sz="6" w:space="0" w:color="000000"/>
              <w:left w:val="nil"/>
              <w:bottom w:val="single" w:sz="6" w:space="0" w:color="000000"/>
              <w:right w:val="nil"/>
            </w:tcBorders>
            <w:vAlign w:val="center"/>
          </w:tcPr>
          <w:p w14:paraId="455EEFCA" w14:textId="77777777" w:rsidR="00596BE0" w:rsidRPr="00601402" w:rsidRDefault="00596BE0" w:rsidP="00596BE0">
            <w:pPr>
              <w:rPr>
                <w:rStyle w:val="label"/>
                <w:rFonts w:ascii="Arial" w:hAnsi="Arial" w:cs="Arial"/>
                <w:b/>
                <w:sz w:val="16"/>
                <w:szCs w:val="16"/>
              </w:rPr>
            </w:pPr>
            <w:r w:rsidRPr="00601402">
              <w:rPr>
                <w:rStyle w:val="label"/>
                <w:rFonts w:ascii="Arial" w:hAnsi="Arial" w:cs="Arial"/>
                <w:b/>
                <w:sz w:val="16"/>
                <w:szCs w:val="16"/>
              </w:rPr>
              <w:t>Treatment-related serious adverse events (SAE)</w:t>
            </w:r>
            <w:r w:rsidRPr="00601402">
              <w:rPr>
                <w:rFonts w:ascii="Arial" w:hAnsi="Arial" w:cs="Arial"/>
                <w:b/>
                <w:sz w:val="16"/>
                <w:szCs w:val="16"/>
              </w:rPr>
              <w:br/>
            </w:r>
            <w:r w:rsidRPr="00601402">
              <w:rPr>
                <w:rStyle w:val="label"/>
                <w:rFonts w:ascii="Arial" w:hAnsi="Arial" w:cs="Arial"/>
                <w:sz w:val="16"/>
                <w:szCs w:val="16"/>
              </w:rPr>
              <w:t>Assessed with number of events</w:t>
            </w:r>
          </w:p>
        </w:tc>
        <w:tc>
          <w:tcPr>
            <w:tcW w:w="759" w:type="pct"/>
            <w:tcBorders>
              <w:top w:val="single" w:sz="6" w:space="0" w:color="000000"/>
              <w:left w:val="nil"/>
              <w:bottom w:val="single" w:sz="6" w:space="0" w:color="000000"/>
              <w:right w:val="nil"/>
            </w:tcBorders>
            <w:vAlign w:val="center"/>
          </w:tcPr>
          <w:p w14:paraId="6621F644" w14:textId="77777777" w:rsidR="00596BE0" w:rsidRPr="00601402" w:rsidRDefault="00596BE0" w:rsidP="00596BE0">
            <w:pPr>
              <w:rPr>
                <w:rFonts w:ascii="Arial" w:hAnsi="Arial" w:cs="Arial"/>
                <w:sz w:val="16"/>
                <w:szCs w:val="16"/>
                <w:vertAlign w:val="superscript"/>
              </w:rPr>
            </w:pPr>
            <w:r w:rsidRPr="00601402">
              <w:rPr>
                <w:rFonts w:ascii="Arial" w:hAnsi="Arial" w:cs="Arial"/>
                <w:sz w:val="16"/>
                <w:szCs w:val="16"/>
              </w:rPr>
              <w:t>264</w:t>
            </w:r>
            <w:r w:rsidRPr="00601402">
              <w:rPr>
                <w:rFonts w:ascii="Arial" w:hAnsi="Arial" w:cs="Arial"/>
                <w:sz w:val="16"/>
                <w:szCs w:val="16"/>
              </w:rPr>
              <w:br/>
              <w:t xml:space="preserve">(1 RCT) </w:t>
            </w:r>
            <w:r w:rsidRPr="00601402">
              <w:rPr>
                <w:rFonts w:ascii="Arial" w:hAnsi="Arial" w:cs="Arial"/>
                <w:sz w:val="16"/>
                <w:szCs w:val="16"/>
                <w:vertAlign w:val="superscript"/>
              </w:rPr>
              <w:t>42</w:t>
            </w:r>
          </w:p>
          <w:p w14:paraId="3FF17F65" w14:textId="77777777" w:rsidR="00596BE0" w:rsidRPr="00601402" w:rsidRDefault="00596BE0" w:rsidP="00596BE0">
            <w:pPr>
              <w:rPr>
                <w:rFonts w:ascii="Arial" w:hAnsi="Arial" w:cs="Arial"/>
                <w:sz w:val="16"/>
                <w:szCs w:val="16"/>
              </w:rPr>
            </w:pPr>
            <w:r w:rsidRPr="00601402">
              <w:rPr>
                <w:rStyle w:val="label"/>
                <w:rFonts w:ascii="Arial" w:hAnsi="Arial" w:cs="Arial"/>
                <w:sz w:val="16"/>
                <w:szCs w:val="16"/>
              </w:rPr>
              <w:t>24 weeks</w:t>
            </w:r>
          </w:p>
        </w:tc>
        <w:tc>
          <w:tcPr>
            <w:tcW w:w="444" w:type="pct"/>
            <w:tcBorders>
              <w:top w:val="single" w:sz="6" w:space="0" w:color="000000"/>
              <w:left w:val="nil"/>
              <w:bottom w:val="single" w:sz="6" w:space="0" w:color="000000"/>
              <w:right w:val="nil"/>
            </w:tcBorders>
            <w:vAlign w:val="center"/>
          </w:tcPr>
          <w:p w14:paraId="2EB126BA" w14:textId="77777777" w:rsidR="00596BE0" w:rsidRPr="00601402" w:rsidRDefault="00596BE0" w:rsidP="00596BE0">
            <w:pPr>
              <w:rPr>
                <w:rStyle w:val="quality-sign"/>
                <w:rFonts w:ascii="Cambria Math" w:hAnsi="Cambria Math" w:cs="Cambria Math"/>
                <w:sz w:val="16"/>
                <w:szCs w:val="16"/>
              </w:rPr>
            </w:pPr>
            <w:r w:rsidRPr="00601402">
              <w:rPr>
                <w:rStyle w:val="quality-sign"/>
                <w:rFonts w:ascii="Cambria Math" w:hAnsi="Cambria Math" w:cs="Cambria Math"/>
                <w:sz w:val="16"/>
                <w:szCs w:val="16"/>
              </w:rPr>
              <w:t>⨁⨁</w:t>
            </w:r>
            <w:r w:rsidRPr="00601402">
              <w:rPr>
                <w:rStyle w:val="quality-sign"/>
                <w:rFonts w:ascii="Segoe UI Symbol" w:eastAsia="MS Mincho" w:hAnsi="Segoe UI Symbol" w:cs="Segoe UI Symbol"/>
                <w:sz w:val="16"/>
                <w:szCs w:val="16"/>
              </w:rPr>
              <w:t>◯◯</w:t>
            </w:r>
            <w:r w:rsidRPr="00601402">
              <w:rPr>
                <w:rFonts w:ascii="Arial" w:hAnsi="Arial" w:cs="Arial"/>
                <w:sz w:val="16"/>
                <w:szCs w:val="16"/>
              </w:rPr>
              <w:br/>
            </w:r>
            <w:r w:rsidRPr="00601402">
              <w:rPr>
                <w:rStyle w:val="quality-text"/>
                <w:rFonts w:ascii="Arial" w:hAnsi="Arial" w:cs="Arial"/>
                <w:sz w:val="16"/>
                <w:szCs w:val="16"/>
              </w:rPr>
              <w:t>LOW</w:t>
            </w:r>
            <w:r w:rsidRPr="00601402">
              <w:rPr>
                <w:rFonts w:ascii="Arial" w:hAnsi="Arial" w:cs="Arial"/>
                <w:sz w:val="16"/>
                <w:szCs w:val="16"/>
              </w:rPr>
              <w:t xml:space="preserve"> </w:t>
            </w:r>
            <w:proofErr w:type="gramStart"/>
            <w:r w:rsidRPr="00601402">
              <w:rPr>
                <w:rFonts w:ascii="Arial" w:hAnsi="Arial" w:cs="Arial"/>
                <w:sz w:val="16"/>
                <w:szCs w:val="16"/>
                <w:vertAlign w:val="superscript"/>
              </w:rPr>
              <w:t>4</w:t>
            </w:r>
            <w:r w:rsidRPr="00601402">
              <w:rPr>
                <w:rStyle w:val="comma"/>
                <w:rFonts w:ascii="Arial" w:hAnsi="Arial" w:cs="Arial"/>
                <w:sz w:val="16"/>
                <w:szCs w:val="16"/>
                <w:vertAlign w:val="superscript"/>
              </w:rPr>
              <w:t>,</w:t>
            </w:r>
            <w:r w:rsidRPr="00601402">
              <w:rPr>
                <w:rFonts w:ascii="Arial" w:hAnsi="Arial" w:cs="Arial"/>
                <w:sz w:val="16"/>
                <w:szCs w:val="16"/>
                <w:vertAlign w:val="superscript"/>
              </w:rPr>
              <w:t>a</w:t>
            </w:r>
            <w:proofErr w:type="gramEnd"/>
            <w:r w:rsidRPr="00601402">
              <w:rPr>
                <w:rStyle w:val="comma"/>
                <w:rFonts w:ascii="Arial" w:hAnsi="Arial" w:cs="Arial"/>
                <w:sz w:val="16"/>
                <w:szCs w:val="16"/>
                <w:vertAlign w:val="superscript"/>
              </w:rPr>
              <w:t>,</w:t>
            </w:r>
            <w:r w:rsidRPr="00601402">
              <w:rPr>
                <w:rFonts w:ascii="Arial" w:hAnsi="Arial" w:cs="Arial"/>
                <w:sz w:val="16"/>
                <w:szCs w:val="16"/>
                <w:vertAlign w:val="superscript"/>
              </w:rPr>
              <w:t>b</w:t>
            </w:r>
            <w:r w:rsidRPr="00601402">
              <w:rPr>
                <w:rStyle w:val="comma"/>
                <w:rFonts w:ascii="Arial" w:hAnsi="Arial" w:cs="Arial"/>
                <w:sz w:val="16"/>
                <w:szCs w:val="16"/>
                <w:vertAlign w:val="superscript"/>
              </w:rPr>
              <w:t>,</w:t>
            </w:r>
            <w:r w:rsidRPr="00601402">
              <w:rPr>
                <w:rFonts w:ascii="Arial" w:hAnsi="Arial" w:cs="Arial"/>
                <w:sz w:val="16"/>
                <w:szCs w:val="16"/>
                <w:vertAlign w:val="superscript"/>
              </w:rPr>
              <w:t>m</w:t>
            </w:r>
          </w:p>
        </w:tc>
        <w:tc>
          <w:tcPr>
            <w:tcW w:w="696" w:type="pct"/>
            <w:tcBorders>
              <w:top w:val="single" w:sz="6" w:space="0" w:color="000000"/>
              <w:left w:val="nil"/>
              <w:bottom w:val="single" w:sz="6" w:space="0" w:color="000000"/>
              <w:right w:val="nil"/>
            </w:tcBorders>
            <w:vAlign w:val="center"/>
          </w:tcPr>
          <w:p w14:paraId="5D2769A9" w14:textId="5F747316" w:rsidR="00596BE0" w:rsidRPr="00601402" w:rsidRDefault="00256864" w:rsidP="00596BE0">
            <w:pPr>
              <w:rPr>
                <w:rStyle w:val="cell"/>
                <w:rFonts w:ascii="Arial" w:hAnsi="Arial" w:cs="Arial"/>
                <w:sz w:val="16"/>
                <w:szCs w:val="16"/>
              </w:rPr>
            </w:pPr>
            <w:r>
              <w:rPr>
                <w:rStyle w:val="block"/>
                <w:rFonts w:ascii="Arial" w:hAnsi="Arial" w:cs="Arial"/>
                <w:b/>
                <w:bCs/>
                <w:sz w:val="16"/>
                <w:szCs w:val="16"/>
              </w:rPr>
              <w:t>Risk</w:t>
            </w:r>
            <w:r w:rsidRPr="00601402">
              <w:rPr>
                <w:rStyle w:val="block"/>
                <w:rFonts w:ascii="Arial" w:hAnsi="Arial" w:cs="Arial"/>
                <w:b/>
                <w:bCs/>
                <w:sz w:val="16"/>
                <w:szCs w:val="16"/>
              </w:rPr>
              <w:t xml:space="preserve"> ratio</w:t>
            </w:r>
            <w:r w:rsidR="00596BE0" w:rsidRPr="00601402">
              <w:rPr>
                <w:rStyle w:val="block"/>
                <w:rFonts w:ascii="Arial" w:hAnsi="Arial" w:cs="Arial"/>
                <w:b/>
                <w:bCs/>
                <w:sz w:val="16"/>
                <w:szCs w:val="16"/>
              </w:rPr>
              <w:t xml:space="preserve"> 1.46</w:t>
            </w:r>
            <w:r w:rsidR="00596BE0" w:rsidRPr="00601402">
              <w:rPr>
                <w:rFonts w:ascii="Arial" w:hAnsi="Arial" w:cs="Arial"/>
                <w:sz w:val="16"/>
                <w:szCs w:val="16"/>
              </w:rPr>
              <w:br/>
            </w:r>
            <w:r w:rsidR="00596BE0" w:rsidRPr="00601402">
              <w:rPr>
                <w:rStyle w:val="cell"/>
                <w:rFonts w:ascii="Arial" w:hAnsi="Arial" w:cs="Arial"/>
                <w:sz w:val="16"/>
                <w:szCs w:val="16"/>
              </w:rPr>
              <w:t>(0.60 to 3.54)</w:t>
            </w:r>
            <w:r w:rsidR="00596BE0" w:rsidRPr="00601402">
              <w:rPr>
                <w:rFonts w:ascii="Arial" w:hAnsi="Arial" w:cs="Arial"/>
                <w:sz w:val="16"/>
                <w:szCs w:val="16"/>
              </w:rPr>
              <w:t xml:space="preserve"> </w:t>
            </w:r>
          </w:p>
        </w:tc>
        <w:tc>
          <w:tcPr>
            <w:tcW w:w="886" w:type="pct"/>
            <w:tcBorders>
              <w:top w:val="single" w:sz="6" w:space="0" w:color="000000"/>
              <w:left w:val="nil"/>
              <w:bottom w:val="single" w:sz="6" w:space="0" w:color="000000"/>
              <w:right w:val="nil"/>
            </w:tcBorders>
            <w:shd w:val="clear" w:color="auto" w:fill="EDEDED"/>
            <w:vAlign w:val="center"/>
          </w:tcPr>
          <w:p w14:paraId="4C0D6C29" w14:textId="77777777" w:rsidR="00596BE0" w:rsidRPr="00601402" w:rsidRDefault="00596BE0" w:rsidP="00596BE0">
            <w:pPr>
              <w:rPr>
                <w:rFonts w:ascii="Arial" w:hAnsi="Arial" w:cs="Arial"/>
                <w:sz w:val="16"/>
                <w:szCs w:val="16"/>
              </w:rPr>
            </w:pPr>
            <w:r w:rsidRPr="00601402">
              <w:rPr>
                <w:rFonts w:ascii="Arial" w:hAnsi="Arial" w:cs="Arial"/>
                <w:sz w:val="16"/>
                <w:szCs w:val="16"/>
              </w:rPr>
              <w:t xml:space="preserve">59 per 1.000 </w:t>
            </w:r>
          </w:p>
        </w:tc>
        <w:tc>
          <w:tcPr>
            <w:tcW w:w="1012" w:type="pct"/>
            <w:tcBorders>
              <w:top w:val="single" w:sz="6" w:space="0" w:color="000000"/>
              <w:left w:val="nil"/>
              <w:bottom w:val="single" w:sz="6" w:space="0" w:color="000000"/>
              <w:right w:val="nil"/>
            </w:tcBorders>
            <w:shd w:val="clear" w:color="auto" w:fill="EDEDED"/>
            <w:vAlign w:val="center"/>
          </w:tcPr>
          <w:p w14:paraId="39FB2CB9" w14:textId="77777777" w:rsidR="00596BE0" w:rsidRPr="00601402" w:rsidRDefault="00596BE0" w:rsidP="00596BE0">
            <w:pPr>
              <w:rPr>
                <w:rStyle w:val="cell-value"/>
                <w:rFonts w:ascii="Arial" w:hAnsi="Arial" w:cs="Arial"/>
                <w:sz w:val="16"/>
                <w:szCs w:val="16"/>
              </w:rPr>
            </w:pPr>
            <w:r w:rsidRPr="00601402">
              <w:rPr>
                <w:rStyle w:val="cell-value"/>
                <w:rFonts w:ascii="Arial" w:hAnsi="Arial" w:cs="Arial"/>
                <w:b/>
                <w:bCs/>
                <w:sz w:val="16"/>
                <w:szCs w:val="16"/>
              </w:rPr>
              <w:t>27 more per 1.000</w:t>
            </w:r>
            <w:r w:rsidRPr="00601402">
              <w:rPr>
                <w:rFonts w:ascii="Arial" w:hAnsi="Arial" w:cs="Arial"/>
                <w:sz w:val="16"/>
                <w:szCs w:val="16"/>
              </w:rPr>
              <w:br/>
            </w:r>
            <w:r w:rsidRPr="00601402">
              <w:rPr>
                <w:rStyle w:val="cell-value"/>
                <w:rFonts w:ascii="Arial" w:hAnsi="Arial" w:cs="Arial"/>
                <w:sz w:val="16"/>
                <w:szCs w:val="16"/>
              </w:rPr>
              <w:t>(24 fewer to 149 more)</w:t>
            </w:r>
            <w:r w:rsidRPr="00601402">
              <w:rPr>
                <w:rFonts w:ascii="Arial" w:hAnsi="Arial" w:cs="Arial"/>
                <w:sz w:val="16"/>
                <w:szCs w:val="16"/>
              </w:rPr>
              <w:t xml:space="preserve"> </w:t>
            </w:r>
          </w:p>
        </w:tc>
      </w:tr>
      <w:tr w:rsidR="00596BE0" w:rsidRPr="00601402" w14:paraId="5C58C5E1" w14:textId="77777777" w:rsidTr="00596BE0">
        <w:trPr>
          <w:cantSplit/>
        </w:trPr>
        <w:tc>
          <w:tcPr>
            <w:tcW w:w="1203" w:type="pct"/>
            <w:tcBorders>
              <w:top w:val="single" w:sz="6" w:space="0" w:color="000000"/>
              <w:left w:val="nil"/>
              <w:bottom w:val="single" w:sz="6" w:space="0" w:color="000000"/>
              <w:right w:val="nil"/>
            </w:tcBorders>
            <w:vAlign w:val="center"/>
          </w:tcPr>
          <w:p w14:paraId="47471CEE" w14:textId="77777777" w:rsidR="00596BE0" w:rsidRPr="00601402" w:rsidRDefault="00596BE0" w:rsidP="00596BE0">
            <w:pPr>
              <w:rPr>
                <w:rStyle w:val="label"/>
                <w:rFonts w:ascii="Arial" w:hAnsi="Arial" w:cs="Arial"/>
                <w:b/>
                <w:sz w:val="16"/>
                <w:szCs w:val="16"/>
              </w:rPr>
            </w:pPr>
            <w:r w:rsidRPr="00601402">
              <w:rPr>
                <w:rStyle w:val="label"/>
                <w:rFonts w:ascii="Arial" w:hAnsi="Arial" w:cs="Arial"/>
                <w:b/>
                <w:sz w:val="16"/>
                <w:szCs w:val="16"/>
              </w:rPr>
              <w:t>Decrease in OCS dose</w:t>
            </w:r>
            <w:r w:rsidRPr="00601402">
              <w:rPr>
                <w:rStyle w:val="label"/>
                <w:rFonts w:ascii="Arial" w:hAnsi="Arial" w:cs="Arial"/>
                <w:sz w:val="16"/>
                <w:szCs w:val="16"/>
              </w:rPr>
              <w:t xml:space="preserve"> </w:t>
            </w:r>
            <w:r w:rsidRPr="00601402">
              <w:rPr>
                <w:rFonts w:ascii="Arial" w:hAnsi="Arial" w:cs="Arial"/>
                <w:sz w:val="16"/>
                <w:szCs w:val="16"/>
              </w:rPr>
              <w:br/>
            </w:r>
            <w:r w:rsidRPr="00601402">
              <w:rPr>
                <w:rStyle w:val="label"/>
                <w:rFonts w:ascii="Arial" w:hAnsi="Arial" w:cs="Arial"/>
                <w:sz w:val="16"/>
                <w:szCs w:val="16"/>
              </w:rPr>
              <w:t>Assessed with percentage of reduction compared to baseline</w:t>
            </w:r>
          </w:p>
        </w:tc>
        <w:tc>
          <w:tcPr>
            <w:tcW w:w="759" w:type="pct"/>
            <w:tcBorders>
              <w:top w:val="single" w:sz="6" w:space="0" w:color="000000"/>
              <w:left w:val="nil"/>
              <w:bottom w:val="single" w:sz="6" w:space="0" w:color="000000"/>
              <w:right w:val="nil"/>
            </w:tcBorders>
            <w:vAlign w:val="center"/>
          </w:tcPr>
          <w:p w14:paraId="0E2DAB82" w14:textId="77777777" w:rsidR="00596BE0" w:rsidRPr="00601402" w:rsidRDefault="00596BE0" w:rsidP="00596BE0">
            <w:pPr>
              <w:rPr>
                <w:rFonts w:ascii="Arial" w:hAnsi="Arial" w:cs="Arial"/>
                <w:sz w:val="16"/>
                <w:szCs w:val="16"/>
                <w:vertAlign w:val="superscript"/>
              </w:rPr>
            </w:pPr>
            <w:r w:rsidRPr="00601402">
              <w:rPr>
                <w:rFonts w:ascii="Arial" w:hAnsi="Arial" w:cs="Arial"/>
                <w:sz w:val="16"/>
                <w:szCs w:val="16"/>
              </w:rPr>
              <w:t>150</w:t>
            </w:r>
            <w:r w:rsidRPr="00601402">
              <w:rPr>
                <w:rFonts w:ascii="Arial" w:hAnsi="Arial" w:cs="Arial"/>
                <w:sz w:val="16"/>
                <w:szCs w:val="16"/>
              </w:rPr>
              <w:br/>
              <w:t>(1 RCT)</w:t>
            </w:r>
            <w:r w:rsidRPr="00601402">
              <w:rPr>
                <w:rFonts w:ascii="Arial" w:hAnsi="Arial" w:cs="Arial"/>
                <w:sz w:val="16"/>
                <w:szCs w:val="16"/>
                <w:vertAlign w:val="superscript"/>
              </w:rPr>
              <w:t xml:space="preserve"> 42</w:t>
            </w:r>
          </w:p>
          <w:p w14:paraId="091953ED" w14:textId="77777777" w:rsidR="00596BE0" w:rsidRPr="00601402" w:rsidRDefault="00596BE0" w:rsidP="00596BE0">
            <w:pPr>
              <w:rPr>
                <w:rFonts w:ascii="Arial" w:hAnsi="Arial" w:cs="Arial"/>
                <w:sz w:val="16"/>
                <w:szCs w:val="16"/>
              </w:rPr>
            </w:pPr>
            <w:r w:rsidRPr="00601402">
              <w:rPr>
                <w:rStyle w:val="label"/>
                <w:rFonts w:ascii="Arial" w:hAnsi="Arial" w:cs="Arial"/>
                <w:sz w:val="16"/>
                <w:szCs w:val="16"/>
              </w:rPr>
              <w:t>24 weeks</w:t>
            </w:r>
          </w:p>
        </w:tc>
        <w:tc>
          <w:tcPr>
            <w:tcW w:w="444" w:type="pct"/>
            <w:tcBorders>
              <w:top w:val="single" w:sz="6" w:space="0" w:color="000000"/>
              <w:left w:val="nil"/>
              <w:bottom w:val="single" w:sz="6" w:space="0" w:color="000000"/>
              <w:right w:val="nil"/>
            </w:tcBorders>
            <w:vAlign w:val="center"/>
          </w:tcPr>
          <w:p w14:paraId="2BB55954" w14:textId="77777777" w:rsidR="00596BE0" w:rsidRPr="00601402" w:rsidRDefault="00596BE0" w:rsidP="00596BE0">
            <w:pPr>
              <w:rPr>
                <w:rStyle w:val="quality-sign"/>
                <w:rFonts w:ascii="Cambria Math" w:hAnsi="Cambria Math" w:cs="Cambria Math"/>
                <w:sz w:val="16"/>
                <w:szCs w:val="16"/>
              </w:rPr>
            </w:pPr>
            <w:r w:rsidRPr="00601402">
              <w:rPr>
                <w:rStyle w:val="quality-sign"/>
                <w:rFonts w:ascii="Cambria Math" w:hAnsi="Cambria Math" w:cs="Cambria Math"/>
                <w:sz w:val="16"/>
                <w:szCs w:val="16"/>
              </w:rPr>
              <w:t>⨁⨁⨁⨁</w:t>
            </w:r>
            <w:r w:rsidRPr="00601402">
              <w:rPr>
                <w:rFonts w:ascii="Arial" w:hAnsi="Arial" w:cs="Arial"/>
                <w:sz w:val="16"/>
                <w:szCs w:val="16"/>
              </w:rPr>
              <w:br/>
            </w:r>
            <w:r w:rsidRPr="00601402">
              <w:rPr>
                <w:rStyle w:val="quality-text"/>
                <w:rFonts w:ascii="Arial" w:hAnsi="Arial" w:cs="Arial"/>
                <w:sz w:val="16"/>
                <w:szCs w:val="16"/>
              </w:rPr>
              <w:t>HIGH</w:t>
            </w:r>
            <w:r w:rsidRPr="00601402">
              <w:rPr>
                <w:rFonts w:ascii="Arial" w:hAnsi="Arial" w:cs="Arial"/>
                <w:sz w:val="16"/>
                <w:szCs w:val="16"/>
              </w:rPr>
              <w:t xml:space="preserve"> </w:t>
            </w:r>
            <w:proofErr w:type="gramStart"/>
            <w:r w:rsidRPr="00601402">
              <w:rPr>
                <w:rFonts w:ascii="Arial" w:hAnsi="Arial" w:cs="Arial"/>
                <w:sz w:val="16"/>
                <w:szCs w:val="16"/>
                <w:vertAlign w:val="superscript"/>
              </w:rPr>
              <w:t>4</w:t>
            </w:r>
            <w:r w:rsidRPr="00601402">
              <w:rPr>
                <w:rStyle w:val="comma"/>
                <w:rFonts w:ascii="Arial" w:hAnsi="Arial" w:cs="Arial"/>
                <w:sz w:val="16"/>
                <w:szCs w:val="16"/>
                <w:vertAlign w:val="superscript"/>
              </w:rPr>
              <w:t>,</w:t>
            </w:r>
            <w:r w:rsidRPr="00601402">
              <w:rPr>
                <w:rFonts w:ascii="Arial" w:hAnsi="Arial" w:cs="Arial"/>
                <w:sz w:val="16"/>
                <w:szCs w:val="16"/>
                <w:vertAlign w:val="superscript"/>
              </w:rPr>
              <w:t>a</w:t>
            </w:r>
            <w:proofErr w:type="gramEnd"/>
            <w:r w:rsidRPr="00601402">
              <w:rPr>
                <w:rStyle w:val="comma"/>
                <w:rFonts w:ascii="Arial" w:hAnsi="Arial" w:cs="Arial"/>
                <w:sz w:val="16"/>
                <w:szCs w:val="16"/>
                <w:vertAlign w:val="superscript"/>
              </w:rPr>
              <w:t>,</w:t>
            </w:r>
            <w:r w:rsidRPr="00601402">
              <w:rPr>
                <w:rFonts w:ascii="Arial" w:hAnsi="Arial" w:cs="Arial"/>
                <w:sz w:val="16"/>
                <w:szCs w:val="16"/>
                <w:vertAlign w:val="superscript"/>
              </w:rPr>
              <w:t>b</w:t>
            </w:r>
          </w:p>
        </w:tc>
        <w:tc>
          <w:tcPr>
            <w:tcW w:w="696" w:type="pct"/>
            <w:tcBorders>
              <w:top w:val="single" w:sz="6" w:space="0" w:color="000000"/>
              <w:left w:val="nil"/>
              <w:bottom w:val="single" w:sz="6" w:space="0" w:color="000000"/>
              <w:right w:val="nil"/>
            </w:tcBorders>
            <w:vAlign w:val="center"/>
          </w:tcPr>
          <w:p w14:paraId="6730C820" w14:textId="77777777" w:rsidR="00596BE0" w:rsidRPr="00601402" w:rsidRDefault="00596BE0" w:rsidP="00596BE0">
            <w:pPr>
              <w:rPr>
                <w:rStyle w:val="block"/>
                <w:rFonts w:ascii="Arial" w:hAnsi="Arial" w:cs="Arial"/>
                <w:b/>
                <w:bCs/>
                <w:sz w:val="16"/>
                <w:szCs w:val="16"/>
              </w:rPr>
            </w:pPr>
            <w:r w:rsidRPr="00601402">
              <w:rPr>
                <w:rStyle w:val="cell"/>
                <w:rFonts w:ascii="Arial" w:hAnsi="Arial" w:cs="Arial"/>
                <w:sz w:val="16"/>
                <w:szCs w:val="16"/>
              </w:rPr>
              <w:t>-</w:t>
            </w:r>
            <w:r w:rsidRPr="00601402">
              <w:rPr>
                <w:rFonts w:ascii="Arial" w:hAnsi="Arial" w:cs="Arial"/>
                <w:sz w:val="16"/>
                <w:szCs w:val="16"/>
              </w:rPr>
              <w:t xml:space="preserve"> </w:t>
            </w:r>
          </w:p>
        </w:tc>
        <w:tc>
          <w:tcPr>
            <w:tcW w:w="886" w:type="pct"/>
            <w:tcBorders>
              <w:top w:val="single" w:sz="6" w:space="0" w:color="000000"/>
              <w:left w:val="nil"/>
              <w:bottom w:val="single" w:sz="6" w:space="0" w:color="000000"/>
              <w:right w:val="nil"/>
            </w:tcBorders>
            <w:shd w:val="clear" w:color="auto" w:fill="EDEDED"/>
            <w:vAlign w:val="center"/>
          </w:tcPr>
          <w:p w14:paraId="557A60F2" w14:textId="77777777" w:rsidR="00596BE0" w:rsidRPr="00601402" w:rsidRDefault="00596BE0" w:rsidP="00596BE0">
            <w:pPr>
              <w:rPr>
                <w:rFonts w:ascii="Arial" w:hAnsi="Arial" w:cs="Arial"/>
                <w:sz w:val="16"/>
                <w:szCs w:val="16"/>
              </w:rPr>
            </w:pPr>
          </w:p>
        </w:tc>
        <w:tc>
          <w:tcPr>
            <w:tcW w:w="1012" w:type="pct"/>
            <w:tcBorders>
              <w:top w:val="single" w:sz="6" w:space="0" w:color="000000"/>
              <w:left w:val="nil"/>
              <w:bottom w:val="single" w:sz="6" w:space="0" w:color="000000"/>
              <w:right w:val="nil"/>
            </w:tcBorders>
            <w:shd w:val="clear" w:color="auto" w:fill="EDEDED"/>
            <w:vAlign w:val="center"/>
          </w:tcPr>
          <w:p w14:paraId="52E5FE47" w14:textId="77777777" w:rsidR="00596BE0" w:rsidRPr="00601402" w:rsidRDefault="00596BE0" w:rsidP="00596BE0">
            <w:pPr>
              <w:rPr>
                <w:rStyle w:val="cell-value"/>
                <w:rFonts w:ascii="Arial" w:hAnsi="Arial" w:cs="Arial"/>
                <w:b/>
                <w:bCs/>
                <w:sz w:val="16"/>
                <w:szCs w:val="16"/>
              </w:rPr>
            </w:pPr>
            <w:r w:rsidRPr="00601402">
              <w:rPr>
                <w:rStyle w:val="cell-value"/>
                <w:rFonts w:ascii="Arial" w:hAnsi="Arial" w:cs="Arial"/>
                <w:sz w:val="16"/>
                <w:szCs w:val="16"/>
              </w:rPr>
              <w:t>mean difference -</w:t>
            </w:r>
            <w:r w:rsidRPr="00601402">
              <w:rPr>
                <w:rStyle w:val="cell-value"/>
              </w:rPr>
              <w:t xml:space="preserve"> </w:t>
            </w:r>
            <w:r w:rsidRPr="00601402">
              <w:rPr>
                <w:rStyle w:val="cell-value"/>
                <w:rFonts w:ascii="Arial" w:hAnsi="Arial" w:cs="Arial"/>
                <w:b/>
                <w:bCs/>
                <w:sz w:val="16"/>
                <w:szCs w:val="16"/>
              </w:rPr>
              <w:t xml:space="preserve">29.4 % </w:t>
            </w:r>
            <w:r w:rsidRPr="00601402">
              <w:rPr>
                <w:rFonts w:ascii="Arial" w:hAnsi="Arial" w:cs="Arial"/>
                <w:sz w:val="16"/>
                <w:szCs w:val="16"/>
              </w:rPr>
              <w:br/>
            </w:r>
            <w:r w:rsidRPr="00601402">
              <w:rPr>
                <w:rStyle w:val="cell-value"/>
                <w:rFonts w:ascii="Arial" w:hAnsi="Arial" w:cs="Arial"/>
                <w:sz w:val="16"/>
                <w:szCs w:val="16"/>
              </w:rPr>
              <w:t>(-43.23 to -15.</w:t>
            </w:r>
            <w:proofErr w:type="gramStart"/>
            <w:r w:rsidRPr="00601402">
              <w:rPr>
                <w:rStyle w:val="cell-value"/>
                <w:rFonts w:ascii="Arial" w:hAnsi="Arial" w:cs="Arial"/>
                <w:sz w:val="16"/>
                <w:szCs w:val="16"/>
              </w:rPr>
              <w:t>57 )</w:t>
            </w:r>
            <w:proofErr w:type="gramEnd"/>
            <w:r w:rsidRPr="00601402">
              <w:rPr>
                <w:rFonts w:ascii="Arial" w:hAnsi="Arial" w:cs="Arial"/>
                <w:sz w:val="16"/>
                <w:szCs w:val="16"/>
              </w:rPr>
              <w:t xml:space="preserve"> </w:t>
            </w:r>
          </w:p>
        </w:tc>
      </w:tr>
      <w:tr w:rsidR="00596BE0" w:rsidRPr="00601402" w14:paraId="783B2741" w14:textId="77777777" w:rsidTr="00596BE0">
        <w:trPr>
          <w:cantSplit/>
          <w:trHeight w:val="431"/>
        </w:trPr>
        <w:tc>
          <w:tcPr>
            <w:tcW w:w="1203" w:type="pct"/>
            <w:tcBorders>
              <w:top w:val="single" w:sz="6" w:space="0" w:color="000000"/>
              <w:left w:val="nil"/>
              <w:bottom w:val="single" w:sz="6" w:space="0" w:color="000000"/>
              <w:right w:val="nil"/>
            </w:tcBorders>
            <w:vAlign w:val="center"/>
          </w:tcPr>
          <w:p w14:paraId="54AC2BA5" w14:textId="77777777" w:rsidR="00596BE0" w:rsidRPr="00601402" w:rsidRDefault="00596BE0" w:rsidP="00596BE0">
            <w:pPr>
              <w:rPr>
                <w:rStyle w:val="label"/>
                <w:rFonts w:ascii="Arial" w:hAnsi="Arial" w:cs="Arial"/>
                <w:b/>
                <w:sz w:val="16"/>
                <w:szCs w:val="16"/>
              </w:rPr>
            </w:pPr>
            <w:r w:rsidRPr="00601402">
              <w:rPr>
                <w:rStyle w:val="label"/>
                <w:rFonts w:ascii="Arial" w:hAnsi="Arial" w:cs="Arial"/>
                <w:b/>
                <w:sz w:val="16"/>
                <w:szCs w:val="16"/>
              </w:rPr>
              <w:t xml:space="preserve">Lung function </w:t>
            </w:r>
          </w:p>
          <w:p w14:paraId="6C1329C9" w14:textId="77777777" w:rsidR="00596BE0" w:rsidRPr="00601402" w:rsidRDefault="00596BE0" w:rsidP="00596BE0">
            <w:pPr>
              <w:rPr>
                <w:rFonts w:ascii="Arial" w:hAnsi="Arial" w:cs="Arial"/>
                <w:sz w:val="16"/>
                <w:szCs w:val="16"/>
              </w:rPr>
            </w:pPr>
            <w:r w:rsidRPr="00601402">
              <w:rPr>
                <w:rStyle w:val="label"/>
                <w:rFonts w:ascii="Arial" w:hAnsi="Arial" w:cs="Arial"/>
                <w:sz w:val="16"/>
                <w:szCs w:val="16"/>
              </w:rPr>
              <w:t>Assessed with FEV1 in mL</w:t>
            </w:r>
          </w:p>
        </w:tc>
        <w:tc>
          <w:tcPr>
            <w:tcW w:w="759" w:type="pct"/>
            <w:tcBorders>
              <w:top w:val="single" w:sz="6" w:space="0" w:color="000000"/>
              <w:left w:val="nil"/>
              <w:bottom w:val="single" w:sz="6" w:space="0" w:color="000000"/>
              <w:right w:val="nil"/>
            </w:tcBorders>
            <w:vAlign w:val="center"/>
          </w:tcPr>
          <w:p w14:paraId="363703D9" w14:textId="77777777" w:rsidR="00596BE0" w:rsidRPr="00601402" w:rsidRDefault="00596BE0" w:rsidP="00596BE0">
            <w:pPr>
              <w:rPr>
                <w:rFonts w:ascii="Arial" w:hAnsi="Arial" w:cs="Arial"/>
                <w:sz w:val="16"/>
                <w:szCs w:val="16"/>
                <w:vertAlign w:val="superscript"/>
              </w:rPr>
            </w:pPr>
            <w:r w:rsidRPr="00601402">
              <w:rPr>
                <w:rFonts w:ascii="Arial" w:hAnsi="Arial" w:cs="Arial"/>
                <w:sz w:val="16"/>
                <w:szCs w:val="16"/>
              </w:rPr>
              <w:t>1030</w:t>
            </w:r>
            <w:r w:rsidRPr="00601402">
              <w:rPr>
                <w:rFonts w:ascii="Arial" w:hAnsi="Arial" w:cs="Arial"/>
                <w:sz w:val="16"/>
                <w:szCs w:val="16"/>
              </w:rPr>
              <w:br/>
              <w:t xml:space="preserve">(3 RCTs) </w:t>
            </w:r>
            <w:r w:rsidRPr="00601402">
              <w:rPr>
                <w:rFonts w:ascii="Arial" w:hAnsi="Arial" w:cs="Arial"/>
                <w:sz w:val="16"/>
                <w:szCs w:val="16"/>
                <w:vertAlign w:val="superscript"/>
              </w:rPr>
              <w:t>42,43,44</w:t>
            </w:r>
          </w:p>
          <w:p w14:paraId="779B712C" w14:textId="77777777" w:rsidR="00596BE0" w:rsidRPr="00601402" w:rsidRDefault="00596BE0" w:rsidP="00596BE0">
            <w:pPr>
              <w:rPr>
                <w:rFonts w:ascii="Arial" w:hAnsi="Arial" w:cs="Arial"/>
                <w:sz w:val="16"/>
                <w:szCs w:val="16"/>
                <w:vertAlign w:val="superscript"/>
              </w:rPr>
            </w:pPr>
            <w:r w:rsidRPr="00601402">
              <w:rPr>
                <w:rStyle w:val="label"/>
                <w:rFonts w:ascii="Arial" w:hAnsi="Arial" w:cs="Arial"/>
                <w:sz w:val="16"/>
                <w:szCs w:val="16"/>
              </w:rPr>
              <w:t>24 to 52 weeks</w:t>
            </w:r>
          </w:p>
        </w:tc>
        <w:tc>
          <w:tcPr>
            <w:tcW w:w="444" w:type="pct"/>
            <w:tcBorders>
              <w:top w:val="single" w:sz="6" w:space="0" w:color="000000"/>
              <w:left w:val="nil"/>
              <w:bottom w:val="single" w:sz="6" w:space="0" w:color="000000"/>
              <w:right w:val="nil"/>
            </w:tcBorders>
            <w:vAlign w:val="center"/>
          </w:tcPr>
          <w:p w14:paraId="2151A0EB" w14:textId="77777777" w:rsidR="00596BE0" w:rsidRPr="00601402" w:rsidRDefault="00596BE0" w:rsidP="00596BE0">
            <w:pPr>
              <w:rPr>
                <w:rFonts w:ascii="Arial" w:hAnsi="Arial" w:cs="Arial"/>
                <w:sz w:val="16"/>
                <w:szCs w:val="16"/>
                <w:vertAlign w:val="superscript"/>
              </w:rPr>
            </w:pPr>
            <w:r w:rsidRPr="00601402">
              <w:rPr>
                <w:rStyle w:val="quality-sign"/>
                <w:rFonts w:ascii="Cambria Math" w:hAnsi="Cambria Math" w:cs="Cambria Math"/>
                <w:sz w:val="16"/>
                <w:szCs w:val="16"/>
              </w:rPr>
              <w:t>⨁⨁</w:t>
            </w:r>
            <w:r w:rsidRPr="00601402">
              <w:rPr>
                <w:rStyle w:val="quality-sign"/>
                <w:rFonts w:ascii="Segoe UI Symbol" w:eastAsia="MS Mincho" w:hAnsi="Segoe UI Symbol" w:cs="Segoe UI Symbol"/>
                <w:sz w:val="16"/>
                <w:szCs w:val="16"/>
              </w:rPr>
              <w:t>◯◯</w:t>
            </w:r>
            <w:r w:rsidRPr="00601402">
              <w:rPr>
                <w:rFonts w:ascii="Arial" w:hAnsi="Arial" w:cs="Arial"/>
                <w:sz w:val="16"/>
                <w:szCs w:val="16"/>
              </w:rPr>
              <w:br/>
            </w:r>
            <w:r w:rsidRPr="00601402">
              <w:rPr>
                <w:rStyle w:val="quality-text"/>
                <w:rFonts w:ascii="Arial" w:hAnsi="Arial" w:cs="Arial"/>
                <w:sz w:val="16"/>
                <w:szCs w:val="16"/>
              </w:rPr>
              <w:t>LOW</w:t>
            </w:r>
            <w:r w:rsidRPr="00601402">
              <w:rPr>
                <w:rFonts w:ascii="Arial" w:hAnsi="Arial" w:cs="Arial"/>
                <w:sz w:val="16"/>
                <w:szCs w:val="16"/>
              </w:rPr>
              <w:t xml:space="preserve"> </w:t>
            </w:r>
            <w:r w:rsidRPr="00601402">
              <w:rPr>
                <w:rFonts w:ascii="Arial" w:hAnsi="Arial" w:cs="Arial"/>
                <w:sz w:val="16"/>
                <w:szCs w:val="16"/>
                <w:vertAlign w:val="superscript"/>
              </w:rPr>
              <w:t>4</w:t>
            </w:r>
            <w:r w:rsidRPr="00601402">
              <w:rPr>
                <w:rStyle w:val="comma"/>
                <w:rFonts w:ascii="Arial" w:hAnsi="Arial" w:cs="Arial"/>
                <w:sz w:val="16"/>
                <w:szCs w:val="16"/>
                <w:vertAlign w:val="superscript"/>
              </w:rPr>
              <w:t>,</w:t>
            </w:r>
            <w:r w:rsidRPr="00601402">
              <w:rPr>
                <w:rFonts w:ascii="Arial" w:hAnsi="Arial" w:cs="Arial"/>
                <w:sz w:val="16"/>
                <w:szCs w:val="16"/>
                <w:vertAlign w:val="superscript"/>
              </w:rPr>
              <w:t>5</w:t>
            </w:r>
            <w:r w:rsidRPr="00601402">
              <w:rPr>
                <w:rStyle w:val="comma"/>
                <w:rFonts w:ascii="Arial" w:hAnsi="Arial" w:cs="Arial"/>
                <w:sz w:val="16"/>
                <w:szCs w:val="16"/>
                <w:vertAlign w:val="superscript"/>
              </w:rPr>
              <w:t>,</w:t>
            </w:r>
            <w:r w:rsidRPr="00601402">
              <w:rPr>
                <w:rFonts w:ascii="Arial" w:hAnsi="Arial" w:cs="Arial"/>
                <w:sz w:val="16"/>
                <w:szCs w:val="16"/>
                <w:vertAlign w:val="superscript"/>
              </w:rPr>
              <w:t>6</w:t>
            </w:r>
            <w:r w:rsidRPr="00601402">
              <w:rPr>
                <w:rStyle w:val="comma"/>
                <w:rFonts w:ascii="Arial" w:hAnsi="Arial" w:cs="Arial"/>
                <w:sz w:val="16"/>
                <w:szCs w:val="16"/>
                <w:vertAlign w:val="superscript"/>
              </w:rPr>
              <w:t>,</w:t>
            </w:r>
            <w:proofErr w:type="gramStart"/>
            <w:r w:rsidRPr="00601402">
              <w:rPr>
                <w:rFonts w:ascii="Arial" w:hAnsi="Arial" w:cs="Arial"/>
                <w:sz w:val="16"/>
                <w:szCs w:val="16"/>
                <w:vertAlign w:val="superscript"/>
              </w:rPr>
              <w:t>7</w:t>
            </w:r>
            <w:r w:rsidRPr="00601402">
              <w:rPr>
                <w:rStyle w:val="comma"/>
                <w:rFonts w:ascii="Arial" w:hAnsi="Arial" w:cs="Arial"/>
                <w:sz w:val="16"/>
                <w:szCs w:val="16"/>
                <w:vertAlign w:val="superscript"/>
              </w:rPr>
              <w:t>,</w:t>
            </w:r>
            <w:r w:rsidRPr="00601402">
              <w:rPr>
                <w:rFonts w:ascii="Arial" w:hAnsi="Arial" w:cs="Arial"/>
                <w:sz w:val="16"/>
                <w:szCs w:val="16"/>
                <w:vertAlign w:val="superscript"/>
              </w:rPr>
              <w:t>a</w:t>
            </w:r>
            <w:proofErr w:type="gramEnd"/>
            <w:r w:rsidRPr="00601402">
              <w:rPr>
                <w:rStyle w:val="comma"/>
                <w:rFonts w:ascii="Arial" w:hAnsi="Arial" w:cs="Arial"/>
                <w:sz w:val="16"/>
                <w:szCs w:val="16"/>
                <w:vertAlign w:val="superscript"/>
              </w:rPr>
              <w:t>,</w:t>
            </w:r>
            <w:r w:rsidRPr="00601402">
              <w:rPr>
                <w:rFonts w:ascii="Arial" w:hAnsi="Arial" w:cs="Arial"/>
                <w:sz w:val="16"/>
                <w:szCs w:val="16"/>
                <w:vertAlign w:val="superscript"/>
              </w:rPr>
              <w:t>b</w:t>
            </w:r>
            <w:r w:rsidRPr="00601402">
              <w:rPr>
                <w:rStyle w:val="comma"/>
                <w:rFonts w:ascii="Arial" w:hAnsi="Arial" w:cs="Arial"/>
                <w:sz w:val="16"/>
                <w:szCs w:val="16"/>
                <w:vertAlign w:val="superscript"/>
              </w:rPr>
              <w:t>,</w:t>
            </w:r>
            <w:r w:rsidRPr="00601402">
              <w:rPr>
                <w:rFonts w:ascii="Arial" w:hAnsi="Arial" w:cs="Arial"/>
                <w:sz w:val="16"/>
                <w:szCs w:val="16"/>
                <w:vertAlign w:val="superscript"/>
              </w:rPr>
              <w:t>d</w:t>
            </w:r>
            <w:r w:rsidRPr="00601402">
              <w:rPr>
                <w:rStyle w:val="comma"/>
                <w:rFonts w:ascii="Arial" w:hAnsi="Arial" w:cs="Arial"/>
                <w:sz w:val="16"/>
                <w:szCs w:val="16"/>
                <w:vertAlign w:val="superscript"/>
              </w:rPr>
              <w:t>,</w:t>
            </w:r>
            <w:r w:rsidRPr="00601402">
              <w:rPr>
                <w:rFonts w:ascii="Arial" w:hAnsi="Arial" w:cs="Arial"/>
                <w:sz w:val="16"/>
                <w:szCs w:val="16"/>
                <w:vertAlign w:val="superscript"/>
              </w:rPr>
              <w:t>e,f</w:t>
            </w:r>
          </w:p>
        </w:tc>
        <w:tc>
          <w:tcPr>
            <w:tcW w:w="696" w:type="pct"/>
            <w:tcBorders>
              <w:top w:val="single" w:sz="6" w:space="0" w:color="000000"/>
              <w:left w:val="nil"/>
              <w:bottom w:val="single" w:sz="6" w:space="0" w:color="000000"/>
              <w:right w:val="nil"/>
            </w:tcBorders>
            <w:vAlign w:val="center"/>
          </w:tcPr>
          <w:p w14:paraId="53971BA1" w14:textId="77777777" w:rsidR="00596BE0" w:rsidRPr="00601402" w:rsidRDefault="00596BE0" w:rsidP="00596BE0">
            <w:pPr>
              <w:rPr>
                <w:rFonts w:ascii="Arial" w:hAnsi="Arial" w:cs="Arial"/>
                <w:sz w:val="16"/>
                <w:szCs w:val="16"/>
              </w:rPr>
            </w:pPr>
            <w:r w:rsidRPr="00601402">
              <w:rPr>
                <w:rStyle w:val="cell"/>
                <w:rFonts w:ascii="Arial" w:hAnsi="Arial" w:cs="Arial"/>
                <w:sz w:val="16"/>
                <w:szCs w:val="16"/>
              </w:rPr>
              <w:t>-</w:t>
            </w:r>
            <w:r w:rsidRPr="00601402">
              <w:rPr>
                <w:rFonts w:ascii="Arial" w:hAnsi="Arial" w:cs="Arial"/>
                <w:sz w:val="16"/>
                <w:szCs w:val="16"/>
              </w:rPr>
              <w:t xml:space="preserve"> </w:t>
            </w:r>
          </w:p>
        </w:tc>
        <w:tc>
          <w:tcPr>
            <w:tcW w:w="886" w:type="pct"/>
            <w:tcBorders>
              <w:top w:val="single" w:sz="6" w:space="0" w:color="000000"/>
              <w:left w:val="nil"/>
              <w:bottom w:val="single" w:sz="6" w:space="0" w:color="000000"/>
              <w:right w:val="nil"/>
            </w:tcBorders>
            <w:shd w:val="clear" w:color="auto" w:fill="EDEDED"/>
            <w:vAlign w:val="center"/>
          </w:tcPr>
          <w:p w14:paraId="670BDB88" w14:textId="77777777" w:rsidR="00596BE0" w:rsidRPr="00601402" w:rsidRDefault="00596BE0" w:rsidP="00596BE0">
            <w:pPr>
              <w:rPr>
                <w:rFonts w:ascii="Arial" w:hAnsi="Arial" w:cs="Arial"/>
                <w:sz w:val="16"/>
                <w:szCs w:val="16"/>
              </w:rPr>
            </w:pPr>
          </w:p>
        </w:tc>
        <w:tc>
          <w:tcPr>
            <w:tcW w:w="1012" w:type="pct"/>
            <w:tcBorders>
              <w:top w:val="single" w:sz="6" w:space="0" w:color="000000"/>
              <w:left w:val="nil"/>
              <w:bottom w:val="single" w:sz="6" w:space="0" w:color="000000"/>
              <w:right w:val="nil"/>
            </w:tcBorders>
            <w:shd w:val="clear" w:color="auto" w:fill="EDEDED"/>
            <w:vAlign w:val="center"/>
          </w:tcPr>
          <w:p w14:paraId="4CF1EDC3" w14:textId="77777777" w:rsidR="00596BE0" w:rsidRPr="00601402" w:rsidRDefault="00596BE0" w:rsidP="00596BE0">
            <w:pPr>
              <w:rPr>
                <w:rFonts w:ascii="Arial" w:hAnsi="Arial" w:cs="Arial"/>
                <w:sz w:val="16"/>
                <w:szCs w:val="16"/>
              </w:rPr>
            </w:pPr>
            <w:r w:rsidRPr="00601402">
              <w:rPr>
                <w:rStyle w:val="cell-value"/>
                <w:rFonts w:ascii="Arial" w:hAnsi="Arial" w:cs="Arial"/>
                <w:sz w:val="16"/>
                <w:szCs w:val="16"/>
              </w:rPr>
              <w:t>mean difference +</w:t>
            </w:r>
            <w:r w:rsidRPr="00601402">
              <w:rPr>
                <w:rStyle w:val="cell-value"/>
              </w:rPr>
              <w:t xml:space="preserve"> </w:t>
            </w:r>
            <w:r w:rsidRPr="00601402">
              <w:rPr>
                <w:rStyle w:val="cell-value"/>
                <w:rFonts w:ascii="Arial" w:hAnsi="Arial" w:cs="Arial"/>
                <w:b/>
                <w:bCs/>
                <w:sz w:val="16"/>
                <w:szCs w:val="16"/>
              </w:rPr>
              <w:t xml:space="preserve">180 mL </w:t>
            </w:r>
            <w:r w:rsidRPr="00601402">
              <w:rPr>
                <w:rFonts w:ascii="Arial" w:hAnsi="Arial" w:cs="Arial"/>
                <w:sz w:val="16"/>
                <w:szCs w:val="16"/>
              </w:rPr>
              <w:br/>
            </w:r>
            <w:r w:rsidRPr="00601402">
              <w:rPr>
                <w:rStyle w:val="cell-value"/>
                <w:rFonts w:ascii="Arial" w:hAnsi="Arial" w:cs="Arial"/>
                <w:sz w:val="16"/>
                <w:szCs w:val="16"/>
              </w:rPr>
              <w:t>(+110 to +250)</w:t>
            </w:r>
            <w:r w:rsidRPr="00601402">
              <w:rPr>
                <w:rFonts w:ascii="Arial" w:hAnsi="Arial" w:cs="Arial"/>
                <w:sz w:val="16"/>
                <w:szCs w:val="16"/>
              </w:rPr>
              <w:t xml:space="preserve"> </w:t>
            </w:r>
          </w:p>
        </w:tc>
      </w:tr>
      <w:tr w:rsidR="00596BE0" w:rsidRPr="00601402" w14:paraId="248785AD" w14:textId="77777777" w:rsidTr="00596BE0">
        <w:trPr>
          <w:cantSplit/>
        </w:trPr>
        <w:tc>
          <w:tcPr>
            <w:tcW w:w="1203" w:type="pct"/>
            <w:tcBorders>
              <w:top w:val="single" w:sz="6" w:space="0" w:color="000000"/>
              <w:left w:val="nil"/>
              <w:bottom w:val="single" w:sz="6" w:space="0" w:color="000000"/>
              <w:right w:val="nil"/>
            </w:tcBorders>
            <w:vAlign w:val="center"/>
          </w:tcPr>
          <w:p w14:paraId="105DEB84" w14:textId="77777777" w:rsidR="00596BE0" w:rsidRPr="00601402" w:rsidRDefault="00596BE0" w:rsidP="00596BE0">
            <w:pPr>
              <w:rPr>
                <w:rFonts w:ascii="Arial" w:hAnsi="Arial" w:cs="Arial"/>
                <w:sz w:val="16"/>
                <w:szCs w:val="16"/>
              </w:rPr>
            </w:pPr>
            <w:r w:rsidRPr="00601402">
              <w:rPr>
                <w:rStyle w:val="label"/>
                <w:rFonts w:ascii="Arial" w:hAnsi="Arial" w:cs="Arial"/>
                <w:b/>
                <w:sz w:val="16"/>
                <w:szCs w:val="16"/>
              </w:rPr>
              <w:t>Fraction of exhaled nitric oxide</w:t>
            </w:r>
            <w:r w:rsidRPr="00601402">
              <w:rPr>
                <w:rStyle w:val="label"/>
                <w:rFonts w:ascii="Arial" w:hAnsi="Arial" w:cs="Arial"/>
                <w:sz w:val="16"/>
                <w:szCs w:val="16"/>
              </w:rPr>
              <w:t xml:space="preserve"> </w:t>
            </w:r>
            <w:r w:rsidRPr="00601402">
              <w:rPr>
                <w:rFonts w:ascii="Arial" w:hAnsi="Arial" w:cs="Arial"/>
                <w:sz w:val="16"/>
                <w:szCs w:val="16"/>
              </w:rPr>
              <w:br/>
            </w:r>
            <w:r w:rsidRPr="00601402">
              <w:rPr>
                <w:rStyle w:val="label"/>
                <w:rFonts w:ascii="Arial" w:hAnsi="Arial" w:cs="Arial"/>
                <w:sz w:val="16"/>
                <w:szCs w:val="16"/>
              </w:rPr>
              <w:t>Assessed with mean % change (ppb) from baseline</w:t>
            </w:r>
          </w:p>
        </w:tc>
        <w:tc>
          <w:tcPr>
            <w:tcW w:w="759" w:type="pct"/>
            <w:tcBorders>
              <w:top w:val="single" w:sz="6" w:space="0" w:color="000000"/>
              <w:left w:val="nil"/>
              <w:bottom w:val="single" w:sz="6" w:space="0" w:color="000000"/>
              <w:right w:val="nil"/>
            </w:tcBorders>
            <w:vAlign w:val="center"/>
          </w:tcPr>
          <w:p w14:paraId="7E20E703" w14:textId="77777777" w:rsidR="00596BE0" w:rsidRPr="00601402" w:rsidRDefault="00596BE0" w:rsidP="00596BE0">
            <w:pPr>
              <w:rPr>
                <w:rFonts w:ascii="Arial" w:hAnsi="Arial" w:cs="Arial"/>
                <w:sz w:val="16"/>
                <w:szCs w:val="16"/>
                <w:vertAlign w:val="superscript"/>
              </w:rPr>
            </w:pPr>
            <w:r w:rsidRPr="00601402">
              <w:rPr>
                <w:rFonts w:ascii="Arial" w:hAnsi="Arial" w:cs="Arial"/>
                <w:sz w:val="16"/>
                <w:szCs w:val="16"/>
              </w:rPr>
              <w:t>150</w:t>
            </w:r>
            <w:r w:rsidRPr="00601402">
              <w:rPr>
                <w:rFonts w:ascii="Arial" w:hAnsi="Arial" w:cs="Arial"/>
                <w:sz w:val="16"/>
                <w:szCs w:val="16"/>
              </w:rPr>
              <w:br/>
              <w:t xml:space="preserve">(1 RCT) </w:t>
            </w:r>
            <w:r w:rsidRPr="00601402">
              <w:rPr>
                <w:rFonts w:ascii="Arial" w:hAnsi="Arial" w:cs="Arial"/>
                <w:sz w:val="16"/>
                <w:szCs w:val="16"/>
                <w:vertAlign w:val="superscript"/>
              </w:rPr>
              <w:t>42</w:t>
            </w:r>
          </w:p>
          <w:p w14:paraId="4F4B69E8" w14:textId="77777777" w:rsidR="00596BE0" w:rsidRPr="00601402" w:rsidRDefault="00596BE0" w:rsidP="00596BE0">
            <w:pPr>
              <w:rPr>
                <w:rFonts w:ascii="Arial" w:hAnsi="Arial" w:cs="Arial"/>
                <w:sz w:val="16"/>
                <w:szCs w:val="16"/>
              </w:rPr>
            </w:pPr>
            <w:r w:rsidRPr="00601402">
              <w:rPr>
                <w:rStyle w:val="label"/>
                <w:rFonts w:ascii="Arial" w:hAnsi="Arial" w:cs="Arial"/>
                <w:sz w:val="16"/>
                <w:szCs w:val="16"/>
              </w:rPr>
              <w:t>24 weeks</w:t>
            </w:r>
          </w:p>
        </w:tc>
        <w:tc>
          <w:tcPr>
            <w:tcW w:w="444" w:type="pct"/>
            <w:tcBorders>
              <w:top w:val="single" w:sz="6" w:space="0" w:color="000000"/>
              <w:left w:val="nil"/>
              <w:bottom w:val="single" w:sz="6" w:space="0" w:color="000000"/>
              <w:right w:val="nil"/>
            </w:tcBorders>
            <w:vAlign w:val="center"/>
          </w:tcPr>
          <w:p w14:paraId="1B2AC106" w14:textId="77777777" w:rsidR="00596BE0" w:rsidRPr="00601402" w:rsidRDefault="00596BE0" w:rsidP="00596BE0">
            <w:pPr>
              <w:rPr>
                <w:rFonts w:ascii="Arial" w:hAnsi="Arial" w:cs="Arial"/>
                <w:sz w:val="16"/>
                <w:szCs w:val="16"/>
              </w:rPr>
            </w:pPr>
            <w:r w:rsidRPr="00601402">
              <w:rPr>
                <w:rStyle w:val="quality-sign"/>
                <w:rFonts w:ascii="Cambria Math" w:hAnsi="Cambria Math" w:cs="Cambria Math"/>
                <w:sz w:val="16"/>
                <w:szCs w:val="16"/>
              </w:rPr>
              <w:t>⨁⨁</w:t>
            </w:r>
            <w:r w:rsidRPr="00601402">
              <w:rPr>
                <w:rStyle w:val="quality-sign"/>
                <w:rFonts w:ascii="Segoe UI Symbol" w:eastAsia="MS Mincho" w:hAnsi="Segoe UI Symbol" w:cs="Segoe UI Symbol"/>
                <w:sz w:val="16"/>
                <w:szCs w:val="16"/>
              </w:rPr>
              <w:t>◯◯</w:t>
            </w:r>
            <w:r w:rsidRPr="00601402">
              <w:rPr>
                <w:rFonts w:ascii="Arial" w:hAnsi="Arial" w:cs="Arial"/>
                <w:sz w:val="16"/>
                <w:szCs w:val="16"/>
              </w:rPr>
              <w:br/>
            </w:r>
            <w:r w:rsidRPr="00601402">
              <w:rPr>
                <w:rStyle w:val="quality-text"/>
                <w:rFonts w:ascii="Arial" w:hAnsi="Arial" w:cs="Arial"/>
                <w:sz w:val="16"/>
                <w:szCs w:val="16"/>
              </w:rPr>
              <w:t>LOW</w:t>
            </w:r>
            <w:r w:rsidRPr="00601402">
              <w:rPr>
                <w:rFonts w:ascii="Arial" w:hAnsi="Arial" w:cs="Arial"/>
                <w:sz w:val="16"/>
                <w:szCs w:val="16"/>
              </w:rPr>
              <w:t xml:space="preserve"> </w:t>
            </w:r>
            <w:r w:rsidRPr="00601402">
              <w:rPr>
                <w:rFonts w:ascii="Arial" w:hAnsi="Arial" w:cs="Arial"/>
                <w:sz w:val="16"/>
                <w:szCs w:val="16"/>
                <w:vertAlign w:val="superscript"/>
              </w:rPr>
              <w:t>4</w:t>
            </w:r>
            <w:r w:rsidRPr="00601402">
              <w:rPr>
                <w:rStyle w:val="comma"/>
                <w:rFonts w:ascii="Arial" w:hAnsi="Arial" w:cs="Arial"/>
                <w:sz w:val="16"/>
                <w:szCs w:val="16"/>
                <w:vertAlign w:val="superscript"/>
              </w:rPr>
              <w:t>,</w:t>
            </w:r>
            <w:r w:rsidRPr="00601402">
              <w:rPr>
                <w:rFonts w:ascii="Arial" w:hAnsi="Arial" w:cs="Arial"/>
                <w:sz w:val="16"/>
                <w:szCs w:val="16"/>
                <w:vertAlign w:val="superscript"/>
              </w:rPr>
              <w:t>10</w:t>
            </w:r>
            <w:r w:rsidRPr="00601402">
              <w:rPr>
                <w:rStyle w:val="comma"/>
                <w:rFonts w:ascii="Arial" w:hAnsi="Arial" w:cs="Arial"/>
                <w:sz w:val="16"/>
                <w:szCs w:val="16"/>
                <w:vertAlign w:val="superscript"/>
              </w:rPr>
              <w:t>,</w:t>
            </w:r>
            <w:r w:rsidRPr="00601402">
              <w:rPr>
                <w:rFonts w:ascii="Arial" w:hAnsi="Arial" w:cs="Arial"/>
                <w:sz w:val="16"/>
                <w:szCs w:val="16"/>
                <w:vertAlign w:val="superscript"/>
              </w:rPr>
              <w:t>11</w:t>
            </w:r>
            <w:r w:rsidRPr="00601402">
              <w:rPr>
                <w:rStyle w:val="comma"/>
                <w:rFonts w:ascii="Arial" w:hAnsi="Arial" w:cs="Arial"/>
                <w:sz w:val="16"/>
                <w:szCs w:val="16"/>
                <w:vertAlign w:val="superscript"/>
              </w:rPr>
              <w:t>,</w:t>
            </w:r>
            <w:proofErr w:type="gramStart"/>
            <w:r w:rsidRPr="00601402">
              <w:rPr>
                <w:rFonts w:ascii="Arial" w:hAnsi="Arial" w:cs="Arial"/>
                <w:sz w:val="16"/>
                <w:szCs w:val="16"/>
                <w:vertAlign w:val="superscript"/>
              </w:rPr>
              <w:t>12</w:t>
            </w:r>
            <w:r w:rsidRPr="00601402">
              <w:rPr>
                <w:rStyle w:val="comma"/>
                <w:rFonts w:ascii="Arial" w:hAnsi="Arial" w:cs="Arial"/>
                <w:sz w:val="16"/>
                <w:szCs w:val="16"/>
                <w:vertAlign w:val="superscript"/>
              </w:rPr>
              <w:t>,</w:t>
            </w:r>
            <w:r w:rsidRPr="00601402">
              <w:rPr>
                <w:rFonts w:ascii="Arial" w:hAnsi="Arial" w:cs="Arial"/>
                <w:sz w:val="16"/>
                <w:szCs w:val="16"/>
                <w:vertAlign w:val="superscript"/>
              </w:rPr>
              <w:t>a</w:t>
            </w:r>
            <w:proofErr w:type="gramEnd"/>
            <w:r w:rsidRPr="00601402">
              <w:rPr>
                <w:rStyle w:val="comma"/>
                <w:rFonts w:ascii="Arial" w:hAnsi="Arial" w:cs="Arial"/>
                <w:sz w:val="16"/>
                <w:szCs w:val="16"/>
                <w:vertAlign w:val="superscript"/>
              </w:rPr>
              <w:t>,</w:t>
            </w:r>
            <w:r w:rsidRPr="00601402">
              <w:rPr>
                <w:rFonts w:ascii="Arial" w:hAnsi="Arial" w:cs="Arial"/>
                <w:sz w:val="16"/>
                <w:szCs w:val="16"/>
                <w:vertAlign w:val="superscript"/>
              </w:rPr>
              <w:t>b</w:t>
            </w:r>
            <w:r w:rsidRPr="00601402">
              <w:rPr>
                <w:rStyle w:val="comma"/>
                <w:rFonts w:ascii="Arial" w:hAnsi="Arial" w:cs="Arial"/>
                <w:sz w:val="16"/>
                <w:szCs w:val="16"/>
                <w:vertAlign w:val="superscript"/>
              </w:rPr>
              <w:t>,</w:t>
            </w:r>
            <w:r w:rsidRPr="00601402">
              <w:rPr>
                <w:rFonts w:ascii="Arial" w:hAnsi="Arial" w:cs="Arial"/>
                <w:sz w:val="16"/>
                <w:szCs w:val="16"/>
                <w:vertAlign w:val="superscript"/>
              </w:rPr>
              <w:t>i</w:t>
            </w:r>
            <w:r w:rsidRPr="00601402">
              <w:rPr>
                <w:rStyle w:val="comma"/>
                <w:rFonts w:ascii="Arial" w:hAnsi="Arial" w:cs="Arial"/>
                <w:sz w:val="16"/>
                <w:szCs w:val="16"/>
                <w:vertAlign w:val="superscript"/>
              </w:rPr>
              <w:t>,</w:t>
            </w:r>
            <w:r w:rsidRPr="00601402">
              <w:rPr>
                <w:rFonts w:ascii="Arial" w:hAnsi="Arial" w:cs="Arial"/>
                <w:sz w:val="16"/>
                <w:szCs w:val="16"/>
                <w:vertAlign w:val="superscript"/>
              </w:rPr>
              <w:t>j</w:t>
            </w:r>
          </w:p>
        </w:tc>
        <w:tc>
          <w:tcPr>
            <w:tcW w:w="696" w:type="pct"/>
            <w:tcBorders>
              <w:top w:val="single" w:sz="6" w:space="0" w:color="000000"/>
              <w:left w:val="nil"/>
              <w:bottom w:val="single" w:sz="6" w:space="0" w:color="000000"/>
              <w:right w:val="nil"/>
            </w:tcBorders>
            <w:vAlign w:val="center"/>
          </w:tcPr>
          <w:p w14:paraId="523BD18E" w14:textId="77777777" w:rsidR="00596BE0" w:rsidRPr="00601402" w:rsidRDefault="00596BE0" w:rsidP="00596BE0">
            <w:pPr>
              <w:rPr>
                <w:rFonts w:ascii="Arial" w:hAnsi="Arial" w:cs="Arial"/>
                <w:sz w:val="16"/>
                <w:szCs w:val="16"/>
              </w:rPr>
            </w:pPr>
            <w:r w:rsidRPr="00601402">
              <w:rPr>
                <w:rStyle w:val="cell"/>
                <w:rFonts w:ascii="Arial" w:hAnsi="Arial" w:cs="Arial"/>
                <w:sz w:val="16"/>
                <w:szCs w:val="16"/>
              </w:rPr>
              <w:t>-</w:t>
            </w:r>
            <w:r w:rsidRPr="00601402">
              <w:rPr>
                <w:rFonts w:ascii="Arial" w:hAnsi="Arial" w:cs="Arial"/>
                <w:sz w:val="16"/>
                <w:szCs w:val="16"/>
              </w:rPr>
              <w:t xml:space="preserve"> </w:t>
            </w:r>
          </w:p>
        </w:tc>
        <w:tc>
          <w:tcPr>
            <w:tcW w:w="886" w:type="pct"/>
            <w:tcBorders>
              <w:top w:val="single" w:sz="6" w:space="0" w:color="000000"/>
              <w:left w:val="nil"/>
              <w:bottom w:val="single" w:sz="6" w:space="0" w:color="000000"/>
              <w:right w:val="nil"/>
            </w:tcBorders>
            <w:shd w:val="clear" w:color="auto" w:fill="EDEDED"/>
            <w:vAlign w:val="center"/>
          </w:tcPr>
          <w:p w14:paraId="5BE30E46" w14:textId="77777777" w:rsidR="00596BE0" w:rsidRPr="00601402" w:rsidRDefault="00596BE0" w:rsidP="00596BE0">
            <w:pPr>
              <w:rPr>
                <w:rFonts w:ascii="Arial" w:hAnsi="Arial" w:cs="Arial"/>
                <w:sz w:val="16"/>
                <w:szCs w:val="16"/>
              </w:rPr>
            </w:pPr>
          </w:p>
        </w:tc>
        <w:tc>
          <w:tcPr>
            <w:tcW w:w="1012" w:type="pct"/>
            <w:tcBorders>
              <w:top w:val="single" w:sz="6" w:space="0" w:color="000000"/>
              <w:left w:val="nil"/>
              <w:bottom w:val="single" w:sz="6" w:space="0" w:color="000000"/>
              <w:right w:val="nil"/>
            </w:tcBorders>
            <w:shd w:val="clear" w:color="auto" w:fill="EDEDED"/>
            <w:vAlign w:val="center"/>
          </w:tcPr>
          <w:p w14:paraId="30A77D88" w14:textId="77777777" w:rsidR="00596BE0" w:rsidRPr="00601402" w:rsidRDefault="00596BE0" w:rsidP="00596BE0">
            <w:pPr>
              <w:rPr>
                <w:rFonts w:ascii="Arial" w:hAnsi="Arial" w:cs="Arial"/>
                <w:sz w:val="16"/>
                <w:szCs w:val="16"/>
              </w:rPr>
            </w:pPr>
            <w:r w:rsidRPr="00601402">
              <w:rPr>
                <w:rStyle w:val="cell-value"/>
                <w:rFonts w:ascii="Arial" w:hAnsi="Arial" w:cs="Arial"/>
                <w:sz w:val="16"/>
                <w:szCs w:val="16"/>
              </w:rPr>
              <w:t>mean difference -</w:t>
            </w:r>
            <w:r w:rsidRPr="00601402">
              <w:rPr>
                <w:rStyle w:val="cell-value"/>
              </w:rPr>
              <w:t xml:space="preserve"> </w:t>
            </w:r>
            <w:r w:rsidRPr="00601402">
              <w:rPr>
                <w:rStyle w:val="cell-value"/>
                <w:rFonts w:ascii="Arial" w:hAnsi="Arial" w:cs="Arial"/>
                <w:b/>
                <w:bCs/>
                <w:sz w:val="16"/>
                <w:szCs w:val="16"/>
              </w:rPr>
              <w:t xml:space="preserve">40.11 % </w:t>
            </w:r>
            <w:r w:rsidRPr="00601402">
              <w:rPr>
                <w:rFonts w:ascii="Arial" w:hAnsi="Arial" w:cs="Arial"/>
                <w:sz w:val="16"/>
                <w:szCs w:val="16"/>
              </w:rPr>
              <w:br/>
            </w:r>
            <w:r w:rsidRPr="00601402">
              <w:rPr>
                <w:rStyle w:val="cell-value"/>
                <w:rFonts w:ascii="Arial" w:hAnsi="Arial" w:cs="Arial"/>
                <w:sz w:val="16"/>
                <w:szCs w:val="16"/>
              </w:rPr>
              <w:t>(-78.68 to -1.55)</w:t>
            </w:r>
            <w:r w:rsidRPr="00601402">
              <w:rPr>
                <w:rFonts w:ascii="Arial" w:hAnsi="Arial" w:cs="Arial"/>
                <w:sz w:val="16"/>
                <w:szCs w:val="16"/>
              </w:rPr>
              <w:t xml:space="preserve"> </w:t>
            </w:r>
          </w:p>
        </w:tc>
      </w:tr>
      <w:tr w:rsidR="00596BE0" w:rsidRPr="00601402" w14:paraId="0932FD2F" w14:textId="77777777" w:rsidTr="00596BE0">
        <w:trPr>
          <w:cantSplit/>
        </w:trPr>
        <w:tc>
          <w:tcPr>
            <w:tcW w:w="1203" w:type="pct"/>
            <w:tcBorders>
              <w:top w:val="single" w:sz="6" w:space="0" w:color="000000"/>
              <w:left w:val="nil"/>
              <w:bottom w:val="single" w:sz="6" w:space="0" w:color="000000"/>
              <w:right w:val="nil"/>
            </w:tcBorders>
            <w:vAlign w:val="center"/>
          </w:tcPr>
          <w:p w14:paraId="7E200B52" w14:textId="77777777" w:rsidR="00596BE0" w:rsidRPr="00601402" w:rsidRDefault="00596BE0" w:rsidP="00596BE0">
            <w:pPr>
              <w:rPr>
                <w:rFonts w:ascii="Arial" w:hAnsi="Arial" w:cs="Arial"/>
                <w:sz w:val="16"/>
                <w:szCs w:val="16"/>
              </w:rPr>
            </w:pPr>
            <w:r w:rsidRPr="00601402">
              <w:rPr>
                <w:rStyle w:val="label"/>
                <w:rFonts w:ascii="Arial" w:hAnsi="Arial" w:cs="Arial"/>
                <w:b/>
                <w:sz w:val="16"/>
                <w:szCs w:val="16"/>
              </w:rPr>
              <w:t>Rescue medication use</w:t>
            </w:r>
            <w:r w:rsidRPr="00601402">
              <w:rPr>
                <w:rStyle w:val="label"/>
                <w:rFonts w:ascii="Arial" w:hAnsi="Arial" w:cs="Arial"/>
                <w:sz w:val="16"/>
                <w:szCs w:val="16"/>
              </w:rPr>
              <w:t xml:space="preserve"> </w:t>
            </w:r>
            <w:r w:rsidRPr="00601402">
              <w:rPr>
                <w:rFonts w:ascii="Arial" w:hAnsi="Arial" w:cs="Arial"/>
                <w:sz w:val="16"/>
                <w:szCs w:val="16"/>
              </w:rPr>
              <w:br/>
            </w:r>
            <w:r w:rsidRPr="00601402">
              <w:rPr>
                <w:rStyle w:val="label"/>
                <w:rFonts w:ascii="Arial" w:hAnsi="Arial" w:cs="Arial"/>
                <w:sz w:val="16"/>
                <w:szCs w:val="16"/>
              </w:rPr>
              <w:t>Assessed with puffs/day</w:t>
            </w:r>
            <w:r w:rsidRPr="00601402">
              <w:rPr>
                <w:rFonts w:ascii="Arial" w:hAnsi="Arial" w:cs="Arial"/>
                <w:sz w:val="16"/>
                <w:szCs w:val="16"/>
              </w:rPr>
              <w:br/>
            </w:r>
          </w:p>
        </w:tc>
        <w:tc>
          <w:tcPr>
            <w:tcW w:w="759" w:type="pct"/>
            <w:tcBorders>
              <w:top w:val="single" w:sz="6" w:space="0" w:color="000000"/>
              <w:left w:val="nil"/>
              <w:bottom w:val="single" w:sz="6" w:space="0" w:color="000000"/>
              <w:right w:val="nil"/>
            </w:tcBorders>
            <w:vAlign w:val="center"/>
          </w:tcPr>
          <w:p w14:paraId="2E5F41F3" w14:textId="77777777" w:rsidR="00596BE0" w:rsidRPr="00601402" w:rsidRDefault="00596BE0" w:rsidP="00596BE0">
            <w:pPr>
              <w:rPr>
                <w:rFonts w:ascii="Arial" w:hAnsi="Arial" w:cs="Arial"/>
                <w:sz w:val="16"/>
                <w:szCs w:val="16"/>
                <w:vertAlign w:val="superscript"/>
              </w:rPr>
            </w:pPr>
            <w:r w:rsidRPr="00601402">
              <w:rPr>
                <w:rFonts w:ascii="Arial" w:hAnsi="Arial" w:cs="Arial"/>
                <w:sz w:val="16"/>
                <w:szCs w:val="16"/>
              </w:rPr>
              <w:t>143</w:t>
            </w:r>
            <w:r w:rsidRPr="00601402">
              <w:rPr>
                <w:rFonts w:ascii="Arial" w:hAnsi="Arial" w:cs="Arial"/>
                <w:sz w:val="16"/>
                <w:szCs w:val="16"/>
              </w:rPr>
              <w:br/>
              <w:t xml:space="preserve">(1 RCT) </w:t>
            </w:r>
            <w:r w:rsidRPr="00601402">
              <w:rPr>
                <w:rFonts w:ascii="Arial" w:hAnsi="Arial" w:cs="Arial"/>
                <w:sz w:val="16"/>
                <w:szCs w:val="16"/>
                <w:vertAlign w:val="superscript"/>
              </w:rPr>
              <w:t>42</w:t>
            </w:r>
          </w:p>
          <w:p w14:paraId="1771D62E" w14:textId="77777777" w:rsidR="00596BE0" w:rsidRPr="00601402" w:rsidRDefault="00596BE0" w:rsidP="00596BE0">
            <w:pPr>
              <w:rPr>
                <w:rFonts w:ascii="Arial" w:hAnsi="Arial" w:cs="Arial"/>
                <w:sz w:val="16"/>
                <w:szCs w:val="16"/>
              </w:rPr>
            </w:pPr>
            <w:r w:rsidRPr="00601402">
              <w:rPr>
                <w:rStyle w:val="label"/>
                <w:rFonts w:ascii="Arial" w:hAnsi="Arial" w:cs="Arial"/>
                <w:sz w:val="16"/>
                <w:szCs w:val="16"/>
              </w:rPr>
              <w:t>24 to 52 weeks</w:t>
            </w:r>
            <w:r w:rsidRPr="00601402">
              <w:rPr>
                <w:rFonts w:ascii="Arial" w:hAnsi="Arial" w:cs="Arial"/>
                <w:sz w:val="16"/>
                <w:szCs w:val="16"/>
              </w:rPr>
              <w:t xml:space="preserve"> </w:t>
            </w:r>
          </w:p>
        </w:tc>
        <w:tc>
          <w:tcPr>
            <w:tcW w:w="444" w:type="pct"/>
            <w:tcBorders>
              <w:top w:val="single" w:sz="6" w:space="0" w:color="000000"/>
              <w:left w:val="nil"/>
              <w:bottom w:val="single" w:sz="6" w:space="0" w:color="000000"/>
              <w:right w:val="nil"/>
            </w:tcBorders>
            <w:vAlign w:val="center"/>
          </w:tcPr>
          <w:p w14:paraId="05326075" w14:textId="77777777" w:rsidR="00596BE0" w:rsidRPr="00601402" w:rsidRDefault="00596BE0" w:rsidP="00596BE0">
            <w:pPr>
              <w:rPr>
                <w:rFonts w:ascii="Arial" w:hAnsi="Arial" w:cs="Arial"/>
                <w:sz w:val="16"/>
                <w:szCs w:val="16"/>
              </w:rPr>
            </w:pPr>
            <w:r w:rsidRPr="00601402">
              <w:rPr>
                <w:rStyle w:val="quality-sign"/>
                <w:rFonts w:ascii="Cambria Math" w:hAnsi="Cambria Math" w:cs="Cambria Math"/>
                <w:sz w:val="16"/>
                <w:szCs w:val="16"/>
              </w:rPr>
              <w:t>⨁⨁⨁</w:t>
            </w:r>
            <w:r w:rsidRPr="00601402">
              <w:rPr>
                <w:rStyle w:val="quality-sign"/>
                <w:rFonts w:ascii="Segoe UI Symbol" w:eastAsia="MS Mincho" w:hAnsi="Segoe UI Symbol" w:cs="Segoe UI Symbol"/>
                <w:sz w:val="16"/>
                <w:szCs w:val="16"/>
              </w:rPr>
              <w:t>◯</w:t>
            </w:r>
            <w:r w:rsidRPr="00601402">
              <w:rPr>
                <w:rFonts w:ascii="Arial" w:hAnsi="Arial" w:cs="Arial"/>
                <w:sz w:val="16"/>
                <w:szCs w:val="16"/>
              </w:rPr>
              <w:br/>
            </w:r>
            <w:r w:rsidRPr="00601402">
              <w:rPr>
                <w:rStyle w:val="quality-text"/>
                <w:rFonts w:ascii="Arial" w:hAnsi="Arial" w:cs="Arial"/>
                <w:sz w:val="16"/>
                <w:szCs w:val="16"/>
              </w:rPr>
              <w:t>MODERATE</w:t>
            </w:r>
            <w:r w:rsidRPr="00601402">
              <w:rPr>
                <w:rFonts w:ascii="Arial" w:hAnsi="Arial" w:cs="Arial"/>
                <w:sz w:val="16"/>
                <w:szCs w:val="16"/>
              </w:rPr>
              <w:t xml:space="preserve"> </w:t>
            </w:r>
            <w:r w:rsidRPr="00601402">
              <w:rPr>
                <w:rFonts w:ascii="Arial" w:hAnsi="Arial" w:cs="Arial"/>
                <w:sz w:val="16"/>
                <w:szCs w:val="16"/>
                <w:vertAlign w:val="superscript"/>
              </w:rPr>
              <w:t>4</w:t>
            </w:r>
            <w:r w:rsidRPr="00601402">
              <w:rPr>
                <w:rStyle w:val="comma"/>
                <w:rFonts w:ascii="Arial" w:hAnsi="Arial" w:cs="Arial"/>
                <w:sz w:val="16"/>
                <w:szCs w:val="16"/>
                <w:vertAlign w:val="superscript"/>
              </w:rPr>
              <w:t>,</w:t>
            </w:r>
            <w:proofErr w:type="gramStart"/>
            <w:r w:rsidRPr="00601402">
              <w:rPr>
                <w:rFonts w:ascii="Arial" w:hAnsi="Arial" w:cs="Arial"/>
                <w:sz w:val="16"/>
                <w:szCs w:val="16"/>
                <w:vertAlign w:val="superscript"/>
              </w:rPr>
              <w:t>7</w:t>
            </w:r>
            <w:r w:rsidRPr="00601402">
              <w:rPr>
                <w:rStyle w:val="comma"/>
                <w:rFonts w:ascii="Arial" w:hAnsi="Arial" w:cs="Arial"/>
                <w:sz w:val="16"/>
                <w:szCs w:val="16"/>
                <w:vertAlign w:val="superscript"/>
              </w:rPr>
              <w:t>,</w:t>
            </w:r>
            <w:r w:rsidRPr="00601402">
              <w:rPr>
                <w:rFonts w:ascii="Arial" w:hAnsi="Arial" w:cs="Arial"/>
                <w:sz w:val="16"/>
                <w:szCs w:val="16"/>
                <w:vertAlign w:val="superscript"/>
              </w:rPr>
              <w:t>a</w:t>
            </w:r>
            <w:proofErr w:type="gramEnd"/>
            <w:r w:rsidRPr="00601402">
              <w:rPr>
                <w:rStyle w:val="comma"/>
                <w:rFonts w:ascii="Arial" w:hAnsi="Arial" w:cs="Arial"/>
                <w:sz w:val="16"/>
                <w:szCs w:val="16"/>
                <w:vertAlign w:val="superscript"/>
              </w:rPr>
              <w:t>,</w:t>
            </w:r>
            <w:r w:rsidRPr="00601402">
              <w:rPr>
                <w:rFonts w:ascii="Arial" w:hAnsi="Arial" w:cs="Arial"/>
                <w:sz w:val="16"/>
                <w:szCs w:val="16"/>
                <w:vertAlign w:val="superscript"/>
              </w:rPr>
              <w:t>b</w:t>
            </w:r>
            <w:r w:rsidRPr="00601402">
              <w:rPr>
                <w:rStyle w:val="comma"/>
                <w:rFonts w:ascii="Arial" w:hAnsi="Arial" w:cs="Arial"/>
                <w:sz w:val="16"/>
                <w:szCs w:val="16"/>
                <w:vertAlign w:val="superscript"/>
              </w:rPr>
              <w:t>,</w:t>
            </w:r>
            <w:r w:rsidRPr="00601402">
              <w:rPr>
                <w:rFonts w:ascii="Arial" w:hAnsi="Arial" w:cs="Arial"/>
                <w:sz w:val="16"/>
                <w:szCs w:val="16"/>
                <w:vertAlign w:val="superscript"/>
              </w:rPr>
              <w:t>k</w:t>
            </w:r>
            <w:r w:rsidRPr="00601402">
              <w:rPr>
                <w:rStyle w:val="comma"/>
                <w:rFonts w:ascii="Arial" w:hAnsi="Arial" w:cs="Arial"/>
                <w:sz w:val="16"/>
                <w:szCs w:val="16"/>
                <w:vertAlign w:val="superscript"/>
              </w:rPr>
              <w:t>,</w:t>
            </w:r>
            <w:r w:rsidRPr="00601402">
              <w:rPr>
                <w:rFonts w:ascii="Arial" w:hAnsi="Arial" w:cs="Arial"/>
                <w:sz w:val="16"/>
                <w:szCs w:val="16"/>
                <w:vertAlign w:val="superscript"/>
              </w:rPr>
              <w:t>l</w:t>
            </w:r>
          </w:p>
        </w:tc>
        <w:tc>
          <w:tcPr>
            <w:tcW w:w="696" w:type="pct"/>
            <w:tcBorders>
              <w:top w:val="single" w:sz="6" w:space="0" w:color="000000"/>
              <w:left w:val="nil"/>
              <w:bottom w:val="single" w:sz="6" w:space="0" w:color="000000"/>
              <w:right w:val="nil"/>
            </w:tcBorders>
            <w:vAlign w:val="center"/>
          </w:tcPr>
          <w:p w14:paraId="78AB0F63" w14:textId="77777777" w:rsidR="00596BE0" w:rsidRPr="00601402" w:rsidRDefault="00596BE0" w:rsidP="00596BE0">
            <w:pPr>
              <w:rPr>
                <w:rFonts w:ascii="Arial" w:hAnsi="Arial" w:cs="Arial"/>
                <w:sz w:val="16"/>
                <w:szCs w:val="16"/>
              </w:rPr>
            </w:pPr>
            <w:r w:rsidRPr="00601402">
              <w:rPr>
                <w:rStyle w:val="cell"/>
                <w:rFonts w:ascii="Arial" w:hAnsi="Arial" w:cs="Arial"/>
                <w:sz w:val="16"/>
                <w:szCs w:val="16"/>
              </w:rPr>
              <w:t>-</w:t>
            </w:r>
            <w:r w:rsidRPr="00601402">
              <w:rPr>
                <w:rFonts w:ascii="Arial" w:hAnsi="Arial" w:cs="Arial"/>
                <w:sz w:val="16"/>
                <w:szCs w:val="16"/>
              </w:rPr>
              <w:t xml:space="preserve"> </w:t>
            </w:r>
          </w:p>
        </w:tc>
        <w:tc>
          <w:tcPr>
            <w:tcW w:w="886" w:type="pct"/>
            <w:tcBorders>
              <w:top w:val="single" w:sz="6" w:space="0" w:color="000000"/>
              <w:left w:val="nil"/>
              <w:bottom w:val="single" w:sz="6" w:space="0" w:color="000000"/>
              <w:right w:val="nil"/>
            </w:tcBorders>
            <w:shd w:val="clear" w:color="auto" w:fill="EDEDED"/>
            <w:vAlign w:val="center"/>
          </w:tcPr>
          <w:p w14:paraId="557A5395" w14:textId="77777777" w:rsidR="00596BE0" w:rsidRPr="00601402" w:rsidRDefault="00596BE0" w:rsidP="00596BE0">
            <w:pPr>
              <w:rPr>
                <w:rFonts w:ascii="Arial" w:hAnsi="Arial" w:cs="Arial"/>
                <w:sz w:val="16"/>
                <w:szCs w:val="16"/>
              </w:rPr>
            </w:pPr>
          </w:p>
        </w:tc>
        <w:tc>
          <w:tcPr>
            <w:tcW w:w="1012" w:type="pct"/>
            <w:tcBorders>
              <w:top w:val="single" w:sz="6" w:space="0" w:color="000000"/>
              <w:left w:val="nil"/>
              <w:bottom w:val="single" w:sz="6" w:space="0" w:color="000000"/>
              <w:right w:val="nil"/>
            </w:tcBorders>
            <w:shd w:val="clear" w:color="auto" w:fill="EDEDED"/>
            <w:vAlign w:val="center"/>
          </w:tcPr>
          <w:p w14:paraId="50E55677" w14:textId="77777777" w:rsidR="00596BE0" w:rsidRPr="00601402" w:rsidRDefault="00596BE0" w:rsidP="00596BE0">
            <w:pPr>
              <w:rPr>
                <w:rFonts w:ascii="Arial" w:hAnsi="Arial" w:cs="Arial"/>
                <w:sz w:val="16"/>
                <w:szCs w:val="16"/>
              </w:rPr>
            </w:pPr>
            <w:r w:rsidRPr="00601402">
              <w:rPr>
                <w:rStyle w:val="cell-value"/>
                <w:rFonts w:ascii="Arial" w:hAnsi="Arial" w:cs="Arial"/>
                <w:sz w:val="16"/>
                <w:szCs w:val="16"/>
              </w:rPr>
              <w:t>mean difference -</w:t>
            </w:r>
            <w:r w:rsidRPr="00601402">
              <w:rPr>
                <w:rStyle w:val="cell-value"/>
              </w:rPr>
              <w:t xml:space="preserve"> </w:t>
            </w:r>
            <w:r w:rsidRPr="00601402">
              <w:rPr>
                <w:rStyle w:val="cell-value"/>
                <w:rFonts w:ascii="Arial" w:hAnsi="Arial" w:cs="Arial"/>
                <w:b/>
                <w:bCs/>
                <w:sz w:val="16"/>
                <w:szCs w:val="16"/>
              </w:rPr>
              <w:t xml:space="preserve">0.56 puff/day </w:t>
            </w:r>
            <w:r w:rsidRPr="00601402">
              <w:rPr>
                <w:rFonts w:ascii="Arial" w:hAnsi="Arial" w:cs="Arial"/>
                <w:sz w:val="16"/>
                <w:szCs w:val="16"/>
              </w:rPr>
              <w:br/>
            </w:r>
            <w:r w:rsidRPr="00601402">
              <w:rPr>
                <w:rStyle w:val="cell-value"/>
                <w:rFonts w:ascii="Arial" w:hAnsi="Arial" w:cs="Arial"/>
                <w:sz w:val="16"/>
                <w:szCs w:val="16"/>
              </w:rPr>
              <w:t>(-2.28 to +1.16)</w:t>
            </w:r>
            <w:r w:rsidRPr="00601402">
              <w:rPr>
                <w:rFonts w:ascii="Arial" w:hAnsi="Arial" w:cs="Arial"/>
                <w:sz w:val="16"/>
                <w:szCs w:val="16"/>
              </w:rPr>
              <w:t xml:space="preserve"> </w:t>
            </w:r>
          </w:p>
        </w:tc>
      </w:tr>
      <w:tr w:rsidR="00596BE0" w:rsidRPr="00601402" w14:paraId="7F67E87F" w14:textId="77777777" w:rsidTr="00596BE0">
        <w:trPr>
          <w:cantSplit/>
        </w:trPr>
        <w:tc>
          <w:tcPr>
            <w:tcW w:w="5000" w:type="pct"/>
            <w:gridSpan w:val="6"/>
            <w:tcBorders>
              <w:top w:val="single" w:sz="6" w:space="0" w:color="000000"/>
              <w:left w:val="nil"/>
              <w:bottom w:val="single" w:sz="6" w:space="0" w:color="000000"/>
              <w:right w:val="nil"/>
            </w:tcBorders>
          </w:tcPr>
          <w:p w14:paraId="0427A169" w14:textId="77777777" w:rsidR="00596BE0" w:rsidRPr="00601402" w:rsidRDefault="00596BE0" w:rsidP="00596BE0">
            <w:pPr>
              <w:rPr>
                <w:rFonts w:ascii="Arial" w:hAnsi="Arial" w:cs="Arial"/>
                <w:sz w:val="16"/>
                <w:szCs w:val="16"/>
              </w:rPr>
            </w:pPr>
            <w:r w:rsidRPr="00601402">
              <w:rPr>
                <w:rFonts w:ascii="Arial" w:hAnsi="Arial" w:cs="Arial"/>
                <w:sz w:val="16"/>
                <w:szCs w:val="16"/>
              </w:rPr>
              <w:t>*</w:t>
            </w:r>
            <w:r w:rsidRPr="00601402">
              <w:rPr>
                <w:rFonts w:ascii="Arial" w:hAnsi="Arial" w:cs="Arial"/>
                <w:b/>
                <w:bCs/>
                <w:sz w:val="16"/>
                <w:szCs w:val="16"/>
              </w:rPr>
              <w:t>The risk in the intervention group</w:t>
            </w:r>
            <w:r w:rsidRPr="00601402">
              <w:rPr>
                <w:rFonts w:ascii="Arial" w:hAnsi="Arial" w:cs="Arial"/>
                <w:sz w:val="16"/>
                <w:szCs w:val="16"/>
              </w:rPr>
              <w:t xml:space="preserve"> (and its 95% confidence interval) is based on the assumed risk in the comparison group and the </w:t>
            </w:r>
            <w:r w:rsidRPr="00601402">
              <w:rPr>
                <w:rFonts w:ascii="Arial" w:hAnsi="Arial" w:cs="Arial"/>
                <w:b/>
                <w:bCs/>
                <w:sz w:val="16"/>
                <w:szCs w:val="16"/>
              </w:rPr>
              <w:t>relative effect</w:t>
            </w:r>
            <w:r w:rsidRPr="00601402">
              <w:rPr>
                <w:rFonts w:ascii="Arial" w:hAnsi="Arial" w:cs="Arial"/>
                <w:sz w:val="16"/>
                <w:szCs w:val="16"/>
              </w:rPr>
              <w:t xml:space="preserve"> of the intervention (and its 95% CI). </w:t>
            </w:r>
          </w:p>
        </w:tc>
      </w:tr>
      <w:tr w:rsidR="00596BE0" w:rsidRPr="00601402" w14:paraId="0C9EF8CE" w14:textId="77777777" w:rsidTr="00596BE0">
        <w:trPr>
          <w:cantSplit/>
        </w:trPr>
        <w:tc>
          <w:tcPr>
            <w:tcW w:w="5000" w:type="pct"/>
            <w:gridSpan w:val="6"/>
            <w:tcBorders>
              <w:top w:val="single" w:sz="6" w:space="0" w:color="000000"/>
              <w:left w:val="nil"/>
              <w:bottom w:val="single" w:sz="6" w:space="0" w:color="000000"/>
              <w:right w:val="nil"/>
            </w:tcBorders>
          </w:tcPr>
          <w:p w14:paraId="504F488C" w14:textId="77777777" w:rsidR="00596BE0" w:rsidRPr="00601402" w:rsidRDefault="00596BE0" w:rsidP="00596BE0">
            <w:pPr>
              <w:rPr>
                <w:rFonts w:ascii="Arial" w:hAnsi="Arial" w:cs="Arial"/>
                <w:sz w:val="16"/>
                <w:szCs w:val="16"/>
              </w:rPr>
            </w:pPr>
            <w:r w:rsidRPr="00601402">
              <w:rPr>
                <w:rFonts w:ascii="Arial" w:hAnsi="Arial" w:cs="Arial"/>
                <w:b/>
                <w:bCs/>
                <w:sz w:val="16"/>
                <w:szCs w:val="16"/>
              </w:rPr>
              <w:lastRenderedPageBreak/>
              <w:t>GRADE Working Group grades of evidence</w:t>
            </w:r>
            <w:r w:rsidRPr="00601402">
              <w:rPr>
                <w:rFonts w:ascii="Arial" w:hAnsi="Arial" w:cs="Arial"/>
                <w:sz w:val="16"/>
                <w:szCs w:val="16"/>
              </w:rPr>
              <w:br/>
            </w:r>
            <w:r w:rsidRPr="00601402">
              <w:rPr>
                <w:rFonts w:ascii="Arial" w:hAnsi="Arial" w:cs="Arial"/>
                <w:b/>
                <w:bCs/>
                <w:sz w:val="16"/>
                <w:szCs w:val="16"/>
              </w:rPr>
              <w:t>High certainty:</w:t>
            </w:r>
            <w:r w:rsidRPr="00601402">
              <w:rPr>
                <w:rFonts w:ascii="Arial" w:hAnsi="Arial" w:cs="Arial"/>
                <w:sz w:val="16"/>
                <w:szCs w:val="16"/>
              </w:rPr>
              <w:t xml:space="preserve"> High confidence that the true effect lies close to that of the estimate of the effect</w:t>
            </w:r>
            <w:r w:rsidRPr="00601402">
              <w:rPr>
                <w:rFonts w:ascii="Arial" w:hAnsi="Arial" w:cs="Arial"/>
                <w:sz w:val="16"/>
                <w:szCs w:val="16"/>
              </w:rPr>
              <w:br/>
            </w:r>
            <w:r w:rsidRPr="00601402">
              <w:rPr>
                <w:rFonts w:ascii="Arial" w:hAnsi="Arial" w:cs="Arial"/>
                <w:b/>
                <w:bCs/>
                <w:sz w:val="16"/>
                <w:szCs w:val="16"/>
              </w:rPr>
              <w:t>Moderate certainty:</w:t>
            </w:r>
            <w:r w:rsidRPr="00601402">
              <w:rPr>
                <w:rFonts w:ascii="Arial" w:hAnsi="Arial" w:cs="Arial"/>
                <w:sz w:val="16"/>
                <w:szCs w:val="16"/>
              </w:rPr>
              <w:t xml:space="preserve"> Moderate confidence in the effect estimate: The true effect is likely to be close to the estimate of the effect, but there is a possibility that it is substantially different</w:t>
            </w:r>
            <w:r w:rsidRPr="00601402">
              <w:rPr>
                <w:rFonts w:ascii="Arial" w:hAnsi="Arial" w:cs="Arial"/>
                <w:sz w:val="16"/>
                <w:szCs w:val="16"/>
              </w:rPr>
              <w:br/>
            </w:r>
            <w:r w:rsidRPr="00601402">
              <w:rPr>
                <w:rFonts w:ascii="Arial" w:hAnsi="Arial" w:cs="Arial"/>
                <w:b/>
                <w:bCs/>
                <w:sz w:val="16"/>
                <w:szCs w:val="16"/>
              </w:rPr>
              <w:t>Low certainty:</w:t>
            </w:r>
            <w:r w:rsidRPr="00601402">
              <w:rPr>
                <w:rFonts w:ascii="Arial" w:hAnsi="Arial" w:cs="Arial"/>
                <w:sz w:val="16"/>
                <w:szCs w:val="16"/>
              </w:rPr>
              <w:t xml:space="preserve"> Limited confidence in the effect estimate: The true effect may be substantially different from the estimate of the effect</w:t>
            </w:r>
            <w:r w:rsidRPr="00601402">
              <w:rPr>
                <w:rFonts w:ascii="Arial" w:hAnsi="Arial" w:cs="Arial"/>
                <w:sz w:val="16"/>
                <w:szCs w:val="16"/>
              </w:rPr>
              <w:br/>
            </w:r>
            <w:r w:rsidRPr="00601402">
              <w:rPr>
                <w:rFonts w:ascii="Arial" w:hAnsi="Arial" w:cs="Arial"/>
                <w:b/>
                <w:bCs/>
                <w:sz w:val="16"/>
                <w:szCs w:val="16"/>
              </w:rPr>
              <w:t>Very low certainty:</w:t>
            </w:r>
            <w:r w:rsidRPr="00601402">
              <w:rPr>
                <w:rFonts w:ascii="Arial" w:hAnsi="Arial" w:cs="Arial"/>
                <w:sz w:val="16"/>
                <w:szCs w:val="16"/>
              </w:rPr>
              <w:t xml:space="preserve"> Little confidence in the effect estimate: The true effect is likely to be substantially different from the estimate of effect</w:t>
            </w:r>
          </w:p>
        </w:tc>
      </w:tr>
    </w:tbl>
    <w:p w14:paraId="49BBB76D" w14:textId="77777777" w:rsidR="00596BE0" w:rsidRPr="00601402" w:rsidRDefault="00596BE0" w:rsidP="00596BE0">
      <w:pPr>
        <w:pStyle w:val="Heading4"/>
        <w:spacing w:before="0"/>
        <w:jc w:val="both"/>
        <w:rPr>
          <w:rFonts w:ascii="Arial" w:hAnsi="Arial" w:cs="Arial"/>
          <w:color w:val="000000"/>
          <w:sz w:val="24"/>
          <w:szCs w:val="24"/>
        </w:rPr>
      </w:pPr>
      <w:r w:rsidRPr="00601402">
        <w:rPr>
          <w:rFonts w:ascii="Arial" w:hAnsi="Arial" w:cs="Arial"/>
          <w:color w:val="000000"/>
        </w:rPr>
        <w:t>Explanations</w:t>
      </w:r>
    </w:p>
    <w:p w14:paraId="41789A1A" w14:textId="77777777" w:rsidR="00596BE0" w:rsidRPr="00601402" w:rsidRDefault="00596BE0" w:rsidP="00596BE0">
      <w:pPr>
        <w:jc w:val="both"/>
        <w:rPr>
          <w:rFonts w:ascii="Arial" w:hAnsi="Arial" w:cs="Arial"/>
          <w:color w:val="000000"/>
          <w:sz w:val="16"/>
          <w:szCs w:val="16"/>
        </w:rPr>
      </w:pPr>
      <w:r w:rsidRPr="00601402">
        <w:rPr>
          <w:rFonts w:ascii="Arial" w:hAnsi="Arial" w:cs="Arial"/>
          <w:color w:val="000000"/>
          <w:sz w:val="16"/>
          <w:szCs w:val="16"/>
        </w:rPr>
        <w:t xml:space="preserve">a. All included studies had a high risk of selective reporting bias (42,43,44). However, the evidence quality was not downgraded because most of the outcomes of interest for our analysis were reported. </w:t>
      </w:r>
    </w:p>
    <w:p w14:paraId="4ABCB88D" w14:textId="77777777" w:rsidR="00596BE0" w:rsidRPr="00601402" w:rsidRDefault="00596BE0" w:rsidP="00596BE0">
      <w:pPr>
        <w:jc w:val="both"/>
        <w:rPr>
          <w:rFonts w:ascii="Arial" w:hAnsi="Arial" w:cs="Arial"/>
          <w:color w:val="000000"/>
          <w:sz w:val="16"/>
          <w:szCs w:val="16"/>
        </w:rPr>
      </w:pPr>
      <w:r w:rsidRPr="00601402">
        <w:rPr>
          <w:rFonts w:ascii="Arial" w:hAnsi="Arial" w:cs="Arial"/>
          <w:color w:val="000000"/>
          <w:sz w:val="16"/>
          <w:szCs w:val="16"/>
        </w:rPr>
        <w:t xml:space="preserve">b. All included studies were founded by industry and the same company (Sanofi and Regeneron Pharmaceuticals), and all showed positive results. No industry-independent observational or randomized trials were identified to contrast the results. Therefore, the quality of the evidence was downgraded for potential publication bias (70) </w:t>
      </w:r>
    </w:p>
    <w:p w14:paraId="4500E2A6" w14:textId="77777777" w:rsidR="00596BE0" w:rsidRPr="00601402" w:rsidRDefault="00596BE0" w:rsidP="00596BE0">
      <w:pPr>
        <w:jc w:val="both"/>
        <w:rPr>
          <w:rFonts w:ascii="Arial" w:hAnsi="Arial" w:cs="Arial"/>
          <w:color w:val="000000"/>
          <w:sz w:val="16"/>
          <w:szCs w:val="16"/>
        </w:rPr>
      </w:pPr>
      <w:r w:rsidRPr="00601402">
        <w:rPr>
          <w:rFonts w:ascii="Arial" w:hAnsi="Arial" w:cs="Arial"/>
          <w:color w:val="000000"/>
          <w:sz w:val="16"/>
          <w:szCs w:val="16"/>
        </w:rPr>
        <w:t xml:space="preserve">c. Two studies (Rabe 2018, Wenzel 2016) assessed exacerbations at 24 weeks, and Castro2018 at 52 weeks. </w:t>
      </w:r>
    </w:p>
    <w:p w14:paraId="4E03C396" w14:textId="77777777" w:rsidR="00596BE0" w:rsidRPr="00601402" w:rsidRDefault="00596BE0" w:rsidP="00596BE0">
      <w:pPr>
        <w:jc w:val="both"/>
        <w:rPr>
          <w:rFonts w:ascii="Arial" w:hAnsi="Arial" w:cs="Arial"/>
          <w:color w:val="000000"/>
          <w:sz w:val="16"/>
          <w:szCs w:val="16"/>
        </w:rPr>
      </w:pPr>
      <w:r w:rsidRPr="00601402">
        <w:rPr>
          <w:rFonts w:ascii="Arial" w:hAnsi="Arial" w:cs="Arial"/>
          <w:color w:val="000000"/>
          <w:sz w:val="16"/>
          <w:szCs w:val="16"/>
        </w:rPr>
        <w:t xml:space="preserve">d. The quality of the evidence was downgraded because FEV1 is considered a surrogate outcome of asthma control, with a variable correlation with asthma symptoms (72). </w:t>
      </w:r>
    </w:p>
    <w:p w14:paraId="01731DB3" w14:textId="77777777" w:rsidR="00596BE0" w:rsidRPr="00601402" w:rsidRDefault="00596BE0" w:rsidP="00596BE0">
      <w:pPr>
        <w:jc w:val="both"/>
        <w:rPr>
          <w:rFonts w:ascii="Arial" w:hAnsi="Arial" w:cs="Arial"/>
          <w:color w:val="000000"/>
          <w:sz w:val="16"/>
          <w:szCs w:val="16"/>
        </w:rPr>
      </w:pPr>
      <w:r w:rsidRPr="00601402">
        <w:rPr>
          <w:rFonts w:ascii="Arial" w:hAnsi="Arial" w:cs="Arial"/>
          <w:color w:val="000000"/>
          <w:sz w:val="16"/>
          <w:szCs w:val="16"/>
        </w:rPr>
        <w:t xml:space="preserve">e. The panel agreed that minimal important difference (MID) for FEV1 is 0.20 L and considered the effect as imprecise. </w:t>
      </w:r>
    </w:p>
    <w:p w14:paraId="38470517" w14:textId="77777777" w:rsidR="00596BE0" w:rsidRPr="00601402" w:rsidRDefault="00596BE0" w:rsidP="00596BE0">
      <w:pPr>
        <w:jc w:val="both"/>
        <w:rPr>
          <w:rFonts w:ascii="Arial" w:hAnsi="Arial" w:cs="Arial"/>
          <w:color w:val="000000"/>
          <w:sz w:val="16"/>
          <w:szCs w:val="16"/>
        </w:rPr>
      </w:pPr>
      <w:r w:rsidRPr="00601402">
        <w:rPr>
          <w:rFonts w:ascii="Arial" w:hAnsi="Arial" w:cs="Arial"/>
          <w:color w:val="000000"/>
          <w:sz w:val="16"/>
          <w:szCs w:val="16"/>
        </w:rPr>
        <w:t xml:space="preserve">f. The panel agreed that minimal important difference (MID) for FEV1 is 0.20 L and thus the effect was considered as imprecise. </w:t>
      </w:r>
    </w:p>
    <w:p w14:paraId="179B0B84" w14:textId="77777777" w:rsidR="00596BE0" w:rsidRPr="00601402" w:rsidRDefault="00596BE0" w:rsidP="00596BE0">
      <w:pPr>
        <w:jc w:val="both"/>
        <w:rPr>
          <w:rFonts w:ascii="Arial" w:hAnsi="Arial" w:cs="Arial"/>
          <w:color w:val="000000"/>
          <w:sz w:val="16"/>
          <w:szCs w:val="16"/>
        </w:rPr>
      </w:pPr>
      <w:r w:rsidRPr="00601402">
        <w:rPr>
          <w:rFonts w:ascii="Arial" w:hAnsi="Arial" w:cs="Arial"/>
          <w:color w:val="000000"/>
          <w:sz w:val="16"/>
          <w:szCs w:val="16"/>
        </w:rPr>
        <w:t xml:space="preserve">g. Downgraded because the effect of dupilumab is beneficial but the lower side of the CI is less than the </w:t>
      </w:r>
      <w:proofErr w:type="gramStart"/>
      <w:r w:rsidRPr="00601402">
        <w:rPr>
          <w:rFonts w:ascii="Arial" w:hAnsi="Arial" w:cs="Arial"/>
          <w:color w:val="000000"/>
          <w:sz w:val="16"/>
          <w:szCs w:val="16"/>
        </w:rPr>
        <w:t>MID( 0.5</w:t>
      </w:r>
      <w:proofErr w:type="gramEnd"/>
      <w:r w:rsidRPr="00601402">
        <w:rPr>
          <w:rFonts w:ascii="Arial" w:hAnsi="Arial" w:cs="Arial"/>
          <w:color w:val="000000"/>
          <w:sz w:val="16"/>
          <w:szCs w:val="16"/>
        </w:rPr>
        <w:t xml:space="preserve"> points). (37) </w:t>
      </w:r>
    </w:p>
    <w:p w14:paraId="321582D2" w14:textId="77777777" w:rsidR="00596BE0" w:rsidRPr="00601402" w:rsidRDefault="00596BE0" w:rsidP="00596BE0">
      <w:pPr>
        <w:jc w:val="both"/>
        <w:rPr>
          <w:rFonts w:ascii="Arial" w:hAnsi="Arial" w:cs="Arial"/>
          <w:color w:val="000000"/>
          <w:sz w:val="16"/>
          <w:szCs w:val="16"/>
        </w:rPr>
      </w:pPr>
      <w:r w:rsidRPr="00601402">
        <w:rPr>
          <w:rFonts w:ascii="Arial" w:hAnsi="Arial" w:cs="Arial"/>
          <w:color w:val="000000"/>
          <w:sz w:val="16"/>
          <w:szCs w:val="16"/>
        </w:rPr>
        <w:t xml:space="preserve">h. Downgraded because the effect of dupilumab is beneficial but the lower side of the CI is less than the </w:t>
      </w:r>
      <w:proofErr w:type="gramStart"/>
      <w:r w:rsidRPr="00601402">
        <w:rPr>
          <w:rFonts w:ascii="Arial" w:hAnsi="Arial" w:cs="Arial"/>
          <w:color w:val="000000"/>
          <w:sz w:val="16"/>
          <w:szCs w:val="16"/>
        </w:rPr>
        <w:t>MID( 0.5</w:t>
      </w:r>
      <w:proofErr w:type="gramEnd"/>
      <w:r w:rsidRPr="00601402">
        <w:rPr>
          <w:rFonts w:ascii="Arial" w:hAnsi="Arial" w:cs="Arial"/>
          <w:color w:val="000000"/>
          <w:sz w:val="16"/>
          <w:szCs w:val="16"/>
        </w:rPr>
        <w:t xml:space="preserve"> points). (37) </w:t>
      </w:r>
    </w:p>
    <w:p w14:paraId="7E489125" w14:textId="77777777" w:rsidR="00596BE0" w:rsidRPr="00601402" w:rsidRDefault="00596BE0" w:rsidP="00596BE0">
      <w:pPr>
        <w:jc w:val="both"/>
        <w:rPr>
          <w:rFonts w:ascii="Arial" w:hAnsi="Arial" w:cs="Arial"/>
          <w:color w:val="000000"/>
          <w:sz w:val="16"/>
          <w:szCs w:val="16"/>
        </w:rPr>
      </w:pPr>
      <w:r w:rsidRPr="00601402">
        <w:rPr>
          <w:rFonts w:ascii="Arial" w:hAnsi="Arial" w:cs="Arial"/>
          <w:color w:val="000000"/>
          <w:sz w:val="16"/>
          <w:szCs w:val="16"/>
        </w:rPr>
        <w:t xml:space="preserve">i. Downgraded because FeNO is not consistently considered a good surrogate of eosinophilic inflammation (73,74) </w:t>
      </w:r>
    </w:p>
    <w:p w14:paraId="40F536FF" w14:textId="77777777" w:rsidR="00596BE0" w:rsidRPr="00601402" w:rsidRDefault="00596BE0" w:rsidP="00596BE0">
      <w:pPr>
        <w:jc w:val="both"/>
        <w:rPr>
          <w:rFonts w:ascii="Arial" w:hAnsi="Arial" w:cs="Arial"/>
          <w:color w:val="000000"/>
          <w:sz w:val="16"/>
          <w:szCs w:val="16"/>
        </w:rPr>
      </w:pPr>
      <w:r w:rsidRPr="00601402">
        <w:rPr>
          <w:rFonts w:ascii="Arial" w:hAnsi="Arial" w:cs="Arial"/>
          <w:color w:val="000000"/>
          <w:sz w:val="16"/>
          <w:szCs w:val="16"/>
        </w:rPr>
        <w:t xml:space="preserve">j. From one visit to the next a change greater than 20% for basal values over 50 ppb or more than 10 ppb for basal values lower than 50 ppb may indicate significant response (38). </w:t>
      </w:r>
    </w:p>
    <w:p w14:paraId="1A4BA689" w14:textId="77777777" w:rsidR="00596BE0" w:rsidRPr="00601402" w:rsidRDefault="00596BE0" w:rsidP="00596BE0">
      <w:pPr>
        <w:jc w:val="both"/>
        <w:rPr>
          <w:rFonts w:ascii="Arial" w:hAnsi="Arial" w:cs="Arial"/>
          <w:color w:val="000000"/>
          <w:sz w:val="16"/>
          <w:szCs w:val="16"/>
        </w:rPr>
      </w:pPr>
      <w:r w:rsidRPr="00601402">
        <w:rPr>
          <w:rFonts w:ascii="Arial" w:hAnsi="Arial" w:cs="Arial"/>
          <w:color w:val="000000"/>
          <w:sz w:val="16"/>
          <w:szCs w:val="16"/>
        </w:rPr>
        <w:t xml:space="preserve">k. Downgraded because the effect may both be beneficial and harmful. </w:t>
      </w:r>
    </w:p>
    <w:p w14:paraId="63409DB3" w14:textId="77777777" w:rsidR="00596BE0" w:rsidRPr="00601402" w:rsidRDefault="00596BE0" w:rsidP="00596BE0">
      <w:pPr>
        <w:jc w:val="both"/>
        <w:rPr>
          <w:rFonts w:ascii="Arial" w:hAnsi="Arial" w:cs="Arial"/>
          <w:color w:val="000000"/>
          <w:sz w:val="16"/>
          <w:szCs w:val="16"/>
        </w:rPr>
      </w:pPr>
      <w:r w:rsidRPr="00601402">
        <w:rPr>
          <w:rFonts w:ascii="Arial" w:hAnsi="Arial" w:cs="Arial"/>
          <w:color w:val="000000"/>
          <w:sz w:val="16"/>
          <w:szCs w:val="16"/>
        </w:rPr>
        <w:t xml:space="preserve">l. The MID for rescue medication use is a reduction by 0.81 puffs/day (35). </w:t>
      </w:r>
    </w:p>
    <w:p w14:paraId="40EEC441" w14:textId="77777777" w:rsidR="00596BE0" w:rsidRPr="00601402" w:rsidRDefault="00596BE0" w:rsidP="00596BE0">
      <w:pPr>
        <w:jc w:val="both"/>
        <w:rPr>
          <w:rFonts w:ascii="Arial" w:hAnsi="Arial" w:cs="Arial"/>
          <w:color w:val="000000"/>
          <w:sz w:val="16"/>
          <w:szCs w:val="16"/>
        </w:rPr>
      </w:pPr>
      <w:r w:rsidRPr="00601402">
        <w:rPr>
          <w:rFonts w:ascii="Arial" w:hAnsi="Arial" w:cs="Arial"/>
          <w:color w:val="000000"/>
          <w:sz w:val="16"/>
          <w:szCs w:val="16"/>
        </w:rPr>
        <w:t xml:space="preserve">m. The effect may both be harmful or beneficial. Small number of events. </w:t>
      </w:r>
    </w:p>
    <w:p w14:paraId="21C4A1CA" w14:textId="77777777" w:rsidR="00596BE0" w:rsidRPr="00601402" w:rsidRDefault="00596BE0" w:rsidP="00596BE0">
      <w:pPr>
        <w:jc w:val="both"/>
        <w:rPr>
          <w:rFonts w:ascii="Arial" w:hAnsi="Arial" w:cs="Arial"/>
          <w:color w:val="000000"/>
          <w:sz w:val="16"/>
          <w:szCs w:val="16"/>
        </w:rPr>
      </w:pPr>
    </w:p>
    <w:p w14:paraId="6D53FD33" w14:textId="4E726DA6" w:rsidR="00596BE0" w:rsidRPr="000B1027" w:rsidRDefault="00596BE0" w:rsidP="00596BE0">
      <w:pPr>
        <w:rPr>
          <w:rFonts w:ascii="Arial" w:hAnsi="Arial" w:cs="Arial"/>
          <w:b/>
          <w:sz w:val="20"/>
          <w:szCs w:val="20"/>
        </w:rPr>
      </w:pPr>
      <w:r w:rsidRPr="000B1027">
        <w:rPr>
          <w:rFonts w:ascii="Arial" w:hAnsi="Arial" w:cs="Arial"/>
          <w:b/>
          <w:sz w:val="20"/>
          <w:szCs w:val="20"/>
        </w:rPr>
        <w:t>Table S</w:t>
      </w:r>
      <w:r w:rsidR="000B1027" w:rsidRPr="000B1027">
        <w:rPr>
          <w:rFonts w:ascii="Arial" w:hAnsi="Arial" w:cs="Arial"/>
          <w:b/>
          <w:sz w:val="20"/>
          <w:szCs w:val="20"/>
        </w:rPr>
        <w:t>17</w:t>
      </w:r>
      <w:r w:rsidRPr="000B1027">
        <w:rPr>
          <w:rFonts w:ascii="Arial" w:hAnsi="Arial" w:cs="Arial"/>
          <w:b/>
          <w:sz w:val="20"/>
          <w:szCs w:val="20"/>
        </w:rPr>
        <w:t xml:space="preserve">: </w:t>
      </w:r>
      <w:r w:rsidR="005C0D59">
        <w:rPr>
          <w:rFonts w:ascii="Arial" w:hAnsi="Arial" w:cs="Arial"/>
          <w:b/>
          <w:sz w:val="20"/>
          <w:szCs w:val="20"/>
        </w:rPr>
        <w:t>Health economic evaluation</w:t>
      </w:r>
      <w:r w:rsidRPr="000B1027">
        <w:rPr>
          <w:rFonts w:ascii="Arial" w:hAnsi="Arial" w:cs="Arial"/>
          <w:b/>
          <w:sz w:val="20"/>
          <w:szCs w:val="20"/>
        </w:rPr>
        <w:t xml:space="preserve"> dupilumab in addition to standard therapy vs. standard therapy in adults with eosinophilic asthma</w:t>
      </w:r>
    </w:p>
    <w:tbl>
      <w:tblPr>
        <w:tblW w:w="5000" w:type="pct"/>
        <w:jc w:val="center"/>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0A0" w:firstRow="1" w:lastRow="0" w:firstColumn="1" w:lastColumn="0" w:noHBand="0" w:noVBand="0"/>
      </w:tblPr>
      <w:tblGrid>
        <w:gridCol w:w="862"/>
        <w:gridCol w:w="1024"/>
        <w:gridCol w:w="1201"/>
        <w:gridCol w:w="1202"/>
        <w:gridCol w:w="1216"/>
        <w:gridCol w:w="1039"/>
        <w:gridCol w:w="1120"/>
        <w:gridCol w:w="1708"/>
        <w:gridCol w:w="1887"/>
        <w:gridCol w:w="1688"/>
        <w:gridCol w:w="1039"/>
      </w:tblGrid>
      <w:tr w:rsidR="00596BE0" w:rsidRPr="000B1027" w14:paraId="04B70DB2" w14:textId="77777777" w:rsidTr="00596BE0">
        <w:trPr>
          <w:cantSplit/>
          <w:trHeight w:val="222"/>
          <w:tblHeader/>
          <w:jc w:val="center"/>
        </w:trPr>
        <w:tc>
          <w:tcPr>
            <w:tcW w:w="2750" w:type="pct"/>
            <w:gridSpan w:val="7"/>
            <w:tcBorders>
              <w:top w:val="single" w:sz="6" w:space="0" w:color="000000"/>
              <w:left w:val="single" w:sz="6" w:space="0" w:color="000000"/>
              <w:bottom w:val="single" w:sz="6" w:space="0" w:color="000000"/>
              <w:right w:val="single" w:sz="6" w:space="0" w:color="000000"/>
            </w:tcBorders>
            <w:shd w:val="clear" w:color="auto" w:fill="DDDDDD"/>
            <w:hideMark/>
          </w:tcPr>
          <w:p w14:paraId="4A2583EA" w14:textId="77777777" w:rsidR="00596BE0" w:rsidRPr="000B1027" w:rsidRDefault="00596BE0" w:rsidP="00596BE0">
            <w:pPr>
              <w:jc w:val="center"/>
              <w:rPr>
                <w:b/>
                <w:bCs/>
                <w:sz w:val="16"/>
                <w:szCs w:val="16"/>
              </w:rPr>
            </w:pPr>
            <w:r w:rsidRPr="000B1027">
              <w:rPr>
                <w:b/>
                <w:bCs/>
                <w:sz w:val="16"/>
                <w:szCs w:val="16"/>
              </w:rPr>
              <w:t>Quality assessment</w:t>
            </w:r>
          </w:p>
        </w:tc>
        <w:tc>
          <w:tcPr>
            <w:tcW w:w="1892" w:type="pct"/>
            <w:gridSpan w:val="3"/>
            <w:tcBorders>
              <w:top w:val="single" w:sz="6" w:space="0" w:color="000000"/>
              <w:left w:val="single" w:sz="6" w:space="0" w:color="000000"/>
              <w:bottom w:val="single" w:sz="6" w:space="0" w:color="000000"/>
              <w:right w:val="single" w:sz="6" w:space="0" w:color="000000"/>
            </w:tcBorders>
            <w:shd w:val="clear" w:color="auto" w:fill="DDDDDD"/>
            <w:hideMark/>
          </w:tcPr>
          <w:p w14:paraId="1C42818D" w14:textId="77777777" w:rsidR="00596BE0" w:rsidRPr="000B1027" w:rsidRDefault="00596BE0" w:rsidP="00596BE0">
            <w:pPr>
              <w:jc w:val="center"/>
              <w:rPr>
                <w:b/>
                <w:bCs/>
                <w:sz w:val="16"/>
                <w:szCs w:val="16"/>
              </w:rPr>
            </w:pPr>
            <w:r w:rsidRPr="000B1027">
              <w:rPr>
                <w:b/>
                <w:bCs/>
                <w:sz w:val="16"/>
                <w:szCs w:val="16"/>
              </w:rPr>
              <w:t>Summary of resources and costs</w:t>
            </w:r>
          </w:p>
        </w:tc>
        <w:tc>
          <w:tcPr>
            <w:tcW w:w="358" w:type="pct"/>
            <w:vMerge w:val="restart"/>
            <w:tcBorders>
              <w:top w:val="single" w:sz="6" w:space="0" w:color="000000"/>
              <w:left w:val="single" w:sz="6" w:space="0" w:color="000000"/>
              <w:bottom w:val="single" w:sz="6" w:space="0" w:color="000000"/>
              <w:right w:val="single" w:sz="6" w:space="0" w:color="000000"/>
            </w:tcBorders>
            <w:shd w:val="clear" w:color="auto" w:fill="DDDDDD"/>
            <w:hideMark/>
          </w:tcPr>
          <w:p w14:paraId="3E70B406" w14:textId="77777777" w:rsidR="00596BE0" w:rsidRPr="000B1027" w:rsidRDefault="00596BE0" w:rsidP="00596BE0">
            <w:pPr>
              <w:jc w:val="center"/>
              <w:rPr>
                <w:b/>
                <w:bCs/>
                <w:sz w:val="16"/>
                <w:szCs w:val="16"/>
              </w:rPr>
            </w:pPr>
            <w:r w:rsidRPr="000B1027">
              <w:rPr>
                <w:b/>
                <w:bCs/>
                <w:sz w:val="16"/>
                <w:szCs w:val="16"/>
              </w:rPr>
              <w:t>Quality</w:t>
            </w:r>
          </w:p>
        </w:tc>
      </w:tr>
      <w:tr w:rsidR="00596BE0" w:rsidRPr="000B1027" w14:paraId="5BD517A9" w14:textId="77777777" w:rsidTr="00596BE0">
        <w:trPr>
          <w:cantSplit/>
          <w:trHeight w:val="519"/>
          <w:tblHeader/>
          <w:jc w:val="center"/>
        </w:trPr>
        <w:tc>
          <w:tcPr>
            <w:tcW w:w="310" w:type="pct"/>
            <w:tcBorders>
              <w:top w:val="single" w:sz="6" w:space="0" w:color="000000"/>
              <w:left w:val="single" w:sz="6" w:space="0" w:color="000000"/>
              <w:bottom w:val="single" w:sz="6" w:space="0" w:color="000000"/>
              <w:right w:val="single" w:sz="6" w:space="0" w:color="000000"/>
            </w:tcBorders>
            <w:shd w:val="clear" w:color="auto" w:fill="DDDDDD"/>
            <w:hideMark/>
          </w:tcPr>
          <w:p w14:paraId="7D950C06" w14:textId="77777777" w:rsidR="00596BE0" w:rsidRPr="000B1027" w:rsidRDefault="00596BE0" w:rsidP="00596BE0">
            <w:pPr>
              <w:jc w:val="center"/>
              <w:rPr>
                <w:b/>
                <w:bCs/>
                <w:sz w:val="16"/>
                <w:szCs w:val="16"/>
              </w:rPr>
            </w:pPr>
            <w:r w:rsidRPr="000B1027">
              <w:rPr>
                <w:b/>
                <w:bCs/>
                <w:sz w:val="16"/>
                <w:szCs w:val="16"/>
              </w:rPr>
              <w:t>Nº. of studies</w:t>
            </w:r>
          </w:p>
        </w:tc>
        <w:tc>
          <w:tcPr>
            <w:tcW w:w="368" w:type="pct"/>
            <w:tcBorders>
              <w:top w:val="single" w:sz="6" w:space="0" w:color="000000"/>
              <w:left w:val="single" w:sz="6" w:space="0" w:color="000000"/>
              <w:bottom w:val="single" w:sz="6" w:space="0" w:color="000000"/>
              <w:right w:val="single" w:sz="6" w:space="0" w:color="000000"/>
            </w:tcBorders>
            <w:shd w:val="clear" w:color="auto" w:fill="DDDDDD"/>
            <w:hideMark/>
          </w:tcPr>
          <w:p w14:paraId="59FB4261" w14:textId="77777777" w:rsidR="00596BE0" w:rsidRPr="000B1027" w:rsidRDefault="00596BE0" w:rsidP="00596BE0">
            <w:pPr>
              <w:jc w:val="center"/>
              <w:rPr>
                <w:b/>
                <w:bCs/>
                <w:sz w:val="16"/>
                <w:szCs w:val="16"/>
              </w:rPr>
            </w:pPr>
            <w:r w:rsidRPr="000B1027">
              <w:rPr>
                <w:b/>
                <w:bCs/>
                <w:sz w:val="16"/>
                <w:szCs w:val="16"/>
              </w:rPr>
              <w:t>Study design</w:t>
            </w:r>
          </w:p>
        </w:tc>
        <w:tc>
          <w:tcPr>
            <w:tcW w:w="431" w:type="pct"/>
            <w:tcBorders>
              <w:top w:val="single" w:sz="6" w:space="0" w:color="000000"/>
              <w:left w:val="single" w:sz="6" w:space="0" w:color="000000"/>
              <w:bottom w:val="single" w:sz="6" w:space="0" w:color="000000"/>
              <w:right w:val="single" w:sz="6" w:space="0" w:color="000000"/>
            </w:tcBorders>
            <w:shd w:val="clear" w:color="auto" w:fill="DDDDDD"/>
            <w:hideMark/>
          </w:tcPr>
          <w:p w14:paraId="172E7B5A" w14:textId="77777777" w:rsidR="00596BE0" w:rsidRPr="000B1027" w:rsidRDefault="00596BE0" w:rsidP="00596BE0">
            <w:pPr>
              <w:jc w:val="center"/>
              <w:rPr>
                <w:b/>
                <w:bCs/>
                <w:sz w:val="16"/>
                <w:szCs w:val="16"/>
              </w:rPr>
            </w:pPr>
            <w:r w:rsidRPr="000B1027">
              <w:rPr>
                <w:b/>
                <w:bCs/>
                <w:sz w:val="16"/>
                <w:szCs w:val="16"/>
              </w:rPr>
              <w:t>Limitations</w:t>
            </w:r>
          </w:p>
        </w:tc>
        <w:tc>
          <w:tcPr>
            <w:tcW w:w="431" w:type="pct"/>
            <w:tcBorders>
              <w:top w:val="single" w:sz="6" w:space="0" w:color="000000"/>
              <w:left w:val="single" w:sz="6" w:space="0" w:color="000000"/>
              <w:bottom w:val="single" w:sz="6" w:space="0" w:color="000000"/>
              <w:right w:val="single" w:sz="6" w:space="0" w:color="000000"/>
            </w:tcBorders>
            <w:shd w:val="clear" w:color="auto" w:fill="DDDDDD"/>
            <w:hideMark/>
          </w:tcPr>
          <w:p w14:paraId="6D3EE5B0" w14:textId="77777777" w:rsidR="00596BE0" w:rsidRPr="000B1027" w:rsidRDefault="00596BE0" w:rsidP="00596BE0">
            <w:pPr>
              <w:jc w:val="center"/>
              <w:rPr>
                <w:b/>
                <w:bCs/>
                <w:sz w:val="16"/>
                <w:szCs w:val="16"/>
              </w:rPr>
            </w:pPr>
            <w:r w:rsidRPr="000B1027">
              <w:rPr>
                <w:b/>
                <w:bCs/>
                <w:sz w:val="16"/>
                <w:szCs w:val="16"/>
              </w:rPr>
              <w:t>Inconsistency</w:t>
            </w:r>
          </w:p>
        </w:tc>
        <w:tc>
          <w:tcPr>
            <w:tcW w:w="436" w:type="pct"/>
            <w:tcBorders>
              <w:top w:val="single" w:sz="6" w:space="0" w:color="000000"/>
              <w:left w:val="single" w:sz="6" w:space="0" w:color="000000"/>
              <w:bottom w:val="single" w:sz="6" w:space="0" w:color="000000"/>
              <w:right w:val="single" w:sz="6" w:space="0" w:color="000000"/>
            </w:tcBorders>
            <w:shd w:val="clear" w:color="auto" w:fill="DDDDDD"/>
            <w:hideMark/>
          </w:tcPr>
          <w:p w14:paraId="20FE8168" w14:textId="77777777" w:rsidR="00596BE0" w:rsidRPr="000B1027" w:rsidRDefault="00596BE0" w:rsidP="00596BE0">
            <w:pPr>
              <w:jc w:val="center"/>
              <w:rPr>
                <w:b/>
                <w:bCs/>
                <w:sz w:val="16"/>
                <w:szCs w:val="16"/>
              </w:rPr>
            </w:pPr>
            <w:r w:rsidRPr="000B1027">
              <w:rPr>
                <w:b/>
                <w:bCs/>
                <w:sz w:val="16"/>
                <w:szCs w:val="16"/>
              </w:rPr>
              <w:t>Indirectness</w:t>
            </w:r>
          </w:p>
        </w:tc>
        <w:tc>
          <w:tcPr>
            <w:tcW w:w="373" w:type="pct"/>
            <w:tcBorders>
              <w:top w:val="single" w:sz="6" w:space="0" w:color="000000"/>
              <w:left w:val="single" w:sz="6" w:space="0" w:color="000000"/>
              <w:bottom w:val="single" w:sz="6" w:space="0" w:color="000000"/>
              <w:right w:val="single" w:sz="6" w:space="0" w:color="000000"/>
            </w:tcBorders>
            <w:shd w:val="clear" w:color="auto" w:fill="DDDDDD"/>
            <w:hideMark/>
          </w:tcPr>
          <w:p w14:paraId="5EB73EFB" w14:textId="77777777" w:rsidR="00596BE0" w:rsidRPr="000B1027" w:rsidRDefault="00596BE0" w:rsidP="00596BE0">
            <w:pPr>
              <w:jc w:val="center"/>
              <w:rPr>
                <w:b/>
                <w:bCs/>
                <w:sz w:val="16"/>
                <w:szCs w:val="16"/>
              </w:rPr>
            </w:pPr>
            <w:r w:rsidRPr="000B1027">
              <w:rPr>
                <w:b/>
                <w:bCs/>
                <w:sz w:val="16"/>
                <w:szCs w:val="16"/>
              </w:rPr>
              <w:t>Imprecision</w:t>
            </w:r>
          </w:p>
        </w:tc>
        <w:tc>
          <w:tcPr>
            <w:tcW w:w="402" w:type="pct"/>
            <w:tcBorders>
              <w:top w:val="single" w:sz="6" w:space="0" w:color="000000"/>
              <w:left w:val="single" w:sz="6" w:space="0" w:color="000000"/>
              <w:bottom w:val="single" w:sz="6" w:space="0" w:color="000000"/>
              <w:right w:val="single" w:sz="6" w:space="0" w:color="000000"/>
            </w:tcBorders>
            <w:shd w:val="clear" w:color="auto" w:fill="DDDDDD"/>
            <w:hideMark/>
          </w:tcPr>
          <w:p w14:paraId="36F818F9" w14:textId="77777777" w:rsidR="00596BE0" w:rsidRPr="000B1027" w:rsidRDefault="00596BE0" w:rsidP="00596BE0">
            <w:pPr>
              <w:jc w:val="center"/>
              <w:rPr>
                <w:b/>
                <w:bCs/>
                <w:sz w:val="16"/>
                <w:szCs w:val="16"/>
              </w:rPr>
            </w:pPr>
            <w:r w:rsidRPr="000B1027">
              <w:rPr>
                <w:b/>
                <w:bCs/>
                <w:sz w:val="16"/>
                <w:szCs w:val="16"/>
              </w:rPr>
              <w:t>Publication bias</w:t>
            </w:r>
          </w:p>
        </w:tc>
        <w:tc>
          <w:tcPr>
            <w:tcW w:w="612" w:type="pct"/>
            <w:tcBorders>
              <w:top w:val="single" w:sz="6" w:space="0" w:color="000000"/>
              <w:left w:val="single" w:sz="6" w:space="0" w:color="000000"/>
              <w:bottom w:val="single" w:sz="6" w:space="0" w:color="000000"/>
              <w:right w:val="single" w:sz="6" w:space="0" w:color="000000"/>
            </w:tcBorders>
            <w:shd w:val="clear" w:color="auto" w:fill="DDDDDD"/>
            <w:hideMark/>
          </w:tcPr>
          <w:p w14:paraId="66E2D09C" w14:textId="77777777" w:rsidR="00596BE0" w:rsidRPr="000B1027" w:rsidRDefault="00596BE0" w:rsidP="00596BE0">
            <w:pPr>
              <w:jc w:val="center"/>
              <w:rPr>
                <w:b/>
                <w:bCs/>
                <w:sz w:val="16"/>
                <w:szCs w:val="16"/>
              </w:rPr>
            </w:pPr>
            <w:r w:rsidRPr="000B1027">
              <w:rPr>
                <w:b/>
                <w:bCs/>
                <w:sz w:val="16"/>
                <w:szCs w:val="16"/>
              </w:rPr>
              <w:t>Incremental cost per patient*</w:t>
            </w:r>
          </w:p>
        </w:tc>
        <w:tc>
          <w:tcPr>
            <w:tcW w:w="676" w:type="pct"/>
            <w:tcBorders>
              <w:top w:val="single" w:sz="6" w:space="0" w:color="000000"/>
              <w:left w:val="single" w:sz="6" w:space="0" w:color="000000"/>
              <w:bottom w:val="single" w:sz="6" w:space="0" w:color="000000"/>
              <w:right w:val="single" w:sz="6" w:space="0" w:color="000000"/>
            </w:tcBorders>
            <w:shd w:val="clear" w:color="auto" w:fill="DDDDDD"/>
            <w:hideMark/>
          </w:tcPr>
          <w:p w14:paraId="2669EDCE" w14:textId="77777777" w:rsidR="00596BE0" w:rsidRPr="000B1027" w:rsidRDefault="00596BE0" w:rsidP="00596BE0">
            <w:pPr>
              <w:jc w:val="center"/>
              <w:rPr>
                <w:b/>
                <w:bCs/>
                <w:sz w:val="16"/>
                <w:szCs w:val="16"/>
              </w:rPr>
            </w:pPr>
            <w:r w:rsidRPr="000B1027">
              <w:rPr>
                <w:b/>
                <w:bCs/>
                <w:sz w:val="16"/>
                <w:szCs w:val="16"/>
              </w:rPr>
              <w:t>Incremental effect per patient*</w:t>
            </w:r>
          </w:p>
        </w:tc>
        <w:tc>
          <w:tcPr>
            <w:tcW w:w="605" w:type="pct"/>
            <w:tcBorders>
              <w:top w:val="single" w:sz="6" w:space="0" w:color="000000"/>
              <w:left w:val="single" w:sz="6" w:space="0" w:color="000000"/>
              <w:bottom w:val="single" w:sz="6" w:space="0" w:color="000000"/>
              <w:right w:val="single" w:sz="6" w:space="0" w:color="000000"/>
            </w:tcBorders>
            <w:shd w:val="clear" w:color="auto" w:fill="DDDDDD"/>
            <w:hideMark/>
          </w:tcPr>
          <w:p w14:paraId="48D4B859" w14:textId="77777777" w:rsidR="00596BE0" w:rsidRPr="000B1027" w:rsidRDefault="00596BE0" w:rsidP="00596BE0">
            <w:pPr>
              <w:jc w:val="center"/>
              <w:rPr>
                <w:b/>
                <w:bCs/>
                <w:sz w:val="16"/>
                <w:szCs w:val="16"/>
              </w:rPr>
            </w:pPr>
            <w:r w:rsidRPr="000B1027">
              <w:rPr>
                <w:b/>
                <w:bCs/>
                <w:sz w:val="16"/>
                <w:szCs w:val="16"/>
              </w:rPr>
              <w:t xml:space="preserve">ICER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3B1173C" w14:textId="77777777" w:rsidR="00596BE0" w:rsidRPr="000B1027" w:rsidRDefault="00596BE0" w:rsidP="00596BE0">
            <w:pPr>
              <w:rPr>
                <w:b/>
                <w:bCs/>
                <w:sz w:val="16"/>
                <w:szCs w:val="16"/>
              </w:rPr>
            </w:pPr>
          </w:p>
        </w:tc>
      </w:tr>
      <w:tr w:rsidR="00596BE0" w:rsidRPr="000B1027" w14:paraId="3A33BD37" w14:textId="77777777" w:rsidTr="00596BE0">
        <w:trPr>
          <w:cantSplit/>
          <w:trHeight w:val="238"/>
          <w:jc w:val="center"/>
        </w:trPr>
        <w:tc>
          <w:tcPr>
            <w:tcW w:w="5000" w:type="pct"/>
            <w:gridSpan w:val="11"/>
            <w:tcBorders>
              <w:top w:val="single" w:sz="6" w:space="0" w:color="000000"/>
              <w:left w:val="single" w:sz="6" w:space="0" w:color="000000"/>
              <w:bottom w:val="single" w:sz="6" w:space="0" w:color="000000"/>
              <w:right w:val="single" w:sz="6" w:space="0" w:color="000000"/>
            </w:tcBorders>
            <w:shd w:val="clear" w:color="auto" w:fill="EDEDED"/>
            <w:hideMark/>
          </w:tcPr>
          <w:p w14:paraId="18F99772" w14:textId="77777777" w:rsidR="00596BE0" w:rsidRPr="000B1027" w:rsidRDefault="00596BE0" w:rsidP="00596BE0">
            <w:pPr>
              <w:rPr>
                <w:sz w:val="16"/>
                <w:szCs w:val="16"/>
              </w:rPr>
            </w:pPr>
            <w:r w:rsidRPr="000B1027">
              <w:rPr>
                <w:rStyle w:val="label"/>
                <w:sz w:val="16"/>
                <w:szCs w:val="16"/>
              </w:rPr>
              <w:t xml:space="preserve">ICER per </w:t>
            </w:r>
            <w:r w:rsidRPr="000B1027">
              <w:rPr>
                <w:rFonts w:cs="Times"/>
                <w:color w:val="1A1718"/>
                <w:sz w:val="16"/>
                <w:szCs w:val="16"/>
                <w:lang w:eastAsia="en-GB"/>
              </w:rPr>
              <w:t xml:space="preserve">QALY (high quality </w:t>
            </w:r>
            <w:proofErr w:type="gramStart"/>
            <w:r w:rsidRPr="000B1027">
              <w:rPr>
                <w:rFonts w:cs="Times"/>
                <w:color w:val="1A1718"/>
                <w:sz w:val="16"/>
                <w:szCs w:val="16"/>
                <w:lang w:eastAsia="en-GB"/>
              </w:rPr>
              <w:t>study  -</w:t>
            </w:r>
            <w:proofErr w:type="gramEnd"/>
            <w:r w:rsidRPr="000B1027">
              <w:rPr>
                <w:rFonts w:cs="Times"/>
                <w:color w:val="1A1718"/>
                <w:sz w:val="16"/>
                <w:szCs w:val="16"/>
                <w:lang w:eastAsia="en-GB"/>
              </w:rPr>
              <w:t xml:space="preserve"> not funded by Industry)</w:t>
            </w:r>
          </w:p>
        </w:tc>
      </w:tr>
      <w:tr w:rsidR="00596BE0" w:rsidRPr="000B1027" w14:paraId="64912D60" w14:textId="77777777" w:rsidTr="00596BE0">
        <w:trPr>
          <w:cantSplit/>
          <w:trHeight w:val="408"/>
          <w:jc w:val="center"/>
        </w:trPr>
        <w:tc>
          <w:tcPr>
            <w:tcW w:w="310" w:type="pct"/>
            <w:tcBorders>
              <w:top w:val="nil"/>
              <w:left w:val="single" w:sz="6" w:space="0" w:color="000000"/>
              <w:bottom w:val="single" w:sz="6" w:space="0" w:color="000000"/>
              <w:right w:val="single" w:sz="6" w:space="0" w:color="000000"/>
            </w:tcBorders>
            <w:hideMark/>
          </w:tcPr>
          <w:p w14:paraId="6DEEC7C9" w14:textId="77777777" w:rsidR="00596BE0" w:rsidRPr="000B1027" w:rsidRDefault="00596BE0" w:rsidP="00596BE0">
            <w:pPr>
              <w:jc w:val="center"/>
              <w:rPr>
                <w:sz w:val="16"/>
                <w:szCs w:val="16"/>
              </w:rPr>
            </w:pPr>
            <w:r w:rsidRPr="000B1027">
              <w:rPr>
                <w:sz w:val="16"/>
                <w:szCs w:val="16"/>
              </w:rPr>
              <w:t>1</w:t>
            </w:r>
            <w:r w:rsidRPr="000B1027">
              <w:rPr>
                <w:sz w:val="16"/>
                <w:szCs w:val="16"/>
                <w:vertAlign w:val="superscript"/>
              </w:rPr>
              <w:t>a</w:t>
            </w:r>
          </w:p>
        </w:tc>
        <w:tc>
          <w:tcPr>
            <w:tcW w:w="368" w:type="pct"/>
            <w:tcBorders>
              <w:top w:val="nil"/>
              <w:left w:val="single" w:sz="6" w:space="0" w:color="000000"/>
              <w:bottom w:val="single" w:sz="6" w:space="0" w:color="000000"/>
              <w:right w:val="single" w:sz="6" w:space="0" w:color="000000"/>
            </w:tcBorders>
            <w:hideMark/>
          </w:tcPr>
          <w:p w14:paraId="7C735DEE" w14:textId="77777777" w:rsidR="00596BE0" w:rsidRPr="000B1027" w:rsidRDefault="00596BE0" w:rsidP="00596BE0">
            <w:pPr>
              <w:jc w:val="center"/>
              <w:rPr>
                <w:sz w:val="16"/>
                <w:szCs w:val="16"/>
              </w:rPr>
            </w:pPr>
            <w:r w:rsidRPr="000B1027">
              <w:rPr>
                <w:sz w:val="16"/>
                <w:szCs w:val="16"/>
              </w:rPr>
              <w:t>Cost-utility,</w:t>
            </w:r>
          </w:p>
          <w:p w14:paraId="70E773A9" w14:textId="77777777" w:rsidR="00596BE0" w:rsidRPr="000B1027" w:rsidRDefault="00596BE0" w:rsidP="00596BE0">
            <w:pPr>
              <w:jc w:val="center"/>
              <w:rPr>
                <w:sz w:val="16"/>
                <w:szCs w:val="16"/>
              </w:rPr>
            </w:pPr>
            <w:r w:rsidRPr="000B1027">
              <w:rPr>
                <w:sz w:val="16"/>
                <w:szCs w:val="16"/>
              </w:rPr>
              <w:t>Markov model</w:t>
            </w:r>
          </w:p>
        </w:tc>
        <w:tc>
          <w:tcPr>
            <w:tcW w:w="431" w:type="pct"/>
            <w:tcBorders>
              <w:top w:val="nil"/>
              <w:left w:val="single" w:sz="6" w:space="0" w:color="000000"/>
              <w:bottom w:val="single" w:sz="6" w:space="0" w:color="000000"/>
              <w:right w:val="single" w:sz="6" w:space="0" w:color="000000"/>
            </w:tcBorders>
            <w:hideMark/>
          </w:tcPr>
          <w:p w14:paraId="7A4D1280" w14:textId="77777777" w:rsidR="00596BE0" w:rsidRPr="000B1027" w:rsidRDefault="00596BE0" w:rsidP="00596BE0">
            <w:pPr>
              <w:jc w:val="center"/>
              <w:rPr>
                <w:sz w:val="16"/>
                <w:szCs w:val="16"/>
              </w:rPr>
            </w:pPr>
            <w:r w:rsidRPr="000B1027">
              <w:rPr>
                <w:sz w:val="16"/>
                <w:szCs w:val="16"/>
              </w:rPr>
              <w:t>Not serious</w:t>
            </w:r>
            <w:r w:rsidRPr="000B1027">
              <w:rPr>
                <w:sz w:val="16"/>
                <w:szCs w:val="16"/>
                <w:vertAlign w:val="superscript"/>
              </w:rPr>
              <w:t>1</w:t>
            </w:r>
          </w:p>
        </w:tc>
        <w:tc>
          <w:tcPr>
            <w:tcW w:w="431" w:type="pct"/>
            <w:tcBorders>
              <w:top w:val="nil"/>
              <w:left w:val="single" w:sz="6" w:space="0" w:color="000000"/>
              <w:bottom w:val="single" w:sz="6" w:space="0" w:color="000000"/>
              <w:right w:val="single" w:sz="6" w:space="0" w:color="000000"/>
            </w:tcBorders>
            <w:hideMark/>
          </w:tcPr>
          <w:p w14:paraId="79CBBF4B" w14:textId="77777777" w:rsidR="00596BE0" w:rsidRPr="000B1027" w:rsidRDefault="00596BE0" w:rsidP="00596BE0">
            <w:pPr>
              <w:jc w:val="center"/>
              <w:rPr>
                <w:sz w:val="16"/>
                <w:szCs w:val="16"/>
              </w:rPr>
            </w:pPr>
            <w:r w:rsidRPr="000B1027">
              <w:rPr>
                <w:sz w:val="16"/>
                <w:szCs w:val="16"/>
              </w:rPr>
              <w:t>Not serious</w:t>
            </w:r>
          </w:p>
        </w:tc>
        <w:tc>
          <w:tcPr>
            <w:tcW w:w="436" w:type="pct"/>
            <w:tcBorders>
              <w:top w:val="nil"/>
              <w:left w:val="single" w:sz="6" w:space="0" w:color="000000"/>
              <w:bottom w:val="single" w:sz="6" w:space="0" w:color="000000"/>
              <w:right w:val="single" w:sz="6" w:space="0" w:color="000000"/>
            </w:tcBorders>
            <w:hideMark/>
          </w:tcPr>
          <w:p w14:paraId="187697C2" w14:textId="77777777" w:rsidR="00596BE0" w:rsidRPr="000B1027" w:rsidRDefault="00596BE0" w:rsidP="00596BE0">
            <w:pPr>
              <w:jc w:val="center"/>
              <w:rPr>
                <w:sz w:val="16"/>
                <w:szCs w:val="16"/>
              </w:rPr>
            </w:pPr>
            <w:r w:rsidRPr="000B1027">
              <w:rPr>
                <w:sz w:val="16"/>
                <w:szCs w:val="16"/>
              </w:rPr>
              <w:t>Serious</w:t>
            </w:r>
            <w:r w:rsidRPr="000B1027">
              <w:rPr>
                <w:sz w:val="16"/>
                <w:szCs w:val="16"/>
                <w:vertAlign w:val="superscript"/>
              </w:rPr>
              <w:t>2</w:t>
            </w:r>
          </w:p>
        </w:tc>
        <w:tc>
          <w:tcPr>
            <w:tcW w:w="373" w:type="pct"/>
            <w:tcBorders>
              <w:top w:val="nil"/>
              <w:left w:val="single" w:sz="6" w:space="0" w:color="000000"/>
              <w:bottom w:val="single" w:sz="6" w:space="0" w:color="000000"/>
              <w:right w:val="single" w:sz="6" w:space="0" w:color="000000"/>
            </w:tcBorders>
            <w:hideMark/>
          </w:tcPr>
          <w:p w14:paraId="18A8BC87" w14:textId="77777777" w:rsidR="00596BE0" w:rsidRPr="000B1027" w:rsidRDefault="00596BE0" w:rsidP="00596BE0">
            <w:pPr>
              <w:jc w:val="center"/>
              <w:rPr>
                <w:sz w:val="16"/>
                <w:szCs w:val="16"/>
              </w:rPr>
            </w:pPr>
            <w:r w:rsidRPr="000B1027">
              <w:rPr>
                <w:sz w:val="16"/>
                <w:szCs w:val="16"/>
              </w:rPr>
              <w:t>Serious</w:t>
            </w:r>
            <w:r w:rsidRPr="000B1027">
              <w:rPr>
                <w:sz w:val="16"/>
                <w:szCs w:val="16"/>
                <w:vertAlign w:val="superscript"/>
              </w:rPr>
              <w:t>3</w:t>
            </w:r>
          </w:p>
        </w:tc>
        <w:tc>
          <w:tcPr>
            <w:tcW w:w="402" w:type="pct"/>
            <w:tcBorders>
              <w:top w:val="nil"/>
              <w:left w:val="single" w:sz="6" w:space="0" w:color="000000"/>
              <w:bottom w:val="single" w:sz="6" w:space="0" w:color="000000"/>
              <w:right w:val="single" w:sz="6" w:space="0" w:color="000000"/>
            </w:tcBorders>
            <w:hideMark/>
          </w:tcPr>
          <w:p w14:paraId="1C5552B9" w14:textId="77777777" w:rsidR="00596BE0" w:rsidRPr="000B1027" w:rsidRDefault="00596BE0" w:rsidP="00596BE0">
            <w:pPr>
              <w:jc w:val="center"/>
              <w:rPr>
                <w:sz w:val="16"/>
                <w:szCs w:val="16"/>
              </w:rPr>
            </w:pPr>
            <w:r w:rsidRPr="000B1027">
              <w:rPr>
                <w:sz w:val="16"/>
                <w:szCs w:val="16"/>
              </w:rPr>
              <w:t>Not serious</w:t>
            </w:r>
          </w:p>
        </w:tc>
        <w:tc>
          <w:tcPr>
            <w:tcW w:w="612" w:type="pct"/>
            <w:tcBorders>
              <w:top w:val="nil"/>
              <w:left w:val="single" w:sz="6" w:space="0" w:color="000000"/>
              <w:bottom w:val="single" w:sz="6" w:space="0" w:color="000000"/>
              <w:right w:val="single" w:sz="6" w:space="0" w:color="000000"/>
            </w:tcBorders>
            <w:hideMark/>
          </w:tcPr>
          <w:p w14:paraId="10534838" w14:textId="77777777" w:rsidR="00596BE0" w:rsidRPr="000B1027" w:rsidRDefault="00596BE0" w:rsidP="00596BE0">
            <w:pPr>
              <w:pStyle w:val="Default"/>
              <w:spacing w:line="276" w:lineRule="auto"/>
              <w:jc w:val="center"/>
              <w:rPr>
                <w:rFonts w:ascii="Calibri" w:hAnsi="Calibri"/>
                <w:sz w:val="16"/>
                <w:szCs w:val="16"/>
                <w:lang w:val="en-GB"/>
              </w:rPr>
            </w:pPr>
            <w:r w:rsidRPr="000B1027">
              <w:rPr>
                <w:rFonts w:ascii="Calibri" w:hAnsi="Calibri"/>
                <w:sz w:val="16"/>
                <w:szCs w:val="16"/>
                <w:lang w:val="en-GB"/>
              </w:rPr>
              <w:t>704,000 $</w:t>
            </w:r>
          </w:p>
          <w:p w14:paraId="66064AFB" w14:textId="77777777" w:rsidR="00596BE0" w:rsidRPr="000B1027" w:rsidRDefault="00596BE0" w:rsidP="00596BE0">
            <w:pPr>
              <w:pStyle w:val="Default"/>
              <w:spacing w:line="276" w:lineRule="auto"/>
              <w:jc w:val="center"/>
              <w:rPr>
                <w:rFonts w:ascii="Calibri" w:hAnsi="Calibri"/>
                <w:sz w:val="16"/>
                <w:szCs w:val="16"/>
                <w:lang w:val="en-GB"/>
              </w:rPr>
            </w:pPr>
            <w:r w:rsidRPr="000B1027">
              <w:rPr>
                <w:rFonts w:ascii="Calibri" w:hAnsi="Calibri"/>
                <w:sz w:val="16"/>
                <w:szCs w:val="16"/>
                <w:lang w:val="en-GB"/>
              </w:rPr>
              <w:t>(lifetime horizon)</w:t>
            </w:r>
          </w:p>
        </w:tc>
        <w:tc>
          <w:tcPr>
            <w:tcW w:w="676" w:type="pct"/>
            <w:tcBorders>
              <w:top w:val="single" w:sz="6" w:space="0" w:color="000000"/>
              <w:left w:val="single" w:sz="6" w:space="0" w:color="000000"/>
              <w:bottom w:val="single" w:sz="6" w:space="0" w:color="000000"/>
              <w:right w:val="single" w:sz="6" w:space="0" w:color="000000"/>
            </w:tcBorders>
          </w:tcPr>
          <w:p w14:paraId="1A7779B2" w14:textId="77777777" w:rsidR="00596BE0" w:rsidRPr="000B1027" w:rsidRDefault="00596BE0" w:rsidP="00596BE0">
            <w:pPr>
              <w:pStyle w:val="Default"/>
              <w:spacing w:line="276" w:lineRule="auto"/>
              <w:jc w:val="center"/>
              <w:rPr>
                <w:rFonts w:ascii="Calibri" w:hAnsi="Calibri"/>
                <w:sz w:val="16"/>
                <w:szCs w:val="16"/>
                <w:lang w:val="en-GB"/>
              </w:rPr>
            </w:pPr>
            <w:r w:rsidRPr="000B1027">
              <w:rPr>
                <w:rFonts w:ascii="Calibri" w:hAnsi="Calibri"/>
                <w:sz w:val="16"/>
                <w:szCs w:val="16"/>
                <w:lang w:val="en-GB"/>
              </w:rPr>
              <w:t>1.51 QALYs</w:t>
            </w:r>
          </w:p>
          <w:p w14:paraId="74845476" w14:textId="77777777" w:rsidR="00596BE0" w:rsidRPr="000B1027" w:rsidRDefault="00596BE0" w:rsidP="00596BE0">
            <w:pPr>
              <w:pStyle w:val="Default"/>
              <w:spacing w:line="276" w:lineRule="auto"/>
              <w:jc w:val="center"/>
              <w:rPr>
                <w:rFonts w:ascii="Calibri" w:hAnsi="Calibri"/>
                <w:sz w:val="16"/>
                <w:szCs w:val="16"/>
                <w:lang w:val="en-GB"/>
              </w:rPr>
            </w:pPr>
            <w:r w:rsidRPr="000B1027">
              <w:rPr>
                <w:rFonts w:ascii="Calibri" w:hAnsi="Calibri"/>
                <w:sz w:val="16"/>
                <w:szCs w:val="16"/>
                <w:lang w:val="en-GB"/>
              </w:rPr>
              <w:t>(lifetime horizon)</w:t>
            </w:r>
          </w:p>
          <w:p w14:paraId="13A938EB" w14:textId="77777777" w:rsidR="00596BE0" w:rsidRPr="000B1027" w:rsidRDefault="00596BE0" w:rsidP="00596BE0">
            <w:pPr>
              <w:pStyle w:val="Default"/>
              <w:spacing w:line="276" w:lineRule="auto"/>
              <w:jc w:val="center"/>
              <w:rPr>
                <w:rFonts w:ascii="Calibri" w:hAnsi="Calibri"/>
                <w:sz w:val="16"/>
                <w:szCs w:val="16"/>
                <w:lang w:val="en-GB"/>
              </w:rPr>
            </w:pPr>
          </w:p>
        </w:tc>
        <w:tc>
          <w:tcPr>
            <w:tcW w:w="605" w:type="pct"/>
            <w:tcBorders>
              <w:top w:val="single" w:sz="6" w:space="0" w:color="000000"/>
              <w:left w:val="single" w:sz="6" w:space="0" w:color="000000"/>
              <w:bottom w:val="single" w:sz="6" w:space="0" w:color="000000"/>
              <w:right w:val="single" w:sz="6" w:space="0" w:color="000000"/>
            </w:tcBorders>
            <w:hideMark/>
          </w:tcPr>
          <w:p w14:paraId="5DF94132" w14:textId="6B83344C" w:rsidR="00596BE0" w:rsidRPr="000B1027" w:rsidRDefault="00596BE0" w:rsidP="00596BE0">
            <w:pPr>
              <w:pStyle w:val="Default"/>
              <w:spacing w:line="276" w:lineRule="auto"/>
              <w:jc w:val="center"/>
              <w:rPr>
                <w:rFonts w:ascii="Calibri" w:hAnsi="Calibri"/>
                <w:sz w:val="16"/>
                <w:szCs w:val="16"/>
                <w:lang w:val="en-GB"/>
              </w:rPr>
            </w:pPr>
            <w:r w:rsidRPr="000B1027">
              <w:rPr>
                <w:rFonts w:ascii="Calibri" w:hAnsi="Calibri"/>
                <w:sz w:val="16"/>
                <w:szCs w:val="16"/>
                <w:lang w:val="en-GB"/>
              </w:rPr>
              <w:t>464,000 $ / QALY</w:t>
            </w:r>
            <w:r w:rsidR="007E0994" w:rsidRPr="00FD3FC4">
              <w:rPr>
                <w:rFonts w:ascii="Calibri" w:hAnsi="Calibri"/>
                <w:sz w:val="16"/>
                <w:szCs w:val="16"/>
                <w:vertAlign w:val="superscript"/>
                <w:lang w:val="en-GB"/>
              </w:rPr>
              <w:t>4</w:t>
            </w:r>
          </w:p>
        </w:tc>
        <w:tc>
          <w:tcPr>
            <w:tcW w:w="358" w:type="pct"/>
            <w:tcBorders>
              <w:top w:val="nil"/>
              <w:left w:val="single" w:sz="6" w:space="0" w:color="000000"/>
              <w:bottom w:val="single" w:sz="6" w:space="0" w:color="000000"/>
              <w:right w:val="single" w:sz="6" w:space="0" w:color="000000"/>
            </w:tcBorders>
            <w:hideMark/>
          </w:tcPr>
          <w:p w14:paraId="3E471359" w14:textId="77777777" w:rsidR="00596BE0" w:rsidRPr="000B1027" w:rsidRDefault="00596BE0" w:rsidP="00596BE0">
            <w:pPr>
              <w:jc w:val="center"/>
              <w:rPr>
                <w:rStyle w:val="quality-sign"/>
                <w:rFonts w:cs="Cambria Math"/>
                <w:sz w:val="16"/>
                <w:szCs w:val="16"/>
              </w:rPr>
            </w:pPr>
            <w:r w:rsidRPr="000B1027">
              <w:rPr>
                <w:rStyle w:val="quality-sign"/>
                <w:rFonts w:ascii="Cambria" w:hAnsi="Cambria" w:cs="Cambria"/>
                <w:sz w:val="16"/>
                <w:szCs w:val="16"/>
              </w:rPr>
              <w:t>⨁⨁⨁</w:t>
            </w:r>
            <w:r w:rsidRPr="000B1027">
              <w:rPr>
                <w:rStyle w:val="quality-sign"/>
                <w:rFonts w:ascii="ヒラギノ角ゴシック W3" w:eastAsia="ヒラギノ角ゴシック W3" w:hAnsi="ヒラギノ角ゴシック W3" w:cs="ヒラギノ角ゴシック W3"/>
                <w:sz w:val="16"/>
                <w:szCs w:val="16"/>
              </w:rPr>
              <w:t>◯</w:t>
            </w:r>
          </w:p>
          <w:p w14:paraId="47BE24A8" w14:textId="77777777" w:rsidR="00596BE0" w:rsidRPr="000B1027" w:rsidRDefault="00596BE0" w:rsidP="00596BE0">
            <w:pPr>
              <w:jc w:val="center"/>
              <w:rPr>
                <w:rStyle w:val="quality-sign"/>
                <w:rFonts w:cs="Cambria Math"/>
                <w:sz w:val="16"/>
                <w:szCs w:val="16"/>
              </w:rPr>
            </w:pPr>
            <w:r w:rsidRPr="000B1027">
              <w:rPr>
                <w:rStyle w:val="quality-sign"/>
                <w:rFonts w:cs="Cambria Math"/>
                <w:sz w:val="16"/>
                <w:szCs w:val="16"/>
              </w:rPr>
              <w:t xml:space="preserve">MODERATE </w:t>
            </w:r>
          </w:p>
        </w:tc>
      </w:tr>
    </w:tbl>
    <w:p w14:paraId="3086AEBE" w14:textId="77777777" w:rsidR="00596BE0" w:rsidRDefault="00596BE0" w:rsidP="00596BE0">
      <w:pPr>
        <w:rPr>
          <w:sz w:val="18"/>
          <w:szCs w:val="18"/>
        </w:rPr>
      </w:pPr>
      <w:r>
        <w:rPr>
          <w:sz w:val="18"/>
          <w:szCs w:val="18"/>
        </w:rPr>
        <w:t>*Incremental cost and effect</w:t>
      </w:r>
      <w:r>
        <w:t xml:space="preserve"> </w:t>
      </w:r>
      <w:r>
        <w:rPr>
          <w:sz w:val="18"/>
          <w:szCs w:val="18"/>
        </w:rPr>
        <w:t xml:space="preserve">due to the addition of Dupilumab. </w:t>
      </w:r>
    </w:p>
    <w:p w14:paraId="39EA73F5" w14:textId="77777777" w:rsidR="00596BE0" w:rsidRDefault="00596BE0" w:rsidP="00596BE0">
      <w:pPr>
        <w:rPr>
          <w:sz w:val="18"/>
          <w:szCs w:val="18"/>
        </w:rPr>
      </w:pPr>
      <w:r>
        <w:rPr>
          <w:sz w:val="18"/>
          <w:szCs w:val="18"/>
        </w:rPr>
        <w:t>ICER: Incremental cost-effectiveness ratio. QALY: Quality adjusted life years. $: US Dollar</w:t>
      </w:r>
      <w:r>
        <w:rPr>
          <w:color w:val="000000"/>
          <w:sz w:val="18"/>
          <w:szCs w:val="16"/>
          <w:lang w:eastAsia="en-GB"/>
        </w:rPr>
        <w:t>.</w:t>
      </w:r>
    </w:p>
    <w:p w14:paraId="726F5C09" w14:textId="77777777" w:rsidR="00596BE0" w:rsidRDefault="00596BE0" w:rsidP="00596BE0">
      <w:pPr>
        <w:pStyle w:val="ListParagraph"/>
        <w:numPr>
          <w:ilvl w:val="0"/>
          <w:numId w:val="5"/>
        </w:numPr>
        <w:rPr>
          <w:sz w:val="18"/>
          <w:szCs w:val="18"/>
        </w:rPr>
      </w:pPr>
      <w:r>
        <w:rPr>
          <w:sz w:val="18"/>
          <w:szCs w:val="18"/>
        </w:rPr>
        <w:t xml:space="preserve">Markov model study with low risk of bias (CHEC score 13 or higher). </w:t>
      </w:r>
    </w:p>
    <w:p w14:paraId="352AC3E6" w14:textId="77777777" w:rsidR="00596BE0" w:rsidRDefault="00596BE0" w:rsidP="00596BE0">
      <w:pPr>
        <w:pStyle w:val="ListParagraph"/>
        <w:numPr>
          <w:ilvl w:val="0"/>
          <w:numId w:val="5"/>
        </w:numPr>
        <w:rPr>
          <w:sz w:val="18"/>
          <w:szCs w:val="18"/>
        </w:rPr>
      </w:pPr>
      <w:r>
        <w:rPr>
          <w:sz w:val="18"/>
          <w:szCs w:val="18"/>
        </w:rPr>
        <w:t>One single study performed in the USA. The results may not be applicable to other countries.</w:t>
      </w:r>
    </w:p>
    <w:p w14:paraId="44AA277F" w14:textId="237A36BB" w:rsidR="00596BE0" w:rsidRDefault="00596BE0" w:rsidP="00596BE0">
      <w:pPr>
        <w:pStyle w:val="ListParagraph"/>
        <w:numPr>
          <w:ilvl w:val="0"/>
          <w:numId w:val="5"/>
        </w:numPr>
        <w:rPr>
          <w:sz w:val="18"/>
          <w:szCs w:val="18"/>
        </w:rPr>
      </w:pPr>
      <w:r>
        <w:rPr>
          <w:sz w:val="18"/>
          <w:szCs w:val="18"/>
        </w:rPr>
        <w:t>The deterministic sensitivity analysis showed large variations in the ICER value from 300,000 $ to 1,000,000 $ (0.85 to 0.81 utilities gained, respectively). Furthermore, at a threshold of 50,000, the probability for Dupilumab to be cost-effective was 0%.</w:t>
      </w:r>
    </w:p>
    <w:p w14:paraId="229265CC" w14:textId="0995B63A" w:rsidR="007E0994" w:rsidRDefault="007E0994" w:rsidP="00596BE0">
      <w:pPr>
        <w:pStyle w:val="ListParagraph"/>
        <w:numPr>
          <w:ilvl w:val="0"/>
          <w:numId w:val="5"/>
        </w:numPr>
        <w:rPr>
          <w:sz w:val="18"/>
          <w:szCs w:val="18"/>
        </w:rPr>
      </w:pPr>
      <w:r w:rsidRPr="007E0994">
        <w:rPr>
          <w:sz w:val="18"/>
          <w:szCs w:val="18"/>
        </w:rPr>
        <w:t>The incremental cost-effectiveness ratio drops substantially from ~400k/ QALY to ~200k/QALY when the responder definition is factored into the cost-effectiveness model.</w:t>
      </w:r>
    </w:p>
    <w:p w14:paraId="4EB9FDEA" w14:textId="77777777" w:rsidR="00596BE0" w:rsidRDefault="00596BE0" w:rsidP="00596BE0">
      <w:pPr>
        <w:rPr>
          <w:b/>
          <w:sz w:val="18"/>
          <w:szCs w:val="18"/>
        </w:rPr>
      </w:pPr>
      <w:r>
        <w:rPr>
          <w:b/>
          <w:sz w:val="18"/>
          <w:szCs w:val="18"/>
        </w:rPr>
        <w:lastRenderedPageBreak/>
        <w:t>References</w:t>
      </w:r>
    </w:p>
    <w:p w14:paraId="504EDE7C" w14:textId="77777777" w:rsidR="00596BE0" w:rsidRDefault="00596BE0" w:rsidP="00596BE0">
      <w:pPr>
        <w:pStyle w:val="ListParagraph"/>
        <w:numPr>
          <w:ilvl w:val="0"/>
          <w:numId w:val="4"/>
        </w:numPr>
        <w:rPr>
          <w:sz w:val="18"/>
          <w:szCs w:val="18"/>
        </w:rPr>
      </w:pPr>
      <w:r>
        <w:rPr>
          <w:sz w:val="18"/>
          <w:szCs w:val="18"/>
        </w:rPr>
        <w:t>ICER. Institute for Clinical and Economic Review. Biologic Therapies for Treatment of Asthma Associated with Type 2 Inflammation: Effectiveness, Value, and Value-Based Price Benchmarks. Available at: https://icer-review.org/material/asthma-final-evidence-report/. Accessed Sept, 2019</w:t>
      </w:r>
      <w:r>
        <w:rPr>
          <w:rFonts w:cs="Helvetica"/>
          <w:sz w:val="18"/>
          <w:szCs w:val="18"/>
        </w:rPr>
        <w:t>.</w:t>
      </w:r>
    </w:p>
    <w:p w14:paraId="0F7F8991" w14:textId="77777777" w:rsidR="00596BE0" w:rsidRPr="00601402" w:rsidRDefault="00596BE0" w:rsidP="00596BE0">
      <w:pPr>
        <w:jc w:val="both"/>
        <w:rPr>
          <w:rFonts w:ascii="Arial" w:hAnsi="Arial" w:cs="Arial"/>
          <w:color w:val="000000"/>
          <w:sz w:val="16"/>
          <w:szCs w:val="16"/>
        </w:rPr>
      </w:pPr>
    </w:p>
    <w:p w14:paraId="2ACD4895" w14:textId="15B4B627" w:rsidR="00596BE0" w:rsidRDefault="00596BE0" w:rsidP="00596BE0">
      <w:pPr>
        <w:jc w:val="both"/>
        <w:rPr>
          <w:rFonts w:ascii="Arial" w:hAnsi="Arial" w:cs="Arial"/>
          <w:color w:val="000000"/>
          <w:sz w:val="16"/>
          <w:szCs w:val="16"/>
        </w:rPr>
      </w:pPr>
    </w:p>
    <w:p w14:paraId="56BA59C3" w14:textId="652060C8" w:rsidR="007A0C05" w:rsidRPr="000B1027" w:rsidRDefault="007A0C05" w:rsidP="007A0C05">
      <w:pPr>
        <w:rPr>
          <w:b/>
          <w:sz w:val="20"/>
          <w:szCs w:val="20"/>
        </w:rPr>
      </w:pPr>
      <w:r w:rsidRPr="00A44FD1">
        <w:rPr>
          <w:b/>
          <w:bCs/>
          <w:color w:val="000000"/>
          <w:sz w:val="20"/>
          <w:szCs w:val="20"/>
          <w:lang w:val="en"/>
        </w:rPr>
        <w:t>Table S</w:t>
      </w:r>
      <w:r w:rsidR="000B1027">
        <w:rPr>
          <w:b/>
          <w:bCs/>
          <w:color w:val="000000"/>
          <w:sz w:val="20"/>
          <w:szCs w:val="20"/>
          <w:lang w:val="en"/>
        </w:rPr>
        <w:t>18:</w:t>
      </w:r>
      <w:r w:rsidRPr="00A44FD1">
        <w:rPr>
          <w:b/>
          <w:bCs/>
          <w:color w:val="000000"/>
          <w:sz w:val="20"/>
          <w:szCs w:val="20"/>
          <w:lang w:val="en"/>
        </w:rPr>
        <w:t xml:space="preserve"> </w:t>
      </w:r>
      <w:r w:rsidRPr="000B1027">
        <w:rPr>
          <w:b/>
          <w:sz w:val="20"/>
          <w:szCs w:val="20"/>
        </w:rPr>
        <w:t xml:space="preserve">Evidence to decision table supporting recommendations for </w:t>
      </w:r>
      <w:r w:rsidR="00982C89" w:rsidRPr="000B1027">
        <w:rPr>
          <w:b/>
          <w:sz w:val="20"/>
          <w:szCs w:val="20"/>
        </w:rPr>
        <w:t>dupilumab</w:t>
      </w:r>
      <w:r w:rsidRPr="000B1027">
        <w:rPr>
          <w:b/>
          <w:sz w:val="20"/>
          <w:szCs w:val="20"/>
        </w:rPr>
        <w:t xml:space="preserve"> for </w:t>
      </w:r>
      <w:proofErr w:type="gramStart"/>
      <w:r w:rsidR="00982C89" w:rsidRPr="000B1027">
        <w:rPr>
          <w:b/>
          <w:sz w:val="20"/>
          <w:szCs w:val="20"/>
        </w:rPr>
        <w:t>eosinophilic</w:t>
      </w:r>
      <w:r w:rsidRPr="000B1027">
        <w:rPr>
          <w:b/>
          <w:sz w:val="20"/>
          <w:szCs w:val="20"/>
        </w:rPr>
        <w:t xml:space="preserve">  asthma</w:t>
      </w:r>
      <w:proofErr w:type="gramEnd"/>
      <w:r w:rsidRPr="000B1027">
        <w:rPr>
          <w:b/>
          <w:sz w:val="20"/>
          <w:szCs w:val="20"/>
        </w:rPr>
        <w:t xml:space="preserve"> in adults (exacerbations)</w:t>
      </w:r>
    </w:p>
    <w:p w14:paraId="46127817" w14:textId="77777777" w:rsidR="007A0C05" w:rsidRPr="00A44FD1" w:rsidRDefault="007A0C05" w:rsidP="007A0C05">
      <w:pPr>
        <w:rPr>
          <w:b/>
          <w:bCs/>
          <w:color w:val="000000"/>
          <w:sz w:val="20"/>
          <w:szCs w:val="20"/>
          <w:lang w:val="en"/>
        </w:rPr>
      </w:pPr>
    </w:p>
    <w:tbl>
      <w:tblPr>
        <w:tblW w:w="0" w:type="auto"/>
        <w:tblCellMar>
          <w:left w:w="0" w:type="dxa"/>
          <w:right w:w="0" w:type="dxa"/>
        </w:tblCellMar>
        <w:tblLook w:val="04A0" w:firstRow="1" w:lastRow="0" w:firstColumn="1" w:lastColumn="0" w:noHBand="0" w:noVBand="1"/>
      </w:tblPr>
      <w:tblGrid>
        <w:gridCol w:w="3103"/>
        <w:gridCol w:w="948"/>
        <w:gridCol w:w="1442"/>
        <w:gridCol w:w="1701"/>
        <w:gridCol w:w="1276"/>
        <w:gridCol w:w="1276"/>
        <w:gridCol w:w="709"/>
        <w:gridCol w:w="1559"/>
      </w:tblGrid>
      <w:tr w:rsidR="007A0C05" w:rsidRPr="00F07060" w14:paraId="043BCE69" w14:textId="77777777" w:rsidTr="000B1027">
        <w:trPr>
          <w:trHeight w:val="32"/>
        </w:trPr>
        <w:tc>
          <w:tcPr>
            <w:tcW w:w="0" w:type="auto"/>
            <w:tcBorders>
              <w:top w:val="single" w:sz="8" w:space="0" w:color="FFFFFF"/>
              <w:left w:val="single" w:sz="8" w:space="0" w:color="FFFFFF"/>
              <w:bottom w:val="single" w:sz="24" w:space="0" w:color="FFFFFF"/>
              <w:right w:val="single" w:sz="8" w:space="0" w:color="FFFFFF"/>
            </w:tcBorders>
            <w:shd w:val="clear" w:color="auto" w:fill="5B9BD5"/>
            <w:tcMar>
              <w:top w:w="74" w:type="dxa"/>
              <w:left w:w="74" w:type="dxa"/>
              <w:bottom w:w="74" w:type="dxa"/>
              <w:right w:w="74" w:type="dxa"/>
            </w:tcMar>
            <w:vAlign w:val="center"/>
            <w:hideMark/>
          </w:tcPr>
          <w:p w14:paraId="4D95D38F" w14:textId="77777777" w:rsidR="007A0C05" w:rsidRPr="00F07060" w:rsidRDefault="007A0C05" w:rsidP="00E350F6">
            <w:pPr>
              <w:rPr>
                <w:b/>
                <w:bCs/>
                <w:color w:val="000000"/>
                <w:sz w:val="16"/>
                <w:szCs w:val="16"/>
              </w:rPr>
            </w:pPr>
          </w:p>
        </w:tc>
        <w:tc>
          <w:tcPr>
            <w:tcW w:w="8911" w:type="dxa"/>
            <w:gridSpan w:val="7"/>
            <w:tcBorders>
              <w:top w:val="single" w:sz="8" w:space="0" w:color="FFFFFF"/>
              <w:left w:val="single" w:sz="8" w:space="0" w:color="FFFFFF"/>
              <w:bottom w:val="single" w:sz="24" w:space="0" w:color="FFFFFF"/>
              <w:right w:val="single" w:sz="8" w:space="0" w:color="FFFFFF"/>
            </w:tcBorders>
            <w:shd w:val="clear" w:color="auto" w:fill="5B9BD5"/>
            <w:tcMar>
              <w:top w:w="74" w:type="dxa"/>
              <w:left w:w="74" w:type="dxa"/>
              <w:bottom w:w="74" w:type="dxa"/>
              <w:right w:w="74" w:type="dxa"/>
            </w:tcMar>
            <w:vAlign w:val="center"/>
            <w:hideMark/>
          </w:tcPr>
          <w:p w14:paraId="07E2008D" w14:textId="77777777" w:rsidR="007A0C05" w:rsidRPr="00F07060" w:rsidRDefault="007A0C05" w:rsidP="00E350F6">
            <w:pPr>
              <w:rPr>
                <w:b/>
                <w:bCs/>
                <w:color w:val="000000"/>
                <w:sz w:val="16"/>
                <w:szCs w:val="16"/>
              </w:rPr>
            </w:pPr>
            <w:r w:rsidRPr="00F07060">
              <w:rPr>
                <w:b/>
                <w:bCs/>
                <w:color w:val="000000"/>
                <w:sz w:val="16"/>
                <w:szCs w:val="16"/>
              </w:rPr>
              <w:t>Judgement</w:t>
            </w:r>
          </w:p>
        </w:tc>
      </w:tr>
      <w:tr w:rsidR="007A0C05" w:rsidRPr="00F07060" w14:paraId="74BAA9E7" w14:textId="77777777" w:rsidTr="000B1027">
        <w:trPr>
          <w:trHeight w:val="68"/>
        </w:trPr>
        <w:tc>
          <w:tcPr>
            <w:tcW w:w="0" w:type="auto"/>
            <w:tcBorders>
              <w:top w:val="single" w:sz="24"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056A3391" w14:textId="77777777" w:rsidR="007A0C05" w:rsidRPr="00F07060" w:rsidRDefault="007A0C05" w:rsidP="00E350F6">
            <w:pPr>
              <w:rPr>
                <w:b/>
                <w:bCs/>
                <w:color w:val="000000"/>
                <w:sz w:val="16"/>
                <w:szCs w:val="16"/>
              </w:rPr>
            </w:pPr>
            <w:r w:rsidRPr="00F07060">
              <w:rPr>
                <w:b/>
                <w:bCs/>
                <w:color w:val="000000"/>
                <w:sz w:val="16"/>
                <w:szCs w:val="16"/>
              </w:rPr>
              <w:t>Problem (importance)</w:t>
            </w:r>
          </w:p>
        </w:tc>
        <w:tc>
          <w:tcPr>
            <w:tcW w:w="948"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648F59A" w14:textId="77777777" w:rsidR="007A0C05" w:rsidRPr="00F07060" w:rsidRDefault="007A0C05" w:rsidP="00E350F6">
            <w:pPr>
              <w:rPr>
                <w:b/>
                <w:bCs/>
                <w:color w:val="000000"/>
                <w:sz w:val="16"/>
                <w:szCs w:val="16"/>
              </w:rPr>
            </w:pPr>
            <w:r w:rsidRPr="00F07060">
              <w:rPr>
                <w:b/>
                <w:bCs/>
                <w:color w:val="000000"/>
                <w:sz w:val="16"/>
                <w:szCs w:val="16"/>
              </w:rPr>
              <w:t>No</w:t>
            </w:r>
          </w:p>
        </w:tc>
        <w:tc>
          <w:tcPr>
            <w:tcW w:w="1442"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802EA10" w14:textId="77777777" w:rsidR="007A0C05" w:rsidRPr="00F07060" w:rsidRDefault="007A0C05" w:rsidP="00E350F6">
            <w:pPr>
              <w:rPr>
                <w:b/>
                <w:bCs/>
                <w:color w:val="000000"/>
                <w:sz w:val="16"/>
                <w:szCs w:val="16"/>
              </w:rPr>
            </w:pPr>
            <w:r w:rsidRPr="00F07060">
              <w:rPr>
                <w:b/>
                <w:bCs/>
                <w:color w:val="000000"/>
                <w:sz w:val="16"/>
                <w:szCs w:val="16"/>
              </w:rPr>
              <w:t>Probably no</w:t>
            </w:r>
          </w:p>
        </w:tc>
        <w:tc>
          <w:tcPr>
            <w:tcW w:w="1701"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2DA4ED7" w14:textId="77777777" w:rsidR="007A0C05" w:rsidRPr="00F07060" w:rsidRDefault="007A0C05" w:rsidP="00E350F6">
            <w:pPr>
              <w:rPr>
                <w:b/>
                <w:bCs/>
                <w:color w:val="000000"/>
                <w:sz w:val="16"/>
                <w:szCs w:val="16"/>
              </w:rPr>
            </w:pPr>
            <w:r w:rsidRPr="00F07060">
              <w:rPr>
                <w:b/>
                <w:bCs/>
                <w:color w:val="000000"/>
                <w:sz w:val="16"/>
                <w:szCs w:val="16"/>
              </w:rPr>
              <w:t>Probably yes</w:t>
            </w:r>
          </w:p>
        </w:tc>
        <w:tc>
          <w:tcPr>
            <w:tcW w:w="1276" w:type="dxa"/>
            <w:tcBorders>
              <w:top w:val="single" w:sz="24"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7C0F5E93" w14:textId="77777777" w:rsidR="007A0C05" w:rsidRPr="00F07060" w:rsidRDefault="007A0C05" w:rsidP="00E350F6">
            <w:pPr>
              <w:rPr>
                <w:b/>
                <w:bCs/>
                <w:color w:val="000000"/>
                <w:sz w:val="16"/>
                <w:szCs w:val="16"/>
              </w:rPr>
            </w:pPr>
            <w:r w:rsidRPr="00F07060">
              <w:rPr>
                <w:b/>
                <w:bCs/>
                <w:color w:val="000000"/>
                <w:sz w:val="16"/>
                <w:szCs w:val="16"/>
              </w:rPr>
              <w:t>Yes</w:t>
            </w:r>
          </w:p>
        </w:tc>
        <w:tc>
          <w:tcPr>
            <w:tcW w:w="1276"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4AC30C0" w14:textId="77777777" w:rsidR="007A0C05" w:rsidRPr="00F07060" w:rsidRDefault="007A0C05" w:rsidP="00E350F6">
            <w:pPr>
              <w:rPr>
                <w:b/>
                <w:bCs/>
                <w:color w:val="000000"/>
                <w:sz w:val="16"/>
                <w:szCs w:val="16"/>
              </w:rPr>
            </w:pPr>
          </w:p>
        </w:tc>
        <w:tc>
          <w:tcPr>
            <w:tcW w:w="709"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CD71FA1" w14:textId="77777777" w:rsidR="007A0C05" w:rsidRPr="00F07060" w:rsidRDefault="007A0C05" w:rsidP="00E350F6">
            <w:pPr>
              <w:rPr>
                <w:b/>
                <w:bCs/>
                <w:color w:val="000000"/>
                <w:sz w:val="16"/>
                <w:szCs w:val="16"/>
              </w:rPr>
            </w:pPr>
            <w:r w:rsidRPr="00F07060">
              <w:rPr>
                <w:b/>
                <w:bCs/>
                <w:color w:val="000000"/>
                <w:sz w:val="16"/>
                <w:szCs w:val="16"/>
              </w:rPr>
              <w:t>Varies</w:t>
            </w:r>
          </w:p>
        </w:tc>
        <w:tc>
          <w:tcPr>
            <w:tcW w:w="1559"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3E509ED" w14:textId="77777777" w:rsidR="007A0C05" w:rsidRPr="00F07060" w:rsidRDefault="007A0C05" w:rsidP="00E350F6">
            <w:pPr>
              <w:rPr>
                <w:b/>
                <w:bCs/>
                <w:color w:val="000000"/>
                <w:sz w:val="16"/>
                <w:szCs w:val="16"/>
              </w:rPr>
            </w:pPr>
            <w:r w:rsidRPr="00F07060">
              <w:rPr>
                <w:b/>
                <w:bCs/>
                <w:color w:val="000000"/>
                <w:sz w:val="16"/>
                <w:szCs w:val="16"/>
              </w:rPr>
              <w:t>Don't know</w:t>
            </w:r>
          </w:p>
        </w:tc>
      </w:tr>
      <w:tr w:rsidR="007A0C05" w:rsidRPr="00F07060" w14:paraId="627DC30A" w14:textId="77777777" w:rsidTr="000B1027">
        <w:trPr>
          <w:trHeight w:val="127"/>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3814F6D5" w14:textId="77777777" w:rsidR="007A0C05" w:rsidRPr="00F07060" w:rsidRDefault="007A0C05" w:rsidP="00E350F6">
            <w:pPr>
              <w:rPr>
                <w:b/>
                <w:bCs/>
                <w:color w:val="000000"/>
                <w:sz w:val="16"/>
                <w:szCs w:val="16"/>
              </w:rPr>
            </w:pPr>
            <w:r w:rsidRPr="00F07060">
              <w:rPr>
                <w:b/>
                <w:bCs/>
                <w:color w:val="000000"/>
                <w:sz w:val="16"/>
                <w:szCs w:val="16"/>
              </w:rPr>
              <w:t>Desirable Effects</w:t>
            </w:r>
          </w:p>
        </w:tc>
        <w:tc>
          <w:tcPr>
            <w:tcW w:w="948"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74E2339" w14:textId="77777777" w:rsidR="007A0C05" w:rsidRPr="00F07060" w:rsidRDefault="007A0C05" w:rsidP="00E350F6">
            <w:pPr>
              <w:rPr>
                <w:b/>
                <w:bCs/>
                <w:color w:val="000000"/>
                <w:sz w:val="16"/>
                <w:szCs w:val="16"/>
              </w:rPr>
            </w:pPr>
            <w:r w:rsidRPr="00F07060">
              <w:rPr>
                <w:b/>
                <w:bCs/>
                <w:color w:val="000000"/>
                <w:sz w:val="16"/>
                <w:szCs w:val="16"/>
              </w:rPr>
              <w:t>Trivial</w:t>
            </w:r>
          </w:p>
        </w:tc>
        <w:tc>
          <w:tcPr>
            <w:tcW w:w="1442"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BA9ED04" w14:textId="77777777" w:rsidR="007A0C05" w:rsidRPr="00F07060" w:rsidRDefault="007A0C05" w:rsidP="00E350F6">
            <w:pPr>
              <w:rPr>
                <w:b/>
                <w:bCs/>
                <w:color w:val="000000"/>
                <w:sz w:val="16"/>
                <w:szCs w:val="16"/>
              </w:rPr>
            </w:pPr>
            <w:r w:rsidRPr="00F07060">
              <w:rPr>
                <w:b/>
                <w:bCs/>
                <w:color w:val="000000"/>
                <w:sz w:val="16"/>
                <w:szCs w:val="16"/>
              </w:rPr>
              <w:t>Small</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0F68BD8" w14:textId="77777777" w:rsidR="007A0C05" w:rsidRPr="00F07060" w:rsidRDefault="007A0C05" w:rsidP="00E350F6">
            <w:pPr>
              <w:rPr>
                <w:b/>
                <w:bCs/>
                <w:color w:val="000000"/>
                <w:sz w:val="16"/>
                <w:szCs w:val="16"/>
              </w:rPr>
            </w:pPr>
            <w:r w:rsidRPr="00F07060">
              <w:rPr>
                <w:b/>
                <w:bCs/>
                <w:color w:val="000000"/>
                <w:sz w:val="16"/>
                <w:szCs w:val="16"/>
              </w:rPr>
              <w:t>Moderate</w:t>
            </w:r>
          </w:p>
        </w:tc>
        <w:tc>
          <w:tcPr>
            <w:tcW w:w="1276"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7D5FABB1" w14:textId="77777777" w:rsidR="007A0C05" w:rsidRPr="00F07060" w:rsidRDefault="007A0C05" w:rsidP="00E350F6">
            <w:pPr>
              <w:rPr>
                <w:b/>
                <w:bCs/>
                <w:color w:val="000000"/>
                <w:sz w:val="16"/>
                <w:szCs w:val="16"/>
              </w:rPr>
            </w:pPr>
            <w:r w:rsidRPr="00F07060">
              <w:rPr>
                <w:b/>
                <w:bCs/>
                <w:color w:val="000000"/>
                <w:sz w:val="16"/>
                <w:szCs w:val="16"/>
              </w:rPr>
              <w:t>Large</w:t>
            </w:r>
          </w:p>
        </w:tc>
        <w:tc>
          <w:tcPr>
            <w:tcW w:w="12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A4A976A" w14:textId="77777777" w:rsidR="007A0C05" w:rsidRPr="00F07060" w:rsidRDefault="007A0C05" w:rsidP="00E350F6">
            <w:pPr>
              <w:rPr>
                <w:b/>
                <w:bCs/>
                <w:color w:val="000000"/>
                <w:sz w:val="16"/>
                <w:szCs w:val="16"/>
              </w:rPr>
            </w:pPr>
          </w:p>
        </w:tc>
        <w:tc>
          <w:tcPr>
            <w:tcW w:w="709"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A9FAFEC" w14:textId="77777777" w:rsidR="007A0C05" w:rsidRPr="00F07060" w:rsidRDefault="007A0C05" w:rsidP="00E350F6">
            <w:pPr>
              <w:rPr>
                <w:b/>
                <w:bCs/>
                <w:color w:val="000000"/>
                <w:sz w:val="16"/>
                <w:szCs w:val="16"/>
              </w:rPr>
            </w:pPr>
            <w:r w:rsidRPr="00F07060">
              <w:rPr>
                <w:b/>
                <w:bCs/>
                <w:color w:val="000000"/>
                <w:sz w:val="16"/>
                <w:szCs w:val="16"/>
              </w:rPr>
              <w:t>Varies</w:t>
            </w:r>
          </w:p>
        </w:tc>
        <w:tc>
          <w:tcPr>
            <w:tcW w:w="1559"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B2CD895" w14:textId="77777777" w:rsidR="007A0C05" w:rsidRPr="00F07060" w:rsidRDefault="007A0C05" w:rsidP="00E350F6">
            <w:pPr>
              <w:rPr>
                <w:b/>
                <w:bCs/>
                <w:color w:val="000000"/>
                <w:sz w:val="16"/>
                <w:szCs w:val="16"/>
              </w:rPr>
            </w:pPr>
            <w:r w:rsidRPr="00F07060">
              <w:rPr>
                <w:b/>
                <w:bCs/>
                <w:color w:val="000000"/>
                <w:sz w:val="16"/>
                <w:szCs w:val="16"/>
              </w:rPr>
              <w:t>Don't know</w:t>
            </w:r>
          </w:p>
        </w:tc>
      </w:tr>
      <w:tr w:rsidR="007A0C05" w:rsidRPr="00F07060" w14:paraId="0CCD873B" w14:textId="77777777" w:rsidTr="000B1027">
        <w:trPr>
          <w:trHeight w:val="76"/>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0DB03A97" w14:textId="77777777" w:rsidR="007A0C05" w:rsidRPr="00F07060" w:rsidRDefault="007A0C05" w:rsidP="00E350F6">
            <w:pPr>
              <w:rPr>
                <w:b/>
                <w:bCs/>
                <w:color w:val="000000"/>
                <w:sz w:val="16"/>
                <w:szCs w:val="16"/>
              </w:rPr>
            </w:pPr>
            <w:r w:rsidRPr="00F07060">
              <w:rPr>
                <w:b/>
                <w:bCs/>
                <w:color w:val="000000"/>
                <w:sz w:val="16"/>
                <w:szCs w:val="16"/>
              </w:rPr>
              <w:t>Undesirable Effects</w:t>
            </w:r>
          </w:p>
        </w:tc>
        <w:tc>
          <w:tcPr>
            <w:tcW w:w="948"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CC4722C" w14:textId="77777777" w:rsidR="007A0C05" w:rsidRPr="00F07060" w:rsidRDefault="007A0C05" w:rsidP="00E350F6">
            <w:pPr>
              <w:rPr>
                <w:b/>
                <w:bCs/>
                <w:color w:val="000000"/>
                <w:sz w:val="16"/>
                <w:szCs w:val="16"/>
              </w:rPr>
            </w:pPr>
            <w:r w:rsidRPr="00F07060">
              <w:rPr>
                <w:b/>
                <w:bCs/>
                <w:color w:val="000000"/>
                <w:sz w:val="16"/>
                <w:szCs w:val="16"/>
              </w:rPr>
              <w:t>Large</w:t>
            </w:r>
          </w:p>
        </w:tc>
        <w:tc>
          <w:tcPr>
            <w:tcW w:w="1442"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75CC81E" w14:textId="77777777" w:rsidR="007A0C05" w:rsidRPr="00F07060" w:rsidRDefault="007A0C05" w:rsidP="00E350F6">
            <w:pPr>
              <w:rPr>
                <w:b/>
                <w:bCs/>
                <w:color w:val="000000"/>
                <w:sz w:val="16"/>
                <w:szCs w:val="16"/>
              </w:rPr>
            </w:pPr>
            <w:r w:rsidRPr="00F07060">
              <w:rPr>
                <w:b/>
                <w:bCs/>
                <w:color w:val="000000"/>
                <w:sz w:val="16"/>
                <w:szCs w:val="16"/>
              </w:rPr>
              <w:t>Moderate</w:t>
            </w:r>
          </w:p>
        </w:tc>
        <w:tc>
          <w:tcPr>
            <w:tcW w:w="1701"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1D760157" w14:textId="77777777" w:rsidR="007A0C05" w:rsidRPr="00F07060" w:rsidRDefault="007A0C05" w:rsidP="00E350F6">
            <w:pPr>
              <w:rPr>
                <w:b/>
                <w:bCs/>
                <w:color w:val="000000"/>
                <w:sz w:val="16"/>
                <w:szCs w:val="16"/>
              </w:rPr>
            </w:pPr>
            <w:r w:rsidRPr="00F07060">
              <w:rPr>
                <w:b/>
                <w:bCs/>
                <w:color w:val="000000"/>
                <w:sz w:val="16"/>
                <w:szCs w:val="16"/>
              </w:rPr>
              <w:t>Small</w:t>
            </w:r>
          </w:p>
        </w:tc>
        <w:tc>
          <w:tcPr>
            <w:tcW w:w="127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31E234C" w14:textId="77777777" w:rsidR="007A0C05" w:rsidRPr="00F07060" w:rsidRDefault="007A0C05" w:rsidP="00E350F6">
            <w:pPr>
              <w:rPr>
                <w:b/>
                <w:bCs/>
                <w:color w:val="000000"/>
                <w:sz w:val="16"/>
                <w:szCs w:val="16"/>
              </w:rPr>
            </w:pPr>
            <w:r w:rsidRPr="00F07060">
              <w:rPr>
                <w:b/>
                <w:bCs/>
                <w:color w:val="000000"/>
                <w:sz w:val="16"/>
                <w:szCs w:val="16"/>
              </w:rPr>
              <w:t>Trivial</w:t>
            </w:r>
          </w:p>
        </w:tc>
        <w:tc>
          <w:tcPr>
            <w:tcW w:w="127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63CF965" w14:textId="77777777" w:rsidR="007A0C05" w:rsidRPr="00F07060" w:rsidRDefault="007A0C05" w:rsidP="00E350F6">
            <w:pPr>
              <w:rPr>
                <w:b/>
                <w:bCs/>
                <w:color w:val="000000"/>
                <w:sz w:val="16"/>
                <w:szCs w:val="16"/>
              </w:rPr>
            </w:pPr>
          </w:p>
        </w:tc>
        <w:tc>
          <w:tcPr>
            <w:tcW w:w="709"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C3868EA" w14:textId="77777777" w:rsidR="007A0C05" w:rsidRPr="00F07060" w:rsidRDefault="007A0C05" w:rsidP="00E350F6">
            <w:pPr>
              <w:rPr>
                <w:b/>
                <w:bCs/>
                <w:color w:val="000000"/>
                <w:sz w:val="16"/>
                <w:szCs w:val="16"/>
              </w:rPr>
            </w:pPr>
            <w:r w:rsidRPr="00F07060">
              <w:rPr>
                <w:b/>
                <w:bCs/>
                <w:color w:val="000000"/>
                <w:sz w:val="16"/>
                <w:szCs w:val="16"/>
              </w:rPr>
              <w:t>Varies</w:t>
            </w:r>
          </w:p>
        </w:tc>
        <w:tc>
          <w:tcPr>
            <w:tcW w:w="1559"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B1DAEF4" w14:textId="77777777" w:rsidR="007A0C05" w:rsidRPr="00F07060" w:rsidRDefault="007A0C05" w:rsidP="00E350F6">
            <w:pPr>
              <w:rPr>
                <w:b/>
                <w:bCs/>
                <w:color w:val="000000"/>
                <w:sz w:val="16"/>
                <w:szCs w:val="16"/>
              </w:rPr>
            </w:pPr>
            <w:r w:rsidRPr="00F07060">
              <w:rPr>
                <w:b/>
                <w:bCs/>
                <w:color w:val="000000"/>
                <w:sz w:val="16"/>
                <w:szCs w:val="16"/>
              </w:rPr>
              <w:t>Don't know</w:t>
            </w:r>
          </w:p>
        </w:tc>
      </w:tr>
      <w:tr w:rsidR="007A0C05" w:rsidRPr="00F07060" w14:paraId="068D8B77" w14:textId="77777777" w:rsidTr="000B1027">
        <w:trPr>
          <w:trHeight w:val="1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43C9ABF0" w14:textId="77777777" w:rsidR="007A0C05" w:rsidRPr="00F07060" w:rsidRDefault="007A0C05" w:rsidP="00E350F6">
            <w:pPr>
              <w:rPr>
                <w:b/>
                <w:bCs/>
                <w:color w:val="000000"/>
                <w:sz w:val="16"/>
                <w:szCs w:val="16"/>
              </w:rPr>
            </w:pPr>
            <w:r w:rsidRPr="00F07060">
              <w:rPr>
                <w:b/>
                <w:bCs/>
                <w:color w:val="000000"/>
                <w:sz w:val="16"/>
                <w:szCs w:val="16"/>
              </w:rPr>
              <w:t>Certainty of evidence</w:t>
            </w:r>
          </w:p>
        </w:tc>
        <w:tc>
          <w:tcPr>
            <w:tcW w:w="948"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AD5F74C" w14:textId="77777777" w:rsidR="007A0C05" w:rsidRPr="00F07060" w:rsidRDefault="007A0C05" w:rsidP="00E350F6">
            <w:pPr>
              <w:rPr>
                <w:b/>
                <w:bCs/>
                <w:color w:val="000000"/>
                <w:sz w:val="16"/>
                <w:szCs w:val="16"/>
              </w:rPr>
            </w:pPr>
            <w:r w:rsidRPr="00F07060">
              <w:rPr>
                <w:b/>
                <w:bCs/>
                <w:color w:val="000000"/>
                <w:sz w:val="16"/>
                <w:szCs w:val="16"/>
              </w:rPr>
              <w:t>Very low</w:t>
            </w:r>
          </w:p>
        </w:tc>
        <w:tc>
          <w:tcPr>
            <w:tcW w:w="1442"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D7CE1AB" w14:textId="77777777" w:rsidR="007A0C05" w:rsidRPr="00F07060" w:rsidRDefault="007A0C05" w:rsidP="00E350F6">
            <w:pPr>
              <w:rPr>
                <w:b/>
                <w:bCs/>
                <w:color w:val="000000"/>
                <w:sz w:val="16"/>
                <w:szCs w:val="16"/>
              </w:rPr>
            </w:pPr>
            <w:r w:rsidRPr="00F07060">
              <w:rPr>
                <w:b/>
                <w:bCs/>
                <w:color w:val="000000"/>
                <w:sz w:val="16"/>
                <w:szCs w:val="16"/>
              </w:rPr>
              <w:t>Low</w:t>
            </w:r>
          </w:p>
        </w:tc>
        <w:tc>
          <w:tcPr>
            <w:tcW w:w="170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4" w:type="dxa"/>
              <w:left w:w="74" w:type="dxa"/>
              <w:bottom w:w="74" w:type="dxa"/>
              <w:right w:w="74" w:type="dxa"/>
            </w:tcMar>
            <w:vAlign w:val="center"/>
            <w:hideMark/>
          </w:tcPr>
          <w:p w14:paraId="6AEA4CC3" w14:textId="77777777" w:rsidR="007A0C05" w:rsidRPr="00F07060" w:rsidRDefault="007A0C05" w:rsidP="00E350F6">
            <w:pPr>
              <w:rPr>
                <w:b/>
                <w:bCs/>
                <w:color w:val="000000"/>
                <w:sz w:val="16"/>
                <w:szCs w:val="16"/>
              </w:rPr>
            </w:pPr>
            <w:r w:rsidRPr="00F07060">
              <w:rPr>
                <w:b/>
                <w:bCs/>
                <w:color w:val="000000"/>
                <w:sz w:val="16"/>
                <w:szCs w:val="16"/>
              </w:rPr>
              <w:t>Moderate</w:t>
            </w:r>
          </w:p>
        </w:tc>
        <w:tc>
          <w:tcPr>
            <w:tcW w:w="1276"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398FC78E" w14:textId="77777777" w:rsidR="007A0C05" w:rsidRPr="00F07060" w:rsidRDefault="007A0C05" w:rsidP="00E350F6">
            <w:pPr>
              <w:rPr>
                <w:b/>
                <w:bCs/>
                <w:color w:val="000000"/>
                <w:sz w:val="16"/>
                <w:szCs w:val="16"/>
              </w:rPr>
            </w:pPr>
            <w:r w:rsidRPr="00F07060">
              <w:rPr>
                <w:b/>
                <w:bCs/>
                <w:color w:val="000000"/>
                <w:sz w:val="16"/>
                <w:szCs w:val="16"/>
              </w:rPr>
              <w:t>High</w:t>
            </w:r>
          </w:p>
        </w:tc>
        <w:tc>
          <w:tcPr>
            <w:tcW w:w="12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BE77005" w14:textId="77777777" w:rsidR="007A0C05" w:rsidRPr="00F07060" w:rsidRDefault="007A0C05" w:rsidP="00E350F6">
            <w:pPr>
              <w:rPr>
                <w:b/>
                <w:bCs/>
                <w:color w:val="000000"/>
                <w:sz w:val="16"/>
                <w:szCs w:val="16"/>
              </w:rPr>
            </w:pPr>
          </w:p>
        </w:tc>
        <w:tc>
          <w:tcPr>
            <w:tcW w:w="709"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8C15D10" w14:textId="77777777" w:rsidR="007A0C05" w:rsidRPr="00F07060" w:rsidRDefault="007A0C05" w:rsidP="00E350F6">
            <w:pPr>
              <w:rPr>
                <w:b/>
                <w:bCs/>
                <w:color w:val="000000"/>
                <w:sz w:val="16"/>
                <w:szCs w:val="16"/>
              </w:rPr>
            </w:pPr>
          </w:p>
        </w:tc>
        <w:tc>
          <w:tcPr>
            <w:tcW w:w="1559"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D1C0236" w14:textId="77777777" w:rsidR="007A0C05" w:rsidRPr="00F07060" w:rsidRDefault="007A0C05" w:rsidP="00E350F6">
            <w:pPr>
              <w:rPr>
                <w:b/>
                <w:bCs/>
                <w:color w:val="000000"/>
                <w:sz w:val="16"/>
                <w:szCs w:val="16"/>
              </w:rPr>
            </w:pPr>
            <w:r w:rsidRPr="00F07060">
              <w:rPr>
                <w:b/>
                <w:bCs/>
                <w:color w:val="000000"/>
                <w:sz w:val="16"/>
                <w:szCs w:val="16"/>
              </w:rPr>
              <w:t>No included studies</w:t>
            </w:r>
          </w:p>
        </w:tc>
      </w:tr>
      <w:tr w:rsidR="007A0C05" w:rsidRPr="00F07060" w14:paraId="35AF84B9" w14:textId="77777777" w:rsidTr="000B1027">
        <w:trPr>
          <w:trHeight w:val="355"/>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7F2C1065" w14:textId="77777777" w:rsidR="007A0C05" w:rsidRPr="00F07060" w:rsidRDefault="007A0C05" w:rsidP="00E350F6">
            <w:pPr>
              <w:rPr>
                <w:b/>
                <w:bCs/>
                <w:color w:val="000000"/>
                <w:sz w:val="16"/>
                <w:szCs w:val="16"/>
              </w:rPr>
            </w:pPr>
            <w:r w:rsidRPr="00F07060">
              <w:rPr>
                <w:b/>
                <w:bCs/>
                <w:color w:val="000000"/>
                <w:sz w:val="16"/>
                <w:szCs w:val="16"/>
              </w:rPr>
              <w:t>Values</w:t>
            </w:r>
          </w:p>
        </w:tc>
        <w:tc>
          <w:tcPr>
            <w:tcW w:w="948"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87DED6C" w14:textId="77777777" w:rsidR="007A0C05" w:rsidRPr="00F07060" w:rsidRDefault="007A0C05" w:rsidP="00E350F6">
            <w:pPr>
              <w:rPr>
                <w:b/>
                <w:bCs/>
                <w:color w:val="000000"/>
                <w:sz w:val="16"/>
                <w:szCs w:val="16"/>
              </w:rPr>
            </w:pPr>
            <w:r w:rsidRPr="00F07060">
              <w:rPr>
                <w:b/>
                <w:bCs/>
                <w:color w:val="000000"/>
                <w:sz w:val="16"/>
                <w:szCs w:val="16"/>
              </w:rPr>
              <w:t>Important uncertainty or variability</w:t>
            </w:r>
          </w:p>
        </w:tc>
        <w:tc>
          <w:tcPr>
            <w:tcW w:w="1442"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20A3673" w14:textId="77777777" w:rsidR="007A0C05" w:rsidRPr="00F07060" w:rsidRDefault="007A0C05" w:rsidP="00E350F6">
            <w:pPr>
              <w:rPr>
                <w:b/>
                <w:bCs/>
                <w:color w:val="000000"/>
                <w:sz w:val="16"/>
                <w:szCs w:val="16"/>
              </w:rPr>
            </w:pPr>
            <w:r w:rsidRPr="00F07060">
              <w:rPr>
                <w:b/>
                <w:bCs/>
                <w:color w:val="000000"/>
                <w:sz w:val="16"/>
                <w:szCs w:val="16"/>
              </w:rPr>
              <w:t>Possibly important uncertainty or variability</w:t>
            </w: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CD7E167" w14:textId="77777777" w:rsidR="007A0C05" w:rsidRPr="00F07060" w:rsidRDefault="007A0C05" w:rsidP="00E350F6">
            <w:pPr>
              <w:rPr>
                <w:b/>
                <w:bCs/>
                <w:color w:val="000000"/>
                <w:sz w:val="16"/>
                <w:szCs w:val="16"/>
              </w:rPr>
            </w:pPr>
            <w:r w:rsidRPr="00F07060">
              <w:rPr>
                <w:b/>
                <w:bCs/>
                <w:color w:val="000000"/>
                <w:sz w:val="16"/>
                <w:szCs w:val="16"/>
              </w:rPr>
              <w:t>Probably no important uncertainty or variability</w:t>
            </w:r>
          </w:p>
        </w:tc>
        <w:tc>
          <w:tcPr>
            <w:tcW w:w="1276"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50EED734" w14:textId="77777777" w:rsidR="007A0C05" w:rsidRPr="00F07060" w:rsidRDefault="007A0C05" w:rsidP="00E350F6">
            <w:pPr>
              <w:rPr>
                <w:b/>
                <w:bCs/>
                <w:color w:val="000000"/>
                <w:sz w:val="16"/>
                <w:szCs w:val="16"/>
              </w:rPr>
            </w:pPr>
            <w:r w:rsidRPr="00F07060">
              <w:rPr>
                <w:b/>
                <w:bCs/>
                <w:color w:val="000000"/>
                <w:sz w:val="16"/>
                <w:szCs w:val="16"/>
              </w:rPr>
              <w:t>no important uncertainty or variability</w:t>
            </w:r>
          </w:p>
        </w:tc>
        <w:tc>
          <w:tcPr>
            <w:tcW w:w="127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5C2B4DD" w14:textId="77777777" w:rsidR="007A0C05" w:rsidRPr="00F07060" w:rsidRDefault="007A0C05" w:rsidP="00E350F6">
            <w:pPr>
              <w:rPr>
                <w:b/>
                <w:bCs/>
                <w:color w:val="000000"/>
                <w:sz w:val="16"/>
                <w:szCs w:val="16"/>
              </w:rPr>
            </w:pPr>
          </w:p>
        </w:tc>
        <w:tc>
          <w:tcPr>
            <w:tcW w:w="709"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9A16D5C" w14:textId="77777777" w:rsidR="007A0C05" w:rsidRPr="00F07060" w:rsidRDefault="007A0C05" w:rsidP="00E350F6">
            <w:pPr>
              <w:rPr>
                <w:b/>
                <w:bCs/>
                <w:color w:val="000000"/>
                <w:sz w:val="16"/>
                <w:szCs w:val="16"/>
              </w:rPr>
            </w:pPr>
          </w:p>
        </w:tc>
        <w:tc>
          <w:tcPr>
            <w:tcW w:w="1559"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0ED2BA0" w14:textId="77777777" w:rsidR="007A0C05" w:rsidRPr="00F07060" w:rsidRDefault="007A0C05" w:rsidP="00E350F6">
            <w:pPr>
              <w:rPr>
                <w:b/>
                <w:bCs/>
                <w:color w:val="000000"/>
                <w:sz w:val="16"/>
                <w:szCs w:val="16"/>
              </w:rPr>
            </w:pPr>
          </w:p>
        </w:tc>
      </w:tr>
      <w:tr w:rsidR="007A0C05" w:rsidRPr="00F07060" w14:paraId="6C684BE6" w14:textId="77777777" w:rsidTr="000B1027">
        <w:trPr>
          <w:trHeight w:val="581"/>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298380C1" w14:textId="77777777" w:rsidR="007A0C05" w:rsidRPr="00F07060" w:rsidRDefault="007A0C05" w:rsidP="00E350F6">
            <w:pPr>
              <w:rPr>
                <w:b/>
                <w:bCs/>
                <w:color w:val="000000"/>
                <w:sz w:val="16"/>
                <w:szCs w:val="16"/>
              </w:rPr>
            </w:pPr>
            <w:r w:rsidRPr="00F07060">
              <w:rPr>
                <w:b/>
                <w:bCs/>
                <w:color w:val="000000"/>
                <w:sz w:val="16"/>
                <w:szCs w:val="16"/>
              </w:rPr>
              <w:t>Balance of effects</w:t>
            </w:r>
          </w:p>
        </w:tc>
        <w:tc>
          <w:tcPr>
            <w:tcW w:w="948"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4EF33E5" w14:textId="77777777" w:rsidR="007A0C05" w:rsidRPr="00F07060" w:rsidRDefault="007A0C05" w:rsidP="00E350F6">
            <w:pPr>
              <w:rPr>
                <w:b/>
                <w:bCs/>
                <w:color w:val="000000"/>
                <w:sz w:val="16"/>
                <w:szCs w:val="16"/>
              </w:rPr>
            </w:pPr>
            <w:r w:rsidRPr="00F07060">
              <w:rPr>
                <w:b/>
                <w:bCs/>
                <w:color w:val="000000"/>
                <w:sz w:val="16"/>
                <w:szCs w:val="16"/>
              </w:rPr>
              <w:t>Favors the comparison</w:t>
            </w:r>
          </w:p>
        </w:tc>
        <w:tc>
          <w:tcPr>
            <w:tcW w:w="1442"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7A6B27B" w14:textId="77777777" w:rsidR="007A0C05" w:rsidRPr="00F07060" w:rsidRDefault="007A0C05" w:rsidP="00E350F6">
            <w:pPr>
              <w:rPr>
                <w:b/>
                <w:bCs/>
                <w:color w:val="000000"/>
                <w:sz w:val="16"/>
                <w:szCs w:val="16"/>
              </w:rPr>
            </w:pPr>
            <w:r w:rsidRPr="00F07060">
              <w:rPr>
                <w:b/>
                <w:bCs/>
                <w:color w:val="000000"/>
                <w:sz w:val="16"/>
                <w:szCs w:val="16"/>
              </w:rPr>
              <w:t>Probably favors the comparison</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119EDCE" w14:textId="77777777" w:rsidR="007A0C05" w:rsidRPr="00F07060" w:rsidRDefault="007A0C05" w:rsidP="00E350F6">
            <w:pPr>
              <w:rPr>
                <w:b/>
                <w:bCs/>
                <w:color w:val="000000"/>
                <w:sz w:val="16"/>
                <w:szCs w:val="16"/>
              </w:rPr>
            </w:pPr>
            <w:r w:rsidRPr="00F07060">
              <w:rPr>
                <w:b/>
                <w:bCs/>
                <w:color w:val="000000"/>
                <w:sz w:val="16"/>
                <w:szCs w:val="16"/>
              </w:rPr>
              <w:t>Does not favor either the intervention or the comparison</w:t>
            </w:r>
          </w:p>
        </w:tc>
        <w:tc>
          <w:tcPr>
            <w:tcW w:w="12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AC4B880" w14:textId="77777777" w:rsidR="007A0C05" w:rsidRPr="00F07060" w:rsidRDefault="007A0C05" w:rsidP="00E350F6">
            <w:pPr>
              <w:rPr>
                <w:b/>
                <w:bCs/>
                <w:color w:val="000000"/>
                <w:sz w:val="16"/>
                <w:szCs w:val="16"/>
              </w:rPr>
            </w:pPr>
            <w:r w:rsidRPr="00F07060">
              <w:rPr>
                <w:b/>
                <w:bCs/>
                <w:color w:val="000000"/>
                <w:sz w:val="16"/>
                <w:szCs w:val="16"/>
              </w:rPr>
              <w:t>Probably favors the intervention</w:t>
            </w:r>
          </w:p>
        </w:tc>
        <w:tc>
          <w:tcPr>
            <w:tcW w:w="1276"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77E6D6F8" w14:textId="77777777" w:rsidR="007A0C05" w:rsidRPr="00F07060" w:rsidRDefault="007A0C05" w:rsidP="00E350F6">
            <w:pPr>
              <w:rPr>
                <w:b/>
                <w:bCs/>
                <w:color w:val="000000"/>
                <w:sz w:val="16"/>
                <w:szCs w:val="16"/>
              </w:rPr>
            </w:pPr>
            <w:r w:rsidRPr="00F07060">
              <w:rPr>
                <w:b/>
                <w:bCs/>
                <w:color w:val="000000"/>
                <w:sz w:val="16"/>
                <w:szCs w:val="16"/>
              </w:rPr>
              <w:t>Favors the intervention</w:t>
            </w:r>
          </w:p>
        </w:tc>
        <w:tc>
          <w:tcPr>
            <w:tcW w:w="709"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DD1EB71" w14:textId="77777777" w:rsidR="007A0C05" w:rsidRPr="00F07060" w:rsidRDefault="007A0C05" w:rsidP="00E350F6">
            <w:pPr>
              <w:rPr>
                <w:b/>
                <w:bCs/>
                <w:color w:val="000000"/>
                <w:sz w:val="16"/>
                <w:szCs w:val="16"/>
              </w:rPr>
            </w:pPr>
            <w:r w:rsidRPr="00F07060">
              <w:rPr>
                <w:b/>
                <w:bCs/>
                <w:color w:val="000000"/>
                <w:sz w:val="16"/>
                <w:szCs w:val="16"/>
              </w:rPr>
              <w:t>Varies</w:t>
            </w:r>
          </w:p>
        </w:tc>
        <w:tc>
          <w:tcPr>
            <w:tcW w:w="1559"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94237ED" w14:textId="77777777" w:rsidR="007A0C05" w:rsidRPr="00F07060" w:rsidRDefault="007A0C05" w:rsidP="00E350F6">
            <w:pPr>
              <w:rPr>
                <w:b/>
                <w:bCs/>
                <w:color w:val="000000"/>
                <w:sz w:val="16"/>
                <w:szCs w:val="16"/>
              </w:rPr>
            </w:pPr>
            <w:r w:rsidRPr="00F07060">
              <w:rPr>
                <w:b/>
                <w:bCs/>
                <w:color w:val="000000"/>
                <w:sz w:val="16"/>
                <w:szCs w:val="16"/>
              </w:rPr>
              <w:t>Don't know</w:t>
            </w:r>
          </w:p>
        </w:tc>
      </w:tr>
      <w:tr w:rsidR="007A0C05" w:rsidRPr="00F07060" w14:paraId="23E0074C" w14:textId="77777777" w:rsidTr="000B1027">
        <w:trPr>
          <w:trHeight w:val="265"/>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7834975C" w14:textId="77777777" w:rsidR="007A0C05" w:rsidRPr="00F07060" w:rsidRDefault="007A0C05" w:rsidP="00E350F6">
            <w:pPr>
              <w:rPr>
                <w:b/>
                <w:bCs/>
                <w:color w:val="000000"/>
                <w:sz w:val="16"/>
                <w:szCs w:val="16"/>
              </w:rPr>
            </w:pPr>
            <w:r w:rsidRPr="00F07060">
              <w:rPr>
                <w:b/>
                <w:bCs/>
                <w:color w:val="000000"/>
                <w:sz w:val="16"/>
                <w:szCs w:val="16"/>
              </w:rPr>
              <w:t>Resources required</w:t>
            </w:r>
          </w:p>
        </w:tc>
        <w:tc>
          <w:tcPr>
            <w:tcW w:w="948"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49F9857" w14:textId="77777777" w:rsidR="007A0C05" w:rsidRPr="00F07060" w:rsidRDefault="007A0C05" w:rsidP="00E350F6">
            <w:pPr>
              <w:rPr>
                <w:b/>
                <w:bCs/>
                <w:color w:val="000000"/>
                <w:sz w:val="16"/>
                <w:szCs w:val="16"/>
              </w:rPr>
            </w:pPr>
            <w:r w:rsidRPr="00F07060">
              <w:rPr>
                <w:b/>
                <w:bCs/>
                <w:color w:val="000000"/>
                <w:sz w:val="16"/>
                <w:szCs w:val="16"/>
              </w:rPr>
              <w:t>Large costs</w:t>
            </w:r>
          </w:p>
        </w:tc>
        <w:tc>
          <w:tcPr>
            <w:tcW w:w="1442"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9A3F515" w14:textId="77777777" w:rsidR="007A0C05" w:rsidRPr="00F07060" w:rsidRDefault="007A0C05" w:rsidP="00E350F6">
            <w:pPr>
              <w:rPr>
                <w:b/>
                <w:bCs/>
                <w:color w:val="000000"/>
                <w:sz w:val="16"/>
                <w:szCs w:val="16"/>
              </w:rPr>
            </w:pPr>
            <w:r w:rsidRPr="00F07060">
              <w:rPr>
                <w:b/>
                <w:bCs/>
                <w:color w:val="000000"/>
                <w:sz w:val="16"/>
                <w:szCs w:val="16"/>
              </w:rPr>
              <w:t>Moderate costs</w:t>
            </w: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1FDF84D" w14:textId="77777777" w:rsidR="007A0C05" w:rsidRPr="00F07060" w:rsidRDefault="007A0C05" w:rsidP="00E350F6">
            <w:pPr>
              <w:rPr>
                <w:b/>
                <w:bCs/>
                <w:color w:val="000000"/>
                <w:sz w:val="16"/>
                <w:szCs w:val="16"/>
              </w:rPr>
            </w:pPr>
            <w:r w:rsidRPr="00F07060">
              <w:rPr>
                <w:b/>
                <w:bCs/>
                <w:color w:val="000000"/>
                <w:sz w:val="16"/>
                <w:szCs w:val="16"/>
              </w:rPr>
              <w:t>Negligible costs and savings</w:t>
            </w:r>
          </w:p>
        </w:tc>
        <w:tc>
          <w:tcPr>
            <w:tcW w:w="127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72B7B5C" w14:textId="77777777" w:rsidR="007A0C05" w:rsidRPr="00F07060" w:rsidRDefault="007A0C05" w:rsidP="00E350F6">
            <w:pPr>
              <w:rPr>
                <w:b/>
                <w:bCs/>
                <w:color w:val="000000"/>
                <w:sz w:val="16"/>
                <w:szCs w:val="16"/>
              </w:rPr>
            </w:pPr>
            <w:r w:rsidRPr="00F07060">
              <w:rPr>
                <w:b/>
                <w:bCs/>
                <w:color w:val="000000"/>
                <w:sz w:val="16"/>
                <w:szCs w:val="16"/>
              </w:rPr>
              <w:t>Moderate savings</w:t>
            </w:r>
          </w:p>
        </w:tc>
        <w:tc>
          <w:tcPr>
            <w:tcW w:w="127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A286D02" w14:textId="77777777" w:rsidR="007A0C05" w:rsidRPr="00F07060" w:rsidRDefault="007A0C05" w:rsidP="00E350F6">
            <w:pPr>
              <w:rPr>
                <w:b/>
                <w:bCs/>
                <w:color w:val="000000"/>
                <w:sz w:val="16"/>
                <w:szCs w:val="16"/>
              </w:rPr>
            </w:pPr>
            <w:r w:rsidRPr="00F07060">
              <w:rPr>
                <w:b/>
                <w:bCs/>
                <w:color w:val="000000"/>
                <w:sz w:val="16"/>
                <w:szCs w:val="16"/>
              </w:rPr>
              <w:t>Large savings</w:t>
            </w:r>
          </w:p>
        </w:tc>
        <w:tc>
          <w:tcPr>
            <w:tcW w:w="709"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5BEAD7D7" w14:textId="77777777" w:rsidR="007A0C05" w:rsidRPr="00F07060" w:rsidRDefault="007A0C05" w:rsidP="00E350F6">
            <w:pPr>
              <w:rPr>
                <w:b/>
                <w:bCs/>
                <w:color w:val="000000"/>
                <w:sz w:val="16"/>
                <w:szCs w:val="16"/>
              </w:rPr>
            </w:pPr>
            <w:r w:rsidRPr="00F07060">
              <w:rPr>
                <w:b/>
                <w:bCs/>
                <w:color w:val="000000"/>
                <w:sz w:val="16"/>
                <w:szCs w:val="16"/>
              </w:rPr>
              <w:t>Varies</w:t>
            </w:r>
          </w:p>
        </w:tc>
        <w:tc>
          <w:tcPr>
            <w:tcW w:w="1559"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B674572" w14:textId="77777777" w:rsidR="007A0C05" w:rsidRPr="00F07060" w:rsidRDefault="007A0C05" w:rsidP="00E350F6">
            <w:pPr>
              <w:rPr>
                <w:b/>
                <w:bCs/>
                <w:color w:val="000000"/>
                <w:sz w:val="16"/>
                <w:szCs w:val="16"/>
              </w:rPr>
            </w:pPr>
            <w:r w:rsidRPr="00F07060">
              <w:rPr>
                <w:b/>
                <w:bCs/>
                <w:color w:val="000000"/>
                <w:sz w:val="16"/>
                <w:szCs w:val="16"/>
              </w:rPr>
              <w:t>Don't know</w:t>
            </w:r>
          </w:p>
        </w:tc>
      </w:tr>
      <w:tr w:rsidR="007A0C05" w:rsidRPr="00F07060" w14:paraId="02811021" w14:textId="77777777" w:rsidTr="000B1027">
        <w:trPr>
          <w:trHeight w:val="1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6484C320" w14:textId="77777777" w:rsidR="007A0C05" w:rsidRPr="00F07060" w:rsidRDefault="007A0C05" w:rsidP="00E350F6">
            <w:pPr>
              <w:rPr>
                <w:b/>
                <w:bCs/>
                <w:color w:val="000000"/>
                <w:sz w:val="16"/>
                <w:szCs w:val="16"/>
              </w:rPr>
            </w:pPr>
            <w:r w:rsidRPr="00F07060">
              <w:rPr>
                <w:b/>
                <w:bCs/>
                <w:color w:val="000000"/>
                <w:sz w:val="16"/>
                <w:szCs w:val="16"/>
              </w:rPr>
              <w:t>Certainty of evidence of required resources</w:t>
            </w:r>
          </w:p>
        </w:tc>
        <w:tc>
          <w:tcPr>
            <w:tcW w:w="948"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43E9EA1" w14:textId="77777777" w:rsidR="007A0C05" w:rsidRPr="00F07060" w:rsidRDefault="007A0C05" w:rsidP="00E350F6">
            <w:pPr>
              <w:rPr>
                <w:b/>
                <w:bCs/>
                <w:color w:val="000000"/>
                <w:sz w:val="16"/>
                <w:szCs w:val="16"/>
              </w:rPr>
            </w:pPr>
            <w:r w:rsidRPr="00F07060">
              <w:rPr>
                <w:b/>
                <w:bCs/>
                <w:color w:val="000000"/>
                <w:sz w:val="16"/>
                <w:szCs w:val="16"/>
              </w:rPr>
              <w:t>Very low</w:t>
            </w:r>
          </w:p>
        </w:tc>
        <w:tc>
          <w:tcPr>
            <w:tcW w:w="1442"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15877EF" w14:textId="77777777" w:rsidR="007A0C05" w:rsidRPr="00F07060" w:rsidRDefault="007A0C05" w:rsidP="00E350F6">
            <w:pPr>
              <w:rPr>
                <w:b/>
                <w:bCs/>
                <w:color w:val="000000"/>
                <w:sz w:val="16"/>
                <w:szCs w:val="16"/>
              </w:rPr>
            </w:pPr>
            <w:r w:rsidRPr="00F07060">
              <w:rPr>
                <w:b/>
                <w:bCs/>
                <w:color w:val="000000"/>
                <w:sz w:val="16"/>
                <w:szCs w:val="16"/>
              </w:rPr>
              <w:t>Low</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9FDBF73" w14:textId="77777777" w:rsidR="007A0C05" w:rsidRPr="00F07060" w:rsidRDefault="007A0C05" w:rsidP="00E350F6">
            <w:pPr>
              <w:rPr>
                <w:b/>
                <w:bCs/>
                <w:color w:val="000000"/>
                <w:sz w:val="16"/>
                <w:szCs w:val="16"/>
              </w:rPr>
            </w:pPr>
            <w:r w:rsidRPr="00F07060">
              <w:rPr>
                <w:b/>
                <w:bCs/>
                <w:color w:val="000000"/>
                <w:sz w:val="16"/>
                <w:szCs w:val="16"/>
              </w:rPr>
              <w:t>Moderate</w:t>
            </w:r>
          </w:p>
        </w:tc>
        <w:tc>
          <w:tcPr>
            <w:tcW w:w="12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6A67E63" w14:textId="77777777" w:rsidR="007A0C05" w:rsidRPr="00F07060" w:rsidRDefault="007A0C05" w:rsidP="00E350F6">
            <w:pPr>
              <w:rPr>
                <w:b/>
                <w:bCs/>
                <w:color w:val="000000"/>
                <w:sz w:val="16"/>
                <w:szCs w:val="16"/>
              </w:rPr>
            </w:pPr>
            <w:r w:rsidRPr="00F07060">
              <w:rPr>
                <w:b/>
                <w:bCs/>
                <w:color w:val="000000"/>
                <w:sz w:val="16"/>
                <w:szCs w:val="16"/>
              </w:rPr>
              <w:t>High</w:t>
            </w:r>
          </w:p>
        </w:tc>
        <w:tc>
          <w:tcPr>
            <w:tcW w:w="12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C4B7893" w14:textId="77777777" w:rsidR="007A0C05" w:rsidRPr="00F07060" w:rsidRDefault="007A0C05" w:rsidP="00E350F6">
            <w:pPr>
              <w:rPr>
                <w:b/>
                <w:bCs/>
                <w:color w:val="000000"/>
                <w:sz w:val="16"/>
                <w:szCs w:val="16"/>
              </w:rPr>
            </w:pPr>
          </w:p>
        </w:tc>
        <w:tc>
          <w:tcPr>
            <w:tcW w:w="709"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65D8CBA" w14:textId="77777777" w:rsidR="007A0C05" w:rsidRPr="00F07060" w:rsidRDefault="007A0C05" w:rsidP="00E350F6">
            <w:pPr>
              <w:rPr>
                <w:b/>
                <w:bCs/>
                <w:color w:val="000000"/>
                <w:sz w:val="16"/>
                <w:szCs w:val="16"/>
              </w:rPr>
            </w:pPr>
          </w:p>
        </w:tc>
        <w:tc>
          <w:tcPr>
            <w:tcW w:w="1559"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4DEC6F92" w14:textId="77777777" w:rsidR="007A0C05" w:rsidRPr="00F07060" w:rsidRDefault="007A0C05" w:rsidP="00E350F6">
            <w:pPr>
              <w:rPr>
                <w:b/>
                <w:bCs/>
                <w:color w:val="000000"/>
                <w:sz w:val="16"/>
                <w:szCs w:val="16"/>
              </w:rPr>
            </w:pPr>
            <w:r w:rsidRPr="00F07060">
              <w:rPr>
                <w:b/>
                <w:bCs/>
                <w:color w:val="000000"/>
                <w:sz w:val="16"/>
                <w:szCs w:val="16"/>
              </w:rPr>
              <w:t>No included studies</w:t>
            </w:r>
          </w:p>
        </w:tc>
      </w:tr>
      <w:tr w:rsidR="007A0C05" w:rsidRPr="00F07060" w14:paraId="6F6F1938" w14:textId="77777777" w:rsidTr="000B1027">
        <w:trPr>
          <w:trHeight w:val="364"/>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2C547E88" w14:textId="77777777" w:rsidR="007A0C05" w:rsidRPr="00F07060" w:rsidRDefault="007A0C05" w:rsidP="00E350F6">
            <w:pPr>
              <w:rPr>
                <w:b/>
                <w:bCs/>
                <w:color w:val="000000"/>
                <w:sz w:val="16"/>
                <w:szCs w:val="16"/>
              </w:rPr>
            </w:pPr>
            <w:r w:rsidRPr="00F07060">
              <w:rPr>
                <w:b/>
                <w:bCs/>
                <w:color w:val="000000"/>
                <w:sz w:val="16"/>
                <w:szCs w:val="16"/>
              </w:rPr>
              <w:t>Cost effectiveness</w:t>
            </w:r>
          </w:p>
        </w:tc>
        <w:tc>
          <w:tcPr>
            <w:tcW w:w="948"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086F842" w14:textId="77777777" w:rsidR="007A0C05" w:rsidRPr="00F07060" w:rsidRDefault="007A0C05" w:rsidP="00E350F6">
            <w:pPr>
              <w:rPr>
                <w:b/>
                <w:bCs/>
                <w:color w:val="000000"/>
                <w:sz w:val="16"/>
                <w:szCs w:val="16"/>
              </w:rPr>
            </w:pPr>
            <w:r w:rsidRPr="00F07060">
              <w:rPr>
                <w:b/>
                <w:bCs/>
                <w:color w:val="000000"/>
                <w:sz w:val="16"/>
                <w:szCs w:val="16"/>
              </w:rPr>
              <w:t>Favors the comparison</w:t>
            </w:r>
          </w:p>
        </w:tc>
        <w:tc>
          <w:tcPr>
            <w:tcW w:w="1442"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4EEC615" w14:textId="77777777" w:rsidR="007A0C05" w:rsidRPr="00F07060" w:rsidRDefault="007A0C05" w:rsidP="00E350F6">
            <w:pPr>
              <w:rPr>
                <w:b/>
                <w:bCs/>
                <w:color w:val="000000"/>
                <w:sz w:val="16"/>
                <w:szCs w:val="16"/>
              </w:rPr>
            </w:pPr>
            <w:r w:rsidRPr="00F07060">
              <w:rPr>
                <w:b/>
                <w:bCs/>
                <w:color w:val="000000"/>
                <w:sz w:val="16"/>
                <w:szCs w:val="16"/>
              </w:rPr>
              <w:t>Probably favors the comparison</w:t>
            </w: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731DFC2" w14:textId="77777777" w:rsidR="007A0C05" w:rsidRPr="00F07060" w:rsidRDefault="007A0C05" w:rsidP="00E350F6">
            <w:pPr>
              <w:rPr>
                <w:b/>
                <w:bCs/>
                <w:color w:val="000000"/>
                <w:sz w:val="16"/>
                <w:szCs w:val="16"/>
              </w:rPr>
            </w:pPr>
            <w:r w:rsidRPr="00F07060">
              <w:rPr>
                <w:b/>
                <w:bCs/>
                <w:color w:val="000000"/>
                <w:sz w:val="16"/>
                <w:szCs w:val="16"/>
              </w:rPr>
              <w:t>Does not favor either the intervention or the comparison</w:t>
            </w:r>
          </w:p>
        </w:tc>
        <w:tc>
          <w:tcPr>
            <w:tcW w:w="1276" w:type="dxa"/>
            <w:tcBorders>
              <w:top w:val="single" w:sz="8" w:space="0" w:color="FFFFFF"/>
              <w:left w:val="single" w:sz="8" w:space="0" w:color="FFFFFF"/>
              <w:bottom w:val="single" w:sz="8" w:space="0" w:color="FFFFFF"/>
              <w:right w:val="single" w:sz="8" w:space="0" w:color="FFFFFF"/>
            </w:tcBorders>
            <w:shd w:val="clear" w:color="auto" w:fill="D6DCE5"/>
            <w:tcMar>
              <w:top w:w="74" w:type="dxa"/>
              <w:left w:w="74" w:type="dxa"/>
              <w:bottom w:w="74" w:type="dxa"/>
              <w:right w:w="74" w:type="dxa"/>
            </w:tcMar>
            <w:vAlign w:val="center"/>
            <w:hideMark/>
          </w:tcPr>
          <w:p w14:paraId="3F61DDEF" w14:textId="77777777" w:rsidR="007A0C05" w:rsidRPr="00F07060" w:rsidRDefault="007A0C05" w:rsidP="00E350F6">
            <w:pPr>
              <w:rPr>
                <w:b/>
                <w:bCs/>
                <w:color w:val="000000"/>
                <w:sz w:val="16"/>
                <w:szCs w:val="16"/>
              </w:rPr>
            </w:pPr>
            <w:r w:rsidRPr="00F07060">
              <w:rPr>
                <w:b/>
                <w:bCs/>
                <w:color w:val="000000"/>
                <w:sz w:val="16"/>
                <w:szCs w:val="16"/>
              </w:rPr>
              <w:t>Probably favors the intervention</w:t>
            </w:r>
          </w:p>
        </w:tc>
        <w:tc>
          <w:tcPr>
            <w:tcW w:w="127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88BE61A" w14:textId="77777777" w:rsidR="007A0C05" w:rsidRPr="00F07060" w:rsidRDefault="007A0C05" w:rsidP="00E350F6">
            <w:pPr>
              <w:rPr>
                <w:b/>
                <w:bCs/>
                <w:color w:val="000000"/>
                <w:sz w:val="16"/>
                <w:szCs w:val="16"/>
              </w:rPr>
            </w:pPr>
            <w:r w:rsidRPr="00F07060">
              <w:rPr>
                <w:b/>
                <w:bCs/>
                <w:color w:val="000000"/>
                <w:sz w:val="16"/>
                <w:szCs w:val="16"/>
              </w:rPr>
              <w:t>Favors the intervention</w:t>
            </w:r>
          </w:p>
        </w:tc>
        <w:tc>
          <w:tcPr>
            <w:tcW w:w="709"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1A0749D7" w14:textId="77777777" w:rsidR="007A0C05" w:rsidRPr="00F07060" w:rsidRDefault="007A0C05" w:rsidP="00E350F6">
            <w:pPr>
              <w:rPr>
                <w:b/>
                <w:bCs/>
                <w:color w:val="000000"/>
                <w:sz w:val="16"/>
                <w:szCs w:val="16"/>
              </w:rPr>
            </w:pPr>
            <w:r w:rsidRPr="00F07060">
              <w:rPr>
                <w:b/>
                <w:bCs/>
                <w:color w:val="000000"/>
                <w:sz w:val="16"/>
                <w:szCs w:val="16"/>
              </w:rPr>
              <w:t>Varies</w:t>
            </w:r>
          </w:p>
        </w:tc>
        <w:tc>
          <w:tcPr>
            <w:tcW w:w="1559"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4" w:type="dxa"/>
              <w:left w:w="74" w:type="dxa"/>
              <w:bottom w:w="74" w:type="dxa"/>
              <w:right w:w="74" w:type="dxa"/>
            </w:tcMar>
            <w:vAlign w:val="center"/>
            <w:hideMark/>
          </w:tcPr>
          <w:p w14:paraId="24A88124" w14:textId="77777777" w:rsidR="007A0C05" w:rsidRPr="00F07060" w:rsidRDefault="007A0C05" w:rsidP="00E350F6">
            <w:pPr>
              <w:rPr>
                <w:b/>
                <w:bCs/>
                <w:color w:val="000000"/>
                <w:sz w:val="16"/>
                <w:szCs w:val="16"/>
              </w:rPr>
            </w:pPr>
            <w:r w:rsidRPr="00F07060">
              <w:rPr>
                <w:b/>
                <w:bCs/>
                <w:color w:val="000000"/>
                <w:sz w:val="16"/>
                <w:szCs w:val="16"/>
              </w:rPr>
              <w:t>No included studies</w:t>
            </w:r>
          </w:p>
        </w:tc>
      </w:tr>
      <w:tr w:rsidR="007A0C05" w:rsidRPr="00F07060" w14:paraId="11821728" w14:textId="77777777" w:rsidTr="000B1027">
        <w:trPr>
          <w:trHeight w:val="204"/>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14275CB4" w14:textId="77777777" w:rsidR="007A0C05" w:rsidRPr="00F07060" w:rsidRDefault="007A0C05" w:rsidP="00E350F6">
            <w:pPr>
              <w:rPr>
                <w:b/>
                <w:bCs/>
                <w:color w:val="000000"/>
                <w:sz w:val="16"/>
                <w:szCs w:val="16"/>
              </w:rPr>
            </w:pPr>
            <w:r w:rsidRPr="00F07060">
              <w:rPr>
                <w:b/>
                <w:bCs/>
                <w:color w:val="000000"/>
                <w:sz w:val="16"/>
                <w:szCs w:val="16"/>
              </w:rPr>
              <w:t>Equity</w:t>
            </w:r>
          </w:p>
        </w:tc>
        <w:tc>
          <w:tcPr>
            <w:tcW w:w="948"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51C1379" w14:textId="77777777" w:rsidR="007A0C05" w:rsidRPr="00F07060" w:rsidRDefault="007A0C05" w:rsidP="00E350F6">
            <w:pPr>
              <w:rPr>
                <w:b/>
                <w:bCs/>
                <w:color w:val="000000"/>
                <w:sz w:val="16"/>
                <w:szCs w:val="16"/>
              </w:rPr>
            </w:pPr>
            <w:r w:rsidRPr="00F07060">
              <w:rPr>
                <w:b/>
                <w:bCs/>
                <w:color w:val="000000"/>
                <w:sz w:val="16"/>
                <w:szCs w:val="16"/>
              </w:rPr>
              <w:t>Reduced</w:t>
            </w:r>
          </w:p>
        </w:tc>
        <w:tc>
          <w:tcPr>
            <w:tcW w:w="1442"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123D7A1" w14:textId="77777777" w:rsidR="007A0C05" w:rsidRPr="00F07060" w:rsidRDefault="007A0C05" w:rsidP="00E350F6">
            <w:pPr>
              <w:rPr>
                <w:b/>
                <w:bCs/>
                <w:color w:val="000000"/>
                <w:sz w:val="16"/>
                <w:szCs w:val="16"/>
              </w:rPr>
            </w:pPr>
            <w:r w:rsidRPr="00F07060">
              <w:rPr>
                <w:b/>
                <w:bCs/>
                <w:color w:val="000000"/>
                <w:sz w:val="16"/>
                <w:szCs w:val="16"/>
              </w:rPr>
              <w:t>Probably reduced</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714310D" w14:textId="77777777" w:rsidR="007A0C05" w:rsidRPr="00F07060" w:rsidRDefault="007A0C05" w:rsidP="00E350F6">
            <w:pPr>
              <w:rPr>
                <w:b/>
                <w:bCs/>
                <w:color w:val="000000"/>
                <w:sz w:val="16"/>
                <w:szCs w:val="16"/>
              </w:rPr>
            </w:pPr>
            <w:r w:rsidRPr="00F07060">
              <w:rPr>
                <w:b/>
                <w:bCs/>
                <w:color w:val="000000"/>
                <w:sz w:val="16"/>
                <w:szCs w:val="16"/>
              </w:rPr>
              <w:t>Probably no impact</w:t>
            </w:r>
          </w:p>
        </w:tc>
        <w:tc>
          <w:tcPr>
            <w:tcW w:w="12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CAA9957" w14:textId="77777777" w:rsidR="007A0C05" w:rsidRPr="00F07060" w:rsidRDefault="007A0C05" w:rsidP="00E350F6">
            <w:pPr>
              <w:rPr>
                <w:b/>
                <w:bCs/>
                <w:color w:val="000000"/>
                <w:sz w:val="16"/>
                <w:szCs w:val="16"/>
              </w:rPr>
            </w:pPr>
            <w:r w:rsidRPr="00F07060">
              <w:rPr>
                <w:b/>
                <w:bCs/>
                <w:color w:val="000000"/>
                <w:sz w:val="16"/>
                <w:szCs w:val="16"/>
              </w:rPr>
              <w:t>Probably increased</w:t>
            </w:r>
          </w:p>
        </w:tc>
        <w:tc>
          <w:tcPr>
            <w:tcW w:w="12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7C95B5F" w14:textId="77777777" w:rsidR="007A0C05" w:rsidRPr="00F07060" w:rsidRDefault="007A0C05" w:rsidP="00E350F6">
            <w:pPr>
              <w:rPr>
                <w:b/>
                <w:bCs/>
                <w:color w:val="000000"/>
                <w:sz w:val="16"/>
                <w:szCs w:val="16"/>
              </w:rPr>
            </w:pPr>
            <w:r w:rsidRPr="00F07060">
              <w:rPr>
                <w:b/>
                <w:bCs/>
                <w:color w:val="000000"/>
                <w:sz w:val="16"/>
                <w:szCs w:val="16"/>
              </w:rPr>
              <w:t>Increased</w:t>
            </w:r>
          </w:p>
        </w:tc>
        <w:tc>
          <w:tcPr>
            <w:tcW w:w="709"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2C33143" w14:textId="77777777" w:rsidR="007A0C05" w:rsidRPr="00F07060" w:rsidRDefault="007A0C05" w:rsidP="00E350F6">
            <w:pPr>
              <w:rPr>
                <w:b/>
                <w:bCs/>
                <w:color w:val="000000"/>
                <w:sz w:val="16"/>
                <w:szCs w:val="16"/>
              </w:rPr>
            </w:pPr>
            <w:r w:rsidRPr="00F07060">
              <w:rPr>
                <w:b/>
                <w:bCs/>
                <w:color w:val="000000"/>
                <w:sz w:val="16"/>
                <w:szCs w:val="16"/>
              </w:rPr>
              <w:t>Varies</w:t>
            </w:r>
          </w:p>
        </w:tc>
        <w:tc>
          <w:tcPr>
            <w:tcW w:w="1559"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7545CACD" w14:textId="77777777" w:rsidR="007A0C05" w:rsidRPr="00F07060" w:rsidRDefault="007A0C05" w:rsidP="00E350F6">
            <w:pPr>
              <w:rPr>
                <w:b/>
                <w:bCs/>
                <w:color w:val="000000"/>
                <w:sz w:val="16"/>
                <w:szCs w:val="16"/>
              </w:rPr>
            </w:pPr>
            <w:r w:rsidRPr="00F07060">
              <w:rPr>
                <w:b/>
                <w:bCs/>
                <w:color w:val="000000"/>
                <w:sz w:val="16"/>
                <w:szCs w:val="16"/>
              </w:rPr>
              <w:t>Don't know</w:t>
            </w:r>
          </w:p>
        </w:tc>
      </w:tr>
      <w:tr w:rsidR="007A0C05" w:rsidRPr="00F07060" w14:paraId="149CD903" w14:textId="77777777" w:rsidTr="000B1027">
        <w:trPr>
          <w:trHeight w:val="1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46BF1699" w14:textId="77777777" w:rsidR="007A0C05" w:rsidRPr="00F07060" w:rsidRDefault="007A0C05" w:rsidP="00E350F6">
            <w:pPr>
              <w:rPr>
                <w:b/>
                <w:bCs/>
                <w:color w:val="000000"/>
                <w:sz w:val="16"/>
                <w:szCs w:val="16"/>
              </w:rPr>
            </w:pPr>
            <w:r w:rsidRPr="00F07060">
              <w:rPr>
                <w:b/>
                <w:bCs/>
                <w:color w:val="000000"/>
                <w:sz w:val="16"/>
                <w:szCs w:val="16"/>
              </w:rPr>
              <w:t>Acceptability</w:t>
            </w:r>
          </w:p>
        </w:tc>
        <w:tc>
          <w:tcPr>
            <w:tcW w:w="948"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BD2C6D9" w14:textId="77777777" w:rsidR="007A0C05" w:rsidRPr="00F07060" w:rsidRDefault="007A0C05" w:rsidP="00E350F6">
            <w:pPr>
              <w:rPr>
                <w:b/>
                <w:bCs/>
                <w:color w:val="000000"/>
                <w:sz w:val="16"/>
                <w:szCs w:val="16"/>
              </w:rPr>
            </w:pPr>
            <w:r w:rsidRPr="00F07060">
              <w:rPr>
                <w:b/>
                <w:bCs/>
                <w:color w:val="000000"/>
                <w:sz w:val="16"/>
                <w:szCs w:val="16"/>
              </w:rPr>
              <w:t>No</w:t>
            </w:r>
          </w:p>
        </w:tc>
        <w:tc>
          <w:tcPr>
            <w:tcW w:w="1442"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0232F73" w14:textId="77777777" w:rsidR="007A0C05" w:rsidRPr="00F07060" w:rsidRDefault="007A0C05" w:rsidP="00E350F6">
            <w:pPr>
              <w:rPr>
                <w:b/>
                <w:bCs/>
                <w:color w:val="000000"/>
                <w:sz w:val="16"/>
                <w:szCs w:val="16"/>
              </w:rPr>
            </w:pPr>
            <w:r w:rsidRPr="00F07060">
              <w:rPr>
                <w:b/>
                <w:bCs/>
                <w:color w:val="000000"/>
                <w:sz w:val="16"/>
                <w:szCs w:val="16"/>
              </w:rPr>
              <w:t>Probably no</w:t>
            </w:r>
          </w:p>
        </w:tc>
        <w:tc>
          <w:tcPr>
            <w:tcW w:w="1701"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70E02697" w14:textId="77777777" w:rsidR="007A0C05" w:rsidRPr="00F07060" w:rsidRDefault="007A0C05" w:rsidP="00E350F6">
            <w:pPr>
              <w:rPr>
                <w:b/>
                <w:bCs/>
                <w:color w:val="000000"/>
                <w:sz w:val="16"/>
                <w:szCs w:val="16"/>
              </w:rPr>
            </w:pPr>
            <w:r w:rsidRPr="00F07060">
              <w:rPr>
                <w:b/>
                <w:bCs/>
                <w:color w:val="000000"/>
                <w:sz w:val="16"/>
                <w:szCs w:val="16"/>
              </w:rPr>
              <w:t>Probably yes</w:t>
            </w:r>
          </w:p>
        </w:tc>
        <w:tc>
          <w:tcPr>
            <w:tcW w:w="127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2356A8F" w14:textId="77777777" w:rsidR="007A0C05" w:rsidRPr="00F07060" w:rsidRDefault="007A0C05" w:rsidP="00E350F6">
            <w:pPr>
              <w:rPr>
                <w:b/>
                <w:bCs/>
                <w:color w:val="000000"/>
                <w:sz w:val="16"/>
                <w:szCs w:val="16"/>
              </w:rPr>
            </w:pPr>
            <w:r w:rsidRPr="00F07060">
              <w:rPr>
                <w:b/>
                <w:bCs/>
                <w:color w:val="000000"/>
                <w:sz w:val="16"/>
                <w:szCs w:val="16"/>
              </w:rPr>
              <w:t>Yes</w:t>
            </w:r>
          </w:p>
        </w:tc>
        <w:tc>
          <w:tcPr>
            <w:tcW w:w="127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645EBF5" w14:textId="77777777" w:rsidR="007A0C05" w:rsidRPr="00F07060" w:rsidRDefault="007A0C05" w:rsidP="00E350F6">
            <w:pPr>
              <w:rPr>
                <w:b/>
                <w:bCs/>
                <w:color w:val="000000"/>
                <w:sz w:val="16"/>
                <w:szCs w:val="16"/>
              </w:rPr>
            </w:pPr>
          </w:p>
        </w:tc>
        <w:tc>
          <w:tcPr>
            <w:tcW w:w="709"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379E115" w14:textId="77777777" w:rsidR="007A0C05" w:rsidRPr="00F07060" w:rsidRDefault="007A0C05" w:rsidP="00E350F6">
            <w:pPr>
              <w:rPr>
                <w:b/>
                <w:bCs/>
                <w:color w:val="000000"/>
                <w:sz w:val="16"/>
                <w:szCs w:val="16"/>
              </w:rPr>
            </w:pPr>
            <w:r w:rsidRPr="00F07060">
              <w:rPr>
                <w:b/>
                <w:bCs/>
                <w:color w:val="000000"/>
                <w:sz w:val="16"/>
                <w:szCs w:val="16"/>
              </w:rPr>
              <w:t>Varies</w:t>
            </w:r>
          </w:p>
        </w:tc>
        <w:tc>
          <w:tcPr>
            <w:tcW w:w="1559"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5BCBC9E" w14:textId="77777777" w:rsidR="007A0C05" w:rsidRPr="00F07060" w:rsidRDefault="007A0C05" w:rsidP="00E350F6">
            <w:pPr>
              <w:rPr>
                <w:b/>
                <w:bCs/>
                <w:color w:val="000000"/>
                <w:sz w:val="16"/>
                <w:szCs w:val="16"/>
              </w:rPr>
            </w:pPr>
            <w:r w:rsidRPr="00F07060">
              <w:rPr>
                <w:b/>
                <w:bCs/>
                <w:color w:val="000000"/>
                <w:sz w:val="16"/>
                <w:szCs w:val="16"/>
              </w:rPr>
              <w:t>Don't know</w:t>
            </w:r>
          </w:p>
        </w:tc>
      </w:tr>
      <w:tr w:rsidR="007A0C05" w:rsidRPr="00F07060" w14:paraId="1828E5B9" w14:textId="77777777" w:rsidTr="000B1027">
        <w:trPr>
          <w:trHeight w:val="1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603DF2DF" w14:textId="77777777" w:rsidR="007A0C05" w:rsidRPr="00F07060" w:rsidRDefault="007A0C05" w:rsidP="00E350F6">
            <w:pPr>
              <w:rPr>
                <w:b/>
                <w:bCs/>
                <w:color w:val="000000"/>
                <w:sz w:val="16"/>
                <w:szCs w:val="16"/>
              </w:rPr>
            </w:pPr>
            <w:r w:rsidRPr="00F07060">
              <w:rPr>
                <w:b/>
                <w:bCs/>
                <w:color w:val="000000"/>
                <w:sz w:val="16"/>
                <w:szCs w:val="16"/>
              </w:rPr>
              <w:t>Feasibility</w:t>
            </w:r>
          </w:p>
        </w:tc>
        <w:tc>
          <w:tcPr>
            <w:tcW w:w="948"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39B4A59" w14:textId="77777777" w:rsidR="007A0C05" w:rsidRPr="00F07060" w:rsidRDefault="007A0C05" w:rsidP="00E350F6">
            <w:pPr>
              <w:rPr>
                <w:b/>
                <w:bCs/>
                <w:color w:val="000000"/>
                <w:sz w:val="16"/>
                <w:szCs w:val="16"/>
              </w:rPr>
            </w:pPr>
            <w:r w:rsidRPr="00F07060">
              <w:rPr>
                <w:b/>
                <w:bCs/>
                <w:color w:val="000000"/>
                <w:sz w:val="16"/>
                <w:szCs w:val="16"/>
              </w:rPr>
              <w:t>No</w:t>
            </w:r>
          </w:p>
        </w:tc>
        <w:tc>
          <w:tcPr>
            <w:tcW w:w="1442"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7802368" w14:textId="77777777" w:rsidR="007A0C05" w:rsidRPr="00F07060" w:rsidRDefault="007A0C05" w:rsidP="00E350F6">
            <w:pPr>
              <w:rPr>
                <w:b/>
                <w:bCs/>
                <w:color w:val="000000"/>
                <w:sz w:val="16"/>
                <w:szCs w:val="16"/>
              </w:rPr>
            </w:pPr>
            <w:r w:rsidRPr="00F07060">
              <w:rPr>
                <w:b/>
                <w:bCs/>
                <w:color w:val="000000"/>
                <w:sz w:val="16"/>
                <w:szCs w:val="16"/>
              </w:rPr>
              <w:t>Probably no</w:t>
            </w:r>
          </w:p>
        </w:tc>
        <w:tc>
          <w:tcPr>
            <w:tcW w:w="1701"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49DB15E9" w14:textId="77777777" w:rsidR="007A0C05" w:rsidRPr="00F07060" w:rsidRDefault="007A0C05" w:rsidP="00E350F6">
            <w:pPr>
              <w:rPr>
                <w:b/>
                <w:bCs/>
                <w:color w:val="000000"/>
                <w:sz w:val="16"/>
                <w:szCs w:val="16"/>
              </w:rPr>
            </w:pPr>
            <w:r w:rsidRPr="00F07060">
              <w:rPr>
                <w:b/>
                <w:bCs/>
                <w:color w:val="000000"/>
                <w:sz w:val="16"/>
                <w:szCs w:val="16"/>
              </w:rPr>
              <w:t>Probably yes</w:t>
            </w:r>
          </w:p>
        </w:tc>
        <w:tc>
          <w:tcPr>
            <w:tcW w:w="12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4E47045" w14:textId="77777777" w:rsidR="007A0C05" w:rsidRPr="00F07060" w:rsidRDefault="007A0C05" w:rsidP="00E350F6">
            <w:pPr>
              <w:rPr>
                <w:b/>
                <w:bCs/>
                <w:color w:val="000000"/>
                <w:sz w:val="16"/>
                <w:szCs w:val="16"/>
              </w:rPr>
            </w:pPr>
            <w:r w:rsidRPr="00F07060">
              <w:rPr>
                <w:b/>
                <w:bCs/>
                <w:color w:val="000000"/>
                <w:sz w:val="16"/>
                <w:szCs w:val="16"/>
              </w:rPr>
              <w:t>Yes</w:t>
            </w:r>
          </w:p>
        </w:tc>
        <w:tc>
          <w:tcPr>
            <w:tcW w:w="12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AB40518" w14:textId="77777777" w:rsidR="007A0C05" w:rsidRPr="00F07060" w:rsidRDefault="007A0C05" w:rsidP="00E350F6">
            <w:pPr>
              <w:rPr>
                <w:b/>
                <w:bCs/>
                <w:color w:val="000000"/>
                <w:sz w:val="16"/>
                <w:szCs w:val="16"/>
              </w:rPr>
            </w:pPr>
          </w:p>
        </w:tc>
        <w:tc>
          <w:tcPr>
            <w:tcW w:w="709"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73457A3" w14:textId="77777777" w:rsidR="007A0C05" w:rsidRPr="00F07060" w:rsidRDefault="007A0C05" w:rsidP="00E350F6">
            <w:pPr>
              <w:rPr>
                <w:b/>
                <w:bCs/>
                <w:color w:val="000000"/>
                <w:sz w:val="16"/>
                <w:szCs w:val="16"/>
              </w:rPr>
            </w:pPr>
            <w:r w:rsidRPr="00F07060">
              <w:rPr>
                <w:b/>
                <w:bCs/>
                <w:color w:val="000000"/>
                <w:sz w:val="16"/>
                <w:szCs w:val="16"/>
              </w:rPr>
              <w:t>Varies</w:t>
            </w:r>
          </w:p>
        </w:tc>
        <w:tc>
          <w:tcPr>
            <w:tcW w:w="1559"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E12F409" w14:textId="77777777" w:rsidR="007A0C05" w:rsidRPr="00F07060" w:rsidRDefault="007A0C05" w:rsidP="00E350F6">
            <w:pPr>
              <w:rPr>
                <w:b/>
                <w:bCs/>
                <w:color w:val="000000"/>
                <w:sz w:val="16"/>
                <w:szCs w:val="16"/>
              </w:rPr>
            </w:pPr>
            <w:r w:rsidRPr="00F07060">
              <w:rPr>
                <w:b/>
                <w:bCs/>
                <w:color w:val="000000"/>
                <w:sz w:val="16"/>
                <w:szCs w:val="16"/>
              </w:rPr>
              <w:t>Don't know</w:t>
            </w:r>
          </w:p>
        </w:tc>
      </w:tr>
    </w:tbl>
    <w:p w14:paraId="7401A59F" w14:textId="77777777" w:rsidR="007A0C05" w:rsidRPr="00A44FD1" w:rsidRDefault="007A0C05" w:rsidP="007A0C05">
      <w:pPr>
        <w:rPr>
          <w:b/>
          <w:bCs/>
          <w:color w:val="000000"/>
          <w:sz w:val="20"/>
          <w:szCs w:val="20"/>
          <w:lang w:val="en"/>
        </w:rPr>
      </w:pPr>
    </w:p>
    <w:p w14:paraId="7E3BC689" w14:textId="6CF61CF4" w:rsidR="007A0C05" w:rsidRPr="000B1027" w:rsidRDefault="007A0C05" w:rsidP="007A0C05">
      <w:pPr>
        <w:rPr>
          <w:b/>
          <w:sz w:val="20"/>
          <w:szCs w:val="20"/>
        </w:rPr>
      </w:pPr>
      <w:r w:rsidRPr="00A44FD1">
        <w:rPr>
          <w:b/>
          <w:bCs/>
          <w:color w:val="000000"/>
          <w:sz w:val="20"/>
          <w:szCs w:val="20"/>
          <w:lang w:val="en"/>
        </w:rPr>
        <w:t>Table S</w:t>
      </w:r>
      <w:r w:rsidR="000B1027">
        <w:rPr>
          <w:b/>
          <w:bCs/>
          <w:color w:val="000000"/>
          <w:sz w:val="20"/>
          <w:szCs w:val="20"/>
          <w:lang w:val="en"/>
        </w:rPr>
        <w:t>19:</w:t>
      </w:r>
      <w:r w:rsidRPr="00A44FD1">
        <w:rPr>
          <w:b/>
          <w:bCs/>
          <w:color w:val="000000"/>
          <w:sz w:val="20"/>
          <w:szCs w:val="20"/>
          <w:lang w:val="en"/>
        </w:rPr>
        <w:t xml:space="preserve"> </w:t>
      </w:r>
      <w:r w:rsidRPr="000B1027">
        <w:rPr>
          <w:b/>
          <w:sz w:val="20"/>
          <w:szCs w:val="20"/>
        </w:rPr>
        <w:t xml:space="preserve">Evidence to decision table supporting recommendations for </w:t>
      </w:r>
      <w:r w:rsidR="00982C89" w:rsidRPr="000B1027">
        <w:rPr>
          <w:b/>
          <w:sz w:val="20"/>
          <w:szCs w:val="20"/>
        </w:rPr>
        <w:t>dupilumab</w:t>
      </w:r>
      <w:r w:rsidRPr="000B1027">
        <w:rPr>
          <w:b/>
          <w:sz w:val="20"/>
          <w:szCs w:val="20"/>
        </w:rPr>
        <w:t xml:space="preserve"> for severe </w:t>
      </w:r>
      <w:r w:rsidR="00982C89" w:rsidRPr="000B1027">
        <w:rPr>
          <w:b/>
          <w:sz w:val="20"/>
          <w:szCs w:val="20"/>
        </w:rPr>
        <w:t>eosinophilic</w:t>
      </w:r>
      <w:r w:rsidRPr="000B1027">
        <w:rPr>
          <w:b/>
          <w:sz w:val="20"/>
          <w:szCs w:val="20"/>
        </w:rPr>
        <w:t xml:space="preserve"> asthma in adults (asthma control, QoL</w:t>
      </w:r>
      <w:r w:rsidR="00982C89" w:rsidRPr="000B1027">
        <w:rPr>
          <w:b/>
          <w:sz w:val="20"/>
          <w:szCs w:val="20"/>
        </w:rPr>
        <w:t>, lung function</w:t>
      </w:r>
      <w:r w:rsidR="00E350F6" w:rsidRPr="000B1027">
        <w:rPr>
          <w:b/>
          <w:sz w:val="20"/>
          <w:szCs w:val="20"/>
        </w:rPr>
        <w:t>, rescue medication reduction</w:t>
      </w:r>
      <w:r w:rsidRPr="000B1027">
        <w:rPr>
          <w:b/>
          <w:sz w:val="20"/>
          <w:szCs w:val="20"/>
        </w:rPr>
        <w:t>)</w:t>
      </w:r>
    </w:p>
    <w:p w14:paraId="563C66AF" w14:textId="77777777" w:rsidR="007A0C05" w:rsidRPr="00A44FD1" w:rsidRDefault="007A0C05" w:rsidP="007A0C05">
      <w:pPr>
        <w:pStyle w:val="ListParagraph"/>
        <w:rPr>
          <w:b/>
          <w:bCs/>
          <w:color w:val="000000"/>
          <w:sz w:val="20"/>
          <w:szCs w:val="20"/>
          <w:lang w:val="en"/>
        </w:rPr>
      </w:pPr>
    </w:p>
    <w:tbl>
      <w:tblPr>
        <w:tblW w:w="0" w:type="auto"/>
        <w:tblCellMar>
          <w:left w:w="0" w:type="dxa"/>
          <w:right w:w="0" w:type="dxa"/>
        </w:tblCellMar>
        <w:tblLook w:val="04A0" w:firstRow="1" w:lastRow="0" w:firstColumn="1" w:lastColumn="0" w:noHBand="0" w:noVBand="1"/>
      </w:tblPr>
      <w:tblGrid>
        <w:gridCol w:w="3103"/>
        <w:gridCol w:w="948"/>
        <w:gridCol w:w="1267"/>
        <w:gridCol w:w="1275"/>
        <w:gridCol w:w="1418"/>
        <w:gridCol w:w="1276"/>
        <w:gridCol w:w="992"/>
        <w:gridCol w:w="1701"/>
      </w:tblGrid>
      <w:tr w:rsidR="007A0C05" w:rsidRPr="00F07060" w14:paraId="773791FD" w14:textId="77777777" w:rsidTr="000B1027">
        <w:trPr>
          <w:trHeight w:val="73"/>
        </w:trPr>
        <w:tc>
          <w:tcPr>
            <w:tcW w:w="0" w:type="auto"/>
            <w:tcBorders>
              <w:top w:val="single" w:sz="8" w:space="0" w:color="FFFFFF"/>
              <w:left w:val="single" w:sz="8" w:space="0" w:color="FFFFFF"/>
              <w:bottom w:val="single" w:sz="24" w:space="0" w:color="FFFFFF"/>
              <w:right w:val="single" w:sz="8" w:space="0" w:color="FFFFFF"/>
            </w:tcBorders>
            <w:shd w:val="clear" w:color="auto" w:fill="5B9BD5"/>
            <w:tcMar>
              <w:top w:w="74" w:type="dxa"/>
              <w:left w:w="74" w:type="dxa"/>
              <w:bottom w:w="74" w:type="dxa"/>
              <w:right w:w="74" w:type="dxa"/>
            </w:tcMar>
            <w:vAlign w:val="center"/>
            <w:hideMark/>
          </w:tcPr>
          <w:p w14:paraId="663C3D96" w14:textId="77777777" w:rsidR="007A0C05" w:rsidRPr="00F07060" w:rsidRDefault="007A0C05" w:rsidP="00E350F6">
            <w:pPr>
              <w:rPr>
                <w:b/>
                <w:bCs/>
                <w:color w:val="000000"/>
                <w:sz w:val="16"/>
                <w:szCs w:val="16"/>
              </w:rPr>
            </w:pPr>
          </w:p>
        </w:tc>
        <w:tc>
          <w:tcPr>
            <w:tcW w:w="8877" w:type="dxa"/>
            <w:gridSpan w:val="7"/>
            <w:tcBorders>
              <w:top w:val="single" w:sz="8" w:space="0" w:color="FFFFFF"/>
              <w:left w:val="single" w:sz="8" w:space="0" w:color="FFFFFF"/>
              <w:bottom w:val="single" w:sz="24" w:space="0" w:color="FFFFFF"/>
              <w:right w:val="single" w:sz="8" w:space="0" w:color="FFFFFF"/>
            </w:tcBorders>
            <w:shd w:val="clear" w:color="auto" w:fill="5B9BD5"/>
            <w:tcMar>
              <w:top w:w="74" w:type="dxa"/>
              <w:left w:w="74" w:type="dxa"/>
              <w:bottom w:w="74" w:type="dxa"/>
              <w:right w:w="74" w:type="dxa"/>
            </w:tcMar>
            <w:vAlign w:val="center"/>
            <w:hideMark/>
          </w:tcPr>
          <w:p w14:paraId="3013808E" w14:textId="77777777" w:rsidR="007A0C05" w:rsidRPr="00F07060" w:rsidRDefault="007A0C05" w:rsidP="00E350F6">
            <w:pPr>
              <w:rPr>
                <w:b/>
                <w:bCs/>
                <w:color w:val="000000"/>
                <w:sz w:val="16"/>
                <w:szCs w:val="16"/>
              </w:rPr>
            </w:pPr>
            <w:r w:rsidRPr="00F07060">
              <w:rPr>
                <w:b/>
                <w:bCs/>
                <w:color w:val="000000"/>
                <w:sz w:val="16"/>
                <w:szCs w:val="16"/>
              </w:rPr>
              <w:t>Judgement</w:t>
            </w:r>
          </w:p>
        </w:tc>
      </w:tr>
      <w:tr w:rsidR="007A0C05" w:rsidRPr="00F07060" w14:paraId="57B154F6" w14:textId="77777777" w:rsidTr="000B1027">
        <w:trPr>
          <w:trHeight w:val="19"/>
        </w:trPr>
        <w:tc>
          <w:tcPr>
            <w:tcW w:w="0" w:type="auto"/>
            <w:tcBorders>
              <w:top w:val="single" w:sz="24"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29E87EEA" w14:textId="77777777" w:rsidR="007A0C05" w:rsidRPr="00F07060" w:rsidRDefault="007A0C05" w:rsidP="00E350F6">
            <w:pPr>
              <w:rPr>
                <w:b/>
                <w:bCs/>
                <w:color w:val="000000"/>
                <w:sz w:val="16"/>
                <w:szCs w:val="16"/>
              </w:rPr>
            </w:pPr>
            <w:r w:rsidRPr="00F07060">
              <w:rPr>
                <w:b/>
                <w:bCs/>
                <w:color w:val="000000"/>
                <w:sz w:val="16"/>
                <w:szCs w:val="16"/>
              </w:rPr>
              <w:t>Problem (importance)</w:t>
            </w:r>
          </w:p>
        </w:tc>
        <w:tc>
          <w:tcPr>
            <w:tcW w:w="948"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7598EFA" w14:textId="77777777" w:rsidR="007A0C05" w:rsidRPr="00F07060" w:rsidRDefault="007A0C05" w:rsidP="00E350F6">
            <w:pPr>
              <w:rPr>
                <w:b/>
                <w:bCs/>
                <w:color w:val="000000"/>
                <w:sz w:val="16"/>
                <w:szCs w:val="16"/>
              </w:rPr>
            </w:pPr>
            <w:r w:rsidRPr="00F07060">
              <w:rPr>
                <w:b/>
                <w:bCs/>
                <w:color w:val="000000"/>
                <w:sz w:val="16"/>
                <w:szCs w:val="16"/>
              </w:rPr>
              <w:t>No</w:t>
            </w:r>
          </w:p>
        </w:tc>
        <w:tc>
          <w:tcPr>
            <w:tcW w:w="1267"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1CF00F6" w14:textId="77777777" w:rsidR="007A0C05" w:rsidRPr="00F07060" w:rsidRDefault="007A0C05" w:rsidP="00E350F6">
            <w:pPr>
              <w:rPr>
                <w:b/>
                <w:bCs/>
                <w:color w:val="000000"/>
                <w:sz w:val="16"/>
                <w:szCs w:val="16"/>
              </w:rPr>
            </w:pPr>
            <w:r w:rsidRPr="00F07060">
              <w:rPr>
                <w:b/>
                <w:bCs/>
                <w:color w:val="000000"/>
                <w:sz w:val="16"/>
                <w:szCs w:val="16"/>
              </w:rPr>
              <w:t>Probably no</w:t>
            </w:r>
          </w:p>
        </w:tc>
        <w:tc>
          <w:tcPr>
            <w:tcW w:w="1275"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D64A5AD" w14:textId="77777777" w:rsidR="007A0C05" w:rsidRPr="00F07060" w:rsidRDefault="007A0C05" w:rsidP="00E350F6">
            <w:pPr>
              <w:rPr>
                <w:b/>
                <w:bCs/>
                <w:color w:val="000000"/>
                <w:sz w:val="16"/>
                <w:szCs w:val="16"/>
              </w:rPr>
            </w:pPr>
            <w:r w:rsidRPr="00F07060">
              <w:rPr>
                <w:b/>
                <w:bCs/>
                <w:color w:val="000000"/>
                <w:sz w:val="16"/>
                <w:szCs w:val="16"/>
              </w:rPr>
              <w:t>Probably yes</w:t>
            </w:r>
          </w:p>
        </w:tc>
        <w:tc>
          <w:tcPr>
            <w:tcW w:w="1418" w:type="dxa"/>
            <w:tcBorders>
              <w:top w:val="single" w:sz="24"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39349C30" w14:textId="77777777" w:rsidR="007A0C05" w:rsidRPr="00F07060" w:rsidRDefault="007A0C05" w:rsidP="00E350F6">
            <w:pPr>
              <w:rPr>
                <w:b/>
                <w:bCs/>
                <w:color w:val="000000"/>
                <w:sz w:val="16"/>
                <w:szCs w:val="16"/>
              </w:rPr>
            </w:pPr>
            <w:r w:rsidRPr="00F07060">
              <w:rPr>
                <w:b/>
                <w:bCs/>
                <w:color w:val="000000"/>
                <w:sz w:val="16"/>
                <w:szCs w:val="16"/>
              </w:rPr>
              <w:t>Yes</w:t>
            </w:r>
          </w:p>
        </w:tc>
        <w:tc>
          <w:tcPr>
            <w:tcW w:w="1276"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258BC13" w14:textId="77777777" w:rsidR="007A0C05" w:rsidRPr="00F07060" w:rsidRDefault="007A0C05" w:rsidP="00E350F6">
            <w:pPr>
              <w:rPr>
                <w:b/>
                <w:bCs/>
                <w:color w:val="000000"/>
                <w:sz w:val="16"/>
                <w:szCs w:val="16"/>
              </w:rPr>
            </w:pPr>
          </w:p>
        </w:tc>
        <w:tc>
          <w:tcPr>
            <w:tcW w:w="992"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133E831" w14:textId="77777777" w:rsidR="007A0C05" w:rsidRPr="00F07060" w:rsidRDefault="007A0C05" w:rsidP="00E350F6">
            <w:pPr>
              <w:rPr>
                <w:b/>
                <w:bCs/>
                <w:color w:val="000000"/>
                <w:sz w:val="16"/>
                <w:szCs w:val="16"/>
              </w:rPr>
            </w:pPr>
            <w:r w:rsidRPr="00F07060">
              <w:rPr>
                <w:b/>
                <w:bCs/>
                <w:color w:val="000000"/>
                <w:sz w:val="16"/>
                <w:szCs w:val="16"/>
              </w:rPr>
              <w:t>Varies</w:t>
            </w:r>
          </w:p>
        </w:tc>
        <w:tc>
          <w:tcPr>
            <w:tcW w:w="1701"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F5F57A0" w14:textId="77777777" w:rsidR="007A0C05" w:rsidRPr="00F07060" w:rsidRDefault="007A0C05" w:rsidP="00E350F6">
            <w:pPr>
              <w:rPr>
                <w:b/>
                <w:bCs/>
                <w:color w:val="000000"/>
                <w:sz w:val="16"/>
                <w:szCs w:val="16"/>
              </w:rPr>
            </w:pPr>
            <w:r w:rsidRPr="00F07060">
              <w:rPr>
                <w:b/>
                <w:bCs/>
                <w:color w:val="000000"/>
                <w:sz w:val="16"/>
                <w:szCs w:val="16"/>
              </w:rPr>
              <w:t>Don't know</w:t>
            </w:r>
          </w:p>
        </w:tc>
      </w:tr>
      <w:tr w:rsidR="007A0C05" w:rsidRPr="00F07060" w14:paraId="3B930250" w14:textId="77777777" w:rsidTr="000B1027">
        <w:trPr>
          <w:trHeight w:val="1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49155847" w14:textId="77777777" w:rsidR="007A0C05" w:rsidRPr="00F07060" w:rsidRDefault="007A0C05" w:rsidP="00E350F6">
            <w:pPr>
              <w:rPr>
                <w:b/>
                <w:bCs/>
                <w:color w:val="000000"/>
                <w:sz w:val="16"/>
                <w:szCs w:val="16"/>
              </w:rPr>
            </w:pPr>
            <w:r w:rsidRPr="00F07060">
              <w:rPr>
                <w:b/>
                <w:bCs/>
                <w:color w:val="000000"/>
                <w:sz w:val="16"/>
                <w:szCs w:val="16"/>
              </w:rPr>
              <w:lastRenderedPageBreak/>
              <w:t>Desirable Effects</w:t>
            </w:r>
          </w:p>
        </w:tc>
        <w:tc>
          <w:tcPr>
            <w:tcW w:w="948"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2E87FBF" w14:textId="77777777" w:rsidR="007A0C05" w:rsidRPr="00F07060" w:rsidRDefault="007A0C05" w:rsidP="00E350F6">
            <w:pPr>
              <w:rPr>
                <w:b/>
                <w:bCs/>
                <w:color w:val="000000"/>
                <w:sz w:val="16"/>
                <w:szCs w:val="16"/>
              </w:rPr>
            </w:pPr>
            <w:r w:rsidRPr="00F07060">
              <w:rPr>
                <w:b/>
                <w:bCs/>
                <w:color w:val="000000"/>
                <w:sz w:val="16"/>
                <w:szCs w:val="16"/>
              </w:rPr>
              <w:t>Trivial</w:t>
            </w:r>
          </w:p>
        </w:tc>
        <w:tc>
          <w:tcPr>
            <w:tcW w:w="1267"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C79A811" w14:textId="77777777" w:rsidR="007A0C05" w:rsidRPr="00F07060" w:rsidRDefault="007A0C05" w:rsidP="00E350F6">
            <w:pPr>
              <w:rPr>
                <w:b/>
                <w:bCs/>
                <w:color w:val="000000"/>
                <w:sz w:val="16"/>
                <w:szCs w:val="16"/>
              </w:rPr>
            </w:pPr>
            <w:r w:rsidRPr="00F07060">
              <w:rPr>
                <w:b/>
                <w:bCs/>
                <w:color w:val="000000"/>
                <w:sz w:val="16"/>
                <w:szCs w:val="16"/>
              </w:rPr>
              <w:t>Small</w:t>
            </w:r>
          </w:p>
        </w:tc>
        <w:tc>
          <w:tcPr>
            <w:tcW w:w="127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2315A50" w14:textId="77777777" w:rsidR="007A0C05" w:rsidRPr="00F07060" w:rsidRDefault="007A0C05" w:rsidP="00E350F6">
            <w:pPr>
              <w:rPr>
                <w:b/>
                <w:bCs/>
                <w:color w:val="000000"/>
                <w:sz w:val="16"/>
                <w:szCs w:val="16"/>
              </w:rPr>
            </w:pPr>
            <w:r w:rsidRPr="00F07060">
              <w:rPr>
                <w:b/>
                <w:bCs/>
                <w:color w:val="000000"/>
                <w:sz w:val="16"/>
                <w:szCs w:val="16"/>
              </w:rPr>
              <w:t>Moderate</w:t>
            </w:r>
          </w:p>
        </w:tc>
        <w:tc>
          <w:tcPr>
            <w:tcW w:w="1418"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5A626323" w14:textId="77777777" w:rsidR="007A0C05" w:rsidRPr="00F07060" w:rsidRDefault="007A0C05" w:rsidP="00E350F6">
            <w:pPr>
              <w:rPr>
                <w:b/>
                <w:bCs/>
                <w:color w:val="000000"/>
                <w:sz w:val="16"/>
                <w:szCs w:val="16"/>
              </w:rPr>
            </w:pPr>
            <w:r w:rsidRPr="00F07060">
              <w:rPr>
                <w:b/>
                <w:bCs/>
                <w:color w:val="000000"/>
                <w:sz w:val="16"/>
                <w:szCs w:val="16"/>
              </w:rPr>
              <w:t>Large</w:t>
            </w:r>
          </w:p>
        </w:tc>
        <w:tc>
          <w:tcPr>
            <w:tcW w:w="12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B8218C6" w14:textId="77777777" w:rsidR="007A0C05" w:rsidRPr="00F07060" w:rsidRDefault="007A0C05" w:rsidP="00E350F6">
            <w:pPr>
              <w:rPr>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8FD1C5A" w14:textId="77777777" w:rsidR="007A0C05" w:rsidRPr="00F07060" w:rsidRDefault="007A0C05" w:rsidP="00E350F6">
            <w:pPr>
              <w:rPr>
                <w:b/>
                <w:bCs/>
                <w:color w:val="000000"/>
                <w:sz w:val="16"/>
                <w:szCs w:val="16"/>
              </w:rPr>
            </w:pPr>
            <w:r w:rsidRPr="00F07060">
              <w:rPr>
                <w:b/>
                <w:bCs/>
                <w:color w:val="000000"/>
                <w:sz w:val="16"/>
                <w:szCs w:val="16"/>
              </w:rPr>
              <w:t>Varies</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13579EB" w14:textId="77777777" w:rsidR="007A0C05" w:rsidRPr="00F07060" w:rsidRDefault="007A0C05" w:rsidP="00E350F6">
            <w:pPr>
              <w:rPr>
                <w:b/>
                <w:bCs/>
                <w:color w:val="000000"/>
                <w:sz w:val="16"/>
                <w:szCs w:val="16"/>
              </w:rPr>
            </w:pPr>
            <w:r w:rsidRPr="00F07060">
              <w:rPr>
                <w:b/>
                <w:bCs/>
                <w:color w:val="000000"/>
                <w:sz w:val="16"/>
                <w:szCs w:val="16"/>
              </w:rPr>
              <w:t>Don't know</w:t>
            </w:r>
          </w:p>
        </w:tc>
      </w:tr>
      <w:tr w:rsidR="007A0C05" w:rsidRPr="00F07060" w14:paraId="3AC4E453" w14:textId="77777777" w:rsidTr="000B1027">
        <w:trPr>
          <w:trHeight w:val="1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11CC9E04" w14:textId="77777777" w:rsidR="007A0C05" w:rsidRPr="00F07060" w:rsidRDefault="007A0C05" w:rsidP="00E350F6">
            <w:pPr>
              <w:rPr>
                <w:b/>
                <w:bCs/>
                <w:color w:val="000000"/>
                <w:sz w:val="16"/>
                <w:szCs w:val="16"/>
              </w:rPr>
            </w:pPr>
            <w:r w:rsidRPr="00F07060">
              <w:rPr>
                <w:b/>
                <w:bCs/>
                <w:color w:val="000000"/>
                <w:sz w:val="16"/>
                <w:szCs w:val="16"/>
              </w:rPr>
              <w:t>Undesirable Effects</w:t>
            </w:r>
          </w:p>
        </w:tc>
        <w:tc>
          <w:tcPr>
            <w:tcW w:w="948"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1D6C8F4" w14:textId="77777777" w:rsidR="007A0C05" w:rsidRPr="00F07060" w:rsidRDefault="007A0C05" w:rsidP="00E350F6">
            <w:pPr>
              <w:rPr>
                <w:b/>
                <w:bCs/>
                <w:color w:val="000000"/>
                <w:sz w:val="16"/>
                <w:szCs w:val="16"/>
              </w:rPr>
            </w:pPr>
            <w:r w:rsidRPr="00F07060">
              <w:rPr>
                <w:b/>
                <w:bCs/>
                <w:color w:val="000000"/>
                <w:sz w:val="16"/>
                <w:szCs w:val="16"/>
              </w:rPr>
              <w:t>Large</w:t>
            </w:r>
          </w:p>
        </w:tc>
        <w:tc>
          <w:tcPr>
            <w:tcW w:w="1267"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7E8401C" w14:textId="77777777" w:rsidR="007A0C05" w:rsidRPr="00F07060" w:rsidRDefault="007A0C05" w:rsidP="00E350F6">
            <w:pPr>
              <w:rPr>
                <w:b/>
                <w:bCs/>
                <w:color w:val="000000"/>
                <w:sz w:val="16"/>
                <w:szCs w:val="16"/>
              </w:rPr>
            </w:pPr>
            <w:r w:rsidRPr="00F07060">
              <w:rPr>
                <w:b/>
                <w:bCs/>
                <w:color w:val="000000"/>
                <w:sz w:val="16"/>
                <w:szCs w:val="16"/>
              </w:rPr>
              <w:t>Moderate</w:t>
            </w:r>
          </w:p>
        </w:tc>
        <w:tc>
          <w:tcPr>
            <w:tcW w:w="1275"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03F05B9A" w14:textId="77777777" w:rsidR="007A0C05" w:rsidRPr="00F07060" w:rsidRDefault="007A0C05" w:rsidP="00E350F6">
            <w:pPr>
              <w:rPr>
                <w:b/>
                <w:bCs/>
                <w:color w:val="000000"/>
                <w:sz w:val="16"/>
                <w:szCs w:val="16"/>
              </w:rPr>
            </w:pPr>
            <w:r w:rsidRPr="00F07060">
              <w:rPr>
                <w:b/>
                <w:bCs/>
                <w:color w:val="000000"/>
                <w:sz w:val="16"/>
                <w:szCs w:val="16"/>
              </w:rPr>
              <w:t>Small</w:t>
            </w:r>
          </w:p>
        </w:tc>
        <w:tc>
          <w:tcPr>
            <w:tcW w:w="1418"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6F6C5DD" w14:textId="77777777" w:rsidR="007A0C05" w:rsidRPr="00F07060" w:rsidRDefault="007A0C05" w:rsidP="00E350F6">
            <w:pPr>
              <w:rPr>
                <w:b/>
                <w:bCs/>
                <w:color w:val="000000"/>
                <w:sz w:val="16"/>
                <w:szCs w:val="16"/>
              </w:rPr>
            </w:pPr>
            <w:r w:rsidRPr="00F07060">
              <w:rPr>
                <w:b/>
                <w:bCs/>
                <w:color w:val="000000"/>
                <w:sz w:val="16"/>
                <w:szCs w:val="16"/>
              </w:rPr>
              <w:t>Trivial</w:t>
            </w:r>
          </w:p>
        </w:tc>
        <w:tc>
          <w:tcPr>
            <w:tcW w:w="127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4117B7D" w14:textId="77777777" w:rsidR="007A0C05" w:rsidRPr="00F07060" w:rsidRDefault="007A0C05" w:rsidP="00E350F6">
            <w:pPr>
              <w:rPr>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DBB39D6" w14:textId="77777777" w:rsidR="007A0C05" w:rsidRPr="00F07060" w:rsidRDefault="007A0C05" w:rsidP="00E350F6">
            <w:pPr>
              <w:rPr>
                <w:b/>
                <w:bCs/>
                <w:color w:val="000000"/>
                <w:sz w:val="16"/>
                <w:szCs w:val="16"/>
              </w:rPr>
            </w:pPr>
            <w:r w:rsidRPr="00F07060">
              <w:rPr>
                <w:b/>
                <w:bCs/>
                <w:color w:val="000000"/>
                <w:sz w:val="16"/>
                <w:szCs w:val="16"/>
              </w:rPr>
              <w:t>Varies</w:t>
            </w: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2A68EE6" w14:textId="77777777" w:rsidR="007A0C05" w:rsidRPr="00F07060" w:rsidRDefault="007A0C05" w:rsidP="00E350F6">
            <w:pPr>
              <w:rPr>
                <w:b/>
                <w:bCs/>
                <w:color w:val="000000"/>
                <w:sz w:val="16"/>
                <w:szCs w:val="16"/>
              </w:rPr>
            </w:pPr>
            <w:r w:rsidRPr="00F07060">
              <w:rPr>
                <w:b/>
                <w:bCs/>
                <w:color w:val="000000"/>
                <w:sz w:val="16"/>
                <w:szCs w:val="16"/>
              </w:rPr>
              <w:t>Don't know</w:t>
            </w:r>
          </w:p>
        </w:tc>
      </w:tr>
      <w:tr w:rsidR="007A0C05" w:rsidRPr="00F07060" w14:paraId="058A8981" w14:textId="77777777" w:rsidTr="000B1027">
        <w:trPr>
          <w:trHeight w:val="1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2E7804AB" w14:textId="77777777" w:rsidR="007A0C05" w:rsidRPr="00F07060" w:rsidRDefault="007A0C05" w:rsidP="00E350F6">
            <w:pPr>
              <w:rPr>
                <w:b/>
                <w:bCs/>
                <w:color w:val="000000"/>
                <w:sz w:val="16"/>
                <w:szCs w:val="16"/>
              </w:rPr>
            </w:pPr>
            <w:r w:rsidRPr="00F07060">
              <w:rPr>
                <w:b/>
                <w:bCs/>
                <w:color w:val="000000"/>
                <w:sz w:val="16"/>
                <w:szCs w:val="16"/>
              </w:rPr>
              <w:t>Certainty of evidence</w:t>
            </w:r>
          </w:p>
        </w:tc>
        <w:tc>
          <w:tcPr>
            <w:tcW w:w="948"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D57D6A8" w14:textId="77777777" w:rsidR="007A0C05" w:rsidRPr="00F07060" w:rsidRDefault="007A0C05" w:rsidP="00E350F6">
            <w:pPr>
              <w:rPr>
                <w:b/>
                <w:bCs/>
                <w:color w:val="000000"/>
                <w:sz w:val="16"/>
                <w:szCs w:val="16"/>
              </w:rPr>
            </w:pPr>
            <w:r w:rsidRPr="00F07060">
              <w:rPr>
                <w:b/>
                <w:bCs/>
                <w:color w:val="000000"/>
                <w:sz w:val="16"/>
                <w:szCs w:val="16"/>
              </w:rPr>
              <w:t>Very low</w:t>
            </w:r>
          </w:p>
        </w:tc>
        <w:tc>
          <w:tcPr>
            <w:tcW w:w="1267"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DD2D043" w14:textId="77777777" w:rsidR="007A0C05" w:rsidRPr="00F07060" w:rsidRDefault="007A0C05" w:rsidP="00E350F6">
            <w:pPr>
              <w:rPr>
                <w:b/>
                <w:bCs/>
                <w:color w:val="000000"/>
                <w:sz w:val="16"/>
                <w:szCs w:val="16"/>
              </w:rPr>
            </w:pPr>
            <w:r w:rsidRPr="00F07060">
              <w:rPr>
                <w:b/>
                <w:bCs/>
                <w:color w:val="000000"/>
                <w:sz w:val="16"/>
                <w:szCs w:val="16"/>
              </w:rPr>
              <w:t>Low</w:t>
            </w:r>
          </w:p>
        </w:tc>
        <w:tc>
          <w:tcPr>
            <w:tcW w:w="1275"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5B8C5D06" w14:textId="77777777" w:rsidR="007A0C05" w:rsidRPr="00F07060" w:rsidRDefault="007A0C05" w:rsidP="00E350F6">
            <w:pPr>
              <w:rPr>
                <w:b/>
                <w:bCs/>
                <w:color w:val="000000"/>
                <w:sz w:val="16"/>
                <w:szCs w:val="16"/>
              </w:rPr>
            </w:pPr>
            <w:r w:rsidRPr="00F07060">
              <w:rPr>
                <w:b/>
                <w:bCs/>
                <w:color w:val="000000"/>
                <w:sz w:val="16"/>
                <w:szCs w:val="16"/>
              </w:rPr>
              <w:t>Moderate</w:t>
            </w:r>
          </w:p>
        </w:tc>
        <w:tc>
          <w:tcPr>
            <w:tcW w:w="141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4" w:type="dxa"/>
              <w:left w:w="74" w:type="dxa"/>
              <w:bottom w:w="74" w:type="dxa"/>
              <w:right w:w="74" w:type="dxa"/>
            </w:tcMar>
            <w:vAlign w:val="center"/>
            <w:hideMark/>
          </w:tcPr>
          <w:p w14:paraId="32D9A258" w14:textId="77777777" w:rsidR="007A0C05" w:rsidRPr="00F07060" w:rsidRDefault="007A0C05" w:rsidP="00E350F6">
            <w:pPr>
              <w:rPr>
                <w:b/>
                <w:bCs/>
                <w:color w:val="000000"/>
                <w:sz w:val="16"/>
                <w:szCs w:val="16"/>
              </w:rPr>
            </w:pPr>
            <w:r w:rsidRPr="00F07060">
              <w:rPr>
                <w:b/>
                <w:bCs/>
                <w:color w:val="000000"/>
                <w:sz w:val="16"/>
                <w:szCs w:val="16"/>
              </w:rPr>
              <w:t>High</w:t>
            </w:r>
          </w:p>
        </w:tc>
        <w:tc>
          <w:tcPr>
            <w:tcW w:w="12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235EAC6" w14:textId="77777777" w:rsidR="007A0C05" w:rsidRPr="00F07060" w:rsidRDefault="007A0C05" w:rsidP="00E350F6">
            <w:pPr>
              <w:rPr>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97CA1D8" w14:textId="77777777" w:rsidR="007A0C05" w:rsidRPr="00F07060" w:rsidRDefault="007A0C05" w:rsidP="00E350F6">
            <w:pPr>
              <w:rPr>
                <w:b/>
                <w:bCs/>
                <w:color w:val="000000"/>
                <w:sz w:val="16"/>
                <w:szCs w:val="16"/>
              </w:rPr>
            </w:pP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D59B53B" w14:textId="77777777" w:rsidR="007A0C05" w:rsidRPr="00F07060" w:rsidRDefault="007A0C05" w:rsidP="00E350F6">
            <w:pPr>
              <w:rPr>
                <w:b/>
                <w:bCs/>
                <w:color w:val="000000"/>
                <w:sz w:val="16"/>
                <w:szCs w:val="16"/>
              </w:rPr>
            </w:pPr>
            <w:r w:rsidRPr="00F07060">
              <w:rPr>
                <w:b/>
                <w:bCs/>
                <w:color w:val="000000"/>
                <w:sz w:val="16"/>
                <w:szCs w:val="16"/>
              </w:rPr>
              <w:t>No included studies</w:t>
            </w:r>
          </w:p>
        </w:tc>
      </w:tr>
      <w:tr w:rsidR="007A0C05" w:rsidRPr="00F07060" w14:paraId="363D4C3C" w14:textId="77777777" w:rsidTr="000B1027">
        <w:trPr>
          <w:trHeight w:val="112"/>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2EC9D103" w14:textId="77777777" w:rsidR="007A0C05" w:rsidRPr="00F07060" w:rsidRDefault="007A0C05" w:rsidP="00E350F6">
            <w:pPr>
              <w:rPr>
                <w:b/>
                <w:bCs/>
                <w:color w:val="000000"/>
                <w:sz w:val="16"/>
                <w:szCs w:val="16"/>
              </w:rPr>
            </w:pPr>
            <w:r w:rsidRPr="00F07060">
              <w:rPr>
                <w:b/>
                <w:bCs/>
                <w:color w:val="000000"/>
                <w:sz w:val="16"/>
                <w:szCs w:val="16"/>
              </w:rPr>
              <w:t>Values</w:t>
            </w:r>
          </w:p>
        </w:tc>
        <w:tc>
          <w:tcPr>
            <w:tcW w:w="948"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F642DF2" w14:textId="77777777" w:rsidR="007A0C05" w:rsidRPr="00F07060" w:rsidRDefault="007A0C05" w:rsidP="00E350F6">
            <w:pPr>
              <w:rPr>
                <w:b/>
                <w:bCs/>
                <w:color w:val="000000"/>
                <w:sz w:val="16"/>
                <w:szCs w:val="16"/>
              </w:rPr>
            </w:pPr>
            <w:r w:rsidRPr="00F07060">
              <w:rPr>
                <w:b/>
                <w:bCs/>
                <w:color w:val="000000"/>
                <w:sz w:val="16"/>
                <w:szCs w:val="16"/>
              </w:rPr>
              <w:t>Important uncertainty or variability</w:t>
            </w:r>
          </w:p>
        </w:tc>
        <w:tc>
          <w:tcPr>
            <w:tcW w:w="1267"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14345D4" w14:textId="77777777" w:rsidR="007A0C05" w:rsidRPr="00F07060" w:rsidRDefault="007A0C05" w:rsidP="00E350F6">
            <w:pPr>
              <w:rPr>
                <w:b/>
                <w:bCs/>
                <w:color w:val="000000"/>
                <w:sz w:val="16"/>
                <w:szCs w:val="16"/>
              </w:rPr>
            </w:pPr>
            <w:r w:rsidRPr="00F07060">
              <w:rPr>
                <w:b/>
                <w:bCs/>
                <w:color w:val="000000"/>
                <w:sz w:val="16"/>
                <w:szCs w:val="16"/>
              </w:rPr>
              <w:t>Possibly important uncertainty or variability</w:t>
            </w:r>
          </w:p>
        </w:tc>
        <w:tc>
          <w:tcPr>
            <w:tcW w:w="1275"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CDA903C" w14:textId="77777777" w:rsidR="007A0C05" w:rsidRPr="00F07060" w:rsidRDefault="007A0C05" w:rsidP="00E350F6">
            <w:pPr>
              <w:rPr>
                <w:b/>
                <w:bCs/>
                <w:color w:val="000000"/>
                <w:sz w:val="16"/>
                <w:szCs w:val="16"/>
              </w:rPr>
            </w:pPr>
            <w:r w:rsidRPr="00F07060">
              <w:rPr>
                <w:b/>
                <w:bCs/>
                <w:color w:val="000000"/>
                <w:sz w:val="16"/>
                <w:szCs w:val="16"/>
              </w:rPr>
              <w:t>Probably no important uncertainty or variability</w:t>
            </w:r>
          </w:p>
        </w:tc>
        <w:tc>
          <w:tcPr>
            <w:tcW w:w="1418"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47DC2CCE" w14:textId="77777777" w:rsidR="007A0C05" w:rsidRPr="00F07060" w:rsidRDefault="007A0C05" w:rsidP="00E350F6">
            <w:pPr>
              <w:rPr>
                <w:b/>
                <w:bCs/>
                <w:color w:val="000000"/>
                <w:sz w:val="16"/>
                <w:szCs w:val="16"/>
              </w:rPr>
            </w:pPr>
            <w:r w:rsidRPr="00F07060">
              <w:rPr>
                <w:b/>
                <w:bCs/>
                <w:color w:val="000000"/>
                <w:sz w:val="16"/>
                <w:szCs w:val="16"/>
              </w:rPr>
              <w:t>no important uncertainty or variability</w:t>
            </w:r>
          </w:p>
        </w:tc>
        <w:tc>
          <w:tcPr>
            <w:tcW w:w="127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4AFC0F6" w14:textId="77777777" w:rsidR="007A0C05" w:rsidRPr="00F07060" w:rsidRDefault="007A0C05" w:rsidP="00E350F6">
            <w:pPr>
              <w:rPr>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58A8D4F" w14:textId="77777777" w:rsidR="007A0C05" w:rsidRPr="00F07060" w:rsidRDefault="007A0C05" w:rsidP="00E350F6">
            <w:pPr>
              <w:rPr>
                <w:b/>
                <w:bCs/>
                <w:color w:val="000000"/>
                <w:sz w:val="16"/>
                <w:szCs w:val="16"/>
              </w:rPr>
            </w:pP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F5BF7C6" w14:textId="77777777" w:rsidR="007A0C05" w:rsidRPr="00F07060" w:rsidRDefault="007A0C05" w:rsidP="00E350F6">
            <w:pPr>
              <w:rPr>
                <w:b/>
                <w:bCs/>
                <w:color w:val="000000"/>
                <w:sz w:val="16"/>
                <w:szCs w:val="16"/>
              </w:rPr>
            </w:pPr>
          </w:p>
        </w:tc>
      </w:tr>
      <w:tr w:rsidR="007A0C05" w:rsidRPr="00F07060" w14:paraId="336231A0" w14:textId="77777777" w:rsidTr="000B1027">
        <w:trPr>
          <w:trHeight w:val="196"/>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68A26373" w14:textId="77777777" w:rsidR="007A0C05" w:rsidRPr="00F07060" w:rsidRDefault="007A0C05" w:rsidP="00E350F6">
            <w:pPr>
              <w:rPr>
                <w:b/>
                <w:bCs/>
                <w:color w:val="000000"/>
                <w:sz w:val="16"/>
                <w:szCs w:val="16"/>
              </w:rPr>
            </w:pPr>
            <w:r w:rsidRPr="00F07060">
              <w:rPr>
                <w:b/>
                <w:bCs/>
                <w:color w:val="000000"/>
                <w:sz w:val="16"/>
                <w:szCs w:val="16"/>
              </w:rPr>
              <w:t>Balance of effects</w:t>
            </w:r>
          </w:p>
        </w:tc>
        <w:tc>
          <w:tcPr>
            <w:tcW w:w="948"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8CE21D2" w14:textId="77777777" w:rsidR="007A0C05" w:rsidRPr="00F07060" w:rsidRDefault="007A0C05" w:rsidP="00E350F6">
            <w:pPr>
              <w:rPr>
                <w:b/>
                <w:bCs/>
                <w:color w:val="000000"/>
                <w:sz w:val="16"/>
                <w:szCs w:val="16"/>
              </w:rPr>
            </w:pPr>
            <w:r w:rsidRPr="00F07060">
              <w:rPr>
                <w:b/>
                <w:bCs/>
                <w:color w:val="000000"/>
                <w:sz w:val="16"/>
                <w:szCs w:val="16"/>
              </w:rPr>
              <w:t>Favors the comparison</w:t>
            </w:r>
          </w:p>
        </w:tc>
        <w:tc>
          <w:tcPr>
            <w:tcW w:w="1267"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6F45678" w14:textId="77777777" w:rsidR="007A0C05" w:rsidRPr="00F07060" w:rsidRDefault="007A0C05" w:rsidP="00E350F6">
            <w:pPr>
              <w:rPr>
                <w:b/>
                <w:bCs/>
                <w:color w:val="000000"/>
                <w:sz w:val="16"/>
                <w:szCs w:val="16"/>
              </w:rPr>
            </w:pPr>
            <w:r w:rsidRPr="00F07060">
              <w:rPr>
                <w:b/>
                <w:bCs/>
                <w:color w:val="000000"/>
                <w:sz w:val="16"/>
                <w:szCs w:val="16"/>
              </w:rPr>
              <w:t>Probably favors the comparison</w:t>
            </w:r>
          </w:p>
        </w:tc>
        <w:tc>
          <w:tcPr>
            <w:tcW w:w="127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6A629FC" w14:textId="77777777" w:rsidR="007A0C05" w:rsidRPr="00F07060" w:rsidRDefault="007A0C05" w:rsidP="00E350F6">
            <w:pPr>
              <w:rPr>
                <w:b/>
                <w:bCs/>
                <w:color w:val="000000"/>
                <w:sz w:val="16"/>
                <w:szCs w:val="16"/>
              </w:rPr>
            </w:pPr>
            <w:r w:rsidRPr="00F07060">
              <w:rPr>
                <w:b/>
                <w:bCs/>
                <w:color w:val="000000"/>
                <w:sz w:val="16"/>
                <w:szCs w:val="16"/>
              </w:rPr>
              <w:t>Does not favor either the intervention or the comparison</w:t>
            </w:r>
          </w:p>
        </w:tc>
        <w:tc>
          <w:tcPr>
            <w:tcW w:w="1418"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5FA59411" w14:textId="77777777" w:rsidR="007A0C05" w:rsidRPr="00F07060" w:rsidRDefault="007A0C05" w:rsidP="00E350F6">
            <w:pPr>
              <w:rPr>
                <w:b/>
                <w:bCs/>
                <w:color w:val="000000"/>
                <w:sz w:val="16"/>
                <w:szCs w:val="16"/>
              </w:rPr>
            </w:pPr>
            <w:r w:rsidRPr="00F07060">
              <w:rPr>
                <w:b/>
                <w:bCs/>
                <w:color w:val="000000"/>
                <w:sz w:val="16"/>
                <w:szCs w:val="16"/>
              </w:rPr>
              <w:t>Probably favors the intervention</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4" w:type="dxa"/>
              <w:left w:w="74" w:type="dxa"/>
              <w:bottom w:w="74" w:type="dxa"/>
              <w:right w:w="74" w:type="dxa"/>
            </w:tcMar>
            <w:vAlign w:val="center"/>
            <w:hideMark/>
          </w:tcPr>
          <w:p w14:paraId="6E2E4330" w14:textId="77777777" w:rsidR="007A0C05" w:rsidRPr="00F07060" w:rsidRDefault="007A0C05" w:rsidP="00E350F6">
            <w:pPr>
              <w:rPr>
                <w:b/>
                <w:bCs/>
                <w:color w:val="000000"/>
                <w:sz w:val="16"/>
                <w:szCs w:val="16"/>
              </w:rPr>
            </w:pPr>
            <w:r w:rsidRPr="00F07060">
              <w:rPr>
                <w:b/>
                <w:bCs/>
                <w:color w:val="000000"/>
                <w:sz w:val="16"/>
                <w:szCs w:val="16"/>
              </w:rPr>
              <w:t>Favors the intervention</w:t>
            </w:r>
          </w:p>
        </w:tc>
        <w:tc>
          <w:tcPr>
            <w:tcW w:w="992"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FD481AB" w14:textId="77777777" w:rsidR="007A0C05" w:rsidRPr="00F07060" w:rsidRDefault="007A0C05" w:rsidP="00E350F6">
            <w:pPr>
              <w:rPr>
                <w:b/>
                <w:bCs/>
                <w:color w:val="000000"/>
                <w:sz w:val="16"/>
                <w:szCs w:val="16"/>
              </w:rPr>
            </w:pPr>
            <w:r w:rsidRPr="00F07060">
              <w:rPr>
                <w:b/>
                <w:bCs/>
                <w:color w:val="000000"/>
                <w:sz w:val="16"/>
                <w:szCs w:val="16"/>
              </w:rPr>
              <w:t>Varies</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67F796E" w14:textId="77777777" w:rsidR="007A0C05" w:rsidRPr="00F07060" w:rsidRDefault="007A0C05" w:rsidP="00E350F6">
            <w:pPr>
              <w:rPr>
                <w:b/>
                <w:bCs/>
                <w:color w:val="000000"/>
                <w:sz w:val="16"/>
                <w:szCs w:val="16"/>
              </w:rPr>
            </w:pPr>
            <w:r w:rsidRPr="00F07060">
              <w:rPr>
                <w:b/>
                <w:bCs/>
                <w:color w:val="000000"/>
                <w:sz w:val="16"/>
                <w:szCs w:val="16"/>
              </w:rPr>
              <w:t>Don't know</w:t>
            </w:r>
          </w:p>
        </w:tc>
      </w:tr>
      <w:tr w:rsidR="007A0C05" w:rsidRPr="00F07060" w14:paraId="74DF9CEC" w14:textId="77777777" w:rsidTr="000B1027">
        <w:trPr>
          <w:trHeight w:val="1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59169799" w14:textId="77777777" w:rsidR="007A0C05" w:rsidRPr="00F07060" w:rsidRDefault="007A0C05" w:rsidP="00E350F6">
            <w:pPr>
              <w:rPr>
                <w:b/>
                <w:bCs/>
                <w:color w:val="000000"/>
                <w:sz w:val="16"/>
                <w:szCs w:val="16"/>
              </w:rPr>
            </w:pPr>
            <w:r w:rsidRPr="00F07060">
              <w:rPr>
                <w:b/>
                <w:bCs/>
                <w:color w:val="000000"/>
                <w:sz w:val="16"/>
                <w:szCs w:val="16"/>
              </w:rPr>
              <w:t>Resources required</w:t>
            </w:r>
          </w:p>
        </w:tc>
        <w:tc>
          <w:tcPr>
            <w:tcW w:w="948"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2C2A591" w14:textId="77777777" w:rsidR="007A0C05" w:rsidRPr="00F07060" w:rsidRDefault="007A0C05" w:rsidP="00E350F6">
            <w:pPr>
              <w:rPr>
                <w:b/>
                <w:bCs/>
                <w:color w:val="000000"/>
                <w:sz w:val="16"/>
                <w:szCs w:val="16"/>
              </w:rPr>
            </w:pPr>
            <w:r w:rsidRPr="00F07060">
              <w:rPr>
                <w:b/>
                <w:bCs/>
                <w:color w:val="000000"/>
                <w:sz w:val="16"/>
                <w:szCs w:val="16"/>
              </w:rPr>
              <w:t>Large costs</w:t>
            </w:r>
          </w:p>
        </w:tc>
        <w:tc>
          <w:tcPr>
            <w:tcW w:w="1267"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056957A" w14:textId="77777777" w:rsidR="007A0C05" w:rsidRPr="00F07060" w:rsidRDefault="007A0C05" w:rsidP="00E350F6">
            <w:pPr>
              <w:rPr>
                <w:b/>
                <w:bCs/>
                <w:color w:val="000000"/>
                <w:sz w:val="16"/>
                <w:szCs w:val="16"/>
              </w:rPr>
            </w:pPr>
            <w:r w:rsidRPr="00F07060">
              <w:rPr>
                <w:b/>
                <w:bCs/>
                <w:color w:val="000000"/>
                <w:sz w:val="16"/>
                <w:szCs w:val="16"/>
              </w:rPr>
              <w:t>Moderate costs</w:t>
            </w:r>
          </w:p>
        </w:tc>
        <w:tc>
          <w:tcPr>
            <w:tcW w:w="1275"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4B12F14" w14:textId="77777777" w:rsidR="007A0C05" w:rsidRPr="00F07060" w:rsidRDefault="007A0C05" w:rsidP="00E350F6">
            <w:pPr>
              <w:rPr>
                <w:b/>
                <w:bCs/>
                <w:color w:val="000000"/>
                <w:sz w:val="16"/>
                <w:szCs w:val="16"/>
              </w:rPr>
            </w:pPr>
            <w:r w:rsidRPr="00F07060">
              <w:rPr>
                <w:b/>
                <w:bCs/>
                <w:color w:val="000000"/>
                <w:sz w:val="16"/>
                <w:szCs w:val="16"/>
              </w:rPr>
              <w:t>Negligible costs and savings</w:t>
            </w:r>
          </w:p>
        </w:tc>
        <w:tc>
          <w:tcPr>
            <w:tcW w:w="1418"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C67F039" w14:textId="77777777" w:rsidR="007A0C05" w:rsidRPr="00F07060" w:rsidRDefault="007A0C05" w:rsidP="00E350F6">
            <w:pPr>
              <w:rPr>
                <w:b/>
                <w:bCs/>
                <w:color w:val="000000"/>
                <w:sz w:val="16"/>
                <w:szCs w:val="16"/>
              </w:rPr>
            </w:pPr>
            <w:r w:rsidRPr="00F07060">
              <w:rPr>
                <w:b/>
                <w:bCs/>
                <w:color w:val="000000"/>
                <w:sz w:val="16"/>
                <w:szCs w:val="16"/>
              </w:rPr>
              <w:t>Moderate savings</w:t>
            </w:r>
          </w:p>
        </w:tc>
        <w:tc>
          <w:tcPr>
            <w:tcW w:w="127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A77B25E" w14:textId="77777777" w:rsidR="007A0C05" w:rsidRPr="00F07060" w:rsidRDefault="007A0C05" w:rsidP="00E350F6">
            <w:pPr>
              <w:rPr>
                <w:b/>
                <w:bCs/>
                <w:color w:val="000000"/>
                <w:sz w:val="16"/>
                <w:szCs w:val="16"/>
              </w:rPr>
            </w:pPr>
            <w:r w:rsidRPr="00F07060">
              <w:rPr>
                <w:b/>
                <w:bCs/>
                <w:color w:val="000000"/>
                <w:sz w:val="16"/>
                <w:szCs w:val="16"/>
              </w:rPr>
              <w:t>Large savings</w:t>
            </w:r>
          </w:p>
        </w:tc>
        <w:tc>
          <w:tcPr>
            <w:tcW w:w="992"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1D029D23" w14:textId="77777777" w:rsidR="007A0C05" w:rsidRPr="00F07060" w:rsidRDefault="007A0C05" w:rsidP="00E350F6">
            <w:pPr>
              <w:rPr>
                <w:b/>
                <w:bCs/>
                <w:color w:val="000000"/>
                <w:sz w:val="16"/>
                <w:szCs w:val="16"/>
              </w:rPr>
            </w:pPr>
            <w:r w:rsidRPr="00F07060">
              <w:rPr>
                <w:b/>
                <w:bCs/>
                <w:color w:val="000000"/>
                <w:sz w:val="16"/>
                <w:szCs w:val="16"/>
              </w:rPr>
              <w:t>Varies</w:t>
            </w: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8530B27" w14:textId="77777777" w:rsidR="007A0C05" w:rsidRPr="00F07060" w:rsidRDefault="007A0C05" w:rsidP="00E350F6">
            <w:pPr>
              <w:rPr>
                <w:b/>
                <w:bCs/>
                <w:color w:val="000000"/>
                <w:sz w:val="16"/>
                <w:szCs w:val="16"/>
              </w:rPr>
            </w:pPr>
            <w:r w:rsidRPr="00F07060">
              <w:rPr>
                <w:b/>
                <w:bCs/>
                <w:color w:val="000000"/>
                <w:sz w:val="16"/>
                <w:szCs w:val="16"/>
              </w:rPr>
              <w:t>Don't know</w:t>
            </w:r>
          </w:p>
        </w:tc>
      </w:tr>
      <w:tr w:rsidR="007A0C05" w:rsidRPr="00F07060" w14:paraId="6B0C3D16" w14:textId="77777777" w:rsidTr="000B1027">
        <w:trPr>
          <w:trHeight w:val="1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41940E0F" w14:textId="77777777" w:rsidR="007A0C05" w:rsidRPr="00F07060" w:rsidRDefault="007A0C05" w:rsidP="00E350F6">
            <w:pPr>
              <w:rPr>
                <w:b/>
                <w:bCs/>
                <w:color w:val="000000"/>
                <w:sz w:val="16"/>
                <w:szCs w:val="16"/>
              </w:rPr>
            </w:pPr>
            <w:r w:rsidRPr="00F07060">
              <w:rPr>
                <w:b/>
                <w:bCs/>
                <w:color w:val="000000"/>
                <w:sz w:val="16"/>
                <w:szCs w:val="16"/>
              </w:rPr>
              <w:t>Certainty of evidence of required resources</w:t>
            </w:r>
          </w:p>
        </w:tc>
        <w:tc>
          <w:tcPr>
            <w:tcW w:w="948"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7EC26E5" w14:textId="77777777" w:rsidR="007A0C05" w:rsidRPr="00F07060" w:rsidRDefault="007A0C05" w:rsidP="00E350F6">
            <w:pPr>
              <w:rPr>
                <w:b/>
                <w:bCs/>
                <w:color w:val="000000"/>
                <w:sz w:val="16"/>
                <w:szCs w:val="16"/>
              </w:rPr>
            </w:pPr>
            <w:r w:rsidRPr="00F07060">
              <w:rPr>
                <w:b/>
                <w:bCs/>
                <w:color w:val="000000"/>
                <w:sz w:val="16"/>
                <w:szCs w:val="16"/>
              </w:rPr>
              <w:t>Very low</w:t>
            </w:r>
          </w:p>
        </w:tc>
        <w:tc>
          <w:tcPr>
            <w:tcW w:w="1267"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99D0A09" w14:textId="77777777" w:rsidR="007A0C05" w:rsidRPr="00F07060" w:rsidRDefault="007A0C05" w:rsidP="00E350F6">
            <w:pPr>
              <w:rPr>
                <w:b/>
                <w:bCs/>
                <w:color w:val="000000"/>
                <w:sz w:val="16"/>
                <w:szCs w:val="16"/>
              </w:rPr>
            </w:pPr>
            <w:r w:rsidRPr="00F07060">
              <w:rPr>
                <w:b/>
                <w:bCs/>
                <w:color w:val="000000"/>
                <w:sz w:val="16"/>
                <w:szCs w:val="16"/>
              </w:rPr>
              <w:t>Low</w:t>
            </w:r>
          </w:p>
        </w:tc>
        <w:tc>
          <w:tcPr>
            <w:tcW w:w="127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896FC39" w14:textId="77777777" w:rsidR="007A0C05" w:rsidRPr="00F07060" w:rsidRDefault="007A0C05" w:rsidP="00E350F6">
            <w:pPr>
              <w:rPr>
                <w:b/>
                <w:bCs/>
                <w:color w:val="000000"/>
                <w:sz w:val="16"/>
                <w:szCs w:val="16"/>
              </w:rPr>
            </w:pPr>
            <w:r w:rsidRPr="00F07060">
              <w:rPr>
                <w:b/>
                <w:bCs/>
                <w:color w:val="000000"/>
                <w:sz w:val="16"/>
                <w:szCs w:val="16"/>
              </w:rPr>
              <w:t>Moderate</w:t>
            </w:r>
          </w:p>
        </w:tc>
        <w:tc>
          <w:tcPr>
            <w:tcW w:w="1418"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356E155" w14:textId="77777777" w:rsidR="007A0C05" w:rsidRPr="00F07060" w:rsidRDefault="007A0C05" w:rsidP="00E350F6">
            <w:pPr>
              <w:rPr>
                <w:b/>
                <w:bCs/>
                <w:color w:val="000000"/>
                <w:sz w:val="16"/>
                <w:szCs w:val="16"/>
              </w:rPr>
            </w:pPr>
            <w:r w:rsidRPr="00F07060">
              <w:rPr>
                <w:b/>
                <w:bCs/>
                <w:color w:val="000000"/>
                <w:sz w:val="16"/>
                <w:szCs w:val="16"/>
              </w:rPr>
              <w:t>High</w:t>
            </w:r>
          </w:p>
        </w:tc>
        <w:tc>
          <w:tcPr>
            <w:tcW w:w="12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70F76CA" w14:textId="77777777" w:rsidR="007A0C05" w:rsidRPr="00F07060" w:rsidRDefault="007A0C05" w:rsidP="00E350F6">
            <w:pPr>
              <w:rPr>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74CCEFE" w14:textId="77777777" w:rsidR="007A0C05" w:rsidRPr="00F07060" w:rsidRDefault="007A0C05" w:rsidP="00E350F6">
            <w:pPr>
              <w:rPr>
                <w:b/>
                <w:bCs/>
                <w:color w:val="000000"/>
                <w:sz w:val="16"/>
                <w:szCs w:val="16"/>
              </w:rPr>
            </w:pPr>
          </w:p>
        </w:tc>
        <w:tc>
          <w:tcPr>
            <w:tcW w:w="1701"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68ADB52C" w14:textId="77777777" w:rsidR="007A0C05" w:rsidRPr="00F07060" w:rsidRDefault="007A0C05" w:rsidP="00E350F6">
            <w:pPr>
              <w:rPr>
                <w:b/>
                <w:bCs/>
                <w:color w:val="000000"/>
                <w:sz w:val="16"/>
                <w:szCs w:val="16"/>
              </w:rPr>
            </w:pPr>
            <w:r w:rsidRPr="00F07060">
              <w:rPr>
                <w:b/>
                <w:bCs/>
                <w:color w:val="000000"/>
                <w:sz w:val="16"/>
                <w:szCs w:val="16"/>
              </w:rPr>
              <w:t>No included studies</w:t>
            </w:r>
          </w:p>
        </w:tc>
      </w:tr>
      <w:tr w:rsidR="007A0C05" w:rsidRPr="00F07060" w14:paraId="01F64CCD" w14:textId="77777777" w:rsidTr="000B1027">
        <w:trPr>
          <w:trHeight w:val="250"/>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4F90689B" w14:textId="77777777" w:rsidR="007A0C05" w:rsidRPr="00F07060" w:rsidRDefault="007A0C05" w:rsidP="00E350F6">
            <w:pPr>
              <w:rPr>
                <w:b/>
                <w:bCs/>
                <w:color w:val="000000"/>
                <w:sz w:val="16"/>
                <w:szCs w:val="16"/>
              </w:rPr>
            </w:pPr>
            <w:r w:rsidRPr="00F07060">
              <w:rPr>
                <w:b/>
                <w:bCs/>
                <w:color w:val="000000"/>
                <w:sz w:val="16"/>
                <w:szCs w:val="16"/>
              </w:rPr>
              <w:t>Cost effectiveness</w:t>
            </w:r>
          </w:p>
        </w:tc>
        <w:tc>
          <w:tcPr>
            <w:tcW w:w="948"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209E6A3" w14:textId="77777777" w:rsidR="007A0C05" w:rsidRPr="00F07060" w:rsidRDefault="007A0C05" w:rsidP="00E350F6">
            <w:pPr>
              <w:rPr>
                <w:b/>
                <w:bCs/>
                <w:color w:val="000000"/>
                <w:sz w:val="16"/>
                <w:szCs w:val="16"/>
              </w:rPr>
            </w:pPr>
            <w:r w:rsidRPr="00F07060">
              <w:rPr>
                <w:b/>
                <w:bCs/>
                <w:color w:val="000000"/>
                <w:sz w:val="16"/>
                <w:szCs w:val="16"/>
              </w:rPr>
              <w:t>Favors the comparison</w:t>
            </w:r>
          </w:p>
        </w:tc>
        <w:tc>
          <w:tcPr>
            <w:tcW w:w="1267"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0E1DD60" w14:textId="77777777" w:rsidR="007A0C05" w:rsidRPr="00F07060" w:rsidRDefault="007A0C05" w:rsidP="00E350F6">
            <w:pPr>
              <w:rPr>
                <w:b/>
                <w:bCs/>
                <w:color w:val="000000"/>
                <w:sz w:val="16"/>
                <w:szCs w:val="16"/>
              </w:rPr>
            </w:pPr>
            <w:r w:rsidRPr="00F07060">
              <w:rPr>
                <w:b/>
                <w:bCs/>
                <w:color w:val="000000"/>
                <w:sz w:val="16"/>
                <w:szCs w:val="16"/>
              </w:rPr>
              <w:t>Probably favors the comparison</w:t>
            </w:r>
          </w:p>
        </w:tc>
        <w:tc>
          <w:tcPr>
            <w:tcW w:w="1275"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3F65D8D" w14:textId="77777777" w:rsidR="007A0C05" w:rsidRPr="00F07060" w:rsidRDefault="007A0C05" w:rsidP="00E350F6">
            <w:pPr>
              <w:rPr>
                <w:b/>
                <w:bCs/>
                <w:color w:val="000000"/>
                <w:sz w:val="16"/>
                <w:szCs w:val="16"/>
              </w:rPr>
            </w:pPr>
            <w:r w:rsidRPr="00F07060">
              <w:rPr>
                <w:b/>
                <w:bCs/>
                <w:color w:val="000000"/>
                <w:sz w:val="16"/>
                <w:szCs w:val="16"/>
              </w:rPr>
              <w:t>Does not favor either the intervention or the comparison</w:t>
            </w:r>
          </w:p>
        </w:tc>
        <w:tc>
          <w:tcPr>
            <w:tcW w:w="1418" w:type="dxa"/>
            <w:tcBorders>
              <w:top w:val="single" w:sz="8" w:space="0" w:color="FFFFFF"/>
              <w:left w:val="single" w:sz="8" w:space="0" w:color="FFFFFF"/>
              <w:bottom w:val="single" w:sz="8" w:space="0" w:color="FFFFFF"/>
              <w:right w:val="single" w:sz="8" w:space="0" w:color="FFFFFF"/>
            </w:tcBorders>
            <w:shd w:val="clear" w:color="auto" w:fill="D6DCE5"/>
            <w:tcMar>
              <w:top w:w="74" w:type="dxa"/>
              <w:left w:w="74" w:type="dxa"/>
              <w:bottom w:w="74" w:type="dxa"/>
              <w:right w:w="74" w:type="dxa"/>
            </w:tcMar>
            <w:vAlign w:val="center"/>
            <w:hideMark/>
          </w:tcPr>
          <w:p w14:paraId="4D6FD479" w14:textId="77777777" w:rsidR="007A0C05" w:rsidRPr="00F07060" w:rsidRDefault="007A0C05" w:rsidP="00E350F6">
            <w:pPr>
              <w:rPr>
                <w:b/>
                <w:bCs/>
                <w:color w:val="000000"/>
                <w:sz w:val="16"/>
                <w:szCs w:val="16"/>
              </w:rPr>
            </w:pPr>
            <w:r w:rsidRPr="00F07060">
              <w:rPr>
                <w:b/>
                <w:bCs/>
                <w:color w:val="000000"/>
                <w:sz w:val="16"/>
                <w:szCs w:val="16"/>
              </w:rPr>
              <w:t>Probably favors the intervention</w:t>
            </w:r>
          </w:p>
        </w:tc>
        <w:tc>
          <w:tcPr>
            <w:tcW w:w="127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636FAB3" w14:textId="77777777" w:rsidR="007A0C05" w:rsidRPr="00F07060" w:rsidRDefault="007A0C05" w:rsidP="00E350F6">
            <w:pPr>
              <w:rPr>
                <w:b/>
                <w:bCs/>
                <w:color w:val="000000"/>
                <w:sz w:val="16"/>
                <w:szCs w:val="16"/>
              </w:rPr>
            </w:pPr>
            <w:r w:rsidRPr="00F07060">
              <w:rPr>
                <w:b/>
                <w:bCs/>
                <w:color w:val="000000"/>
                <w:sz w:val="16"/>
                <w:szCs w:val="16"/>
              </w:rPr>
              <w:t>Favors the intervention</w:t>
            </w:r>
          </w:p>
        </w:tc>
        <w:tc>
          <w:tcPr>
            <w:tcW w:w="992"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63C8F94" w14:textId="77777777" w:rsidR="007A0C05" w:rsidRPr="00F07060" w:rsidRDefault="007A0C05" w:rsidP="00E350F6">
            <w:pPr>
              <w:rPr>
                <w:b/>
                <w:bCs/>
                <w:color w:val="000000"/>
                <w:sz w:val="16"/>
                <w:szCs w:val="16"/>
              </w:rPr>
            </w:pPr>
            <w:r w:rsidRPr="00F07060">
              <w:rPr>
                <w:b/>
                <w:bCs/>
                <w:color w:val="000000"/>
                <w:sz w:val="16"/>
                <w:szCs w:val="16"/>
              </w:rPr>
              <w:t>Varies</w:t>
            </w:r>
          </w:p>
        </w:tc>
        <w:tc>
          <w:tcPr>
            <w:tcW w:w="1701"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2C5CDF7B" w14:textId="77777777" w:rsidR="007A0C05" w:rsidRPr="00F07060" w:rsidRDefault="007A0C05" w:rsidP="00E350F6">
            <w:pPr>
              <w:rPr>
                <w:b/>
                <w:bCs/>
                <w:color w:val="000000"/>
                <w:sz w:val="16"/>
                <w:szCs w:val="16"/>
              </w:rPr>
            </w:pPr>
            <w:r w:rsidRPr="00F07060">
              <w:rPr>
                <w:b/>
                <w:bCs/>
                <w:color w:val="000000"/>
                <w:sz w:val="16"/>
                <w:szCs w:val="16"/>
              </w:rPr>
              <w:t>No included studies</w:t>
            </w:r>
          </w:p>
        </w:tc>
      </w:tr>
      <w:tr w:rsidR="007A0C05" w:rsidRPr="00F07060" w14:paraId="033C3280" w14:textId="77777777" w:rsidTr="000B1027">
        <w:trPr>
          <w:trHeight w:val="1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60ED0327" w14:textId="77777777" w:rsidR="007A0C05" w:rsidRPr="00F07060" w:rsidRDefault="007A0C05" w:rsidP="00E350F6">
            <w:pPr>
              <w:rPr>
                <w:b/>
                <w:bCs/>
                <w:color w:val="000000"/>
                <w:sz w:val="16"/>
                <w:szCs w:val="16"/>
              </w:rPr>
            </w:pPr>
            <w:r w:rsidRPr="00F07060">
              <w:rPr>
                <w:b/>
                <w:bCs/>
                <w:color w:val="000000"/>
                <w:sz w:val="16"/>
                <w:szCs w:val="16"/>
              </w:rPr>
              <w:t>Equity</w:t>
            </w:r>
          </w:p>
        </w:tc>
        <w:tc>
          <w:tcPr>
            <w:tcW w:w="948"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F9ECF3A" w14:textId="77777777" w:rsidR="007A0C05" w:rsidRPr="00F07060" w:rsidRDefault="007A0C05" w:rsidP="00E350F6">
            <w:pPr>
              <w:rPr>
                <w:b/>
                <w:bCs/>
                <w:color w:val="000000"/>
                <w:sz w:val="16"/>
                <w:szCs w:val="16"/>
              </w:rPr>
            </w:pPr>
            <w:r w:rsidRPr="00F07060">
              <w:rPr>
                <w:b/>
                <w:bCs/>
                <w:color w:val="000000"/>
                <w:sz w:val="16"/>
                <w:szCs w:val="16"/>
              </w:rPr>
              <w:t>Reduced</w:t>
            </w:r>
          </w:p>
        </w:tc>
        <w:tc>
          <w:tcPr>
            <w:tcW w:w="1267"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A80CFAC" w14:textId="77777777" w:rsidR="007A0C05" w:rsidRPr="00F07060" w:rsidRDefault="007A0C05" w:rsidP="00E350F6">
            <w:pPr>
              <w:rPr>
                <w:b/>
                <w:bCs/>
                <w:color w:val="000000"/>
                <w:sz w:val="16"/>
                <w:szCs w:val="16"/>
              </w:rPr>
            </w:pPr>
            <w:r w:rsidRPr="00F07060">
              <w:rPr>
                <w:b/>
                <w:bCs/>
                <w:color w:val="000000"/>
                <w:sz w:val="16"/>
                <w:szCs w:val="16"/>
              </w:rPr>
              <w:t>Probably reduced</w:t>
            </w:r>
          </w:p>
        </w:tc>
        <w:tc>
          <w:tcPr>
            <w:tcW w:w="127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AABA6AB" w14:textId="77777777" w:rsidR="007A0C05" w:rsidRPr="00F07060" w:rsidRDefault="007A0C05" w:rsidP="00E350F6">
            <w:pPr>
              <w:rPr>
                <w:b/>
                <w:bCs/>
                <w:color w:val="000000"/>
                <w:sz w:val="16"/>
                <w:szCs w:val="16"/>
              </w:rPr>
            </w:pPr>
            <w:r w:rsidRPr="00F07060">
              <w:rPr>
                <w:b/>
                <w:bCs/>
                <w:color w:val="000000"/>
                <w:sz w:val="16"/>
                <w:szCs w:val="16"/>
              </w:rPr>
              <w:t>Probably no impact</w:t>
            </w:r>
          </w:p>
        </w:tc>
        <w:tc>
          <w:tcPr>
            <w:tcW w:w="1418"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625B5E6" w14:textId="77777777" w:rsidR="007A0C05" w:rsidRPr="00F07060" w:rsidRDefault="007A0C05" w:rsidP="00E350F6">
            <w:pPr>
              <w:rPr>
                <w:b/>
                <w:bCs/>
                <w:color w:val="000000"/>
                <w:sz w:val="16"/>
                <w:szCs w:val="16"/>
              </w:rPr>
            </w:pPr>
            <w:r w:rsidRPr="00F07060">
              <w:rPr>
                <w:b/>
                <w:bCs/>
                <w:color w:val="000000"/>
                <w:sz w:val="16"/>
                <w:szCs w:val="16"/>
              </w:rPr>
              <w:t>Probably increased</w:t>
            </w:r>
          </w:p>
        </w:tc>
        <w:tc>
          <w:tcPr>
            <w:tcW w:w="12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FC03935" w14:textId="77777777" w:rsidR="007A0C05" w:rsidRPr="00F07060" w:rsidRDefault="007A0C05" w:rsidP="00E350F6">
            <w:pPr>
              <w:rPr>
                <w:b/>
                <w:bCs/>
                <w:color w:val="000000"/>
                <w:sz w:val="16"/>
                <w:szCs w:val="16"/>
              </w:rPr>
            </w:pPr>
            <w:r w:rsidRPr="00F07060">
              <w:rPr>
                <w:b/>
                <w:bCs/>
                <w:color w:val="000000"/>
                <w:sz w:val="16"/>
                <w:szCs w:val="16"/>
              </w:rPr>
              <w:t>Increased</w:t>
            </w:r>
          </w:p>
        </w:tc>
        <w:tc>
          <w:tcPr>
            <w:tcW w:w="992"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C5F7B73" w14:textId="77777777" w:rsidR="007A0C05" w:rsidRPr="00F07060" w:rsidRDefault="007A0C05" w:rsidP="00E350F6">
            <w:pPr>
              <w:rPr>
                <w:b/>
                <w:bCs/>
                <w:color w:val="000000"/>
                <w:sz w:val="16"/>
                <w:szCs w:val="16"/>
              </w:rPr>
            </w:pPr>
            <w:r w:rsidRPr="00F07060">
              <w:rPr>
                <w:b/>
                <w:bCs/>
                <w:color w:val="000000"/>
                <w:sz w:val="16"/>
                <w:szCs w:val="16"/>
              </w:rPr>
              <w:t>Varies</w:t>
            </w:r>
          </w:p>
        </w:tc>
        <w:tc>
          <w:tcPr>
            <w:tcW w:w="1701"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660FB268" w14:textId="77777777" w:rsidR="007A0C05" w:rsidRPr="00F07060" w:rsidRDefault="007A0C05" w:rsidP="00E350F6">
            <w:pPr>
              <w:rPr>
                <w:b/>
                <w:bCs/>
                <w:color w:val="000000"/>
                <w:sz w:val="16"/>
                <w:szCs w:val="16"/>
              </w:rPr>
            </w:pPr>
            <w:r w:rsidRPr="00F07060">
              <w:rPr>
                <w:b/>
                <w:bCs/>
                <w:color w:val="000000"/>
                <w:sz w:val="16"/>
                <w:szCs w:val="16"/>
              </w:rPr>
              <w:t>Don't know</w:t>
            </w:r>
          </w:p>
        </w:tc>
      </w:tr>
      <w:tr w:rsidR="007A0C05" w:rsidRPr="00F07060" w14:paraId="01F729C6" w14:textId="77777777" w:rsidTr="000B1027">
        <w:trPr>
          <w:trHeight w:val="1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376A0F80" w14:textId="77777777" w:rsidR="007A0C05" w:rsidRPr="00F07060" w:rsidRDefault="007A0C05" w:rsidP="00E350F6">
            <w:pPr>
              <w:rPr>
                <w:b/>
                <w:bCs/>
                <w:color w:val="000000"/>
                <w:sz w:val="16"/>
                <w:szCs w:val="16"/>
              </w:rPr>
            </w:pPr>
            <w:r w:rsidRPr="00F07060">
              <w:rPr>
                <w:b/>
                <w:bCs/>
                <w:color w:val="000000"/>
                <w:sz w:val="16"/>
                <w:szCs w:val="16"/>
              </w:rPr>
              <w:t>Acceptability</w:t>
            </w:r>
          </w:p>
        </w:tc>
        <w:tc>
          <w:tcPr>
            <w:tcW w:w="948"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AE1616A" w14:textId="77777777" w:rsidR="007A0C05" w:rsidRPr="00F07060" w:rsidRDefault="007A0C05" w:rsidP="00E350F6">
            <w:pPr>
              <w:rPr>
                <w:b/>
                <w:bCs/>
                <w:color w:val="000000"/>
                <w:sz w:val="16"/>
                <w:szCs w:val="16"/>
              </w:rPr>
            </w:pPr>
            <w:r w:rsidRPr="00F07060">
              <w:rPr>
                <w:b/>
                <w:bCs/>
                <w:color w:val="000000"/>
                <w:sz w:val="16"/>
                <w:szCs w:val="16"/>
              </w:rPr>
              <w:t>No</w:t>
            </w:r>
          </w:p>
        </w:tc>
        <w:tc>
          <w:tcPr>
            <w:tcW w:w="1267"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3630E07" w14:textId="77777777" w:rsidR="007A0C05" w:rsidRPr="00F07060" w:rsidRDefault="007A0C05" w:rsidP="00E350F6">
            <w:pPr>
              <w:rPr>
                <w:b/>
                <w:bCs/>
                <w:color w:val="000000"/>
                <w:sz w:val="16"/>
                <w:szCs w:val="16"/>
              </w:rPr>
            </w:pPr>
            <w:r w:rsidRPr="00F07060">
              <w:rPr>
                <w:b/>
                <w:bCs/>
                <w:color w:val="000000"/>
                <w:sz w:val="16"/>
                <w:szCs w:val="16"/>
              </w:rPr>
              <w:t>Probably no</w:t>
            </w:r>
          </w:p>
        </w:tc>
        <w:tc>
          <w:tcPr>
            <w:tcW w:w="1275"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7A1DF962" w14:textId="77777777" w:rsidR="007A0C05" w:rsidRPr="00F07060" w:rsidRDefault="007A0C05" w:rsidP="00E350F6">
            <w:pPr>
              <w:rPr>
                <w:b/>
                <w:bCs/>
                <w:color w:val="000000"/>
                <w:sz w:val="16"/>
                <w:szCs w:val="16"/>
              </w:rPr>
            </w:pPr>
            <w:r w:rsidRPr="00F07060">
              <w:rPr>
                <w:b/>
                <w:bCs/>
                <w:color w:val="000000"/>
                <w:sz w:val="16"/>
                <w:szCs w:val="16"/>
              </w:rPr>
              <w:t>Probably yes</w:t>
            </w:r>
          </w:p>
        </w:tc>
        <w:tc>
          <w:tcPr>
            <w:tcW w:w="1418"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AF51272" w14:textId="77777777" w:rsidR="007A0C05" w:rsidRPr="00F07060" w:rsidRDefault="007A0C05" w:rsidP="00E350F6">
            <w:pPr>
              <w:rPr>
                <w:b/>
                <w:bCs/>
                <w:color w:val="000000"/>
                <w:sz w:val="16"/>
                <w:szCs w:val="16"/>
              </w:rPr>
            </w:pPr>
            <w:r w:rsidRPr="00F07060">
              <w:rPr>
                <w:b/>
                <w:bCs/>
                <w:color w:val="000000"/>
                <w:sz w:val="16"/>
                <w:szCs w:val="16"/>
              </w:rPr>
              <w:t>Yes</w:t>
            </w:r>
          </w:p>
        </w:tc>
        <w:tc>
          <w:tcPr>
            <w:tcW w:w="127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6D18457" w14:textId="77777777" w:rsidR="007A0C05" w:rsidRPr="00F07060" w:rsidRDefault="007A0C05" w:rsidP="00E350F6">
            <w:pPr>
              <w:rPr>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ECEF138" w14:textId="77777777" w:rsidR="007A0C05" w:rsidRPr="00F07060" w:rsidRDefault="007A0C05" w:rsidP="00E350F6">
            <w:pPr>
              <w:rPr>
                <w:b/>
                <w:bCs/>
                <w:color w:val="000000"/>
                <w:sz w:val="16"/>
                <w:szCs w:val="16"/>
              </w:rPr>
            </w:pPr>
            <w:r w:rsidRPr="00F07060">
              <w:rPr>
                <w:b/>
                <w:bCs/>
                <w:color w:val="000000"/>
                <w:sz w:val="16"/>
                <w:szCs w:val="16"/>
              </w:rPr>
              <w:t>Varies</w:t>
            </w: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408D59A" w14:textId="77777777" w:rsidR="007A0C05" w:rsidRPr="00F07060" w:rsidRDefault="007A0C05" w:rsidP="00E350F6">
            <w:pPr>
              <w:rPr>
                <w:b/>
                <w:bCs/>
                <w:color w:val="000000"/>
                <w:sz w:val="16"/>
                <w:szCs w:val="16"/>
              </w:rPr>
            </w:pPr>
            <w:r w:rsidRPr="00F07060">
              <w:rPr>
                <w:b/>
                <w:bCs/>
                <w:color w:val="000000"/>
                <w:sz w:val="16"/>
                <w:szCs w:val="16"/>
              </w:rPr>
              <w:t>Don't know</w:t>
            </w:r>
          </w:p>
        </w:tc>
      </w:tr>
      <w:tr w:rsidR="007A0C05" w:rsidRPr="00F07060" w14:paraId="778388D4" w14:textId="77777777" w:rsidTr="000B1027">
        <w:trPr>
          <w:trHeight w:val="1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020A4695" w14:textId="77777777" w:rsidR="007A0C05" w:rsidRPr="00F07060" w:rsidRDefault="007A0C05" w:rsidP="00E350F6">
            <w:pPr>
              <w:rPr>
                <w:b/>
                <w:bCs/>
                <w:color w:val="000000"/>
                <w:sz w:val="16"/>
                <w:szCs w:val="16"/>
              </w:rPr>
            </w:pPr>
            <w:r w:rsidRPr="00F07060">
              <w:rPr>
                <w:b/>
                <w:bCs/>
                <w:color w:val="000000"/>
                <w:sz w:val="16"/>
                <w:szCs w:val="16"/>
              </w:rPr>
              <w:t>Feasibility</w:t>
            </w:r>
          </w:p>
        </w:tc>
        <w:tc>
          <w:tcPr>
            <w:tcW w:w="948"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F4277B4" w14:textId="77777777" w:rsidR="007A0C05" w:rsidRPr="00F07060" w:rsidRDefault="007A0C05" w:rsidP="00E350F6">
            <w:pPr>
              <w:rPr>
                <w:b/>
                <w:bCs/>
                <w:color w:val="000000"/>
                <w:sz w:val="16"/>
                <w:szCs w:val="16"/>
              </w:rPr>
            </w:pPr>
            <w:r w:rsidRPr="00F07060">
              <w:rPr>
                <w:b/>
                <w:bCs/>
                <w:color w:val="000000"/>
                <w:sz w:val="16"/>
                <w:szCs w:val="16"/>
              </w:rPr>
              <w:t>No</w:t>
            </w:r>
          </w:p>
        </w:tc>
        <w:tc>
          <w:tcPr>
            <w:tcW w:w="1267"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3F7205C" w14:textId="77777777" w:rsidR="007A0C05" w:rsidRPr="00F07060" w:rsidRDefault="007A0C05" w:rsidP="00E350F6">
            <w:pPr>
              <w:rPr>
                <w:b/>
                <w:bCs/>
                <w:color w:val="000000"/>
                <w:sz w:val="16"/>
                <w:szCs w:val="16"/>
              </w:rPr>
            </w:pPr>
            <w:r w:rsidRPr="00F07060">
              <w:rPr>
                <w:b/>
                <w:bCs/>
                <w:color w:val="000000"/>
                <w:sz w:val="16"/>
                <w:szCs w:val="16"/>
              </w:rPr>
              <w:t>Probably no</w:t>
            </w:r>
          </w:p>
        </w:tc>
        <w:tc>
          <w:tcPr>
            <w:tcW w:w="1275"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0AA131CE" w14:textId="77777777" w:rsidR="007A0C05" w:rsidRPr="00F07060" w:rsidRDefault="007A0C05" w:rsidP="00E350F6">
            <w:pPr>
              <w:rPr>
                <w:b/>
                <w:bCs/>
                <w:color w:val="000000"/>
                <w:sz w:val="16"/>
                <w:szCs w:val="16"/>
              </w:rPr>
            </w:pPr>
            <w:r w:rsidRPr="00F07060">
              <w:rPr>
                <w:b/>
                <w:bCs/>
                <w:color w:val="000000"/>
                <w:sz w:val="16"/>
                <w:szCs w:val="16"/>
              </w:rPr>
              <w:t>Probably yes</w:t>
            </w:r>
          </w:p>
        </w:tc>
        <w:tc>
          <w:tcPr>
            <w:tcW w:w="1418"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5007125" w14:textId="77777777" w:rsidR="007A0C05" w:rsidRPr="00F07060" w:rsidRDefault="007A0C05" w:rsidP="00E350F6">
            <w:pPr>
              <w:rPr>
                <w:b/>
                <w:bCs/>
                <w:color w:val="000000"/>
                <w:sz w:val="16"/>
                <w:szCs w:val="16"/>
              </w:rPr>
            </w:pPr>
            <w:r w:rsidRPr="00F07060">
              <w:rPr>
                <w:b/>
                <w:bCs/>
                <w:color w:val="000000"/>
                <w:sz w:val="16"/>
                <w:szCs w:val="16"/>
              </w:rPr>
              <w:t>Yes</w:t>
            </w:r>
          </w:p>
        </w:tc>
        <w:tc>
          <w:tcPr>
            <w:tcW w:w="12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D0172F4" w14:textId="77777777" w:rsidR="007A0C05" w:rsidRPr="00F07060" w:rsidRDefault="007A0C05" w:rsidP="00E350F6">
            <w:pPr>
              <w:rPr>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BA3E4AB" w14:textId="77777777" w:rsidR="007A0C05" w:rsidRPr="00F07060" w:rsidRDefault="007A0C05" w:rsidP="00E350F6">
            <w:pPr>
              <w:rPr>
                <w:b/>
                <w:bCs/>
                <w:color w:val="000000"/>
                <w:sz w:val="16"/>
                <w:szCs w:val="16"/>
              </w:rPr>
            </w:pPr>
            <w:r w:rsidRPr="00F07060">
              <w:rPr>
                <w:b/>
                <w:bCs/>
                <w:color w:val="000000"/>
                <w:sz w:val="16"/>
                <w:szCs w:val="16"/>
              </w:rPr>
              <w:t>Varies</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988286B" w14:textId="77777777" w:rsidR="007A0C05" w:rsidRPr="00F07060" w:rsidRDefault="007A0C05" w:rsidP="00E350F6">
            <w:pPr>
              <w:rPr>
                <w:b/>
                <w:bCs/>
                <w:color w:val="000000"/>
                <w:sz w:val="16"/>
                <w:szCs w:val="16"/>
              </w:rPr>
            </w:pPr>
            <w:r w:rsidRPr="00F07060">
              <w:rPr>
                <w:b/>
                <w:bCs/>
                <w:color w:val="000000"/>
                <w:sz w:val="16"/>
                <w:szCs w:val="16"/>
              </w:rPr>
              <w:t>Don't know</w:t>
            </w:r>
          </w:p>
        </w:tc>
      </w:tr>
    </w:tbl>
    <w:p w14:paraId="3FE173F1" w14:textId="4729CAAE" w:rsidR="000B1027" w:rsidRDefault="000B1027" w:rsidP="00596BE0">
      <w:pPr>
        <w:jc w:val="both"/>
        <w:rPr>
          <w:rFonts w:ascii="Arial" w:hAnsi="Arial" w:cs="Arial"/>
          <w:b/>
          <w:color w:val="000000"/>
          <w:sz w:val="20"/>
          <w:szCs w:val="20"/>
        </w:rPr>
      </w:pPr>
    </w:p>
    <w:p w14:paraId="1A4E1EC9" w14:textId="323AF89E" w:rsidR="00761F32" w:rsidRPr="005C0D59" w:rsidRDefault="00761F32" w:rsidP="00761F32">
      <w:pPr>
        <w:spacing w:after="200" w:line="276" w:lineRule="auto"/>
        <w:jc w:val="both"/>
        <w:rPr>
          <w:rFonts w:ascii="Arial" w:hAnsi="Arial" w:cs="Arial"/>
          <w:b/>
          <w:sz w:val="20"/>
          <w:szCs w:val="20"/>
        </w:rPr>
      </w:pPr>
      <w:r w:rsidRPr="005C0D59">
        <w:rPr>
          <w:rFonts w:ascii="Arial" w:hAnsi="Arial" w:cs="Arial"/>
          <w:b/>
          <w:sz w:val="20"/>
          <w:szCs w:val="20"/>
        </w:rPr>
        <w:t>Table S2</w:t>
      </w:r>
      <w:r>
        <w:rPr>
          <w:rFonts w:ascii="Arial" w:hAnsi="Arial" w:cs="Arial"/>
          <w:b/>
          <w:sz w:val="20"/>
          <w:szCs w:val="20"/>
        </w:rPr>
        <w:t>0</w:t>
      </w:r>
      <w:r w:rsidRPr="005C0D59">
        <w:rPr>
          <w:rFonts w:ascii="Arial" w:hAnsi="Arial" w:cs="Arial"/>
          <w:b/>
          <w:sz w:val="20"/>
          <w:szCs w:val="20"/>
        </w:rPr>
        <w:t>: Clinical efficacy of dupilumab in asthma stratified by blood eosinophils</w:t>
      </w:r>
    </w:p>
    <w:tbl>
      <w:tblPr>
        <w:tblW w:w="9160" w:type="dxa"/>
        <w:tblCellMar>
          <w:left w:w="0" w:type="dxa"/>
          <w:right w:w="0" w:type="dxa"/>
        </w:tblCellMar>
        <w:tblLook w:val="0420" w:firstRow="1" w:lastRow="0" w:firstColumn="0" w:lastColumn="0" w:noHBand="0" w:noVBand="1"/>
      </w:tblPr>
      <w:tblGrid>
        <w:gridCol w:w="2160"/>
        <w:gridCol w:w="3794"/>
        <w:gridCol w:w="3206"/>
      </w:tblGrid>
      <w:tr w:rsidR="00761F32" w:rsidRPr="00C961DD" w14:paraId="41F0C2C8" w14:textId="77777777" w:rsidTr="005F390C">
        <w:trPr>
          <w:trHeight w:val="129"/>
        </w:trPr>
        <w:tc>
          <w:tcPr>
            <w:tcW w:w="2160" w:type="dxa"/>
            <w:tcBorders>
              <w:top w:val="single" w:sz="18" w:space="0" w:color="000000"/>
              <w:left w:val="nil"/>
              <w:bottom w:val="single" w:sz="8" w:space="0" w:color="FFFFFF"/>
              <w:right w:val="single" w:sz="8" w:space="0" w:color="FFFFFF"/>
            </w:tcBorders>
            <w:shd w:val="clear" w:color="auto" w:fill="92D050"/>
            <w:tcMar>
              <w:top w:w="72" w:type="dxa"/>
              <w:left w:w="144" w:type="dxa"/>
              <w:bottom w:w="72" w:type="dxa"/>
              <w:right w:w="144" w:type="dxa"/>
            </w:tcMar>
            <w:vAlign w:val="center"/>
            <w:hideMark/>
          </w:tcPr>
          <w:p w14:paraId="41FFC60F" w14:textId="77777777" w:rsidR="00761F32" w:rsidRPr="00C961DD" w:rsidRDefault="00761F32" w:rsidP="005F390C">
            <w:pPr>
              <w:spacing w:after="200" w:line="276" w:lineRule="auto"/>
              <w:jc w:val="both"/>
              <w:rPr>
                <w:rFonts w:ascii="Arial" w:hAnsi="Arial" w:cs="Arial"/>
                <w:sz w:val="16"/>
                <w:szCs w:val="16"/>
              </w:rPr>
            </w:pPr>
            <w:r w:rsidRPr="00C961DD">
              <w:rPr>
                <w:rFonts w:ascii="Arial" w:hAnsi="Arial" w:cs="Arial"/>
                <w:b/>
                <w:bCs/>
                <w:sz w:val="16"/>
                <w:szCs w:val="16"/>
                <w:lang w:val="es-ES"/>
              </w:rPr>
              <w:t xml:space="preserve">Blood eos </w:t>
            </w:r>
          </w:p>
        </w:tc>
        <w:tc>
          <w:tcPr>
            <w:tcW w:w="3794" w:type="dxa"/>
            <w:tcBorders>
              <w:top w:val="single" w:sz="18" w:space="0" w:color="000000"/>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vAlign w:val="center"/>
            <w:hideMark/>
          </w:tcPr>
          <w:p w14:paraId="0C5DFA67" w14:textId="77777777" w:rsidR="00761F32" w:rsidRPr="00C961DD" w:rsidRDefault="00761F32" w:rsidP="005F390C">
            <w:pPr>
              <w:spacing w:after="200" w:line="276" w:lineRule="auto"/>
              <w:jc w:val="both"/>
              <w:rPr>
                <w:rFonts w:ascii="Arial" w:hAnsi="Arial" w:cs="Arial"/>
                <w:sz w:val="16"/>
                <w:szCs w:val="16"/>
              </w:rPr>
            </w:pPr>
            <w:r w:rsidRPr="00C961DD">
              <w:rPr>
                <w:rFonts w:ascii="Arial" w:hAnsi="Arial" w:cs="Arial"/>
                <w:b/>
                <w:bCs/>
                <w:sz w:val="16"/>
                <w:szCs w:val="16"/>
                <w:lang w:val="es-ES"/>
              </w:rPr>
              <w:t xml:space="preserve">Exacerbations </w:t>
            </w:r>
            <w:r>
              <w:rPr>
                <w:rFonts w:ascii="Arial" w:hAnsi="Arial" w:cs="Arial"/>
                <w:b/>
                <w:bCs/>
                <w:sz w:val="16"/>
                <w:szCs w:val="16"/>
                <w:lang w:val="es-ES"/>
              </w:rPr>
              <w:t>–</w:t>
            </w:r>
            <w:r w:rsidRPr="00C961DD">
              <w:rPr>
                <w:rFonts w:ascii="Arial" w:hAnsi="Arial" w:cs="Arial"/>
                <w:b/>
                <w:bCs/>
                <w:sz w:val="16"/>
                <w:szCs w:val="16"/>
                <w:lang w:val="es-ES"/>
              </w:rPr>
              <w:t xml:space="preserve"> </w:t>
            </w:r>
            <w:r>
              <w:rPr>
                <w:rFonts w:ascii="Arial" w:hAnsi="Arial" w:cs="Arial"/>
                <w:b/>
                <w:bCs/>
                <w:sz w:val="16"/>
                <w:szCs w:val="16"/>
                <w:lang w:val="es-ES"/>
              </w:rPr>
              <w:t xml:space="preserve">incidence rate </w:t>
            </w:r>
            <w:proofErr w:type="gramStart"/>
            <w:r>
              <w:rPr>
                <w:rFonts w:ascii="Arial" w:hAnsi="Arial" w:cs="Arial"/>
                <w:b/>
                <w:bCs/>
                <w:sz w:val="16"/>
                <w:szCs w:val="16"/>
                <w:lang w:val="es-ES"/>
              </w:rPr>
              <w:t>ratio</w:t>
            </w:r>
            <w:r w:rsidRPr="00C961DD">
              <w:rPr>
                <w:rFonts w:ascii="Arial" w:hAnsi="Arial" w:cs="Arial"/>
                <w:b/>
                <w:bCs/>
                <w:sz w:val="16"/>
                <w:szCs w:val="16"/>
                <w:lang w:val="es-ES"/>
              </w:rPr>
              <w:t xml:space="preserve"> </w:t>
            </w:r>
            <w:r>
              <w:rPr>
                <w:rFonts w:ascii="Arial" w:hAnsi="Arial" w:cs="Arial"/>
                <w:b/>
                <w:bCs/>
                <w:sz w:val="16"/>
                <w:szCs w:val="16"/>
                <w:lang w:val="es-ES"/>
              </w:rPr>
              <w:t xml:space="preserve"> </w:t>
            </w:r>
            <w:r w:rsidRPr="00C961DD">
              <w:rPr>
                <w:rFonts w:ascii="Arial" w:hAnsi="Arial" w:cs="Arial"/>
                <w:b/>
                <w:bCs/>
                <w:sz w:val="16"/>
                <w:szCs w:val="16"/>
                <w:lang w:val="es-ES"/>
              </w:rPr>
              <w:t>(</w:t>
            </w:r>
            <w:proofErr w:type="gramEnd"/>
            <w:r w:rsidRPr="00C961DD">
              <w:rPr>
                <w:rFonts w:ascii="Arial" w:hAnsi="Arial" w:cs="Arial"/>
                <w:b/>
                <w:bCs/>
                <w:sz w:val="16"/>
                <w:szCs w:val="16"/>
                <w:lang w:val="es-ES"/>
              </w:rPr>
              <w:t>95% CI)</w:t>
            </w:r>
          </w:p>
        </w:tc>
        <w:tc>
          <w:tcPr>
            <w:tcW w:w="3206" w:type="dxa"/>
            <w:tcBorders>
              <w:top w:val="single" w:sz="18" w:space="0" w:color="000000"/>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vAlign w:val="center"/>
            <w:hideMark/>
          </w:tcPr>
          <w:p w14:paraId="0C5C09CD" w14:textId="77777777" w:rsidR="00761F32" w:rsidRPr="00C961DD" w:rsidRDefault="00761F32" w:rsidP="005F390C">
            <w:pPr>
              <w:spacing w:after="200" w:line="276" w:lineRule="auto"/>
              <w:jc w:val="both"/>
              <w:rPr>
                <w:rFonts w:ascii="Arial" w:hAnsi="Arial" w:cs="Arial"/>
                <w:sz w:val="16"/>
                <w:szCs w:val="16"/>
              </w:rPr>
            </w:pPr>
            <w:r w:rsidRPr="00C961DD">
              <w:rPr>
                <w:rFonts w:ascii="Arial" w:hAnsi="Arial" w:cs="Arial"/>
                <w:b/>
                <w:bCs/>
                <w:sz w:val="16"/>
                <w:szCs w:val="16"/>
                <w:lang w:val="ca-ES"/>
              </w:rPr>
              <w:t xml:space="preserve">FEV1 </w:t>
            </w:r>
            <w:r>
              <w:rPr>
                <w:rFonts w:ascii="Arial" w:hAnsi="Arial" w:cs="Arial"/>
                <w:b/>
                <w:bCs/>
                <w:sz w:val="16"/>
                <w:szCs w:val="16"/>
                <w:lang w:val="ca-ES"/>
              </w:rPr>
              <w:t xml:space="preserve">increase </w:t>
            </w:r>
            <w:r w:rsidRPr="00C961DD">
              <w:rPr>
                <w:rFonts w:ascii="Arial" w:hAnsi="Arial" w:cs="Arial"/>
                <w:b/>
                <w:bCs/>
                <w:sz w:val="16"/>
                <w:szCs w:val="16"/>
                <w:lang w:val="es-ES"/>
              </w:rPr>
              <w:t>(95% CI)</w:t>
            </w:r>
          </w:p>
        </w:tc>
      </w:tr>
      <w:tr w:rsidR="00761F32" w:rsidRPr="00C961DD" w14:paraId="566EC3E8" w14:textId="77777777" w:rsidTr="005F390C">
        <w:trPr>
          <w:trHeight w:val="21"/>
        </w:trPr>
        <w:tc>
          <w:tcPr>
            <w:tcW w:w="2160" w:type="dxa"/>
            <w:tcBorders>
              <w:top w:val="single" w:sz="8" w:space="0" w:color="FFFFFF"/>
              <w:left w:val="nil"/>
              <w:bottom w:val="single" w:sz="8" w:space="0" w:color="FFFFFF"/>
              <w:right w:val="single" w:sz="8" w:space="0" w:color="FFFFFF"/>
            </w:tcBorders>
            <w:shd w:val="clear" w:color="auto" w:fill="E7E7E7"/>
            <w:tcMar>
              <w:top w:w="72" w:type="dxa"/>
              <w:left w:w="144" w:type="dxa"/>
              <w:bottom w:w="72" w:type="dxa"/>
              <w:right w:w="144" w:type="dxa"/>
            </w:tcMar>
            <w:hideMark/>
          </w:tcPr>
          <w:p w14:paraId="4C6D4D2B" w14:textId="77777777" w:rsidR="00761F32" w:rsidRPr="00C961DD" w:rsidRDefault="00761F32" w:rsidP="005F390C">
            <w:pPr>
              <w:spacing w:after="200" w:line="276" w:lineRule="auto"/>
              <w:jc w:val="both"/>
              <w:rPr>
                <w:rFonts w:ascii="Arial" w:hAnsi="Arial" w:cs="Arial"/>
                <w:sz w:val="16"/>
                <w:szCs w:val="16"/>
              </w:rPr>
            </w:pPr>
            <w:r w:rsidRPr="00C961DD">
              <w:rPr>
                <w:rFonts w:ascii="Arial" w:hAnsi="Arial" w:cs="Arial"/>
                <w:sz w:val="16"/>
                <w:szCs w:val="16"/>
                <w:lang w:val="ca-ES"/>
              </w:rPr>
              <w:t>&gt;300</w:t>
            </w:r>
          </w:p>
        </w:tc>
        <w:tc>
          <w:tcPr>
            <w:tcW w:w="379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183654A6" w14:textId="77777777" w:rsidR="00761F32" w:rsidRPr="00C961DD" w:rsidRDefault="00761F32" w:rsidP="005F390C">
            <w:pPr>
              <w:spacing w:after="200" w:line="276" w:lineRule="auto"/>
              <w:jc w:val="both"/>
              <w:rPr>
                <w:rFonts w:ascii="Arial" w:hAnsi="Arial" w:cs="Arial"/>
                <w:sz w:val="16"/>
                <w:szCs w:val="16"/>
              </w:rPr>
            </w:pPr>
            <w:r w:rsidRPr="00C961DD">
              <w:rPr>
                <w:rFonts w:ascii="Arial" w:hAnsi="Arial" w:cs="Arial"/>
                <w:sz w:val="16"/>
                <w:szCs w:val="16"/>
                <w:lang w:val="ca-ES"/>
              </w:rPr>
              <w:t>0.35 (0.28-0.44)</w:t>
            </w:r>
          </w:p>
        </w:tc>
        <w:tc>
          <w:tcPr>
            <w:tcW w:w="3206"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775A189A" w14:textId="77777777" w:rsidR="00761F32" w:rsidRPr="00C961DD" w:rsidRDefault="00761F32" w:rsidP="005F390C">
            <w:pPr>
              <w:spacing w:after="200" w:line="276" w:lineRule="auto"/>
              <w:jc w:val="both"/>
              <w:rPr>
                <w:rFonts w:ascii="Arial" w:hAnsi="Arial" w:cs="Arial"/>
                <w:sz w:val="16"/>
                <w:szCs w:val="16"/>
              </w:rPr>
            </w:pPr>
            <w:r>
              <w:rPr>
                <w:rFonts w:ascii="Arial" w:hAnsi="Arial" w:cs="Arial"/>
                <w:sz w:val="16"/>
                <w:szCs w:val="16"/>
                <w:lang w:val="ca-ES"/>
              </w:rPr>
              <w:t xml:space="preserve">+ </w:t>
            </w:r>
            <w:r w:rsidRPr="00C961DD">
              <w:rPr>
                <w:rFonts w:ascii="Arial" w:hAnsi="Arial" w:cs="Arial"/>
                <w:sz w:val="16"/>
                <w:szCs w:val="16"/>
                <w:lang w:val="ca-ES"/>
              </w:rPr>
              <w:t>0.23 (</w:t>
            </w:r>
            <w:r>
              <w:rPr>
                <w:rFonts w:ascii="Arial" w:hAnsi="Arial" w:cs="Arial"/>
                <w:sz w:val="16"/>
                <w:szCs w:val="16"/>
                <w:lang w:val="ca-ES"/>
              </w:rPr>
              <w:t>+</w:t>
            </w:r>
            <w:r w:rsidRPr="00C961DD">
              <w:rPr>
                <w:rFonts w:ascii="Arial" w:hAnsi="Arial" w:cs="Arial"/>
                <w:sz w:val="16"/>
                <w:szCs w:val="16"/>
                <w:lang w:val="ca-ES"/>
              </w:rPr>
              <w:t xml:space="preserve">0.18 to </w:t>
            </w:r>
            <w:r>
              <w:rPr>
                <w:rFonts w:ascii="Arial" w:hAnsi="Arial" w:cs="Arial"/>
                <w:sz w:val="16"/>
                <w:szCs w:val="16"/>
                <w:lang w:val="ca-ES"/>
              </w:rPr>
              <w:t>+</w:t>
            </w:r>
            <w:r w:rsidRPr="00C961DD">
              <w:rPr>
                <w:rFonts w:ascii="Arial" w:hAnsi="Arial" w:cs="Arial"/>
                <w:sz w:val="16"/>
                <w:szCs w:val="16"/>
                <w:lang w:val="ca-ES"/>
              </w:rPr>
              <w:t>0.29)</w:t>
            </w:r>
          </w:p>
        </w:tc>
      </w:tr>
      <w:tr w:rsidR="00761F32" w:rsidRPr="00C961DD" w14:paraId="16DC0956" w14:textId="77777777" w:rsidTr="005F390C">
        <w:trPr>
          <w:trHeight w:val="719"/>
        </w:trPr>
        <w:tc>
          <w:tcPr>
            <w:tcW w:w="2160" w:type="dxa"/>
            <w:tcBorders>
              <w:top w:val="single" w:sz="8" w:space="0" w:color="FFFFFF"/>
              <w:left w:val="nil"/>
              <w:bottom w:val="single" w:sz="8" w:space="0" w:color="FFFFFF"/>
              <w:right w:val="single" w:sz="8" w:space="0" w:color="FFFFFF"/>
            </w:tcBorders>
            <w:shd w:val="clear" w:color="auto" w:fill="FFFFFF"/>
            <w:tcMar>
              <w:top w:w="72" w:type="dxa"/>
              <w:left w:w="144" w:type="dxa"/>
              <w:bottom w:w="72" w:type="dxa"/>
              <w:right w:w="144" w:type="dxa"/>
            </w:tcMar>
            <w:hideMark/>
          </w:tcPr>
          <w:p w14:paraId="725E6DC6" w14:textId="77777777" w:rsidR="00761F32" w:rsidRPr="00C961DD" w:rsidRDefault="00761F32" w:rsidP="005F390C">
            <w:pPr>
              <w:spacing w:after="200" w:line="276" w:lineRule="auto"/>
              <w:jc w:val="both"/>
              <w:rPr>
                <w:rFonts w:ascii="Arial" w:hAnsi="Arial" w:cs="Arial"/>
                <w:sz w:val="16"/>
                <w:szCs w:val="16"/>
              </w:rPr>
            </w:pPr>
            <w:r w:rsidRPr="00C961DD">
              <w:rPr>
                <w:rFonts w:ascii="Arial" w:hAnsi="Arial" w:cs="Arial"/>
                <w:sz w:val="16"/>
                <w:szCs w:val="16"/>
                <w:lang w:val="ca-ES"/>
              </w:rPr>
              <w:t>&lt;300</w:t>
            </w:r>
          </w:p>
        </w:tc>
        <w:tc>
          <w:tcPr>
            <w:tcW w:w="3794"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2BA6449C" w14:textId="77777777" w:rsidR="00761F32" w:rsidRPr="00C961DD" w:rsidRDefault="00761F32" w:rsidP="005F390C">
            <w:pPr>
              <w:spacing w:after="200" w:line="276" w:lineRule="auto"/>
              <w:jc w:val="both"/>
              <w:rPr>
                <w:rFonts w:ascii="Arial" w:hAnsi="Arial" w:cs="Arial"/>
                <w:sz w:val="16"/>
                <w:szCs w:val="16"/>
              </w:rPr>
            </w:pPr>
            <w:r w:rsidRPr="00C961DD">
              <w:rPr>
                <w:rFonts w:ascii="Arial" w:hAnsi="Arial" w:cs="Arial"/>
                <w:sz w:val="16"/>
                <w:szCs w:val="16"/>
                <w:lang w:val="ca-ES"/>
              </w:rPr>
              <w:t>0.63 (0.48 -0.83)</w:t>
            </w:r>
          </w:p>
        </w:tc>
        <w:tc>
          <w:tcPr>
            <w:tcW w:w="3206"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24A2DBEE" w14:textId="77777777" w:rsidR="00761F32" w:rsidRPr="00C961DD" w:rsidRDefault="00761F32" w:rsidP="005F390C">
            <w:pPr>
              <w:spacing w:after="200" w:line="276" w:lineRule="auto"/>
              <w:jc w:val="both"/>
              <w:rPr>
                <w:rFonts w:ascii="Arial" w:hAnsi="Arial" w:cs="Arial"/>
                <w:sz w:val="16"/>
                <w:szCs w:val="16"/>
              </w:rPr>
            </w:pPr>
            <w:r>
              <w:rPr>
                <w:rFonts w:ascii="Arial" w:hAnsi="Arial" w:cs="Arial"/>
                <w:sz w:val="16"/>
                <w:szCs w:val="16"/>
                <w:lang w:val="ca-ES"/>
              </w:rPr>
              <w:t>+</w:t>
            </w:r>
            <w:r w:rsidRPr="00C961DD">
              <w:rPr>
                <w:rFonts w:ascii="Arial" w:hAnsi="Arial" w:cs="Arial"/>
                <w:sz w:val="16"/>
                <w:szCs w:val="16"/>
                <w:lang w:val="ca-ES"/>
              </w:rPr>
              <w:t>0.08 (</w:t>
            </w:r>
            <w:r>
              <w:rPr>
                <w:rFonts w:ascii="Arial" w:hAnsi="Arial" w:cs="Arial"/>
                <w:sz w:val="16"/>
                <w:szCs w:val="16"/>
                <w:lang w:val="ca-ES"/>
              </w:rPr>
              <w:t>+</w:t>
            </w:r>
            <w:r w:rsidRPr="00C961DD">
              <w:rPr>
                <w:rFonts w:ascii="Arial" w:hAnsi="Arial" w:cs="Arial"/>
                <w:sz w:val="16"/>
                <w:szCs w:val="16"/>
                <w:lang w:val="ca-ES"/>
              </w:rPr>
              <w:t xml:space="preserve">0.04 to </w:t>
            </w:r>
            <w:r>
              <w:rPr>
                <w:rFonts w:ascii="Arial" w:hAnsi="Arial" w:cs="Arial"/>
                <w:sz w:val="16"/>
                <w:szCs w:val="16"/>
                <w:lang w:val="ca-ES"/>
              </w:rPr>
              <w:t>+</w:t>
            </w:r>
            <w:r w:rsidRPr="00C961DD">
              <w:rPr>
                <w:rFonts w:ascii="Arial" w:hAnsi="Arial" w:cs="Arial"/>
                <w:sz w:val="16"/>
                <w:szCs w:val="16"/>
                <w:lang w:val="ca-ES"/>
              </w:rPr>
              <w:t>0.13)</w:t>
            </w:r>
          </w:p>
        </w:tc>
      </w:tr>
    </w:tbl>
    <w:p w14:paraId="125EF3D9" w14:textId="77777777" w:rsidR="00761F32" w:rsidRPr="00982C89" w:rsidRDefault="00761F32" w:rsidP="00761F32">
      <w:pPr>
        <w:spacing w:after="200" w:line="276" w:lineRule="auto"/>
        <w:jc w:val="both"/>
        <w:rPr>
          <w:rFonts w:ascii="Arial" w:hAnsi="Arial" w:cs="Arial"/>
          <w:sz w:val="16"/>
          <w:szCs w:val="16"/>
        </w:rPr>
        <w:sectPr w:rsidR="00761F32" w:rsidRPr="00982C89" w:rsidSect="00E350F6">
          <w:pgSz w:w="16838" w:h="11906" w:orient="landscape"/>
          <w:pgMar w:top="992" w:right="1418" w:bottom="1134" w:left="1418" w:header="709" w:footer="709" w:gutter="0"/>
          <w:cols w:space="708"/>
          <w:docGrid w:linePitch="360"/>
        </w:sectPr>
      </w:pPr>
    </w:p>
    <w:p w14:paraId="5FBD89DF" w14:textId="1B608816" w:rsidR="00761F32" w:rsidRPr="005C0D59" w:rsidRDefault="00761F32" w:rsidP="00761F32">
      <w:pPr>
        <w:jc w:val="both"/>
        <w:rPr>
          <w:rFonts w:ascii="Arial" w:hAnsi="Arial" w:cs="Arial"/>
          <w:b/>
          <w:color w:val="000000"/>
          <w:sz w:val="20"/>
          <w:szCs w:val="20"/>
        </w:rPr>
      </w:pPr>
      <w:r w:rsidRPr="005C0D59">
        <w:rPr>
          <w:rFonts w:ascii="Arial" w:hAnsi="Arial" w:cs="Arial"/>
          <w:b/>
          <w:color w:val="000000"/>
          <w:sz w:val="20"/>
          <w:szCs w:val="20"/>
        </w:rPr>
        <w:lastRenderedPageBreak/>
        <w:t>Table S2</w:t>
      </w:r>
      <w:r>
        <w:rPr>
          <w:rFonts w:ascii="Arial" w:hAnsi="Arial" w:cs="Arial"/>
          <w:b/>
          <w:color w:val="000000"/>
          <w:sz w:val="20"/>
          <w:szCs w:val="20"/>
        </w:rPr>
        <w:t>1</w:t>
      </w:r>
      <w:r w:rsidRPr="005C0D59">
        <w:rPr>
          <w:rFonts w:ascii="Arial" w:hAnsi="Arial" w:cs="Arial"/>
          <w:b/>
          <w:color w:val="000000"/>
          <w:sz w:val="20"/>
          <w:szCs w:val="20"/>
        </w:rPr>
        <w:t xml:space="preserve">: </w:t>
      </w:r>
      <w:r w:rsidRPr="005C0D59">
        <w:rPr>
          <w:rFonts w:ascii="Arial" w:hAnsi="Arial" w:cs="Arial"/>
          <w:b/>
          <w:sz w:val="20"/>
          <w:szCs w:val="20"/>
        </w:rPr>
        <w:t>Clinical efficacy of dupilumab in asthma stratified by fractional exhaled NO</w:t>
      </w:r>
    </w:p>
    <w:p w14:paraId="055F1924" w14:textId="77777777" w:rsidR="00761F32" w:rsidRDefault="00761F32" w:rsidP="00761F32">
      <w:pPr>
        <w:jc w:val="both"/>
        <w:rPr>
          <w:rFonts w:ascii="Arial" w:hAnsi="Arial" w:cs="Arial"/>
          <w:color w:val="000000"/>
          <w:sz w:val="16"/>
          <w:szCs w:val="16"/>
        </w:rPr>
      </w:pPr>
    </w:p>
    <w:tbl>
      <w:tblPr>
        <w:tblW w:w="9160" w:type="dxa"/>
        <w:tblCellMar>
          <w:left w:w="0" w:type="dxa"/>
          <w:right w:w="0" w:type="dxa"/>
        </w:tblCellMar>
        <w:tblLook w:val="0420" w:firstRow="1" w:lastRow="0" w:firstColumn="0" w:lastColumn="0" w:noHBand="0" w:noVBand="1"/>
      </w:tblPr>
      <w:tblGrid>
        <w:gridCol w:w="1843"/>
        <w:gridCol w:w="3677"/>
        <w:gridCol w:w="3640"/>
      </w:tblGrid>
      <w:tr w:rsidR="00761F32" w:rsidRPr="0017630A" w14:paraId="204DAEF4" w14:textId="77777777" w:rsidTr="005F390C">
        <w:trPr>
          <w:trHeight w:val="223"/>
        </w:trPr>
        <w:tc>
          <w:tcPr>
            <w:tcW w:w="1843" w:type="dxa"/>
            <w:tcBorders>
              <w:top w:val="single" w:sz="18" w:space="0" w:color="000000"/>
              <w:left w:val="nil"/>
              <w:bottom w:val="single" w:sz="8" w:space="0" w:color="FFFFFF"/>
              <w:right w:val="single" w:sz="8" w:space="0" w:color="FFFFFF"/>
            </w:tcBorders>
            <w:shd w:val="clear" w:color="auto" w:fill="92D050"/>
            <w:tcMar>
              <w:top w:w="72" w:type="dxa"/>
              <w:left w:w="144" w:type="dxa"/>
              <w:bottom w:w="72" w:type="dxa"/>
              <w:right w:w="144" w:type="dxa"/>
            </w:tcMar>
            <w:vAlign w:val="center"/>
            <w:hideMark/>
          </w:tcPr>
          <w:p w14:paraId="2C54277C" w14:textId="77777777" w:rsidR="00761F32" w:rsidRPr="0017630A" w:rsidRDefault="00761F32" w:rsidP="005F390C">
            <w:pPr>
              <w:jc w:val="both"/>
              <w:rPr>
                <w:rFonts w:ascii="Arial" w:hAnsi="Arial" w:cs="Arial"/>
                <w:color w:val="000000"/>
                <w:sz w:val="16"/>
                <w:szCs w:val="16"/>
              </w:rPr>
            </w:pPr>
            <w:r w:rsidRPr="0017630A">
              <w:rPr>
                <w:rFonts w:ascii="Arial" w:hAnsi="Arial" w:cs="Arial"/>
                <w:b/>
                <w:bCs/>
                <w:color w:val="000000"/>
                <w:sz w:val="16"/>
                <w:szCs w:val="16"/>
                <w:lang w:val="es-ES"/>
              </w:rPr>
              <w:t>FeNO</w:t>
            </w:r>
          </w:p>
        </w:tc>
        <w:tc>
          <w:tcPr>
            <w:tcW w:w="3677" w:type="dxa"/>
            <w:tcBorders>
              <w:top w:val="single" w:sz="18" w:space="0" w:color="000000"/>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vAlign w:val="center"/>
            <w:hideMark/>
          </w:tcPr>
          <w:p w14:paraId="337B9CBC" w14:textId="77777777" w:rsidR="00761F32" w:rsidRPr="0017630A" w:rsidRDefault="00761F32" w:rsidP="005F390C">
            <w:pPr>
              <w:jc w:val="both"/>
              <w:rPr>
                <w:rFonts w:ascii="Arial" w:hAnsi="Arial" w:cs="Arial"/>
                <w:color w:val="000000"/>
                <w:sz w:val="16"/>
                <w:szCs w:val="16"/>
              </w:rPr>
            </w:pPr>
            <w:r w:rsidRPr="0017630A">
              <w:rPr>
                <w:rFonts w:ascii="Arial" w:hAnsi="Arial" w:cs="Arial"/>
                <w:b/>
                <w:bCs/>
                <w:color w:val="000000"/>
                <w:sz w:val="16"/>
                <w:szCs w:val="16"/>
                <w:lang w:val="es-ES"/>
              </w:rPr>
              <w:t xml:space="preserve">Exacerbations </w:t>
            </w:r>
            <w:r>
              <w:rPr>
                <w:rFonts w:ascii="Arial" w:hAnsi="Arial" w:cs="Arial"/>
                <w:b/>
                <w:bCs/>
                <w:color w:val="000000"/>
                <w:sz w:val="16"/>
                <w:szCs w:val="16"/>
                <w:lang w:val="es-ES"/>
              </w:rPr>
              <w:t>–</w:t>
            </w:r>
            <w:r w:rsidRPr="0017630A">
              <w:rPr>
                <w:rFonts w:ascii="Arial" w:hAnsi="Arial" w:cs="Arial"/>
                <w:b/>
                <w:bCs/>
                <w:color w:val="000000"/>
                <w:sz w:val="16"/>
                <w:szCs w:val="16"/>
                <w:lang w:val="es-ES"/>
              </w:rPr>
              <w:t xml:space="preserve"> </w:t>
            </w:r>
            <w:r>
              <w:rPr>
                <w:rFonts w:ascii="Arial" w:hAnsi="Arial" w:cs="Arial"/>
                <w:b/>
                <w:bCs/>
                <w:color w:val="000000"/>
                <w:sz w:val="16"/>
                <w:szCs w:val="16"/>
                <w:lang w:val="es-ES"/>
              </w:rPr>
              <w:t xml:space="preserve">incidence rate ratio </w:t>
            </w:r>
            <w:r w:rsidRPr="0017630A">
              <w:rPr>
                <w:rFonts w:ascii="Arial" w:hAnsi="Arial" w:cs="Arial"/>
                <w:b/>
                <w:bCs/>
                <w:color w:val="000000"/>
                <w:sz w:val="16"/>
                <w:szCs w:val="16"/>
                <w:lang w:val="es-ES"/>
              </w:rPr>
              <w:t>(95% CI)</w:t>
            </w:r>
          </w:p>
        </w:tc>
        <w:tc>
          <w:tcPr>
            <w:tcW w:w="3640" w:type="dxa"/>
            <w:tcBorders>
              <w:top w:val="single" w:sz="18" w:space="0" w:color="000000"/>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vAlign w:val="center"/>
            <w:hideMark/>
          </w:tcPr>
          <w:p w14:paraId="2838A639" w14:textId="77777777" w:rsidR="00761F32" w:rsidRPr="0017630A" w:rsidRDefault="00761F32" w:rsidP="005F390C">
            <w:pPr>
              <w:jc w:val="both"/>
              <w:rPr>
                <w:rFonts w:ascii="Arial" w:hAnsi="Arial" w:cs="Arial"/>
                <w:color w:val="000000"/>
                <w:sz w:val="16"/>
                <w:szCs w:val="16"/>
              </w:rPr>
            </w:pPr>
            <w:r w:rsidRPr="0017630A">
              <w:rPr>
                <w:rFonts w:ascii="Arial" w:hAnsi="Arial" w:cs="Arial"/>
                <w:b/>
                <w:bCs/>
                <w:color w:val="000000"/>
                <w:sz w:val="16"/>
                <w:szCs w:val="16"/>
                <w:lang w:val="ca-ES"/>
              </w:rPr>
              <w:t xml:space="preserve">FEV1 </w:t>
            </w:r>
            <w:r>
              <w:rPr>
                <w:rFonts w:ascii="Arial" w:hAnsi="Arial" w:cs="Arial"/>
                <w:b/>
                <w:bCs/>
                <w:color w:val="000000"/>
                <w:sz w:val="16"/>
                <w:szCs w:val="16"/>
                <w:lang w:val="ca-ES"/>
              </w:rPr>
              <w:t xml:space="preserve">increase, MD </w:t>
            </w:r>
            <w:r w:rsidRPr="0017630A">
              <w:rPr>
                <w:rFonts w:ascii="Arial" w:hAnsi="Arial" w:cs="Arial"/>
                <w:b/>
                <w:bCs/>
                <w:color w:val="000000"/>
                <w:sz w:val="16"/>
                <w:szCs w:val="16"/>
                <w:lang w:val="es-ES"/>
              </w:rPr>
              <w:t>(95% CI)</w:t>
            </w:r>
          </w:p>
        </w:tc>
      </w:tr>
      <w:tr w:rsidR="00761F32" w:rsidRPr="0017630A" w14:paraId="3BF10549" w14:textId="77777777" w:rsidTr="005F390C">
        <w:trPr>
          <w:trHeight w:val="163"/>
        </w:trPr>
        <w:tc>
          <w:tcPr>
            <w:tcW w:w="1843" w:type="dxa"/>
            <w:tcBorders>
              <w:top w:val="single" w:sz="8" w:space="0" w:color="FFFFFF"/>
              <w:left w:val="nil"/>
              <w:bottom w:val="single" w:sz="8" w:space="0" w:color="FFFFFF"/>
              <w:right w:val="single" w:sz="8" w:space="0" w:color="FFFFFF"/>
            </w:tcBorders>
            <w:shd w:val="clear" w:color="auto" w:fill="E7E7E7"/>
            <w:tcMar>
              <w:top w:w="72" w:type="dxa"/>
              <w:left w:w="144" w:type="dxa"/>
              <w:bottom w:w="72" w:type="dxa"/>
              <w:right w:w="144" w:type="dxa"/>
            </w:tcMar>
            <w:hideMark/>
          </w:tcPr>
          <w:p w14:paraId="5F3D7CBD" w14:textId="77777777" w:rsidR="00761F32" w:rsidRPr="0017630A" w:rsidRDefault="00761F32" w:rsidP="005F390C">
            <w:pPr>
              <w:jc w:val="both"/>
              <w:rPr>
                <w:rFonts w:ascii="Arial" w:hAnsi="Arial" w:cs="Arial"/>
                <w:color w:val="000000"/>
                <w:sz w:val="16"/>
                <w:szCs w:val="16"/>
              </w:rPr>
            </w:pPr>
            <w:r w:rsidRPr="0017630A">
              <w:rPr>
                <w:rFonts w:ascii="Arial" w:hAnsi="Arial" w:cs="Arial"/>
                <w:color w:val="000000"/>
                <w:sz w:val="16"/>
                <w:szCs w:val="16"/>
                <w:lang w:val="es-ES"/>
              </w:rPr>
              <w:t>&lt;25</w:t>
            </w:r>
          </w:p>
        </w:tc>
        <w:tc>
          <w:tcPr>
            <w:tcW w:w="3677"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54E73E0B" w14:textId="77777777" w:rsidR="00761F32" w:rsidRPr="0017630A" w:rsidRDefault="00761F32" w:rsidP="005F390C">
            <w:pPr>
              <w:jc w:val="both"/>
              <w:rPr>
                <w:rFonts w:ascii="Arial" w:hAnsi="Arial" w:cs="Arial"/>
                <w:color w:val="000000"/>
                <w:sz w:val="16"/>
                <w:szCs w:val="16"/>
              </w:rPr>
            </w:pPr>
            <w:r w:rsidRPr="0017630A">
              <w:rPr>
                <w:rFonts w:ascii="Arial" w:hAnsi="Arial" w:cs="Arial"/>
                <w:color w:val="000000"/>
                <w:sz w:val="16"/>
                <w:szCs w:val="16"/>
                <w:lang w:val="es-ES"/>
              </w:rPr>
              <w:t>0.76 (0.61-0.95)</w:t>
            </w:r>
          </w:p>
        </w:tc>
        <w:tc>
          <w:tcPr>
            <w:tcW w:w="364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46440E9A" w14:textId="77777777" w:rsidR="00761F32" w:rsidRPr="0017630A" w:rsidRDefault="00761F32" w:rsidP="005F390C">
            <w:pPr>
              <w:jc w:val="both"/>
              <w:rPr>
                <w:rFonts w:ascii="Arial" w:hAnsi="Arial" w:cs="Arial"/>
                <w:color w:val="000000"/>
                <w:sz w:val="16"/>
                <w:szCs w:val="16"/>
              </w:rPr>
            </w:pPr>
            <w:r>
              <w:rPr>
                <w:rFonts w:ascii="Arial" w:hAnsi="Arial" w:cs="Arial"/>
                <w:color w:val="000000"/>
                <w:sz w:val="16"/>
                <w:szCs w:val="16"/>
                <w:lang w:val="es-ES"/>
              </w:rPr>
              <w:t>+</w:t>
            </w:r>
            <w:r w:rsidRPr="0017630A">
              <w:rPr>
                <w:rFonts w:ascii="Arial" w:hAnsi="Arial" w:cs="Arial"/>
                <w:color w:val="000000"/>
                <w:sz w:val="16"/>
                <w:szCs w:val="16"/>
                <w:lang w:val="es-ES"/>
              </w:rPr>
              <w:t xml:space="preserve">0.07 (-0.01 to </w:t>
            </w:r>
            <w:r>
              <w:rPr>
                <w:rFonts w:ascii="Arial" w:hAnsi="Arial" w:cs="Arial"/>
                <w:color w:val="000000"/>
                <w:sz w:val="16"/>
                <w:szCs w:val="16"/>
                <w:lang w:val="es-ES"/>
              </w:rPr>
              <w:t>+</w:t>
            </w:r>
            <w:r w:rsidRPr="0017630A">
              <w:rPr>
                <w:rFonts w:ascii="Arial" w:hAnsi="Arial" w:cs="Arial"/>
                <w:color w:val="000000"/>
                <w:sz w:val="16"/>
                <w:szCs w:val="16"/>
                <w:lang w:val="es-ES"/>
              </w:rPr>
              <w:t>0.15)</w:t>
            </w:r>
          </w:p>
        </w:tc>
      </w:tr>
      <w:tr w:rsidR="00761F32" w:rsidRPr="0017630A" w14:paraId="42CF182D" w14:textId="77777777" w:rsidTr="005F390C">
        <w:trPr>
          <w:trHeight w:val="97"/>
        </w:trPr>
        <w:tc>
          <w:tcPr>
            <w:tcW w:w="1843" w:type="dxa"/>
            <w:tcBorders>
              <w:top w:val="single" w:sz="8" w:space="0" w:color="FFFFFF"/>
              <w:left w:val="nil"/>
              <w:bottom w:val="single" w:sz="8" w:space="0" w:color="FFFFFF"/>
              <w:right w:val="single" w:sz="8" w:space="0" w:color="FFFFFF"/>
            </w:tcBorders>
            <w:shd w:val="clear" w:color="auto" w:fill="FFFFFF"/>
            <w:tcMar>
              <w:top w:w="72" w:type="dxa"/>
              <w:left w:w="144" w:type="dxa"/>
              <w:bottom w:w="72" w:type="dxa"/>
              <w:right w:w="144" w:type="dxa"/>
            </w:tcMar>
            <w:hideMark/>
          </w:tcPr>
          <w:p w14:paraId="2864851B" w14:textId="77777777" w:rsidR="00761F32" w:rsidRPr="0017630A" w:rsidRDefault="00761F32" w:rsidP="005F390C">
            <w:pPr>
              <w:jc w:val="both"/>
              <w:rPr>
                <w:rFonts w:ascii="Arial" w:hAnsi="Arial" w:cs="Arial"/>
                <w:color w:val="000000"/>
                <w:sz w:val="16"/>
                <w:szCs w:val="16"/>
              </w:rPr>
            </w:pPr>
            <w:r w:rsidRPr="0017630A">
              <w:rPr>
                <w:rFonts w:ascii="Arial" w:hAnsi="Arial" w:cs="Arial"/>
                <w:color w:val="000000"/>
                <w:sz w:val="16"/>
                <w:szCs w:val="16"/>
                <w:lang w:val="ca-ES"/>
              </w:rPr>
              <w:t>25-50</w:t>
            </w:r>
          </w:p>
        </w:tc>
        <w:tc>
          <w:tcPr>
            <w:tcW w:w="3677"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33533081" w14:textId="77777777" w:rsidR="00761F32" w:rsidRPr="0017630A" w:rsidRDefault="00761F32" w:rsidP="005F390C">
            <w:pPr>
              <w:jc w:val="both"/>
              <w:rPr>
                <w:rFonts w:ascii="Arial" w:hAnsi="Arial" w:cs="Arial"/>
                <w:color w:val="000000"/>
                <w:sz w:val="16"/>
                <w:szCs w:val="16"/>
              </w:rPr>
            </w:pPr>
            <w:r w:rsidRPr="0017630A">
              <w:rPr>
                <w:rFonts w:ascii="Arial" w:hAnsi="Arial" w:cs="Arial"/>
                <w:color w:val="000000"/>
                <w:sz w:val="16"/>
                <w:szCs w:val="16"/>
                <w:lang w:val="ca-ES"/>
              </w:rPr>
              <w:t>0.38 (0.28 – 0.53)</w:t>
            </w:r>
          </w:p>
        </w:tc>
        <w:tc>
          <w:tcPr>
            <w:tcW w:w="3640"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19789A95" w14:textId="77777777" w:rsidR="00761F32" w:rsidRPr="0017630A" w:rsidRDefault="00761F32" w:rsidP="005F390C">
            <w:pPr>
              <w:jc w:val="both"/>
              <w:rPr>
                <w:rFonts w:ascii="Arial" w:hAnsi="Arial" w:cs="Arial"/>
                <w:color w:val="000000"/>
                <w:sz w:val="16"/>
                <w:szCs w:val="16"/>
              </w:rPr>
            </w:pPr>
            <w:r>
              <w:rPr>
                <w:rFonts w:ascii="Arial" w:hAnsi="Arial" w:cs="Arial"/>
                <w:color w:val="000000"/>
                <w:sz w:val="16"/>
                <w:szCs w:val="16"/>
                <w:lang w:val="ca-ES"/>
              </w:rPr>
              <w:t>+</w:t>
            </w:r>
            <w:r w:rsidRPr="0017630A">
              <w:rPr>
                <w:rFonts w:ascii="Arial" w:hAnsi="Arial" w:cs="Arial"/>
                <w:color w:val="000000"/>
                <w:sz w:val="16"/>
                <w:szCs w:val="16"/>
                <w:lang w:val="ca-ES"/>
              </w:rPr>
              <w:t>0.16 (</w:t>
            </w:r>
            <w:r>
              <w:rPr>
                <w:rFonts w:ascii="Arial" w:hAnsi="Arial" w:cs="Arial"/>
                <w:color w:val="000000"/>
                <w:sz w:val="16"/>
                <w:szCs w:val="16"/>
                <w:lang w:val="ca-ES"/>
              </w:rPr>
              <w:t>+</w:t>
            </w:r>
            <w:r w:rsidRPr="0017630A">
              <w:rPr>
                <w:rFonts w:ascii="Arial" w:hAnsi="Arial" w:cs="Arial"/>
                <w:color w:val="000000"/>
                <w:sz w:val="16"/>
                <w:szCs w:val="16"/>
                <w:lang w:val="ca-ES"/>
              </w:rPr>
              <w:t xml:space="preserve">0.09 to </w:t>
            </w:r>
            <w:r>
              <w:rPr>
                <w:rFonts w:ascii="Arial" w:hAnsi="Arial" w:cs="Arial"/>
                <w:color w:val="000000"/>
                <w:sz w:val="16"/>
                <w:szCs w:val="16"/>
                <w:lang w:val="ca-ES"/>
              </w:rPr>
              <w:t>+</w:t>
            </w:r>
            <w:r w:rsidRPr="0017630A">
              <w:rPr>
                <w:rFonts w:ascii="Arial" w:hAnsi="Arial" w:cs="Arial"/>
                <w:color w:val="000000"/>
                <w:sz w:val="16"/>
                <w:szCs w:val="16"/>
                <w:lang w:val="ca-ES"/>
              </w:rPr>
              <w:t>0.22)</w:t>
            </w:r>
          </w:p>
        </w:tc>
      </w:tr>
      <w:tr w:rsidR="00761F32" w:rsidRPr="0017630A" w14:paraId="0AF2B1CB" w14:textId="77777777" w:rsidTr="005F390C">
        <w:trPr>
          <w:trHeight w:val="173"/>
        </w:trPr>
        <w:tc>
          <w:tcPr>
            <w:tcW w:w="1843" w:type="dxa"/>
            <w:tcBorders>
              <w:top w:val="single" w:sz="8" w:space="0" w:color="FFFFFF"/>
              <w:left w:val="nil"/>
              <w:bottom w:val="single" w:sz="8" w:space="0" w:color="FFFFFF"/>
              <w:right w:val="single" w:sz="8" w:space="0" w:color="FFFFFF"/>
            </w:tcBorders>
            <w:shd w:val="clear" w:color="auto" w:fill="E7E7E7"/>
            <w:tcMar>
              <w:top w:w="72" w:type="dxa"/>
              <w:left w:w="144" w:type="dxa"/>
              <w:bottom w:w="72" w:type="dxa"/>
              <w:right w:w="144" w:type="dxa"/>
            </w:tcMar>
            <w:hideMark/>
          </w:tcPr>
          <w:p w14:paraId="1DDF4C38" w14:textId="77777777" w:rsidR="00761F32" w:rsidRPr="0017630A" w:rsidRDefault="00761F32" w:rsidP="005F390C">
            <w:pPr>
              <w:jc w:val="both"/>
              <w:rPr>
                <w:rFonts w:ascii="Arial" w:hAnsi="Arial" w:cs="Arial"/>
                <w:color w:val="000000"/>
                <w:sz w:val="16"/>
                <w:szCs w:val="16"/>
              </w:rPr>
            </w:pPr>
            <w:r w:rsidRPr="0017630A">
              <w:rPr>
                <w:rFonts w:ascii="Arial" w:hAnsi="Arial" w:cs="Arial"/>
                <w:color w:val="000000"/>
                <w:sz w:val="16"/>
                <w:szCs w:val="16"/>
                <w:lang w:val="ca-ES"/>
              </w:rPr>
              <w:t>&gt;50</w:t>
            </w:r>
          </w:p>
        </w:tc>
        <w:tc>
          <w:tcPr>
            <w:tcW w:w="3677"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1A7BB9F7" w14:textId="77777777" w:rsidR="00761F32" w:rsidRPr="0017630A" w:rsidRDefault="00761F32" w:rsidP="005F390C">
            <w:pPr>
              <w:jc w:val="both"/>
              <w:rPr>
                <w:rFonts w:ascii="Arial" w:hAnsi="Arial" w:cs="Arial"/>
                <w:color w:val="000000"/>
                <w:sz w:val="16"/>
                <w:szCs w:val="16"/>
              </w:rPr>
            </w:pPr>
            <w:r w:rsidRPr="0017630A">
              <w:rPr>
                <w:rFonts w:ascii="Arial" w:hAnsi="Arial" w:cs="Arial"/>
                <w:color w:val="000000"/>
                <w:sz w:val="16"/>
                <w:szCs w:val="16"/>
                <w:lang w:val="ca-ES"/>
              </w:rPr>
              <w:t>0.33 (0.24 – 0.46)</w:t>
            </w:r>
          </w:p>
        </w:tc>
        <w:tc>
          <w:tcPr>
            <w:tcW w:w="364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179A065C" w14:textId="77777777" w:rsidR="00761F32" w:rsidRPr="0017630A" w:rsidRDefault="00761F32" w:rsidP="005F390C">
            <w:pPr>
              <w:jc w:val="both"/>
              <w:rPr>
                <w:rFonts w:ascii="Arial" w:hAnsi="Arial" w:cs="Arial"/>
                <w:color w:val="000000"/>
                <w:sz w:val="16"/>
                <w:szCs w:val="16"/>
              </w:rPr>
            </w:pPr>
            <w:r>
              <w:rPr>
                <w:rFonts w:ascii="Arial" w:hAnsi="Arial" w:cs="Arial"/>
                <w:color w:val="000000"/>
                <w:sz w:val="16"/>
                <w:szCs w:val="16"/>
                <w:lang w:val="ca-ES"/>
              </w:rPr>
              <w:t>+</w:t>
            </w:r>
            <w:r w:rsidRPr="0017630A">
              <w:rPr>
                <w:rFonts w:ascii="Arial" w:hAnsi="Arial" w:cs="Arial"/>
                <w:color w:val="000000"/>
                <w:sz w:val="16"/>
                <w:szCs w:val="16"/>
                <w:lang w:val="ca-ES"/>
              </w:rPr>
              <w:t>0.34 (</w:t>
            </w:r>
            <w:r>
              <w:rPr>
                <w:rFonts w:ascii="Arial" w:hAnsi="Arial" w:cs="Arial"/>
                <w:color w:val="000000"/>
                <w:sz w:val="16"/>
                <w:szCs w:val="16"/>
                <w:lang w:val="ca-ES"/>
              </w:rPr>
              <w:t>+</w:t>
            </w:r>
            <w:r w:rsidRPr="0017630A">
              <w:rPr>
                <w:rFonts w:ascii="Arial" w:hAnsi="Arial" w:cs="Arial"/>
                <w:color w:val="000000"/>
                <w:sz w:val="16"/>
                <w:szCs w:val="16"/>
                <w:lang w:val="ca-ES"/>
              </w:rPr>
              <w:t xml:space="preserve">0.25 to </w:t>
            </w:r>
            <w:r>
              <w:rPr>
                <w:rFonts w:ascii="Arial" w:hAnsi="Arial" w:cs="Arial"/>
                <w:color w:val="000000"/>
                <w:sz w:val="16"/>
                <w:szCs w:val="16"/>
                <w:lang w:val="ca-ES"/>
              </w:rPr>
              <w:t>+</w:t>
            </w:r>
            <w:r w:rsidRPr="0017630A">
              <w:rPr>
                <w:rFonts w:ascii="Arial" w:hAnsi="Arial" w:cs="Arial"/>
                <w:color w:val="000000"/>
                <w:sz w:val="16"/>
                <w:szCs w:val="16"/>
                <w:lang w:val="ca-ES"/>
              </w:rPr>
              <w:t>0.43)</w:t>
            </w:r>
          </w:p>
        </w:tc>
      </w:tr>
    </w:tbl>
    <w:p w14:paraId="1B9B7F55" w14:textId="77777777" w:rsidR="00761F32" w:rsidRDefault="00761F32" w:rsidP="00761F32">
      <w:pPr>
        <w:jc w:val="both"/>
        <w:rPr>
          <w:rFonts w:ascii="Arial" w:hAnsi="Arial" w:cs="Arial"/>
          <w:color w:val="000000"/>
          <w:sz w:val="16"/>
          <w:szCs w:val="16"/>
        </w:rPr>
      </w:pPr>
    </w:p>
    <w:p w14:paraId="29513ECB" w14:textId="77777777" w:rsidR="000B1027" w:rsidRPr="000B1027" w:rsidRDefault="000B1027" w:rsidP="00596BE0">
      <w:pPr>
        <w:jc w:val="both"/>
        <w:rPr>
          <w:rFonts w:ascii="Arial" w:hAnsi="Arial" w:cs="Arial"/>
          <w:b/>
          <w:color w:val="000000"/>
          <w:sz w:val="20"/>
          <w:szCs w:val="20"/>
        </w:rPr>
      </w:pPr>
    </w:p>
    <w:p w14:paraId="5711E835" w14:textId="4855D5DF" w:rsidR="00D3318E" w:rsidRPr="000B1027" w:rsidRDefault="00D3318E" w:rsidP="00D3318E">
      <w:pPr>
        <w:jc w:val="both"/>
        <w:rPr>
          <w:rFonts w:ascii="Arial" w:hAnsi="Arial" w:cs="Arial"/>
          <w:b/>
          <w:noProof/>
          <w:sz w:val="20"/>
          <w:szCs w:val="20"/>
          <w:lang w:eastAsia="ca-ES"/>
        </w:rPr>
      </w:pPr>
      <w:r w:rsidRPr="000B1027">
        <w:rPr>
          <w:rFonts w:ascii="Arial" w:hAnsi="Arial" w:cs="Arial"/>
          <w:b/>
          <w:sz w:val="20"/>
          <w:szCs w:val="20"/>
          <w:shd w:val="clear" w:color="auto" w:fill="FFFFFF"/>
        </w:rPr>
        <w:t xml:space="preserve">Table </w:t>
      </w:r>
      <w:r w:rsidR="000B1027">
        <w:rPr>
          <w:rFonts w:ascii="Arial" w:hAnsi="Arial" w:cs="Arial"/>
          <w:b/>
          <w:sz w:val="20"/>
          <w:szCs w:val="20"/>
          <w:shd w:val="clear" w:color="auto" w:fill="FFFFFF"/>
        </w:rPr>
        <w:t>S</w:t>
      </w:r>
      <w:r w:rsidRPr="000B1027">
        <w:rPr>
          <w:rFonts w:ascii="Arial" w:hAnsi="Arial" w:cs="Arial"/>
          <w:b/>
          <w:sz w:val="20"/>
          <w:szCs w:val="20"/>
          <w:shd w:val="clear" w:color="auto" w:fill="FFFFFF"/>
        </w:rPr>
        <w:t>2</w:t>
      </w:r>
      <w:r w:rsidR="00761F32">
        <w:rPr>
          <w:rFonts w:ascii="Arial" w:hAnsi="Arial" w:cs="Arial"/>
          <w:b/>
          <w:sz w:val="20"/>
          <w:szCs w:val="20"/>
          <w:shd w:val="clear" w:color="auto" w:fill="FFFFFF"/>
        </w:rPr>
        <w:t>2</w:t>
      </w:r>
      <w:r w:rsidRPr="000B1027">
        <w:rPr>
          <w:rFonts w:ascii="Arial" w:hAnsi="Arial" w:cs="Arial"/>
          <w:b/>
          <w:sz w:val="20"/>
          <w:szCs w:val="20"/>
          <w:shd w:val="clear" w:color="auto" w:fill="FFFFFF"/>
        </w:rPr>
        <w:t xml:space="preserve">: Summary of findings </w:t>
      </w:r>
      <w:r w:rsidR="00D5426A">
        <w:rPr>
          <w:rFonts w:ascii="Arial" w:hAnsi="Arial" w:cs="Arial"/>
          <w:b/>
          <w:sz w:val="20"/>
          <w:szCs w:val="20"/>
          <w:shd w:val="clear" w:color="auto" w:fill="FFFFFF"/>
        </w:rPr>
        <w:t>for</w:t>
      </w:r>
      <w:r w:rsidRPr="000B1027">
        <w:rPr>
          <w:rFonts w:ascii="Arial" w:hAnsi="Arial" w:cs="Arial"/>
          <w:b/>
          <w:sz w:val="20"/>
          <w:szCs w:val="20"/>
          <w:shd w:val="clear" w:color="auto" w:fill="FFFFFF"/>
        </w:rPr>
        <w:t xml:space="preserve"> dupilumab</w:t>
      </w:r>
      <w:r w:rsidRPr="000B1027">
        <w:rPr>
          <w:rFonts w:ascii="Arial" w:hAnsi="Arial" w:cs="Arial"/>
          <w:b/>
          <w:bCs/>
          <w:sz w:val="20"/>
          <w:szCs w:val="20"/>
        </w:rPr>
        <w:t xml:space="preserve"> compared to standard of care for allergic asthma</w:t>
      </w:r>
    </w:p>
    <w:tbl>
      <w:tblPr>
        <w:tblW w:w="4809" w:type="pct"/>
        <w:tblCellMar>
          <w:top w:w="75" w:type="dxa"/>
          <w:left w:w="75" w:type="dxa"/>
          <w:bottom w:w="75" w:type="dxa"/>
          <w:right w:w="75" w:type="dxa"/>
        </w:tblCellMar>
        <w:tblLook w:val="04A0" w:firstRow="1" w:lastRow="0" w:firstColumn="1" w:lastColumn="0" w:noHBand="0" w:noVBand="1"/>
      </w:tblPr>
      <w:tblGrid>
        <w:gridCol w:w="5033"/>
        <w:gridCol w:w="1768"/>
        <w:gridCol w:w="1362"/>
        <w:gridCol w:w="1497"/>
        <w:gridCol w:w="1768"/>
        <w:gridCol w:w="1497"/>
      </w:tblGrid>
      <w:tr w:rsidR="00D3318E" w:rsidRPr="00F87E48" w14:paraId="39EBB0C9" w14:textId="77777777" w:rsidTr="000B1027">
        <w:trPr>
          <w:cantSplit/>
          <w:tblHeader/>
        </w:trPr>
        <w:tc>
          <w:tcPr>
            <w:tcW w:w="1947" w:type="pct"/>
            <w:vMerge w:val="restart"/>
            <w:tcBorders>
              <w:top w:val="single" w:sz="12" w:space="0" w:color="000000"/>
              <w:left w:val="nil"/>
              <w:bottom w:val="single" w:sz="6" w:space="0" w:color="000000"/>
              <w:right w:val="nil"/>
            </w:tcBorders>
            <w:shd w:val="clear" w:color="auto" w:fill="3271AA"/>
            <w:vAlign w:val="center"/>
            <w:hideMark/>
          </w:tcPr>
          <w:p w14:paraId="650612A4" w14:textId="77777777" w:rsidR="00D3318E" w:rsidRPr="00561568" w:rsidRDefault="00D3318E" w:rsidP="00E350F6">
            <w:pPr>
              <w:pStyle w:val="NormalWeb"/>
              <w:spacing w:before="0" w:beforeAutospacing="0" w:after="0" w:afterAutospacing="0" w:line="276" w:lineRule="auto"/>
              <w:rPr>
                <w:rFonts w:ascii="Arial" w:hAnsi="Arial" w:cs="Arial"/>
                <w:b/>
                <w:bCs/>
                <w:i/>
                <w:iCs/>
                <w:color w:val="FFFFFF"/>
                <w:sz w:val="16"/>
                <w:szCs w:val="16"/>
              </w:rPr>
            </w:pPr>
            <w:r w:rsidRPr="00561568">
              <w:rPr>
                <w:rFonts w:ascii="Arial" w:hAnsi="Arial" w:cs="Arial"/>
                <w:b/>
                <w:bCs/>
                <w:color w:val="FFFFFF"/>
                <w:sz w:val="16"/>
                <w:szCs w:val="16"/>
              </w:rPr>
              <w:t>Outcomes</w:t>
            </w:r>
          </w:p>
        </w:tc>
        <w:tc>
          <w:tcPr>
            <w:tcW w:w="684" w:type="pct"/>
            <w:vMerge w:val="restart"/>
            <w:tcBorders>
              <w:top w:val="single" w:sz="12" w:space="0" w:color="000000"/>
              <w:left w:val="nil"/>
              <w:bottom w:val="single" w:sz="6" w:space="0" w:color="000000"/>
              <w:right w:val="nil"/>
            </w:tcBorders>
            <w:shd w:val="clear" w:color="auto" w:fill="3271AA"/>
            <w:vAlign w:val="center"/>
            <w:hideMark/>
          </w:tcPr>
          <w:p w14:paraId="3506122B" w14:textId="77777777" w:rsidR="00D3318E" w:rsidRPr="00561568" w:rsidRDefault="00D3318E" w:rsidP="00E350F6">
            <w:pPr>
              <w:pStyle w:val="NormalWeb"/>
              <w:spacing w:before="0" w:beforeAutospacing="0" w:after="0" w:afterAutospacing="0" w:line="276" w:lineRule="auto"/>
              <w:jc w:val="both"/>
              <w:rPr>
                <w:rFonts w:ascii="Arial" w:hAnsi="Arial" w:cs="Arial"/>
                <w:b/>
                <w:bCs/>
                <w:i/>
                <w:iCs/>
                <w:color w:val="FFFFFF"/>
                <w:sz w:val="16"/>
                <w:szCs w:val="16"/>
              </w:rPr>
            </w:pPr>
            <w:r w:rsidRPr="00561568">
              <w:rPr>
                <w:rFonts w:ascii="Arial" w:hAnsi="Arial" w:cs="Arial"/>
                <w:b/>
                <w:bCs/>
                <w:color w:val="FFFFFF"/>
                <w:sz w:val="16"/>
                <w:szCs w:val="16"/>
              </w:rPr>
              <w:t>№ of participants</w:t>
            </w:r>
            <w:r w:rsidRPr="00561568">
              <w:rPr>
                <w:rFonts w:ascii="Arial" w:hAnsi="Arial" w:cs="Arial"/>
                <w:b/>
                <w:bCs/>
                <w:color w:val="FFFFFF"/>
                <w:sz w:val="16"/>
                <w:szCs w:val="16"/>
              </w:rPr>
              <w:br/>
              <w:t>(studies)</w:t>
            </w:r>
            <w:r w:rsidRPr="00561568">
              <w:rPr>
                <w:rFonts w:ascii="Arial" w:hAnsi="Arial" w:cs="Arial"/>
                <w:b/>
                <w:bCs/>
                <w:color w:val="FFFFFF"/>
                <w:sz w:val="16"/>
                <w:szCs w:val="16"/>
              </w:rPr>
              <w:br/>
              <w:t>Follow-up</w:t>
            </w:r>
          </w:p>
        </w:tc>
        <w:tc>
          <w:tcPr>
            <w:tcW w:w="527" w:type="pct"/>
            <w:vMerge w:val="restart"/>
            <w:tcBorders>
              <w:top w:val="single" w:sz="12" w:space="0" w:color="000000"/>
              <w:left w:val="nil"/>
              <w:bottom w:val="single" w:sz="6" w:space="0" w:color="000000"/>
              <w:right w:val="nil"/>
            </w:tcBorders>
            <w:shd w:val="clear" w:color="auto" w:fill="3271AA"/>
            <w:vAlign w:val="center"/>
            <w:hideMark/>
          </w:tcPr>
          <w:p w14:paraId="44F3C760" w14:textId="77777777" w:rsidR="00D3318E" w:rsidRPr="00561568" w:rsidRDefault="00D3318E" w:rsidP="00E350F6">
            <w:pPr>
              <w:pStyle w:val="NormalWeb"/>
              <w:spacing w:before="0" w:beforeAutospacing="0" w:after="0" w:afterAutospacing="0" w:line="276" w:lineRule="auto"/>
              <w:jc w:val="both"/>
              <w:rPr>
                <w:rFonts w:ascii="Arial" w:hAnsi="Arial" w:cs="Arial"/>
                <w:b/>
                <w:bCs/>
                <w:i/>
                <w:iCs/>
                <w:color w:val="FFFFFF"/>
                <w:sz w:val="16"/>
                <w:szCs w:val="16"/>
              </w:rPr>
            </w:pPr>
            <w:r w:rsidRPr="00561568">
              <w:rPr>
                <w:rFonts w:ascii="Arial" w:hAnsi="Arial" w:cs="Arial"/>
                <w:b/>
                <w:bCs/>
                <w:color w:val="FFFFFF"/>
                <w:sz w:val="16"/>
                <w:szCs w:val="16"/>
              </w:rPr>
              <w:t>Certainty of the evidence</w:t>
            </w:r>
            <w:r w:rsidRPr="00561568">
              <w:rPr>
                <w:rFonts w:ascii="Arial" w:hAnsi="Arial" w:cs="Arial"/>
                <w:b/>
                <w:bCs/>
                <w:color w:val="FFFFFF"/>
                <w:sz w:val="16"/>
                <w:szCs w:val="16"/>
              </w:rPr>
              <w:br/>
              <w:t>(GRADE)</w:t>
            </w:r>
          </w:p>
        </w:tc>
        <w:tc>
          <w:tcPr>
            <w:tcW w:w="579" w:type="pct"/>
            <w:vMerge w:val="restart"/>
            <w:tcBorders>
              <w:top w:val="single" w:sz="12" w:space="0" w:color="000000"/>
              <w:left w:val="nil"/>
              <w:bottom w:val="single" w:sz="6" w:space="0" w:color="000000"/>
              <w:right w:val="nil"/>
            </w:tcBorders>
            <w:shd w:val="clear" w:color="auto" w:fill="3271AA"/>
            <w:vAlign w:val="center"/>
            <w:hideMark/>
          </w:tcPr>
          <w:p w14:paraId="573479DA" w14:textId="77777777" w:rsidR="00D3318E" w:rsidRPr="00561568" w:rsidRDefault="00D3318E" w:rsidP="00E350F6">
            <w:pPr>
              <w:pStyle w:val="NormalWeb"/>
              <w:spacing w:before="0" w:beforeAutospacing="0" w:after="0" w:afterAutospacing="0" w:line="276" w:lineRule="auto"/>
              <w:jc w:val="both"/>
              <w:rPr>
                <w:rFonts w:ascii="Arial" w:hAnsi="Arial" w:cs="Arial"/>
                <w:b/>
                <w:bCs/>
                <w:i/>
                <w:iCs/>
                <w:color w:val="FFFFFF"/>
                <w:sz w:val="16"/>
                <w:szCs w:val="16"/>
              </w:rPr>
            </w:pPr>
            <w:r w:rsidRPr="00561568">
              <w:rPr>
                <w:rFonts w:ascii="Arial" w:hAnsi="Arial" w:cs="Arial"/>
                <w:b/>
                <w:bCs/>
                <w:color w:val="FFFFFF"/>
                <w:sz w:val="16"/>
                <w:szCs w:val="16"/>
              </w:rPr>
              <w:t>Relative effect</w:t>
            </w:r>
            <w:r w:rsidRPr="00561568">
              <w:rPr>
                <w:rFonts w:ascii="Arial" w:hAnsi="Arial" w:cs="Arial"/>
                <w:b/>
                <w:bCs/>
                <w:color w:val="FFFFFF"/>
                <w:sz w:val="16"/>
                <w:szCs w:val="16"/>
              </w:rPr>
              <w:br/>
              <w:t>(95% CI)</w:t>
            </w:r>
          </w:p>
        </w:tc>
        <w:tc>
          <w:tcPr>
            <w:tcW w:w="1263" w:type="pct"/>
            <w:gridSpan w:val="2"/>
            <w:tcBorders>
              <w:top w:val="single" w:sz="12" w:space="0" w:color="000000"/>
              <w:left w:val="nil"/>
              <w:bottom w:val="single" w:sz="6" w:space="0" w:color="000000"/>
              <w:right w:val="nil"/>
            </w:tcBorders>
            <w:shd w:val="clear" w:color="auto" w:fill="D3D3D3"/>
            <w:vAlign w:val="center"/>
            <w:hideMark/>
          </w:tcPr>
          <w:p w14:paraId="13338115" w14:textId="77777777" w:rsidR="00D3318E" w:rsidRPr="00561568" w:rsidRDefault="00D3318E" w:rsidP="00E350F6">
            <w:pPr>
              <w:pStyle w:val="NormalWeb"/>
              <w:spacing w:before="0" w:beforeAutospacing="0" w:after="0" w:afterAutospacing="0" w:line="276" w:lineRule="auto"/>
              <w:jc w:val="both"/>
              <w:rPr>
                <w:rFonts w:ascii="Arial" w:hAnsi="Arial" w:cs="Arial"/>
                <w:b/>
                <w:bCs/>
                <w:i/>
                <w:iCs/>
                <w:color w:val="000000"/>
                <w:sz w:val="16"/>
                <w:szCs w:val="16"/>
              </w:rPr>
            </w:pPr>
            <w:r w:rsidRPr="00561568">
              <w:rPr>
                <w:rFonts w:ascii="Arial" w:hAnsi="Arial" w:cs="Arial"/>
                <w:b/>
                <w:bCs/>
                <w:color w:val="000000"/>
                <w:sz w:val="16"/>
                <w:szCs w:val="16"/>
              </w:rPr>
              <w:t>Anticipated absolute effects</w:t>
            </w:r>
          </w:p>
        </w:tc>
      </w:tr>
      <w:tr w:rsidR="00D3318E" w:rsidRPr="00F87E48" w14:paraId="669F7D14" w14:textId="77777777" w:rsidTr="000B1027">
        <w:trPr>
          <w:cantSplit/>
          <w:tblHeader/>
        </w:trPr>
        <w:tc>
          <w:tcPr>
            <w:tcW w:w="1947" w:type="pct"/>
            <w:vMerge/>
            <w:tcBorders>
              <w:top w:val="single" w:sz="12" w:space="0" w:color="000000"/>
              <w:left w:val="nil"/>
              <w:bottom w:val="single" w:sz="6" w:space="0" w:color="000000"/>
              <w:right w:val="nil"/>
            </w:tcBorders>
            <w:vAlign w:val="center"/>
            <w:hideMark/>
          </w:tcPr>
          <w:p w14:paraId="21E9E4AA" w14:textId="77777777" w:rsidR="00D3318E" w:rsidRPr="00561568" w:rsidRDefault="00D3318E" w:rsidP="00E350F6">
            <w:pPr>
              <w:rPr>
                <w:rFonts w:ascii="Arial" w:hAnsi="Arial" w:cs="Arial"/>
                <w:b/>
                <w:bCs/>
                <w:color w:val="FFFFFF"/>
                <w:sz w:val="16"/>
                <w:szCs w:val="16"/>
              </w:rPr>
            </w:pPr>
          </w:p>
        </w:tc>
        <w:tc>
          <w:tcPr>
            <w:tcW w:w="684" w:type="pct"/>
            <w:vMerge/>
            <w:tcBorders>
              <w:top w:val="single" w:sz="12" w:space="0" w:color="000000"/>
              <w:left w:val="nil"/>
              <w:bottom w:val="single" w:sz="6" w:space="0" w:color="000000"/>
              <w:right w:val="nil"/>
            </w:tcBorders>
            <w:vAlign w:val="center"/>
            <w:hideMark/>
          </w:tcPr>
          <w:p w14:paraId="24F618D7" w14:textId="77777777" w:rsidR="00D3318E" w:rsidRPr="00561568" w:rsidRDefault="00D3318E" w:rsidP="00E350F6">
            <w:pPr>
              <w:jc w:val="both"/>
              <w:rPr>
                <w:rFonts w:ascii="Arial" w:hAnsi="Arial" w:cs="Arial"/>
                <w:b/>
                <w:bCs/>
                <w:color w:val="FFFFFF"/>
                <w:sz w:val="16"/>
                <w:szCs w:val="16"/>
              </w:rPr>
            </w:pPr>
          </w:p>
        </w:tc>
        <w:tc>
          <w:tcPr>
            <w:tcW w:w="527" w:type="pct"/>
            <w:vMerge/>
            <w:tcBorders>
              <w:top w:val="single" w:sz="12" w:space="0" w:color="000000"/>
              <w:left w:val="nil"/>
              <w:bottom w:val="single" w:sz="6" w:space="0" w:color="000000"/>
              <w:right w:val="nil"/>
            </w:tcBorders>
            <w:vAlign w:val="center"/>
            <w:hideMark/>
          </w:tcPr>
          <w:p w14:paraId="1023A3BC" w14:textId="77777777" w:rsidR="00D3318E" w:rsidRPr="00561568" w:rsidRDefault="00D3318E" w:rsidP="00E350F6">
            <w:pPr>
              <w:jc w:val="both"/>
              <w:rPr>
                <w:rFonts w:ascii="Arial" w:hAnsi="Arial" w:cs="Arial"/>
                <w:b/>
                <w:bCs/>
                <w:color w:val="FFFFFF"/>
                <w:sz w:val="16"/>
                <w:szCs w:val="16"/>
              </w:rPr>
            </w:pPr>
          </w:p>
        </w:tc>
        <w:tc>
          <w:tcPr>
            <w:tcW w:w="579" w:type="pct"/>
            <w:vMerge/>
            <w:tcBorders>
              <w:top w:val="single" w:sz="12" w:space="0" w:color="000000"/>
              <w:left w:val="nil"/>
              <w:bottom w:val="single" w:sz="6" w:space="0" w:color="000000"/>
              <w:right w:val="nil"/>
            </w:tcBorders>
            <w:vAlign w:val="center"/>
            <w:hideMark/>
          </w:tcPr>
          <w:p w14:paraId="424D1C8B" w14:textId="77777777" w:rsidR="00D3318E" w:rsidRPr="00561568" w:rsidRDefault="00D3318E" w:rsidP="00E350F6">
            <w:pPr>
              <w:jc w:val="both"/>
              <w:rPr>
                <w:rFonts w:ascii="Arial" w:hAnsi="Arial" w:cs="Arial"/>
                <w:b/>
                <w:bCs/>
                <w:color w:val="FFFFFF"/>
                <w:sz w:val="16"/>
                <w:szCs w:val="16"/>
              </w:rPr>
            </w:pPr>
          </w:p>
        </w:tc>
        <w:tc>
          <w:tcPr>
            <w:tcW w:w="684" w:type="pct"/>
            <w:tcBorders>
              <w:top w:val="single" w:sz="12" w:space="0" w:color="000000"/>
              <w:left w:val="nil"/>
              <w:bottom w:val="single" w:sz="6" w:space="0" w:color="000000"/>
              <w:right w:val="nil"/>
            </w:tcBorders>
            <w:shd w:val="clear" w:color="auto" w:fill="D3D3D3"/>
            <w:vAlign w:val="center"/>
            <w:hideMark/>
          </w:tcPr>
          <w:p w14:paraId="234CD1A5" w14:textId="77777777" w:rsidR="00D3318E" w:rsidRPr="00561568" w:rsidRDefault="00D3318E" w:rsidP="00E350F6">
            <w:pPr>
              <w:pStyle w:val="NormalWeb"/>
              <w:spacing w:before="0" w:beforeAutospacing="0" w:after="0" w:afterAutospacing="0" w:line="276" w:lineRule="auto"/>
              <w:jc w:val="both"/>
              <w:rPr>
                <w:rFonts w:ascii="Arial" w:hAnsi="Arial" w:cs="Arial"/>
                <w:b/>
                <w:bCs/>
                <w:i/>
                <w:iCs/>
                <w:color w:val="000000"/>
                <w:sz w:val="16"/>
                <w:szCs w:val="16"/>
              </w:rPr>
            </w:pPr>
            <w:r w:rsidRPr="00561568">
              <w:rPr>
                <w:rFonts w:ascii="Arial" w:hAnsi="Arial" w:cs="Arial"/>
                <w:b/>
                <w:bCs/>
                <w:color w:val="000000"/>
                <w:sz w:val="16"/>
                <w:szCs w:val="16"/>
              </w:rPr>
              <w:t>Risk with standard of care</w:t>
            </w:r>
          </w:p>
        </w:tc>
        <w:tc>
          <w:tcPr>
            <w:tcW w:w="579" w:type="pct"/>
            <w:tcBorders>
              <w:top w:val="single" w:sz="12" w:space="0" w:color="000000"/>
              <w:left w:val="nil"/>
              <w:bottom w:val="single" w:sz="6" w:space="0" w:color="000000"/>
              <w:right w:val="nil"/>
            </w:tcBorders>
            <w:shd w:val="clear" w:color="auto" w:fill="D3D3D3"/>
            <w:vAlign w:val="center"/>
            <w:hideMark/>
          </w:tcPr>
          <w:p w14:paraId="551375EA" w14:textId="77777777" w:rsidR="00D3318E" w:rsidRPr="00561568" w:rsidRDefault="00D3318E" w:rsidP="00E350F6">
            <w:pPr>
              <w:pStyle w:val="NormalWeb"/>
              <w:spacing w:before="0" w:beforeAutospacing="0" w:after="0" w:afterAutospacing="0" w:line="276" w:lineRule="auto"/>
              <w:jc w:val="both"/>
              <w:rPr>
                <w:rFonts w:ascii="Arial" w:hAnsi="Arial" w:cs="Arial"/>
                <w:b/>
                <w:bCs/>
                <w:i/>
                <w:iCs/>
                <w:color w:val="000000"/>
                <w:sz w:val="16"/>
                <w:szCs w:val="16"/>
              </w:rPr>
            </w:pPr>
            <w:r w:rsidRPr="00561568">
              <w:rPr>
                <w:rFonts w:ascii="Arial" w:hAnsi="Arial" w:cs="Arial"/>
                <w:b/>
                <w:bCs/>
                <w:color w:val="000000"/>
                <w:sz w:val="16"/>
                <w:szCs w:val="16"/>
              </w:rPr>
              <w:t>Risk difference with Dupilumab</w:t>
            </w:r>
          </w:p>
        </w:tc>
      </w:tr>
      <w:tr w:rsidR="00D3318E" w:rsidRPr="00F87E48" w14:paraId="14E15986" w14:textId="77777777" w:rsidTr="000B1027">
        <w:trPr>
          <w:cantSplit/>
        </w:trPr>
        <w:tc>
          <w:tcPr>
            <w:tcW w:w="1947" w:type="pct"/>
            <w:vMerge w:val="restart"/>
            <w:tcBorders>
              <w:top w:val="single" w:sz="6" w:space="0" w:color="000000"/>
              <w:left w:val="nil"/>
              <w:bottom w:val="single" w:sz="6" w:space="0" w:color="000000"/>
              <w:right w:val="nil"/>
            </w:tcBorders>
            <w:vAlign w:val="center"/>
            <w:hideMark/>
          </w:tcPr>
          <w:p w14:paraId="0F8E57C3" w14:textId="77777777" w:rsidR="00D3318E" w:rsidRPr="00561568" w:rsidRDefault="00D3318E" w:rsidP="00E350F6">
            <w:pPr>
              <w:rPr>
                <w:rFonts w:ascii="Arial" w:hAnsi="Arial" w:cs="Arial"/>
                <w:b/>
                <w:bCs/>
                <w:i/>
                <w:iCs/>
                <w:color w:val="404040" w:themeColor="text1" w:themeTint="BF"/>
                <w:sz w:val="16"/>
                <w:szCs w:val="16"/>
              </w:rPr>
            </w:pPr>
            <w:r w:rsidRPr="00561568">
              <w:rPr>
                <w:rStyle w:val="label"/>
                <w:rFonts w:ascii="Arial" w:hAnsi="Arial" w:cs="Arial"/>
                <w:sz w:val="16"/>
                <w:szCs w:val="16"/>
              </w:rPr>
              <w:t xml:space="preserve">Clinically significant exacerbations rate ratio </w:t>
            </w:r>
            <w:r w:rsidRPr="00561568">
              <w:rPr>
                <w:rFonts w:ascii="Arial" w:hAnsi="Arial" w:cs="Arial"/>
                <w:sz w:val="16"/>
                <w:szCs w:val="16"/>
              </w:rPr>
              <w:br/>
            </w:r>
            <w:r w:rsidRPr="00561568">
              <w:rPr>
                <w:rStyle w:val="label"/>
                <w:rFonts w:ascii="Arial" w:hAnsi="Arial" w:cs="Arial"/>
                <w:sz w:val="16"/>
                <w:szCs w:val="16"/>
              </w:rPr>
              <w:t>assessed with: annual asthma exacerbations</w:t>
            </w:r>
            <w:r w:rsidRPr="00561568">
              <w:rPr>
                <w:rFonts w:ascii="Arial" w:hAnsi="Arial" w:cs="Arial"/>
                <w:sz w:val="16"/>
                <w:szCs w:val="16"/>
              </w:rPr>
              <w:br/>
            </w:r>
          </w:p>
        </w:tc>
        <w:tc>
          <w:tcPr>
            <w:tcW w:w="684" w:type="pct"/>
            <w:vMerge w:val="restart"/>
            <w:tcBorders>
              <w:top w:val="single" w:sz="6" w:space="0" w:color="000000"/>
              <w:left w:val="nil"/>
              <w:bottom w:val="single" w:sz="6" w:space="0" w:color="000000"/>
              <w:right w:val="nil"/>
            </w:tcBorders>
            <w:vAlign w:val="center"/>
            <w:hideMark/>
          </w:tcPr>
          <w:p w14:paraId="62C9921A" w14:textId="77777777" w:rsidR="00D3318E" w:rsidRDefault="00D3318E" w:rsidP="00E350F6">
            <w:pPr>
              <w:jc w:val="both"/>
              <w:rPr>
                <w:rFonts w:ascii="Arial" w:hAnsi="Arial" w:cs="Arial"/>
                <w:sz w:val="16"/>
                <w:szCs w:val="16"/>
                <w:vertAlign w:val="superscript"/>
              </w:rPr>
            </w:pPr>
            <w:r w:rsidRPr="00561568">
              <w:rPr>
                <w:rFonts w:ascii="Arial" w:hAnsi="Arial" w:cs="Arial"/>
                <w:sz w:val="16"/>
                <w:szCs w:val="16"/>
              </w:rPr>
              <w:t>1083</w:t>
            </w:r>
            <w:r w:rsidRPr="00561568">
              <w:rPr>
                <w:rFonts w:ascii="Arial" w:hAnsi="Arial" w:cs="Arial"/>
                <w:sz w:val="16"/>
                <w:szCs w:val="16"/>
              </w:rPr>
              <w:br/>
              <w:t xml:space="preserve">(1 RCT) </w:t>
            </w:r>
            <w:r w:rsidRPr="008E1B52">
              <w:rPr>
                <w:rFonts w:ascii="Arial" w:hAnsi="Arial" w:cs="Arial"/>
                <w:sz w:val="16"/>
                <w:szCs w:val="16"/>
                <w:vertAlign w:val="superscript"/>
              </w:rPr>
              <w:t>38</w:t>
            </w:r>
          </w:p>
          <w:p w14:paraId="69F6ED79" w14:textId="77777777" w:rsidR="00D3318E" w:rsidRPr="00561568" w:rsidRDefault="00D3318E" w:rsidP="00E350F6">
            <w:pPr>
              <w:jc w:val="both"/>
              <w:rPr>
                <w:rFonts w:ascii="Arial" w:hAnsi="Arial" w:cs="Arial"/>
                <w:b/>
                <w:bCs/>
                <w:i/>
                <w:iCs/>
                <w:color w:val="404040" w:themeColor="text1" w:themeTint="BF"/>
                <w:sz w:val="16"/>
                <w:szCs w:val="16"/>
              </w:rPr>
            </w:pPr>
            <w:r w:rsidRPr="00561568">
              <w:rPr>
                <w:rStyle w:val="label"/>
                <w:rFonts w:ascii="Arial" w:hAnsi="Arial" w:cs="Arial"/>
                <w:sz w:val="16"/>
                <w:szCs w:val="16"/>
              </w:rPr>
              <w:t>52 weeks</w:t>
            </w:r>
          </w:p>
        </w:tc>
        <w:tc>
          <w:tcPr>
            <w:tcW w:w="527" w:type="pct"/>
            <w:vMerge w:val="restart"/>
            <w:tcBorders>
              <w:top w:val="single" w:sz="6" w:space="0" w:color="000000"/>
              <w:left w:val="nil"/>
              <w:bottom w:val="single" w:sz="6" w:space="0" w:color="000000"/>
              <w:right w:val="nil"/>
            </w:tcBorders>
            <w:vAlign w:val="center"/>
            <w:hideMark/>
          </w:tcPr>
          <w:p w14:paraId="410128BA" w14:textId="77777777" w:rsidR="00D3318E" w:rsidRPr="00561568" w:rsidRDefault="00D3318E" w:rsidP="00E350F6">
            <w:pPr>
              <w:jc w:val="both"/>
              <w:rPr>
                <w:rFonts w:ascii="Arial" w:hAnsi="Arial" w:cs="Arial"/>
                <w:b/>
                <w:bCs/>
                <w:i/>
                <w:iCs/>
                <w:color w:val="404040" w:themeColor="text1" w:themeTint="BF"/>
                <w:sz w:val="16"/>
                <w:szCs w:val="16"/>
              </w:rPr>
            </w:pPr>
            <w:r w:rsidRPr="00561568">
              <w:rPr>
                <w:rStyle w:val="quality-sign"/>
                <w:rFonts w:ascii="Cambria Math" w:hAnsi="Cambria Math" w:cs="Cambria Math"/>
                <w:sz w:val="16"/>
                <w:szCs w:val="16"/>
              </w:rPr>
              <w:t>⨁⨁⨁⨁</w:t>
            </w:r>
            <w:r w:rsidRPr="00561568">
              <w:rPr>
                <w:rFonts w:ascii="Arial" w:hAnsi="Arial" w:cs="Arial"/>
                <w:sz w:val="16"/>
                <w:szCs w:val="16"/>
              </w:rPr>
              <w:br/>
            </w:r>
            <w:r w:rsidRPr="00561568">
              <w:rPr>
                <w:rStyle w:val="quality-text"/>
                <w:rFonts w:ascii="Arial" w:hAnsi="Arial" w:cs="Arial"/>
                <w:sz w:val="16"/>
                <w:szCs w:val="16"/>
              </w:rPr>
              <w:t>HIGH</w:t>
            </w:r>
            <w:r w:rsidRPr="00561568">
              <w:rPr>
                <w:rFonts w:ascii="Arial" w:hAnsi="Arial" w:cs="Arial"/>
                <w:sz w:val="16"/>
                <w:szCs w:val="16"/>
              </w:rPr>
              <w:t xml:space="preserve"> </w:t>
            </w:r>
            <w:proofErr w:type="gramStart"/>
            <w:r w:rsidRPr="00561568">
              <w:rPr>
                <w:rFonts w:ascii="Arial" w:hAnsi="Arial" w:cs="Arial"/>
                <w:sz w:val="16"/>
                <w:szCs w:val="16"/>
                <w:vertAlign w:val="superscript"/>
              </w:rPr>
              <w:t>2</w:t>
            </w:r>
            <w:r w:rsidRPr="00561568">
              <w:rPr>
                <w:rStyle w:val="comma"/>
                <w:rFonts w:ascii="Arial" w:hAnsi="Arial" w:cs="Arial"/>
                <w:sz w:val="16"/>
                <w:szCs w:val="16"/>
                <w:vertAlign w:val="superscript"/>
              </w:rPr>
              <w:t>,</w:t>
            </w:r>
            <w:r w:rsidRPr="00561568">
              <w:rPr>
                <w:rFonts w:ascii="Arial" w:hAnsi="Arial" w:cs="Arial"/>
                <w:sz w:val="16"/>
                <w:szCs w:val="16"/>
                <w:vertAlign w:val="superscript"/>
              </w:rPr>
              <w:t>a</w:t>
            </w:r>
            <w:proofErr w:type="gramEnd"/>
          </w:p>
        </w:tc>
        <w:tc>
          <w:tcPr>
            <w:tcW w:w="579" w:type="pct"/>
            <w:vMerge w:val="restart"/>
            <w:tcBorders>
              <w:top w:val="single" w:sz="6" w:space="0" w:color="000000"/>
              <w:left w:val="nil"/>
              <w:bottom w:val="single" w:sz="6" w:space="0" w:color="000000"/>
              <w:right w:val="nil"/>
            </w:tcBorders>
            <w:vAlign w:val="center"/>
            <w:hideMark/>
          </w:tcPr>
          <w:p w14:paraId="64844561" w14:textId="77777777" w:rsidR="00D3318E" w:rsidRPr="00561568" w:rsidRDefault="00D3318E" w:rsidP="00E350F6">
            <w:pPr>
              <w:jc w:val="both"/>
              <w:rPr>
                <w:rFonts w:ascii="Arial" w:hAnsi="Arial" w:cs="Arial"/>
                <w:b/>
                <w:bCs/>
                <w:i/>
                <w:iCs/>
                <w:color w:val="404040" w:themeColor="text1" w:themeTint="BF"/>
                <w:sz w:val="16"/>
                <w:szCs w:val="16"/>
              </w:rPr>
            </w:pPr>
            <w:r w:rsidRPr="00561568">
              <w:rPr>
                <w:rStyle w:val="block"/>
                <w:rFonts w:ascii="Arial" w:hAnsi="Arial" w:cs="Arial"/>
                <w:b/>
                <w:bCs/>
                <w:sz w:val="16"/>
                <w:szCs w:val="16"/>
              </w:rPr>
              <w:t>Rate ratio 0.58</w:t>
            </w:r>
            <w:r w:rsidRPr="00561568">
              <w:rPr>
                <w:rFonts w:ascii="Arial" w:hAnsi="Arial" w:cs="Arial"/>
                <w:sz w:val="16"/>
                <w:szCs w:val="16"/>
              </w:rPr>
              <w:br/>
            </w:r>
            <w:r w:rsidRPr="00561568">
              <w:rPr>
                <w:rStyle w:val="cell"/>
                <w:rFonts w:ascii="Arial" w:hAnsi="Arial" w:cs="Arial"/>
                <w:sz w:val="16"/>
                <w:szCs w:val="16"/>
              </w:rPr>
              <w:t>(0.47 to 0.73)</w:t>
            </w:r>
            <w:r w:rsidRPr="00561568">
              <w:rPr>
                <w:rFonts w:ascii="Arial" w:hAnsi="Arial" w:cs="Arial"/>
                <w:sz w:val="16"/>
                <w:szCs w:val="16"/>
              </w:rPr>
              <w:t xml:space="preserve"> </w:t>
            </w:r>
          </w:p>
        </w:tc>
        <w:tc>
          <w:tcPr>
            <w:tcW w:w="1263" w:type="pct"/>
            <w:gridSpan w:val="2"/>
            <w:tcBorders>
              <w:top w:val="single" w:sz="6" w:space="0" w:color="000000"/>
              <w:left w:val="nil"/>
              <w:bottom w:val="single" w:sz="6" w:space="0" w:color="000000"/>
              <w:right w:val="nil"/>
            </w:tcBorders>
            <w:shd w:val="clear" w:color="auto" w:fill="E0E0E0"/>
            <w:vAlign w:val="center"/>
            <w:hideMark/>
          </w:tcPr>
          <w:p w14:paraId="416683F6" w14:textId="77777777" w:rsidR="00D3318E" w:rsidRPr="00561568" w:rsidRDefault="00D3318E" w:rsidP="00E350F6">
            <w:pPr>
              <w:jc w:val="both"/>
              <w:rPr>
                <w:rFonts w:ascii="Arial" w:hAnsi="Arial" w:cs="Arial"/>
                <w:b/>
                <w:bCs/>
                <w:i/>
                <w:iCs/>
                <w:color w:val="404040" w:themeColor="text1" w:themeTint="BF"/>
                <w:sz w:val="16"/>
                <w:szCs w:val="16"/>
              </w:rPr>
            </w:pPr>
            <w:r w:rsidRPr="00561568">
              <w:rPr>
                <w:rFonts w:ascii="Arial" w:hAnsi="Arial" w:cs="Arial"/>
                <w:b/>
                <w:bCs/>
                <w:sz w:val="16"/>
                <w:szCs w:val="16"/>
              </w:rPr>
              <w:t xml:space="preserve">Moderate </w:t>
            </w:r>
          </w:p>
        </w:tc>
      </w:tr>
      <w:tr w:rsidR="00D3318E" w:rsidRPr="00F87E48" w14:paraId="7899426B" w14:textId="77777777" w:rsidTr="000B1027">
        <w:trPr>
          <w:cantSplit/>
        </w:trPr>
        <w:tc>
          <w:tcPr>
            <w:tcW w:w="1947" w:type="pct"/>
            <w:vMerge/>
            <w:tcBorders>
              <w:top w:val="single" w:sz="6" w:space="0" w:color="000000"/>
              <w:left w:val="nil"/>
              <w:bottom w:val="single" w:sz="6" w:space="0" w:color="000000"/>
              <w:right w:val="nil"/>
            </w:tcBorders>
            <w:vAlign w:val="center"/>
            <w:hideMark/>
          </w:tcPr>
          <w:p w14:paraId="24342566" w14:textId="77777777" w:rsidR="00D3318E" w:rsidRPr="00561568" w:rsidRDefault="00D3318E" w:rsidP="00E350F6">
            <w:pPr>
              <w:rPr>
                <w:rFonts w:ascii="Arial" w:hAnsi="Arial" w:cs="Arial"/>
                <w:sz w:val="16"/>
                <w:szCs w:val="16"/>
              </w:rPr>
            </w:pPr>
          </w:p>
        </w:tc>
        <w:tc>
          <w:tcPr>
            <w:tcW w:w="684" w:type="pct"/>
            <w:vMerge/>
            <w:tcBorders>
              <w:top w:val="single" w:sz="6" w:space="0" w:color="000000"/>
              <w:left w:val="nil"/>
              <w:bottom w:val="single" w:sz="6" w:space="0" w:color="000000"/>
              <w:right w:val="nil"/>
            </w:tcBorders>
            <w:vAlign w:val="center"/>
            <w:hideMark/>
          </w:tcPr>
          <w:p w14:paraId="7F8B8AF9" w14:textId="77777777" w:rsidR="00D3318E" w:rsidRPr="00561568" w:rsidRDefault="00D3318E" w:rsidP="00E350F6">
            <w:pPr>
              <w:jc w:val="both"/>
              <w:rPr>
                <w:rFonts w:ascii="Arial" w:hAnsi="Arial" w:cs="Arial"/>
                <w:sz w:val="16"/>
                <w:szCs w:val="16"/>
              </w:rPr>
            </w:pPr>
          </w:p>
        </w:tc>
        <w:tc>
          <w:tcPr>
            <w:tcW w:w="527" w:type="pct"/>
            <w:vMerge/>
            <w:tcBorders>
              <w:top w:val="single" w:sz="6" w:space="0" w:color="000000"/>
              <w:left w:val="nil"/>
              <w:bottom w:val="single" w:sz="6" w:space="0" w:color="000000"/>
              <w:right w:val="nil"/>
            </w:tcBorders>
            <w:vAlign w:val="center"/>
            <w:hideMark/>
          </w:tcPr>
          <w:p w14:paraId="275F7941" w14:textId="77777777" w:rsidR="00D3318E" w:rsidRPr="00561568" w:rsidRDefault="00D3318E" w:rsidP="00E350F6">
            <w:pPr>
              <w:jc w:val="both"/>
              <w:rPr>
                <w:rFonts w:ascii="Arial" w:hAnsi="Arial" w:cs="Arial"/>
                <w:sz w:val="16"/>
                <w:szCs w:val="16"/>
              </w:rPr>
            </w:pPr>
          </w:p>
        </w:tc>
        <w:tc>
          <w:tcPr>
            <w:tcW w:w="579" w:type="pct"/>
            <w:vMerge/>
            <w:tcBorders>
              <w:top w:val="single" w:sz="6" w:space="0" w:color="000000"/>
              <w:left w:val="nil"/>
              <w:bottom w:val="single" w:sz="6" w:space="0" w:color="000000"/>
              <w:right w:val="nil"/>
            </w:tcBorders>
            <w:vAlign w:val="center"/>
            <w:hideMark/>
          </w:tcPr>
          <w:p w14:paraId="14BB83C3" w14:textId="77777777" w:rsidR="00D3318E" w:rsidRPr="00561568" w:rsidRDefault="00D3318E" w:rsidP="00E350F6">
            <w:pPr>
              <w:jc w:val="both"/>
              <w:rPr>
                <w:rFonts w:ascii="Arial" w:hAnsi="Arial" w:cs="Arial"/>
                <w:sz w:val="16"/>
                <w:szCs w:val="16"/>
              </w:rPr>
            </w:pPr>
          </w:p>
        </w:tc>
        <w:tc>
          <w:tcPr>
            <w:tcW w:w="684" w:type="pct"/>
            <w:tcBorders>
              <w:top w:val="single" w:sz="6" w:space="0" w:color="000000"/>
              <w:left w:val="nil"/>
              <w:bottom w:val="single" w:sz="6" w:space="0" w:color="000000"/>
              <w:right w:val="nil"/>
            </w:tcBorders>
            <w:shd w:val="clear" w:color="auto" w:fill="EDEDED"/>
            <w:vAlign w:val="center"/>
            <w:hideMark/>
          </w:tcPr>
          <w:p w14:paraId="78BA9ED0" w14:textId="77777777" w:rsidR="00D3318E" w:rsidRPr="00561568" w:rsidRDefault="00D3318E" w:rsidP="00E350F6">
            <w:pPr>
              <w:jc w:val="both"/>
              <w:rPr>
                <w:rFonts w:ascii="Arial" w:hAnsi="Arial" w:cs="Arial"/>
                <w:b/>
                <w:bCs/>
                <w:i/>
                <w:iCs/>
                <w:color w:val="404040" w:themeColor="text1" w:themeTint="BF"/>
                <w:sz w:val="16"/>
                <w:szCs w:val="16"/>
              </w:rPr>
            </w:pPr>
            <w:r w:rsidRPr="00561568">
              <w:rPr>
                <w:rFonts w:ascii="Arial" w:hAnsi="Arial" w:cs="Arial"/>
                <w:sz w:val="16"/>
                <w:szCs w:val="16"/>
              </w:rPr>
              <w:t xml:space="preserve">10 per 1.000 </w:t>
            </w:r>
          </w:p>
        </w:tc>
        <w:tc>
          <w:tcPr>
            <w:tcW w:w="579" w:type="pct"/>
            <w:tcBorders>
              <w:top w:val="single" w:sz="6" w:space="0" w:color="000000"/>
              <w:left w:val="nil"/>
              <w:bottom w:val="single" w:sz="6" w:space="0" w:color="000000"/>
              <w:right w:val="nil"/>
            </w:tcBorders>
            <w:shd w:val="clear" w:color="auto" w:fill="EDEDED"/>
            <w:vAlign w:val="center"/>
            <w:hideMark/>
          </w:tcPr>
          <w:p w14:paraId="2A6B7CA3" w14:textId="77777777" w:rsidR="00D3318E" w:rsidRPr="00561568" w:rsidRDefault="00D3318E" w:rsidP="00E350F6">
            <w:pPr>
              <w:jc w:val="both"/>
              <w:rPr>
                <w:rFonts w:ascii="Arial" w:hAnsi="Arial" w:cs="Arial"/>
                <w:b/>
                <w:bCs/>
                <w:i/>
                <w:iCs/>
                <w:color w:val="404040" w:themeColor="text1" w:themeTint="BF"/>
                <w:sz w:val="16"/>
                <w:szCs w:val="16"/>
              </w:rPr>
            </w:pPr>
            <w:r w:rsidRPr="00561568">
              <w:rPr>
                <w:rStyle w:val="cell-value"/>
                <w:rFonts w:ascii="Arial" w:hAnsi="Arial" w:cs="Arial"/>
                <w:b/>
                <w:bCs/>
                <w:sz w:val="16"/>
                <w:szCs w:val="16"/>
              </w:rPr>
              <w:t>4 fewer per 1.000</w:t>
            </w:r>
            <w:r w:rsidRPr="00561568">
              <w:rPr>
                <w:rFonts w:ascii="Arial" w:hAnsi="Arial" w:cs="Arial"/>
                <w:sz w:val="16"/>
                <w:szCs w:val="16"/>
              </w:rPr>
              <w:br/>
            </w:r>
            <w:r w:rsidRPr="00561568">
              <w:rPr>
                <w:rStyle w:val="cell-value"/>
                <w:rFonts w:ascii="Arial" w:hAnsi="Arial" w:cs="Arial"/>
                <w:sz w:val="16"/>
                <w:szCs w:val="16"/>
              </w:rPr>
              <w:t>(5 fewer to 3 fewer)</w:t>
            </w:r>
            <w:r w:rsidRPr="00561568">
              <w:rPr>
                <w:rFonts w:ascii="Arial" w:hAnsi="Arial" w:cs="Arial"/>
                <w:sz w:val="16"/>
                <w:szCs w:val="16"/>
              </w:rPr>
              <w:t xml:space="preserve"> </w:t>
            </w:r>
          </w:p>
        </w:tc>
      </w:tr>
      <w:tr w:rsidR="00D3318E" w:rsidRPr="00F87E48" w14:paraId="15DA891D" w14:textId="77777777" w:rsidTr="000B1027">
        <w:trPr>
          <w:cantSplit/>
        </w:trPr>
        <w:tc>
          <w:tcPr>
            <w:tcW w:w="1947" w:type="pct"/>
            <w:tcBorders>
              <w:top w:val="single" w:sz="6" w:space="0" w:color="000000"/>
              <w:left w:val="nil"/>
              <w:bottom w:val="single" w:sz="6" w:space="0" w:color="000000"/>
              <w:right w:val="nil"/>
            </w:tcBorders>
            <w:vAlign w:val="center"/>
          </w:tcPr>
          <w:p w14:paraId="2A95EE78" w14:textId="77777777" w:rsidR="00D3318E" w:rsidRPr="00561568" w:rsidRDefault="00D3318E" w:rsidP="00E350F6">
            <w:pPr>
              <w:rPr>
                <w:rFonts w:ascii="Arial" w:hAnsi="Arial" w:cs="Arial"/>
                <w:sz w:val="16"/>
                <w:szCs w:val="16"/>
              </w:rPr>
            </w:pPr>
            <w:r w:rsidRPr="00561568">
              <w:rPr>
                <w:rStyle w:val="label"/>
                <w:rFonts w:ascii="Arial" w:hAnsi="Arial" w:cs="Arial"/>
                <w:sz w:val="16"/>
                <w:szCs w:val="16"/>
              </w:rPr>
              <w:t xml:space="preserve">Asthma control </w:t>
            </w:r>
            <w:r w:rsidRPr="00561568">
              <w:rPr>
                <w:rFonts w:ascii="Arial" w:hAnsi="Arial" w:cs="Arial"/>
                <w:sz w:val="16"/>
                <w:szCs w:val="16"/>
              </w:rPr>
              <w:br/>
            </w:r>
            <w:r w:rsidRPr="00561568">
              <w:rPr>
                <w:rStyle w:val="label"/>
                <w:rFonts w:ascii="Arial" w:hAnsi="Arial" w:cs="Arial"/>
                <w:sz w:val="16"/>
                <w:szCs w:val="16"/>
              </w:rPr>
              <w:t>assessed with: Asthma Control Questionnaire (ACQ-5)</w:t>
            </w:r>
            <w:r w:rsidRPr="00561568">
              <w:rPr>
                <w:rFonts w:ascii="Arial" w:hAnsi="Arial" w:cs="Arial"/>
                <w:sz w:val="16"/>
                <w:szCs w:val="16"/>
              </w:rPr>
              <w:br/>
            </w:r>
            <w:r w:rsidRPr="00561568">
              <w:rPr>
                <w:rStyle w:val="label"/>
                <w:rFonts w:ascii="Arial" w:hAnsi="Arial" w:cs="Arial"/>
                <w:sz w:val="16"/>
                <w:szCs w:val="16"/>
              </w:rPr>
              <w:t>Scale from: 1 to 5</w:t>
            </w:r>
            <w:r w:rsidRPr="00561568">
              <w:rPr>
                <w:rFonts w:ascii="Arial" w:hAnsi="Arial" w:cs="Arial"/>
                <w:sz w:val="16"/>
                <w:szCs w:val="16"/>
              </w:rPr>
              <w:br/>
            </w:r>
          </w:p>
        </w:tc>
        <w:tc>
          <w:tcPr>
            <w:tcW w:w="684" w:type="pct"/>
            <w:tcBorders>
              <w:top w:val="single" w:sz="6" w:space="0" w:color="000000"/>
              <w:left w:val="nil"/>
              <w:bottom w:val="single" w:sz="6" w:space="0" w:color="000000"/>
              <w:right w:val="nil"/>
            </w:tcBorders>
            <w:vAlign w:val="center"/>
          </w:tcPr>
          <w:p w14:paraId="54EA4523" w14:textId="77777777" w:rsidR="00D3318E" w:rsidRDefault="00D3318E" w:rsidP="00E350F6">
            <w:pPr>
              <w:jc w:val="both"/>
              <w:rPr>
                <w:rFonts w:ascii="Arial" w:hAnsi="Arial" w:cs="Arial"/>
                <w:sz w:val="16"/>
                <w:szCs w:val="16"/>
                <w:vertAlign w:val="superscript"/>
              </w:rPr>
            </w:pPr>
            <w:r w:rsidRPr="00561568">
              <w:rPr>
                <w:rFonts w:ascii="Arial" w:hAnsi="Arial" w:cs="Arial"/>
                <w:sz w:val="16"/>
                <w:szCs w:val="16"/>
              </w:rPr>
              <w:t>1013</w:t>
            </w:r>
            <w:r w:rsidRPr="00561568">
              <w:rPr>
                <w:rFonts w:ascii="Arial" w:hAnsi="Arial" w:cs="Arial"/>
                <w:sz w:val="16"/>
                <w:szCs w:val="16"/>
              </w:rPr>
              <w:br/>
              <w:t xml:space="preserve">(1 RCT) </w:t>
            </w:r>
            <w:r w:rsidRPr="008E1B52">
              <w:rPr>
                <w:rFonts w:ascii="Arial" w:hAnsi="Arial" w:cs="Arial"/>
                <w:sz w:val="16"/>
                <w:szCs w:val="16"/>
                <w:vertAlign w:val="superscript"/>
              </w:rPr>
              <w:t>38</w:t>
            </w:r>
          </w:p>
          <w:p w14:paraId="3A6B3DDC" w14:textId="77777777" w:rsidR="00D3318E" w:rsidRPr="00561568" w:rsidRDefault="00D3318E" w:rsidP="00E350F6">
            <w:pPr>
              <w:jc w:val="both"/>
              <w:rPr>
                <w:rFonts w:ascii="Arial" w:hAnsi="Arial" w:cs="Arial"/>
                <w:sz w:val="16"/>
                <w:szCs w:val="16"/>
              </w:rPr>
            </w:pPr>
            <w:r w:rsidRPr="00561568">
              <w:rPr>
                <w:rStyle w:val="label"/>
                <w:rFonts w:ascii="Arial" w:hAnsi="Arial" w:cs="Arial"/>
                <w:sz w:val="16"/>
                <w:szCs w:val="16"/>
              </w:rPr>
              <w:t>24 weeks</w:t>
            </w:r>
          </w:p>
        </w:tc>
        <w:tc>
          <w:tcPr>
            <w:tcW w:w="527" w:type="pct"/>
            <w:tcBorders>
              <w:top w:val="single" w:sz="6" w:space="0" w:color="000000"/>
              <w:left w:val="nil"/>
              <w:bottom w:val="single" w:sz="6" w:space="0" w:color="000000"/>
              <w:right w:val="nil"/>
            </w:tcBorders>
            <w:vAlign w:val="center"/>
          </w:tcPr>
          <w:p w14:paraId="3F30FB36" w14:textId="77777777" w:rsidR="00D3318E" w:rsidRPr="00561568" w:rsidRDefault="00D3318E" w:rsidP="00E350F6">
            <w:pPr>
              <w:jc w:val="both"/>
              <w:rPr>
                <w:rFonts w:ascii="Arial" w:hAnsi="Arial" w:cs="Arial"/>
                <w:sz w:val="16"/>
                <w:szCs w:val="16"/>
              </w:rPr>
            </w:pPr>
            <w:r w:rsidRPr="00561568">
              <w:rPr>
                <w:rStyle w:val="quality-sign"/>
                <w:rFonts w:ascii="Cambria Math" w:hAnsi="Cambria Math" w:cs="Cambria Math"/>
                <w:sz w:val="16"/>
                <w:szCs w:val="16"/>
              </w:rPr>
              <w:t>⨁⨁⨁⨁</w:t>
            </w:r>
            <w:r w:rsidRPr="00561568">
              <w:rPr>
                <w:rFonts w:ascii="Arial" w:hAnsi="Arial" w:cs="Arial"/>
                <w:sz w:val="16"/>
                <w:szCs w:val="16"/>
              </w:rPr>
              <w:br/>
            </w:r>
            <w:r w:rsidRPr="00561568">
              <w:rPr>
                <w:rStyle w:val="quality-text"/>
                <w:rFonts w:ascii="Arial" w:hAnsi="Arial" w:cs="Arial"/>
                <w:sz w:val="16"/>
                <w:szCs w:val="16"/>
              </w:rPr>
              <w:t>HIGH</w:t>
            </w:r>
            <w:r w:rsidRPr="00561568">
              <w:rPr>
                <w:rFonts w:ascii="Arial" w:hAnsi="Arial" w:cs="Arial"/>
                <w:sz w:val="16"/>
                <w:szCs w:val="16"/>
              </w:rPr>
              <w:t xml:space="preserve"> </w:t>
            </w:r>
            <w:r w:rsidRPr="00561568">
              <w:rPr>
                <w:rFonts w:ascii="Arial" w:hAnsi="Arial" w:cs="Arial"/>
                <w:sz w:val="16"/>
                <w:szCs w:val="16"/>
                <w:vertAlign w:val="superscript"/>
              </w:rPr>
              <w:t>2</w:t>
            </w:r>
            <w:r w:rsidRPr="00561568">
              <w:rPr>
                <w:rStyle w:val="comma"/>
                <w:rFonts w:ascii="Arial" w:hAnsi="Arial" w:cs="Arial"/>
                <w:sz w:val="16"/>
                <w:szCs w:val="16"/>
                <w:vertAlign w:val="superscript"/>
              </w:rPr>
              <w:t>,</w:t>
            </w:r>
            <w:proofErr w:type="gramStart"/>
            <w:r w:rsidRPr="00561568">
              <w:rPr>
                <w:rFonts w:ascii="Arial" w:hAnsi="Arial" w:cs="Arial"/>
                <w:sz w:val="16"/>
                <w:szCs w:val="16"/>
                <w:vertAlign w:val="superscript"/>
              </w:rPr>
              <w:t>7</w:t>
            </w:r>
            <w:r w:rsidRPr="00561568">
              <w:rPr>
                <w:rStyle w:val="comma"/>
                <w:rFonts w:ascii="Arial" w:hAnsi="Arial" w:cs="Arial"/>
                <w:sz w:val="16"/>
                <w:szCs w:val="16"/>
                <w:vertAlign w:val="superscript"/>
              </w:rPr>
              <w:t>,</w:t>
            </w:r>
            <w:r w:rsidRPr="00561568">
              <w:rPr>
                <w:rFonts w:ascii="Arial" w:hAnsi="Arial" w:cs="Arial"/>
                <w:sz w:val="16"/>
                <w:szCs w:val="16"/>
                <w:vertAlign w:val="superscript"/>
              </w:rPr>
              <w:t>a</w:t>
            </w:r>
            <w:proofErr w:type="gramEnd"/>
            <w:r w:rsidRPr="00561568">
              <w:rPr>
                <w:rStyle w:val="comma"/>
                <w:rFonts w:ascii="Arial" w:hAnsi="Arial" w:cs="Arial"/>
                <w:sz w:val="16"/>
                <w:szCs w:val="16"/>
                <w:vertAlign w:val="superscript"/>
              </w:rPr>
              <w:t>,</w:t>
            </w:r>
            <w:r w:rsidRPr="00561568">
              <w:rPr>
                <w:rFonts w:ascii="Arial" w:hAnsi="Arial" w:cs="Arial"/>
                <w:sz w:val="16"/>
                <w:szCs w:val="16"/>
                <w:vertAlign w:val="superscript"/>
              </w:rPr>
              <w:t>d</w:t>
            </w:r>
          </w:p>
        </w:tc>
        <w:tc>
          <w:tcPr>
            <w:tcW w:w="579" w:type="pct"/>
            <w:tcBorders>
              <w:top w:val="single" w:sz="6" w:space="0" w:color="000000"/>
              <w:left w:val="nil"/>
              <w:bottom w:val="single" w:sz="6" w:space="0" w:color="000000"/>
              <w:right w:val="nil"/>
            </w:tcBorders>
            <w:vAlign w:val="center"/>
          </w:tcPr>
          <w:p w14:paraId="55221BBC" w14:textId="77777777" w:rsidR="00D3318E" w:rsidRPr="00561568" w:rsidRDefault="00D3318E" w:rsidP="00E350F6">
            <w:pPr>
              <w:jc w:val="both"/>
              <w:rPr>
                <w:rFonts w:ascii="Arial" w:hAnsi="Arial" w:cs="Arial"/>
                <w:sz w:val="16"/>
                <w:szCs w:val="16"/>
              </w:rPr>
            </w:pPr>
            <w:r w:rsidRPr="00561568">
              <w:rPr>
                <w:rStyle w:val="cell"/>
                <w:rFonts w:ascii="Arial" w:hAnsi="Arial" w:cs="Arial"/>
                <w:sz w:val="16"/>
                <w:szCs w:val="16"/>
              </w:rPr>
              <w:t>-</w:t>
            </w:r>
            <w:r w:rsidRPr="00561568">
              <w:rPr>
                <w:rFonts w:ascii="Arial" w:hAnsi="Arial" w:cs="Arial"/>
                <w:sz w:val="16"/>
                <w:szCs w:val="16"/>
              </w:rPr>
              <w:t xml:space="preserve"> </w:t>
            </w:r>
          </w:p>
        </w:tc>
        <w:tc>
          <w:tcPr>
            <w:tcW w:w="684" w:type="pct"/>
            <w:tcBorders>
              <w:top w:val="single" w:sz="6" w:space="0" w:color="000000"/>
              <w:left w:val="nil"/>
              <w:bottom w:val="single" w:sz="6" w:space="0" w:color="000000"/>
              <w:right w:val="nil"/>
            </w:tcBorders>
            <w:shd w:val="clear" w:color="auto" w:fill="EDEDED"/>
            <w:vAlign w:val="center"/>
          </w:tcPr>
          <w:p w14:paraId="188EE253" w14:textId="77777777" w:rsidR="00D3318E" w:rsidRPr="00561568" w:rsidRDefault="00D3318E" w:rsidP="00E350F6">
            <w:pPr>
              <w:jc w:val="both"/>
              <w:rPr>
                <w:rFonts w:ascii="Arial" w:hAnsi="Arial" w:cs="Arial"/>
                <w:sz w:val="16"/>
                <w:szCs w:val="16"/>
              </w:rPr>
            </w:pPr>
            <w:r w:rsidRPr="00561568">
              <w:rPr>
                <w:rStyle w:val="cell-value"/>
                <w:rFonts w:ascii="Arial" w:hAnsi="Arial" w:cs="Arial"/>
                <w:sz w:val="16"/>
                <w:szCs w:val="16"/>
              </w:rPr>
              <w:t xml:space="preserve">The mean asthma control was </w:t>
            </w:r>
            <w:r w:rsidRPr="00561568">
              <w:rPr>
                <w:rStyle w:val="cell-value"/>
                <w:rFonts w:ascii="Arial" w:hAnsi="Arial" w:cs="Arial"/>
                <w:b/>
                <w:bCs/>
                <w:sz w:val="16"/>
                <w:szCs w:val="16"/>
              </w:rPr>
              <w:t>0</w:t>
            </w:r>
            <w:r w:rsidRPr="00561568">
              <w:rPr>
                <w:rFonts w:ascii="Arial" w:hAnsi="Arial" w:cs="Arial"/>
                <w:sz w:val="16"/>
                <w:szCs w:val="16"/>
              </w:rPr>
              <w:t xml:space="preserve"> </w:t>
            </w:r>
          </w:p>
        </w:tc>
        <w:tc>
          <w:tcPr>
            <w:tcW w:w="579" w:type="pct"/>
            <w:tcBorders>
              <w:top w:val="single" w:sz="6" w:space="0" w:color="000000"/>
              <w:left w:val="nil"/>
              <w:bottom w:val="single" w:sz="6" w:space="0" w:color="000000"/>
              <w:right w:val="nil"/>
            </w:tcBorders>
            <w:shd w:val="clear" w:color="auto" w:fill="EDEDED"/>
            <w:vAlign w:val="center"/>
          </w:tcPr>
          <w:p w14:paraId="3C8D5AA0" w14:textId="77777777" w:rsidR="00D3318E" w:rsidRPr="00561568" w:rsidRDefault="00D3318E" w:rsidP="00E350F6">
            <w:pPr>
              <w:jc w:val="both"/>
              <w:rPr>
                <w:rStyle w:val="cell-value"/>
                <w:rFonts w:ascii="Arial" w:hAnsi="Arial" w:cs="Arial"/>
                <w:b/>
                <w:bCs/>
                <w:sz w:val="16"/>
                <w:szCs w:val="16"/>
              </w:rPr>
            </w:pPr>
            <w:r w:rsidRPr="00561568">
              <w:rPr>
                <w:rStyle w:val="cell-value"/>
                <w:rFonts w:ascii="Arial" w:hAnsi="Arial" w:cs="Arial"/>
                <w:sz w:val="16"/>
                <w:szCs w:val="16"/>
              </w:rPr>
              <w:t xml:space="preserve">MD </w:t>
            </w:r>
            <w:r>
              <w:rPr>
                <w:rStyle w:val="cell-value"/>
                <w:rFonts w:ascii="Arial" w:hAnsi="Arial" w:cs="Arial"/>
                <w:sz w:val="16"/>
                <w:szCs w:val="16"/>
              </w:rPr>
              <w:t xml:space="preserve">- </w:t>
            </w:r>
            <w:r w:rsidRPr="00561568">
              <w:rPr>
                <w:rStyle w:val="cell-value"/>
                <w:rFonts w:ascii="Arial" w:hAnsi="Arial" w:cs="Arial"/>
                <w:b/>
                <w:bCs/>
                <w:sz w:val="16"/>
                <w:szCs w:val="16"/>
              </w:rPr>
              <w:t xml:space="preserve">0.27 </w:t>
            </w:r>
            <w:r w:rsidRPr="00561568">
              <w:rPr>
                <w:rFonts w:ascii="Arial" w:hAnsi="Arial" w:cs="Arial"/>
                <w:sz w:val="16"/>
                <w:szCs w:val="16"/>
              </w:rPr>
              <w:br/>
            </w:r>
            <w:r w:rsidRPr="00561568">
              <w:rPr>
                <w:rStyle w:val="cell-value"/>
                <w:rFonts w:ascii="Arial" w:hAnsi="Arial" w:cs="Arial"/>
                <w:sz w:val="16"/>
                <w:szCs w:val="16"/>
              </w:rPr>
              <w:t>(</w:t>
            </w:r>
            <w:r>
              <w:rPr>
                <w:rStyle w:val="cell-value"/>
                <w:rFonts w:ascii="Arial" w:hAnsi="Arial" w:cs="Arial"/>
                <w:sz w:val="16"/>
                <w:szCs w:val="16"/>
              </w:rPr>
              <w:t>-</w:t>
            </w:r>
            <w:r w:rsidRPr="00561568">
              <w:rPr>
                <w:rStyle w:val="cell-value"/>
                <w:rFonts w:ascii="Arial" w:hAnsi="Arial" w:cs="Arial"/>
                <w:sz w:val="16"/>
                <w:szCs w:val="16"/>
              </w:rPr>
              <w:t xml:space="preserve">0.4 to </w:t>
            </w:r>
            <w:r>
              <w:rPr>
                <w:rStyle w:val="cell-value"/>
                <w:rFonts w:ascii="Arial" w:hAnsi="Arial" w:cs="Arial"/>
                <w:sz w:val="16"/>
                <w:szCs w:val="16"/>
              </w:rPr>
              <w:t xml:space="preserve">- </w:t>
            </w:r>
            <w:r w:rsidRPr="00561568">
              <w:rPr>
                <w:rStyle w:val="cell-value"/>
                <w:rFonts w:ascii="Arial" w:hAnsi="Arial" w:cs="Arial"/>
                <w:sz w:val="16"/>
                <w:szCs w:val="16"/>
              </w:rPr>
              <w:t>0.14)</w:t>
            </w:r>
            <w:r w:rsidRPr="00561568">
              <w:rPr>
                <w:rFonts w:ascii="Arial" w:hAnsi="Arial" w:cs="Arial"/>
                <w:sz w:val="16"/>
                <w:szCs w:val="16"/>
              </w:rPr>
              <w:t xml:space="preserve"> </w:t>
            </w:r>
          </w:p>
        </w:tc>
      </w:tr>
      <w:tr w:rsidR="00D3318E" w:rsidRPr="00F87E48" w14:paraId="51046341" w14:textId="77777777" w:rsidTr="000B1027">
        <w:trPr>
          <w:cantSplit/>
        </w:trPr>
        <w:tc>
          <w:tcPr>
            <w:tcW w:w="1947" w:type="pct"/>
            <w:tcBorders>
              <w:top w:val="single" w:sz="6" w:space="0" w:color="000000"/>
              <w:left w:val="nil"/>
              <w:bottom w:val="single" w:sz="6" w:space="0" w:color="000000"/>
              <w:right w:val="nil"/>
            </w:tcBorders>
            <w:vAlign w:val="center"/>
            <w:hideMark/>
          </w:tcPr>
          <w:p w14:paraId="7BCAE0F8" w14:textId="77777777" w:rsidR="00D3318E" w:rsidRPr="00561568" w:rsidRDefault="00D3318E" w:rsidP="00E350F6">
            <w:pPr>
              <w:rPr>
                <w:rFonts w:ascii="Arial" w:hAnsi="Arial" w:cs="Arial"/>
                <w:b/>
                <w:bCs/>
                <w:i/>
                <w:iCs/>
                <w:color w:val="404040" w:themeColor="text1" w:themeTint="BF"/>
                <w:sz w:val="16"/>
                <w:szCs w:val="16"/>
              </w:rPr>
            </w:pPr>
            <w:r w:rsidRPr="00561568">
              <w:rPr>
                <w:rStyle w:val="label"/>
                <w:rFonts w:ascii="Arial" w:hAnsi="Arial" w:cs="Arial"/>
                <w:sz w:val="16"/>
                <w:szCs w:val="16"/>
              </w:rPr>
              <w:t>Lung fun</w:t>
            </w:r>
            <w:r>
              <w:rPr>
                <w:rStyle w:val="label"/>
                <w:rFonts w:ascii="Arial" w:hAnsi="Arial" w:cs="Arial"/>
                <w:sz w:val="16"/>
                <w:szCs w:val="16"/>
              </w:rPr>
              <w:t>c</w:t>
            </w:r>
            <w:r w:rsidRPr="00561568">
              <w:rPr>
                <w:rStyle w:val="label"/>
                <w:rFonts w:ascii="Arial" w:hAnsi="Arial" w:cs="Arial"/>
                <w:sz w:val="16"/>
                <w:szCs w:val="16"/>
              </w:rPr>
              <w:t xml:space="preserve">tion </w:t>
            </w:r>
            <w:r w:rsidRPr="00561568">
              <w:rPr>
                <w:rFonts w:ascii="Arial" w:hAnsi="Arial" w:cs="Arial"/>
                <w:sz w:val="16"/>
                <w:szCs w:val="16"/>
              </w:rPr>
              <w:br/>
            </w:r>
            <w:r w:rsidRPr="00561568">
              <w:rPr>
                <w:rStyle w:val="label"/>
                <w:rFonts w:ascii="Arial" w:hAnsi="Arial" w:cs="Arial"/>
                <w:sz w:val="16"/>
                <w:szCs w:val="16"/>
              </w:rPr>
              <w:t>assessed with: Forced expiratory volume in one second (FEV1 in L) change from baseline</w:t>
            </w:r>
            <w:r w:rsidRPr="00561568">
              <w:rPr>
                <w:rFonts w:ascii="Arial" w:hAnsi="Arial" w:cs="Arial"/>
                <w:sz w:val="16"/>
                <w:szCs w:val="16"/>
              </w:rPr>
              <w:br/>
            </w:r>
          </w:p>
        </w:tc>
        <w:tc>
          <w:tcPr>
            <w:tcW w:w="684" w:type="pct"/>
            <w:tcBorders>
              <w:top w:val="single" w:sz="6" w:space="0" w:color="000000"/>
              <w:left w:val="nil"/>
              <w:bottom w:val="single" w:sz="6" w:space="0" w:color="000000"/>
              <w:right w:val="nil"/>
            </w:tcBorders>
            <w:vAlign w:val="center"/>
            <w:hideMark/>
          </w:tcPr>
          <w:p w14:paraId="31257637" w14:textId="77777777" w:rsidR="00D3318E" w:rsidRDefault="00D3318E" w:rsidP="00E350F6">
            <w:pPr>
              <w:jc w:val="both"/>
              <w:rPr>
                <w:rFonts w:ascii="Arial" w:hAnsi="Arial" w:cs="Arial"/>
                <w:sz w:val="16"/>
                <w:szCs w:val="16"/>
                <w:vertAlign w:val="superscript"/>
              </w:rPr>
            </w:pPr>
            <w:r w:rsidRPr="00561568">
              <w:rPr>
                <w:rFonts w:ascii="Arial" w:hAnsi="Arial" w:cs="Arial"/>
                <w:sz w:val="16"/>
                <w:szCs w:val="16"/>
              </w:rPr>
              <w:t>1055</w:t>
            </w:r>
            <w:r w:rsidRPr="00561568">
              <w:rPr>
                <w:rFonts w:ascii="Arial" w:hAnsi="Arial" w:cs="Arial"/>
                <w:sz w:val="16"/>
                <w:szCs w:val="16"/>
              </w:rPr>
              <w:br/>
              <w:t xml:space="preserve">(1 RCT) </w:t>
            </w:r>
            <w:r w:rsidRPr="008E1B52">
              <w:rPr>
                <w:rFonts w:ascii="Arial" w:hAnsi="Arial" w:cs="Arial"/>
                <w:sz w:val="16"/>
                <w:szCs w:val="16"/>
                <w:vertAlign w:val="superscript"/>
              </w:rPr>
              <w:t>38</w:t>
            </w:r>
          </w:p>
          <w:p w14:paraId="0534FA05" w14:textId="77777777" w:rsidR="00D3318E" w:rsidRPr="00561568" w:rsidRDefault="00D3318E" w:rsidP="00E350F6">
            <w:pPr>
              <w:jc w:val="both"/>
              <w:rPr>
                <w:rFonts w:ascii="Arial" w:hAnsi="Arial" w:cs="Arial"/>
                <w:b/>
                <w:bCs/>
                <w:i/>
                <w:iCs/>
                <w:color w:val="404040" w:themeColor="text1" w:themeTint="BF"/>
                <w:sz w:val="16"/>
                <w:szCs w:val="16"/>
              </w:rPr>
            </w:pPr>
            <w:r w:rsidRPr="00561568">
              <w:rPr>
                <w:rStyle w:val="label"/>
                <w:rFonts w:ascii="Arial" w:hAnsi="Arial" w:cs="Arial"/>
                <w:sz w:val="16"/>
                <w:szCs w:val="16"/>
              </w:rPr>
              <w:t>12 weeks</w:t>
            </w:r>
          </w:p>
        </w:tc>
        <w:tc>
          <w:tcPr>
            <w:tcW w:w="527" w:type="pct"/>
            <w:tcBorders>
              <w:top w:val="single" w:sz="6" w:space="0" w:color="000000"/>
              <w:left w:val="nil"/>
              <w:bottom w:val="single" w:sz="6" w:space="0" w:color="000000"/>
              <w:right w:val="nil"/>
            </w:tcBorders>
            <w:vAlign w:val="center"/>
            <w:hideMark/>
          </w:tcPr>
          <w:p w14:paraId="5C6843B8" w14:textId="77777777" w:rsidR="00D3318E" w:rsidRPr="00561568" w:rsidRDefault="00D3318E" w:rsidP="00E350F6">
            <w:pPr>
              <w:jc w:val="both"/>
              <w:rPr>
                <w:rFonts w:ascii="Arial" w:hAnsi="Arial" w:cs="Arial"/>
                <w:b/>
                <w:bCs/>
                <w:i/>
                <w:iCs/>
                <w:color w:val="404040" w:themeColor="text1" w:themeTint="BF"/>
                <w:sz w:val="16"/>
                <w:szCs w:val="16"/>
              </w:rPr>
            </w:pPr>
            <w:r w:rsidRPr="00561568">
              <w:rPr>
                <w:rStyle w:val="quality-sign"/>
                <w:rFonts w:ascii="Cambria Math" w:hAnsi="Cambria Math" w:cs="Cambria Math"/>
                <w:sz w:val="16"/>
                <w:szCs w:val="16"/>
              </w:rPr>
              <w:t>⨁⨁</w:t>
            </w:r>
            <w:r w:rsidRPr="00561568">
              <w:rPr>
                <w:rStyle w:val="quality-sign"/>
                <w:rFonts w:ascii="Segoe UI Symbol" w:eastAsia="MS Mincho" w:hAnsi="Segoe UI Symbol" w:cs="Segoe UI Symbol"/>
                <w:sz w:val="16"/>
                <w:szCs w:val="16"/>
              </w:rPr>
              <w:t>◯◯</w:t>
            </w:r>
            <w:r w:rsidRPr="00561568">
              <w:rPr>
                <w:rFonts w:ascii="Arial" w:hAnsi="Arial" w:cs="Arial"/>
                <w:sz w:val="16"/>
                <w:szCs w:val="16"/>
              </w:rPr>
              <w:br/>
            </w:r>
            <w:r w:rsidRPr="00561568">
              <w:rPr>
                <w:rStyle w:val="quality-text"/>
                <w:rFonts w:ascii="Arial" w:hAnsi="Arial" w:cs="Arial"/>
                <w:sz w:val="16"/>
                <w:szCs w:val="16"/>
              </w:rPr>
              <w:t>LOW</w:t>
            </w:r>
            <w:r w:rsidRPr="00561568">
              <w:rPr>
                <w:rFonts w:ascii="Arial" w:hAnsi="Arial" w:cs="Arial"/>
                <w:sz w:val="16"/>
                <w:szCs w:val="16"/>
              </w:rPr>
              <w:t xml:space="preserve"> </w:t>
            </w:r>
            <w:r w:rsidRPr="00561568">
              <w:rPr>
                <w:rFonts w:ascii="Arial" w:hAnsi="Arial" w:cs="Arial"/>
                <w:sz w:val="16"/>
                <w:szCs w:val="16"/>
                <w:vertAlign w:val="superscript"/>
              </w:rPr>
              <w:t>2</w:t>
            </w:r>
            <w:r w:rsidRPr="00561568">
              <w:rPr>
                <w:rStyle w:val="comma"/>
                <w:rFonts w:ascii="Arial" w:hAnsi="Arial" w:cs="Arial"/>
                <w:sz w:val="16"/>
                <w:szCs w:val="16"/>
                <w:vertAlign w:val="superscript"/>
              </w:rPr>
              <w:t>,</w:t>
            </w:r>
            <w:r w:rsidRPr="00561568">
              <w:rPr>
                <w:rFonts w:ascii="Arial" w:hAnsi="Arial" w:cs="Arial"/>
                <w:sz w:val="16"/>
                <w:szCs w:val="16"/>
                <w:vertAlign w:val="superscript"/>
              </w:rPr>
              <w:t>3</w:t>
            </w:r>
            <w:r w:rsidRPr="00561568">
              <w:rPr>
                <w:rStyle w:val="comma"/>
                <w:rFonts w:ascii="Arial" w:hAnsi="Arial" w:cs="Arial"/>
                <w:sz w:val="16"/>
                <w:szCs w:val="16"/>
                <w:vertAlign w:val="superscript"/>
              </w:rPr>
              <w:t>,</w:t>
            </w:r>
            <w:r w:rsidRPr="00561568">
              <w:rPr>
                <w:rFonts w:ascii="Arial" w:hAnsi="Arial" w:cs="Arial"/>
                <w:sz w:val="16"/>
                <w:szCs w:val="16"/>
                <w:vertAlign w:val="superscript"/>
              </w:rPr>
              <w:t>4</w:t>
            </w:r>
            <w:r w:rsidRPr="00561568">
              <w:rPr>
                <w:rStyle w:val="comma"/>
                <w:rFonts w:ascii="Arial" w:hAnsi="Arial" w:cs="Arial"/>
                <w:sz w:val="16"/>
                <w:szCs w:val="16"/>
                <w:vertAlign w:val="superscript"/>
              </w:rPr>
              <w:t>,</w:t>
            </w:r>
            <w:proofErr w:type="gramStart"/>
            <w:r w:rsidRPr="00561568">
              <w:rPr>
                <w:rFonts w:ascii="Arial" w:hAnsi="Arial" w:cs="Arial"/>
                <w:sz w:val="16"/>
                <w:szCs w:val="16"/>
                <w:vertAlign w:val="superscript"/>
              </w:rPr>
              <w:t>5</w:t>
            </w:r>
            <w:r w:rsidRPr="00561568">
              <w:rPr>
                <w:rStyle w:val="comma"/>
                <w:rFonts w:ascii="Arial" w:hAnsi="Arial" w:cs="Arial"/>
                <w:sz w:val="16"/>
                <w:szCs w:val="16"/>
                <w:vertAlign w:val="superscript"/>
              </w:rPr>
              <w:t>,</w:t>
            </w:r>
            <w:r w:rsidRPr="00561568">
              <w:rPr>
                <w:rFonts w:ascii="Arial" w:hAnsi="Arial" w:cs="Arial"/>
                <w:sz w:val="16"/>
                <w:szCs w:val="16"/>
                <w:vertAlign w:val="superscript"/>
              </w:rPr>
              <w:t>a</w:t>
            </w:r>
            <w:proofErr w:type="gramEnd"/>
            <w:r w:rsidRPr="00561568">
              <w:rPr>
                <w:rStyle w:val="comma"/>
                <w:rFonts w:ascii="Arial" w:hAnsi="Arial" w:cs="Arial"/>
                <w:sz w:val="16"/>
                <w:szCs w:val="16"/>
                <w:vertAlign w:val="superscript"/>
              </w:rPr>
              <w:t>,</w:t>
            </w:r>
            <w:r w:rsidRPr="00561568">
              <w:rPr>
                <w:rFonts w:ascii="Arial" w:hAnsi="Arial" w:cs="Arial"/>
                <w:sz w:val="16"/>
                <w:szCs w:val="16"/>
                <w:vertAlign w:val="superscript"/>
              </w:rPr>
              <w:t>b</w:t>
            </w:r>
            <w:r w:rsidRPr="00561568">
              <w:rPr>
                <w:rStyle w:val="comma"/>
                <w:rFonts w:ascii="Arial" w:hAnsi="Arial" w:cs="Arial"/>
                <w:sz w:val="16"/>
                <w:szCs w:val="16"/>
                <w:vertAlign w:val="superscript"/>
              </w:rPr>
              <w:t>,</w:t>
            </w:r>
            <w:r w:rsidRPr="00561568">
              <w:rPr>
                <w:rFonts w:ascii="Arial" w:hAnsi="Arial" w:cs="Arial"/>
                <w:sz w:val="16"/>
                <w:szCs w:val="16"/>
                <w:vertAlign w:val="superscript"/>
              </w:rPr>
              <w:t>c</w:t>
            </w:r>
          </w:p>
        </w:tc>
        <w:tc>
          <w:tcPr>
            <w:tcW w:w="579" w:type="pct"/>
            <w:tcBorders>
              <w:top w:val="single" w:sz="6" w:space="0" w:color="000000"/>
              <w:left w:val="nil"/>
              <w:bottom w:val="single" w:sz="6" w:space="0" w:color="000000"/>
              <w:right w:val="nil"/>
            </w:tcBorders>
            <w:vAlign w:val="center"/>
            <w:hideMark/>
          </w:tcPr>
          <w:p w14:paraId="26FAC2A3" w14:textId="77777777" w:rsidR="00D3318E" w:rsidRPr="00561568" w:rsidRDefault="00D3318E" w:rsidP="00E350F6">
            <w:pPr>
              <w:jc w:val="both"/>
              <w:rPr>
                <w:rFonts w:ascii="Arial" w:hAnsi="Arial" w:cs="Arial"/>
                <w:b/>
                <w:bCs/>
                <w:i/>
                <w:iCs/>
                <w:color w:val="404040" w:themeColor="text1" w:themeTint="BF"/>
                <w:sz w:val="16"/>
                <w:szCs w:val="16"/>
              </w:rPr>
            </w:pPr>
            <w:r w:rsidRPr="00561568">
              <w:rPr>
                <w:rStyle w:val="cell"/>
                <w:rFonts w:ascii="Arial" w:hAnsi="Arial" w:cs="Arial"/>
                <w:sz w:val="16"/>
                <w:szCs w:val="16"/>
              </w:rPr>
              <w:t>-</w:t>
            </w:r>
            <w:r w:rsidRPr="00561568">
              <w:rPr>
                <w:rFonts w:ascii="Arial" w:hAnsi="Arial" w:cs="Arial"/>
                <w:sz w:val="16"/>
                <w:szCs w:val="16"/>
              </w:rPr>
              <w:t xml:space="preserve"> </w:t>
            </w:r>
          </w:p>
        </w:tc>
        <w:tc>
          <w:tcPr>
            <w:tcW w:w="684" w:type="pct"/>
            <w:tcBorders>
              <w:top w:val="single" w:sz="6" w:space="0" w:color="000000"/>
              <w:left w:val="nil"/>
              <w:bottom w:val="single" w:sz="6" w:space="0" w:color="000000"/>
              <w:right w:val="nil"/>
            </w:tcBorders>
            <w:shd w:val="clear" w:color="auto" w:fill="EDEDED"/>
            <w:vAlign w:val="center"/>
            <w:hideMark/>
          </w:tcPr>
          <w:p w14:paraId="7D09A40E" w14:textId="461BC5AD" w:rsidR="00D3318E" w:rsidRPr="00561568" w:rsidRDefault="00D3318E" w:rsidP="00E350F6">
            <w:pPr>
              <w:jc w:val="both"/>
              <w:rPr>
                <w:rFonts w:ascii="Arial" w:hAnsi="Arial" w:cs="Arial"/>
                <w:b/>
                <w:bCs/>
                <w:i/>
                <w:iCs/>
                <w:color w:val="404040" w:themeColor="text1" w:themeTint="BF"/>
                <w:sz w:val="16"/>
                <w:szCs w:val="16"/>
              </w:rPr>
            </w:pPr>
            <w:r w:rsidRPr="00561568">
              <w:rPr>
                <w:rStyle w:val="cell-value"/>
                <w:rFonts w:ascii="Arial" w:hAnsi="Arial" w:cs="Arial"/>
                <w:sz w:val="16"/>
                <w:szCs w:val="16"/>
              </w:rPr>
              <w:t>The mean lung fun</w:t>
            </w:r>
            <w:r w:rsidR="00982C89">
              <w:rPr>
                <w:rStyle w:val="cell-value"/>
                <w:rFonts w:ascii="Arial" w:hAnsi="Arial" w:cs="Arial"/>
                <w:sz w:val="16"/>
                <w:szCs w:val="16"/>
              </w:rPr>
              <w:t>c</w:t>
            </w:r>
            <w:r w:rsidRPr="00561568">
              <w:rPr>
                <w:rStyle w:val="cell-value"/>
                <w:rFonts w:ascii="Arial" w:hAnsi="Arial" w:cs="Arial"/>
                <w:sz w:val="16"/>
                <w:szCs w:val="16"/>
              </w:rPr>
              <w:t xml:space="preserve">tion change from baseline was </w:t>
            </w:r>
            <w:r w:rsidRPr="00561568">
              <w:rPr>
                <w:rStyle w:val="cell-value"/>
                <w:rFonts w:ascii="Arial" w:hAnsi="Arial" w:cs="Arial"/>
                <w:b/>
                <w:bCs/>
                <w:sz w:val="16"/>
                <w:szCs w:val="16"/>
              </w:rPr>
              <w:t>0</w:t>
            </w:r>
            <w:r w:rsidRPr="00561568">
              <w:rPr>
                <w:rStyle w:val="cell-value"/>
                <w:rFonts w:ascii="Arial" w:hAnsi="Arial" w:cs="Arial"/>
                <w:sz w:val="16"/>
                <w:szCs w:val="16"/>
              </w:rPr>
              <w:t xml:space="preserve"> L</w:t>
            </w:r>
            <w:r w:rsidRPr="00561568">
              <w:rPr>
                <w:rFonts w:ascii="Arial" w:hAnsi="Arial" w:cs="Arial"/>
                <w:sz w:val="16"/>
                <w:szCs w:val="16"/>
              </w:rPr>
              <w:t xml:space="preserve"> </w:t>
            </w:r>
          </w:p>
        </w:tc>
        <w:tc>
          <w:tcPr>
            <w:tcW w:w="579" w:type="pct"/>
            <w:tcBorders>
              <w:top w:val="single" w:sz="6" w:space="0" w:color="000000"/>
              <w:left w:val="nil"/>
              <w:bottom w:val="single" w:sz="6" w:space="0" w:color="000000"/>
              <w:right w:val="nil"/>
            </w:tcBorders>
            <w:shd w:val="clear" w:color="auto" w:fill="EDEDED"/>
            <w:vAlign w:val="center"/>
            <w:hideMark/>
          </w:tcPr>
          <w:p w14:paraId="75E799CE" w14:textId="77777777" w:rsidR="00D3318E" w:rsidRPr="00561568" w:rsidRDefault="00D3318E" w:rsidP="00E350F6">
            <w:pPr>
              <w:jc w:val="both"/>
              <w:rPr>
                <w:rFonts w:ascii="Arial" w:hAnsi="Arial" w:cs="Arial"/>
                <w:b/>
                <w:bCs/>
                <w:i/>
                <w:iCs/>
                <w:color w:val="404040" w:themeColor="text1" w:themeTint="BF"/>
                <w:sz w:val="16"/>
                <w:szCs w:val="16"/>
              </w:rPr>
            </w:pPr>
            <w:r w:rsidRPr="00561568">
              <w:rPr>
                <w:rStyle w:val="cell-value"/>
                <w:rFonts w:ascii="Arial" w:hAnsi="Arial" w:cs="Arial"/>
                <w:sz w:val="16"/>
                <w:szCs w:val="16"/>
              </w:rPr>
              <w:t xml:space="preserve">MD </w:t>
            </w:r>
            <w:r>
              <w:rPr>
                <w:rStyle w:val="cell-value"/>
                <w:rFonts w:ascii="Arial" w:hAnsi="Arial" w:cs="Arial"/>
                <w:sz w:val="16"/>
                <w:szCs w:val="16"/>
              </w:rPr>
              <w:t xml:space="preserve">+ </w:t>
            </w:r>
            <w:r w:rsidRPr="00561568">
              <w:rPr>
                <w:rStyle w:val="cell-value"/>
                <w:rFonts w:ascii="Arial" w:hAnsi="Arial" w:cs="Arial"/>
                <w:b/>
                <w:bCs/>
                <w:sz w:val="16"/>
                <w:szCs w:val="16"/>
              </w:rPr>
              <w:t xml:space="preserve">0.15 L </w:t>
            </w:r>
            <w:r w:rsidRPr="00561568">
              <w:rPr>
                <w:rFonts w:ascii="Arial" w:hAnsi="Arial" w:cs="Arial"/>
                <w:sz w:val="16"/>
                <w:szCs w:val="16"/>
              </w:rPr>
              <w:br/>
            </w:r>
            <w:r w:rsidRPr="00561568">
              <w:rPr>
                <w:rStyle w:val="cell-value"/>
                <w:rFonts w:ascii="Arial" w:hAnsi="Arial" w:cs="Arial"/>
                <w:sz w:val="16"/>
                <w:szCs w:val="16"/>
              </w:rPr>
              <w:t>(</w:t>
            </w:r>
            <w:r>
              <w:rPr>
                <w:rStyle w:val="cell-value"/>
                <w:rFonts w:ascii="Arial" w:hAnsi="Arial" w:cs="Arial"/>
                <w:sz w:val="16"/>
                <w:szCs w:val="16"/>
              </w:rPr>
              <w:t>+</w:t>
            </w:r>
            <w:r w:rsidRPr="00561568">
              <w:rPr>
                <w:rStyle w:val="cell-value"/>
                <w:rFonts w:ascii="Arial" w:hAnsi="Arial" w:cs="Arial"/>
                <w:sz w:val="16"/>
                <w:szCs w:val="16"/>
              </w:rPr>
              <w:t xml:space="preserve">0.09 to </w:t>
            </w:r>
            <w:r>
              <w:rPr>
                <w:rStyle w:val="cell-value"/>
                <w:rFonts w:ascii="Arial" w:hAnsi="Arial" w:cs="Arial"/>
                <w:sz w:val="16"/>
                <w:szCs w:val="16"/>
              </w:rPr>
              <w:t xml:space="preserve">+ </w:t>
            </w:r>
            <w:r w:rsidRPr="00561568">
              <w:rPr>
                <w:rStyle w:val="cell-value"/>
                <w:rFonts w:ascii="Arial" w:hAnsi="Arial" w:cs="Arial"/>
                <w:sz w:val="16"/>
                <w:szCs w:val="16"/>
              </w:rPr>
              <w:t>0.2)</w:t>
            </w:r>
            <w:r w:rsidRPr="00561568">
              <w:rPr>
                <w:rFonts w:ascii="Arial" w:hAnsi="Arial" w:cs="Arial"/>
                <w:sz w:val="16"/>
                <w:szCs w:val="16"/>
              </w:rPr>
              <w:t xml:space="preserve"> </w:t>
            </w:r>
          </w:p>
        </w:tc>
      </w:tr>
      <w:tr w:rsidR="00D3318E" w:rsidRPr="00F87E48" w14:paraId="03DB4317" w14:textId="77777777" w:rsidTr="000B1027">
        <w:trPr>
          <w:cantSplit/>
        </w:trPr>
        <w:tc>
          <w:tcPr>
            <w:tcW w:w="5000" w:type="pct"/>
            <w:gridSpan w:val="6"/>
            <w:tcBorders>
              <w:top w:val="single" w:sz="6" w:space="0" w:color="000000"/>
              <w:left w:val="nil"/>
              <w:bottom w:val="single" w:sz="6" w:space="0" w:color="000000"/>
              <w:right w:val="nil"/>
            </w:tcBorders>
            <w:hideMark/>
          </w:tcPr>
          <w:p w14:paraId="3060925A" w14:textId="77777777" w:rsidR="00D3318E" w:rsidRPr="00561568" w:rsidRDefault="00D3318E" w:rsidP="00E350F6">
            <w:pPr>
              <w:rPr>
                <w:rFonts w:ascii="Arial" w:hAnsi="Arial" w:cs="Arial"/>
                <w:sz w:val="16"/>
                <w:szCs w:val="16"/>
              </w:rPr>
            </w:pPr>
            <w:r w:rsidRPr="00561568">
              <w:rPr>
                <w:rFonts w:ascii="Arial" w:hAnsi="Arial" w:cs="Arial"/>
                <w:sz w:val="16"/>
                <w:szCs w:val="16"/>
              </w:rPr>
              <w:t>*</w:t>
            </w:r>
            <w:r w:rsidRPr="00561568">
              <w:rPr>
                <w:rFonts w:ascii="Arial" w:hAnsi="Arial" w:cs="Arial"/>
                <w:b/>
                <w:bCs/>
                <w:sz w:val="16"/>
                <w:szCs w:val="16"/>
              </w:rPr>
              <w:t>The risk in the intervention group</w:t>
            </w:r>
            <w:r w:rsidRPr="00561568">
              <w:rPr>
                <w:rFonts w:ascii="Arial" w:hAnsi="Arial" w:cs="Arial"/>
                <w:sz w:val="16"/>
                <w:szCs w:val="16"/>
              </w:rPr>
              <w:t xml:space="preserve"> (and its 95% confidence interval) is based on the assumed risk in the comparison group and the </w:t>
            </w:r>
            <w:r w:rsidRPr="00561568">
              <w:rPr>
                <w:rFonts w:ascii="Arial" w:hAnsi="Arial" w:cs="Arial"/>
                <w:b/>
                <w:bCs/>
                <w:sz w:val="16"/>
                <w:szCs w:val="16"/>
              </w:rPr>
              <w:t>relative effect</w:t>
            </w:r>
            <w:r w:rsidRPr="00561568">
              <w:rPr>
                <w:rFonts w:ascii="Arial" w:hAnsi="Arial" w:cs="Arial"/>
                <w:sz w:val="16"/>
                <w:szCs w:val="16"/>
              </w:rPr>
              <w:t xml:space="preserve"> of the intervention (and its 95% CI). </w:t>
            </w:r>
            <w:r w:rsidRPr="00561568">
              <w:rPr>
                <w:rFonts w:ascii="Arial" w:hAnsi="Arial" w:cs="Arial"/>
                <w:sz w:val="16"/>
                <w:szCs w:val="16"/>
              </w:rPr>
              <w:br/>
            </w:r>
            <w:r w:rsidRPr="00561568">
              <w:rPr>
                <w:rFonts w:ascii="Arial" w:hAnsi="Arial" w:cs="Arial"/>
                <w:sz w:val="16"/>
                <w:szCs w:val="16"/>
              </w:rPr>
              <w:br/>
            </w:r>
            <w:r w:rsidRPr="00561568">
              <w:rPr>
                <w:rFonts w:ascii="Arial" w:hAnsi="Arial" w:cs="Arial"/>
                <w:b/>
                <w:bCs/>
                <w:sz w:val="16"/>
                <w:szCs w:val="16"/>
              </w:rPr>
              <w:t>CI:</w:t>
            </w:r>
            <w:r w:rsidRPr="00561568">
              <w:rPr>
                <w:rFonts w:ascii="Arial" w:hAnsi="Arial" w:cs="Arial"/>
                <w:sz w:val="16"/>
                <w:szCs w:val="16"/>
              </w:rPr>
              <w:t xml:space="preserve"> Confidence interval; </w:t>
            </w:r>
            <w:r w:rsidRPr="00561568">
              <w:rPr>
                <w:rFonts w:ascii="Arial" w:hAnsi="Arial" w:cs="Arial"/>
                <w:b/>
                <w:bCs/>
                <w:sz w:val="16"/>
                <w:szCs w:val="16"/>
              </w:rPr>
              <w:t>MD:</w:t>
            </w:r>
            <w:r w:rsidRPr="00561568">
              <w:rPr>
                <w:rFonts w:ascii="Arial" w:hAnsi="Arial" w:cs="Arial"/>
                <w:sz w:val="16"/>
                <w:szCs w:val="16"/>
              </w:rPr>
              <w:t xml:space="preserve"> Mean difference </w:t>
            </w:r>
          </w:p>
        </w:tc>
      </w:tr>
      <w:tr w:rsidR="00D3318E" w:rsidRPr="00F87E48" w14:paraId="3C76EE69" w14:textId="77777777" w:rsidTr="000B1027">
        <w:trPr>
          <w:cantSplit/>
        </w:trPr>
        <w:tc>
          <w:tcPr>
            <w:tcW w:w="5000" w:type="pct"/>
            <w:gridSpan w:val="6"/>
            <w:tcBorders>
              <w:top w:val="single" w:sz="6" w:space="0" w:color="000000"/>
              <w:left w:val="nil"/>
              <w:bottom w:val="single" w:sz="6" w:space="0" w:color="000000"/>
              <w:right w:val="nil"/>
            </w:tcBorders>
            <w:hideMark/>
          </w:tcPr>
          <w:p w14:paraId="0DA98C45" w14:textId="77777777" w:rsidR="00D3318E" w:rsidRPr="00561568" w:rsidRDefault="00D3318E" w:rsidP="00E350F6">
            <w:pPr>
              <w:rPr>
                <w:rFonts w:ascii="Arial" w:hAnsi="Arial" w:cs="Arial"/>
                <w:sz w:val="16"/>
                <w:szCs w:val="16"/>
              </w:rPr>
            </w:pPr>
            <w:r w:rsidRPr="00561568">
              <w:rPr>
                <w:rFonts w:ascii="Arial" w:hAnsi="Arial" w:cs="Arial"/>
                <w:b/>
                <w:bCs/>
                <w:sz w:val="16"/>
                <w:szCs w:val="16"/>
              </w:rPr>
              <w:t>GRADE Working Group grades of evidence</w:t>
            </w:r>
            <w:r w:rsidRPr="00561568">
              <w:rPr>
                <w:rFonts w:ascii="Arial" w:hAnsi="Arial" w:cs="Arial"/>
                <w:sz w:val="16"/>
                <w:szCs w:val="16"/>
              </w:rPr>
              <w:br/>
            </w:r>
            <w:r w:rsidRPr="00561568">
              <w:rPr>
                <w:rFonts w:ascii="Arial" w:hAnsi="Arial" w:cs="Arial"/>
                <w:b/>
                <w:bCs/>
                <w:sz w:val="16"/>
                <w:szCs w:val="16"/>
              </w:rPr>
              <w:t>High certainty:</w:t>
            </w:r>
            <w:r w:rsidRPr="00561568">
              <w:rPr>
                <w:rFonts w:ascii="Arial" w:hAnsi="Arial" w:cs="Arial"/>
                <w:sz w:val="16"/>
                <w:szCs w:val="16"/>
              </w:rPr>
              <w:t xml:space="preserve"> </w:t>
            </w:r>
            <w:r>
              <w:rPr>
                <w:rFonts w:ascii="Arial" w:hAnsi="Arial" w:cs="Arial"/>
                <w:sz w:val="16"/>
                <w:szCs w:val="16"/>
              </w:rPr>
              <w:t>High</w:t>
            </w:r>
            <w:r w:rsidRPr="00561568">
              <w:rPr>
                <w:rFonts w:ascii="Arial" w:hAnsi="Arial" w:cs="Arial"/>
                <w:sz w:val="16"/>
                <w:szCs w:val="16"/>
              </w:rPr>
              <w:t xml:space="preserve"> confiden</w:t>
            </w:r>
            <w:r>
              <w:rPr>
                <w:rFonts w:ascii="Arial" w:hAnsi="Arial" w:cs="Arial"/>
                <w:sz w:val="16"/>
                <w:szCs w:val="16"/>
              </w:rPr>
              <w:t>ce</w:t>
            </w:r>
            <w:r w:rsidRPr="00561568">
              <w:rPr>
                <w:rFonts w:ascii="Arial" w:hAnsi="Arial" w:cs="Arial"/>
                <w:sz w:val="16"/>
                <w:szCs w:val="16"/>
              </w:rPr>
              <w:t xml:space="preserve"> that the true effect lies close to that of the estimate of the effect</w:t>
            </w:r>
            <w:r w:rsidRPr="00561568">
              <w:rPr>
                <w:rFonts w:ascii="Arial" w:hAnsi="Arial" w:cs="Arial"/>
                <w:sz w:val="16"/>
                <w:szCs w:val="16"/>
              </w:rPr>
              <w:br/>
            </w:r>
            <w:r w:rsidRPr="00561568">
              <w:rPr>
                <w:rFonts w:ascii="Arial" w:hAnsi="Arial" w:cs="Arial"/>
                <w:b/>
                <w:bCs/>
                <w:sz w:val="16"/>
                <w:szCs w:val="16"/>
              </w:rPr>
              <w:t>Moderate certainty:</w:t>
            </w:r>
            <w:r w:rsidRPr="00561568">
              <w:rPr>
                <w:rFonts w:ascii="Arial" w:hAnsi="Arial" w:cs="Arial"/>
                <w:sz w:val="16"/>
                <w:szCs w:val="16"/>
              </w:rPr>
              <w:t xml:space="preserve"> </w:t>
            </w:r>
            <w:r>
              <w:rPr>
                <w:rFonts w:ascii="Arial" w:hAnsi="Arial" w:cs="Arial"/>
                <w:sz w:val="16"/>
                <w:szCs w:val="16"/>
              </w:rPr>
              <w:t>M</w:t>
            </w:r>
            <w:r w:rsidRPr="00561568">
              <w:rPr>
                <w:rFonts w:ascii="Arial" w:hAnsi="Arial" w:cs="Arial"/>
                <w:sz w:val="16"/>
                <w:szCs w:val="16"/>
              </w:rPr>
              <w:t>oderately confiden</w:t>
            </w:r>
            <w:r>
              <w:rPr>
                <w:rFonts w:ascii="Arial" w:hAnsi="Arial" w:cs="Arial"/>
                <w:sz w:val="16"/>
                <w:szCs w:val="16"/>
              </w:rPr>
              <w:t>ce</w:t>
            </w:r>
            <w:r w:rsidRPr="00561568">
              <w:rPr>
                <w:rFonts w:ascii="Arial" w:hAnsi="Arial" w:cs="Arial"/>
                <w:sz w:val="16"/>
                <w:szCs w:val="16"/>
              </w:rPr>
              <w:t xml:space="preserve"> in the effect estimate: </w:t>
            </w:r>
            <w:r>
              <w:rPr>
                <w:rFonts w:ascii="Arial" w:hAnsi="Arial" w:cs="Arial"/>
                <w:sz w:val="16"/>
                <w:szCs w:val="16"/>
              </w:rPr>
              <w:t>t</w:t>
            </w:r>
            <w:r w:rsidRPr="00561568">
              <w:rPr>
                <w:rFonts w:ascii="Arial" w:hAnsi="Arial" w:cs="Arial"/>
                <w:sz w:val="16"/>
                <w:szCs w:val="16"/>
              </w:rPr>
              <w:t>he true effect is likely to be close to the estimate of the effect, but there is a possibility that it is substantially different</w:t>
            </w:r>
            <w:r w:rsidRPr="00561568">
              <w:rPr>
                <w:rFonts w:ascii="Arial" w:hAnsi="Arial" w:cs="Arial"/>
                <w:sz w:val="16"/>
                <w:szCs w:val="16"/>
              </w:rPr>
              <w:br/>
            </w:r>
            <w:r w:rsidRPr="00561568">
              <w:rPr>
                <w:rFonts w:ascii="Arial" w:hAnsi="Arial" w:cs="Arial"/>
                <w:b/>
                <w:bCs/>
                <w:sz w:val="16"/>
                <w:szCs w:val="16"/>
              </w:rPr>
              <w:t>Low certainty:</w:t>
            </w:r>
            <w:r w:rsidRPr="00561568">
              <w:rPr>
                <w:rFonts w:ascii="Arial" w:hAnsi="Arial" w:cs="Arial"/>
                <w:sz w:val="16"/>
                <w:szCs w:val="16"/>
              </w:rPr>
              <w:t xml:space="preserve"> </w:t>
            </w:r>
            <w:r>
              <w:rPr>
                <w:rFonts w:ascii="Arial" w:hAnsi="Arial" w:cs="Arial"/>
                <w:sz w:val="16"/>
                <w:szCs w:val="16"/>
              </w:rPr>
              <w:t>Limited</w:t>
            </w:r>
            <w:r w:rsidRPr="00561568">
              <w:rPr>
                <w:rFonts w:ascii="Arial" w:hAnsi="Arial" w:cs="Arial"/>
                <w:sz w:val="16"/>
                <w:szCs w:val="16"/>
              </w:rPr>
              <w:t xml:space="preserve"> confidence in the effect estimate: </w:t>
            </w:r>
            <w:r>
              <w:rPr>
                <w:rFonts w:ascii="Arial" w:hAnsi="Arial" w:cs="Arial"/>
                <w:sz w:val="16"/>
                <w:szCs w:val="16"/>
              </w:rPr>
              <w:t>t</w:t>
            </w:r>
            <w:r w:rsidRPr="00561568">
              <w:rPr>
                <w:rFonts w:ascii="Arial" w:hAnsi="Arial" w:cs="Arial"/>
                <w:sz w:val="16"/>
                <w:szCs w:val="16"/>
              </w:rPr>
              <w:t>he true effect may be substantially different from the estimate of the effect</w:t>
            </w:r>
            <w:r w:rsidRPr="00561568">
              <w:rPr>
                <w:rFonts w:ascii="Arial" w:hAnsi="Arial" w:cs="Arial"/>
                <w:sz w:val="16"/>
                <w:szCs w:val="16"/>
              </w:rPr>
              <w:br/>
            </w:r>
            <w:r w:rsidRPr="00561568">
              <w:rPr>
                <w:rFonts w:ascii="Arial" w:hAnsi="Arial" w:cs="Arial"/>
                <w:b/>
                <w:bCs/>
                <w:sz w:val="16"/>
                <w:szCs w:val="16"/>
              </w:rPr>
              <w:t>Very low certainty:</w:t>
            </w:r>
            <w:r w:rsidRPr="00561568">
              <w:rPr>
                <w:rFonts w:ascii="Arial" w:hAnsi="Arial" w:cs="Arial"/>
                <w:sz w:val="16"/>
                <w:szCs w:val="16"/>
              </w:rPr>
              <w:t xml:space="preserve"> </w:t>
            </w:r>
            <w:r>
              <w:rPr>
                <w:rFonts w:ascii="Arial" w:hAnsi="Arial" w:cs="Arial"/>
                <w:sz w:val="16"/>
                <w:szCs w:val="16"/>
              </w:rPr>
              <w:t>Very</w:t>
            </w:r>
            <w:r w:rsidRPr="00561568">
              <w:rPr>
                <w:rFonts w:ascii="Arial" w:hAnsi="Arial" w:cs="Arial"/>
                <w:sz w:val="16"/>
                <w:szCs w:val="16"/>
              </w:rPr>
              <w:t xml:space="preserve"> little confidence in the effect estimate: </w:t>
            </w:r>
            <w:r>
              <w:rPr>
                <w:rFonts w:ascii="Arial" w:hAnsi="Arial" w:cs="Arial"/>
                <w:sz w:val="16"/>
                <w:szCs w:val="16"/>
              </w:rPr>
              <w:t>t</w:t>
            </w:r>
            <w:r w:rsidRPr="00561568">
              <w:rPr>
                <w:rFonts w:ascii="Arial" w:hAnsi="Arial" w:cs="Arial"/>
                <w:sz w:val="16"/>
                <w:szCs w:val="16"/>
              </w:rPr>
              <w:t xml:space="preserve">he true effect is likely to be substantially different from the estimate of effect </w:t>
            </w:r>
          </w:p>
        </w:tc>
      </w:tr>
    </w:tbl>
    <w:p w14:paraId="39A50697" w14:textId="77777777" w:rsidR="00D3318E" w:rsidRPr="004E6F72" w:rsidRDefault="00D3318E" w:rsidP="00D3318E">
      <w:pPr>
        <w:pStyle w:val="Heading4"/>
        <w:jc w:val="both"/>
        <w:rPr>
          <w:rFonts w:ascii="Arial" w:hAnsi="Arial" w:cs="Arial"/>
          <w:color w:val="000000"/>
          <w:sz w:val="16"/>
          <w:szCs w:val="16"/>
        </w:rPr>
      </w:pPr>
      <w:r w:rsidRPr="004E6F72">
        <w:rPr>
          <w:rFonts w:ascii="Arial" w:hAnsi="Arial" w:cs="Arial"/>
          <w:color w:val="000000"/>
          <w:sz w:val="16"/>
          <w:szCs w:val="16"/>
        </w:rPr>
        <w:lastRenderedPageBreak/>
        <w:t>Explanations</w:t>
      </w:r>
    </w:p>
    <w:p w14:paraId="0AFA9D89" w14:textId="77777777" w:rsidR="00D3318E" w:rsidRPr="004E6F72" w:rsidRDefault="00D3318E" w:rsidP="00D3318E">
      <w:pPr>
        <w:pStyle w:val="ListParagraph"/>
        <w:numPr>
          <w:ilvl w:val="1"/>
          <w:numId w:val="9"/>
        </w:numPr>
        <w:spacing w:after="200" w:line="276" w:lineRule="auto"/>
        <w:ind w:left="709"/>
        <w:jc w:val="both"/>
        <w:rPr>
          <w:rFonts w:ascii="Arial" w:hAnsi="Arial" w:cs="Arial"/>
          <w:color w:val="000000"/>
          <w:sz w:val="16"/>
          <w:szCs w:val="16"/>
        </w:rPr>
      </w:pPr>
      <w:r>
        <w:rPr>
          <w:rFonts w:ascii="Arial" w:hAnsi="Arial" w:cs="Arial"/>
          <w:color w:val="000000"/>
          <w:sz w:val="16"/>
          <w:szCs w:val="16"/>
        </w:rPr>
        <w:t xml:space="preserve">The </w:t>
      </w:r>
      <w:r w:rsidRPr="004E6F72">
        <w:rPr>
          <w:rFonts w:ascii="Arial" w:hAnsi="Arial" w:cs="Arial"/>
          <w:color w:val="000000"/>
          <w:sz w:val="16"/>
          <w:szCs w:val="16"/>
        </w:rPr>
        <w:t xml:space="preserve">study </w:t>
      </w:r>
      <w:r>
        <w:rPr>
          <w:rFonts w:ascii="Arial" w:hAnsi="Arial" w:cs="Arial"/>
          <w:color w:val="000000"/>
          <w:sz w:val="16"/>
          <w:szCs w:val="16"/>
        </w:rPr>
        <w:t>i</w:t>
      </w:r>
      <w:r w:rsidRPr="004E6F72">
        <w:rPr>
          <w:rFonts w:ascii="Arial" w:hAnsi="Arial" w:cs="Arial"/>
          <w:color w:val="000000"/>
          <w:sz w:val="16"/>
          <w:szCs w:val="16"/>
        </w:rPr>
        <w:t>ncluded was funded by Sanofi</w:t>
      </w:r>
      <w:r>
        <w:rPr>
          <w:rFonts w:ascii="Arial" w:hAnsi="Arial" w:cs="Arial"/>
          <w:color w:val="000000"/>
          <w:sz w:val="16"/>
          <w:szCs w:val="16"/>
        </w:rPr>
        <w:t xml:space="preserve"> </w:t>
      </w:r>
      <w:r w:rsidRPr="004E6F72">
        <w:rPr>
          <w:rFonts w:ascii="Arial" w:hAnsi="Arial" w:cs="Arial"/>
          <w:color w:val="000000"/>
          <w:sz w:val="16"/>
          <w:szCs w:val="16"/>
        </w:rPr>
        <w:t>and Regeneron Pharmaceuticals. No industry-independent observational or randomi</w:t>
      </w:r>
      <w:r>
        <w:rPr>
          <w:rFonts w:ascii="Arial" w:hAnsi="Arial" w:cs="Arial"/>
          <w:color w:val="000000"/>
          <w:sz w:val="16"/>
          <w:szCs w:val="16"/>
        </w:rPr>
        <w:t>s</w:t>
      </w:r>
      <w:r w:rsidRPr="004E6F72">
        <w:rPr>
          <w:rFonts w:ascii="Arial" w:hAnsi="Arial" w:cs="Arial"/>
          <w:color w:val="000000"/>
          <w:sz w:val="16"/>
          <w:szCs w:val="16"/>
        </w:rPr>
        <w:t xml:space="preserve">ed trials were identified to </w:t>
      </w:r>
      <w:r>
        <w:rPr>
          <w:rFonts w:ascii="Arial" w:hAnsi="Arial" w:cs="Arial"/>
          <w:color w:val="000000"/>
          <w:sz w:val="16"/>
          <w:szCs w:val="16"/>
        </w:rPr>
        <w:t>compare</w:t>
      </w:r>
      <w:r w:rsidRPr="004E6F72">
        <w:rPr>
          <w:rFonts w:ascii="Arial" w:hAnsi="Arial" w:cs="Arial"/>
          <w:color w:val="000000"/>
          <w:sz w:val="16"/>
          <w:szCs w:val="16"/>
        </w:rPr>
        <w:t xml:space="preserve"> the results. The </w:t>
      </w:r>
      <w:r>
        <w:rPr>
          <w:rFonts w:ascii="Arial" w:hAnsi="Arial" w:cs="Arial"/>
          <w:color w:val="000000"/>
          <w:sz w:val="16"/>
          <w:szCs w:val="16"/>
        </w:rPr>
        <w:t>GDG</w:t>
      </w:r>
      <w:r w:rsidRPr="004E6F72">
        <w:rPr>
          <w:rFonts w:ascii="Arial" w:hAnsi="Arial" w:cs="Arial"/>
          <w:color w:val="000000"/>
          <w:sz w:val="16"/>
          <w:szCs w:val="16"/>
        </w:rPr>
        <w:t xml:space="preserve"> members considered that there were no major concerns about potential publication/sponsorship bias  </w:t>
      </w:r>
    </w:p>
    <w:p w14:paraId="4B7A399B" w14:textId="77777777" w:rsidR="00D3318E" w:rsidRPr="004E6F72" w:rsidRDefault="00D3318E" w:rsidP="00D3318E">
      <w:pPr>
        <w:pStyle w:val="ListParagraph"/>
        <w:numPr>
          <w:ilvl w:val="1"/>
          <w:numId w:val="9"/>
        </w:numPr>
        <w:spacing w:after="200" w:line="276" w:lineRule="auto"/>
        <w:ind w:left="709"/>
        <w:jc w:val="both"/>
        <w:rPr>
          <w:rFonts w:ascii="Arial" w:hAnsi="Arial" w:cs="Arial"/>
          <w:color w:val="000000"/>
          <w:sz w:val="16"/>
          <w:szCs w:val="16"/>
        </w:rPr>
      </w:pPr>
      <w:r w:rsidRPr="004E6F72">
        <w:rPr>
          <w:rFonts w:ascii="Arial" w:hAnsi="Arial" w:cs="Arial"/>
          <w:color w:val="000000"/>
          <w:sz w:val="16"/>
          <w:szCs w:val="16"/>
        </w:rPr>
        <w:t xml:space="preserve">Downgraded because FEV1 is considered a surrogate outcome of asthma control of symptoms, with </w:t>
      </w:r>
      <w:proofErr w:type="gramStart"/>
      <w:r w:rsidRPr="004E6F72">
        <w:rPr>
          <w:rFonts w:ascii="Arial" w:hAnsi="Arial" w:cs="Arial"/>
          <w:color w:val="000000"/>
          <w:sz w:val="16"/>
          <w:szCs w:val="16"/>
        </w:rPr>
        <w:t>a</w:t>
      </w:r>
      <w:proofErr w:type="gramEnd"/>
      <w:r w:rsidRPr="004E6F72">
        <w:rPr>
          <w:rFonts w:ascii="Arial" w:hAnsi="Arial" w:cs="Arial"/>
          <w:color w:val="000000"/>
          <w:sz w:val="16"/>
          <w:szCs w:val="16"/>
        </w:rPr>
        <w:t xml:space="preserve"> </w:t>
      </w:r>
      <w:r>
        <w:rPr>
          <w:rFonts w:ascii="Arial" w:hAnsi="Arial" w:cs="Arial"/>
          <w:color w:val="000000"/>
          <w:sz w:val="16"/>
          <w:szCs w:val="16"/>
        </w:rPr>
        <w:t>uncertain</w:t>
      </w:r>
      <w:r w:rsidRPr="004E6F72">
        <w:rPr>
          <w:rFonts w:ascii="Arial" w:hAnsi="Arial" w:cs="Arial"/>
          <w:color w:val="000000"/>
          <w:sz w:val="16"/>
          <w:szCs w:val="16"/>
        </w:rPr>
        <w:t xml:space="preserve"> correlation with asthma symptoms (</w:t>
      </w:r>
      <w:r>
        <w:rPr>
          <w:rFonts w:ascii="Arial" w:hAnsi="Arial" w:cs="Arial"/>
          <w:color w:val="000000"/>
          <w:sz w:val="16"/>
          <w:szCs w:val="16"/>
        </w:rPr>
        <w:t>103</w:t>
      </w:r>
      <w:r w:rsidRPr="004E6F72">
        <w:rPr>
          <w:rFonts w:ascii="Arial" w:hAnsi="Arial" w:cs="Arial"/>
          <w:color w:val="000000"/>
          <w:sz w:val="16"/>
          <w:szCs w:val="16"/>
        </w:rPr>
        <w:t xml:space="preserve">). </w:t>
      </w:r>
    </w:p>
    <w:p w14:paraId="2B00C8ED" w14:textId="77777777" w:rsidR="00D3318E" w:rsidRPr="004E6F72" w:rsidRDefault="00D3318E" w:rsidP="00D3318E">
      <w:pPr>
        <w:pStyle w:val="ListParagraph"/>
        <w:numPr>
          <w:ilvl w:val="1"/>
          <w:numId w:val="9"/>
        </w:numPr>
        <w:spacing w:after="200" w:line="276" w:lineRule="auto"/>
        <w:ind w:left="709"/>
        <w:jc w:val="both"/>
        <w:rPr>
          <w:rFonts w:ascii="Arial" w:hAnsi="Arial" w:cs="Arial"/>
          <w:color w:val="000000"/>
          <w:sz w:val="16"/>
          <w:szCs w:val="16"/>
        </w:rPr>
      </w:pPr>
      <w:r w:rsidRPr="004E6F72">
        <w:rPr>
          <w:rFonts w:ascii="Arial" w:hAnsi="Arial" w:cs="Arial"/>
          <w:color w:val="000000"/>
          <w:sz w:val="16"/>
          <w:szCs w:val="16"/>
        </w:rPr>
        <w:t>The minimal important difference (MID) for FEV1 is 0.20 L (</w:t>
      </w:r>
      <w:r>
        <w:rPr>
          <w:rFonts w:ascii="Arial" w:hAnsi="Arial" w:cs="Arial"/>
          <w:color w:val="000000"/>
          <w:sz w:val="16"/>
          <w:szCs w:val="16"/>
        </w:rPr>
        <w:t>GDG</w:t>
      </w:r>
      <w:r w:rsidRPr="004E6F72">
        <w:rPr>
          <w:rFonts w:ascii="Arial" w:hAnsi="Arial" w:cs="Arial"/>
          <w:color w:val="000000"/>
          <w:sz w:val="16"/>
          <w:szCs w:val="16"/>
        </w:rPr>
        <w:t xml:space="preserve"> consensus). </w:t>
      </w:r>
    </w:p>
    <w:p w14:paraId="0CECCFC7" w14:textId="244DF268" w:rsidR="00E210BC" w:rsidRPr="00ED574D" w:rsidRDefault="00D3318E" w:rsidP="00596BE0">
      <w:pPr>
        <w:pStyle w:val="ListParagraph"/>
        <w:numPr>
          <w:ilvl w:val="1"/>
          <w:numId w:val="9"/>
        </w:numPr>
        <w:spacing w:after="200" w:line="276" w:lineRule="auto"/>
        <w:ind w:left="709"/>
        <w:jc w:val="both"/>
        <w:rPr>
          <w:rFonts w:ascii="Arial" w:hAnsi="Arial" w:cs="Arial"/>
          <w:color w:val="000000"/>
          <w:sz w:val="16"/>
          <w:szCs w:val="16"/>
        </w:rPr>
      </w:pPr>
      <w:r w:rsidRPr="004E6F72">
        <w:rPr>
          <w:rFonts w:ascii="Arial" w:hAnsi="Arial" w:cs="Arial"/>
          <w:color w:val="000000"/>
          <w:sz w:val="16"/>
          <w:szCs w:val="16"/>
        </w:rPr>
        <w:t>The effect of dupilumab is below the MID</w:t>
      </w:r>
      <w:r>
        <w:rPr>
          <w:rFonts w:ascii="Arial" w:hAnsi="Arial" w:cs="Arial"/>
          <w:color w:val="000000"/>
          <w:sz w:val="16"/>
          <w:szCs w:val="16"/>
        </w:rPr>
        <w:t xml:space="preserve"> </w:t>
      </w:r>
      <w:r w:rsidRPr="004E6F72">
        <w:rPr>
          <w:rFonts w:ascii="Arial" w:hAnsi="Arial" w:cs="Arial"/>
          <w:color w:val="000000"/>
          <w:sz w:val="16"/>
          <w:szCs w:val="16"/>
        </w:rPr>
        <w:t>(0.5 points). (</w:t>
      </w:r>
      <w:r>
        <w:rPr>
          <w:rFonts w:ascii="Arial" w:hAnsi="Arial" w:cs="Arial"/>
          <w:color w:val="000000"/>
          <w:sz w:val="16"/>
          <w:szCs w:val="16"/>
        </w:rPr>
        <w:t>32</w:t>
      </w:r>
      <w:r w:rsidRPr="004E6F72">
        <w:rPr>
          <w:rFonts w:ascii="Arial" w:hAnsi="Arial" w:cs="Arial"/>
          <w:color w:val="000000"/>
          <w:sz w:val="16"/>
          <w:szCs w:val="16"/>
        </w:rPr>
        <w:t xml:space="preserve">) </w:t>
      </w:r>
    </w:p>
    <w:p w14:paraId="3414F83C" w14:textId="6B861599" w:rsidR="002D745B" w:rsidRPr="000B1027" w:rsidRDefault="000B1027" w:rsidP="002D745B">
      <w:pPr>
        <w:jc w:val="both"/>
        <w:rPr>
          <w:rFonts w:ascii="Arial" w:hAnsi="Arial" w:cs="Arial"/>
          <w:b/>
          <w:sz w:val="20"/>
          <w:szCs w:val="20"/>
        </w:rPr>
      </w:pPr>
      <w:r w:rsidRPr="000B1027">
        <w:rPr>
          <w:rFonts w:ascii="Arial" w:hAnsi="Arial" w:cs="Arial"/>
          <w:b/>
          <w:sz w:val="20"/>
          <w:szCs w:val="20"/>
        </w:rPr>
        <w:t>Table S2</w:t>
      </w:r>
      <w:r w:rsidR="00761F32">
        <w:rPr>
          <w:rFonts w:ascii="Arial" w:hAnsi="Arial" w:cs="Arial"/>
          <w:b/>
          <w:sz w:val="20"/>
          <w:szCs w:val="20"/>
        </w:rPr>
        <w:t>3</w:t>
      </w:r>
      <w:r w:rsidR="002D745B" w:rsidRPr="000B1027">
        <w:rPr>
          <w:rFonts w:ascii="Arial" w:hAnsi="Arial" w:cs="Arial"/>
          <w:b/>
          <w:sz w:val="20"/>
          <w:szCs w:val="20"/>
        </w:rPr>
        <w:t xml:space="preserve">: </w:t>
      </w:r>
      <w:r>
        <w:rPr>
          <w:rFonts w:ascii="Arial" w:hAnsi="Arial" w:cs="Arial"/>
          <w:b/>
          <w:sz w:val="20"/>
          <w:szCs w:val="20"/>
        </w:rPr>
        <w:t>Health economic evaluation of d</w:t>
      </w:r>
      <w:r w:rsidR="002D745B" w:rsidRPr="000B1027">
        <w:rPr>
          <w:rFonts w:ascii="Arial" w:hAnsi="Arial" w:cs="Arial"/>
          <w:b/>
          <w:sz w:val="20"/>
          <w:szCs w:val="20"/>
        </w:rPr>
        <w:t>upilumab in addition to standard therapy vs. standard therapy</w:t>
      </w:r>
      <w:r>
        <w:rPr>
          <w:rFonts w:ascii="Arial" w:hAnsi="Arial" w:cs="Arial"/>
          <w:b/>
          <w:sz w:val="20"/>
          <w:szCs w:val="20"/>
        </w:rPr>
        <w:t xml:space="preserve"> for uncontrolled severe allergic asthma</w:t>
      </w:r>
    </w:p>
    <w:tbl>
      <w:tblPr>
        <w:tblW w:w="5000" w:type="pct"/>
        <w:jc w:val="center"/>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0A0" w:firstRow="1" w:lastRow="0" w:firstColumn="1" w:lastColumn="0" w:noHBand="0" w:noVBand="0"/>
      </w:tblPr>
      <w:tblGrid>
        <w:gridCol w:w="805"/>
        <w:gridCol w:w="961"/>
        <w:gridCol w:w="1131"/>
        <w:gridCol w:w="1218"/>
        <w:gridCol w:w="1144"/>
        <w:gridCol w:w="1049"/>
        <w:gridCol w:w="1053"/>
        <w:gridCol w:w="1617"/>
        <w:gridCol w:w="1789"/>
        <w:gridCol w:w="1598"/>
        <w:gridCol w:w="1057"/>
      </w:tblGrid>
      <w:tr w:rsidR="002D745B" w:rsidRPr="00F87E48" w14:paraId="65837CDC" w14:textId="77777777" w:rsidTr="00E350F6">
        <w:trPr>
          <w:cantSplit/>
          <w:trHeight w:val="222"/>
          <w:tblHeader/>
          <w:jc w:val="center"/>
        </w:trPr>
        <w:tc>
          <w:tcPr>
            <w:tcW w:w="2750" w:type="pct"/>
            <w:gridSpan w:val="7"/>
            <w:tcBorders>
              <w:top w:val="single" w:sz="6" w:space="0" w:color="000000"/>
              <w:bottom w:val="single" w:sz="6" w:space="0" w:color="000000"/>
              <w:right w:val="single" w:sz="6" w:space="0" w:color="000000"/>
            </w:tcBorders>
            <w:shd w:val="clear" w:color="auto" w:fill="DDDDDD"/>
          </w:tcPr>
          <w:p w14:paraId="2383DC15" w14:textId="77777777"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b/>
                <w:bCs/>
                <w:sz w:val="16"/>
                <w:szCs w:val="16"/>
              </w:rPr>
              <w:t>Quality assessment</w:t>
            </w:r>
          </w:p>
        </w:tc>
        <w:tc>
          <w:tcPr>
            <w:tcW w:w="1892" w:type="pct"/>
            <w:gridSpan w:val="3"/>
            <w:tcBorders>
              <w:top w:val="single" w:sz="6" w:space="0" w:color="000000"/>
              <w:left w:val="single" w:sz="6" w:space="0" w:color="000000"/>
              <w:bottom w:val="single" w:sz="6" w:space="0" w:color="000000"/>
              <w:right w:val="single" w:sz="6" w:space="0" w:color="000000"/>
            </w:tcBorders>
            <w:shd w:val="clear" w:color="auto" w:fill="DDDDDD"/>
          </w:tcPr>
          <w:p w14:paraId="149ED3A5" w14:textId="77777777"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b/>
                <w:bCs/>
                <w:sz w:val="16"/>
                <w:szCs w:val="16"/>
              </w:rPr>
              <w:t>Summary of resources and costs</w:t>
            </w:r>
          </w:p>
        </w:tc>
        <w:tc>
          <w:tcPr>
            <w:tcW w:w="358" w:type="pct"/>
            <w:vMerge w:val="restart"/>
            <w:tcBorders>
              <w:top w:val="single" w:sz="6" w:space="0" w:color="000000"/>
              <w:left w:val="single" w:sz="6" w:space="0" w:color="000000"/>
            </w:tcBorders>
            <w:shd w:val="clear" w:color="auto" w:fill="DDDDDD"/>
          </w:tcPr>
          <w:p w14:paraId="2C2A1565" w14:textId="77777777"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b/>
                <w:bCs/>
                <w:sz w:val="16"/>
                <w:szCs w:val="16"/>
              </w:rPr>
              <w:t>Quality</w:t>
            </w:r>
          </w:p>
        </w:tc>
      </w:tr>
      <w:tr w:rsidR="002D745B" w:rsidRPr="00F87E48" w14:paraId="5A3F33B4" w14:textId="77777777" w:rsidTr="00E350F6">
        <w:trPr>
          <w:cantSplit/>
          <w:trHeight w:val="519"/>
          <w:tblHeader/>
          <w:jc w:val="center"/>
        </w:trPr>
        <w:tc>
          <w:tcPr>
            <w:tcW w:w="310" w:type="pct"/>
            <w:tcBorders>
              <w:top w:val="single" w:sz="6" w:space="0" w:color="000000"/>
              <w:bottom w:val="single" w:sz="6" w:space="0" w:color="000000"/>
              <w:right w:val="single" w:sz="6" w:space="0" w:color="000000"/>
            </w:tcBorders>
            <w:shd w:val="clear" w:color="auto" w:fill="DDDDDD"/>
          </w:tcPr>
          <w:p w14:paraId="0059F478" w14:textId="77777777"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b/>
                <w:bCs/>
                <w:sz w:val="16"/>
                <w:szCs w:val="16"/>
              </w:rPr>
              <w:t>Nº. of studies</w:t>
            </w:r>
          </w:p>
        </w:tc>
        <w:tc>
          <w:tcPr>
            <w:tcW w:w="368" w:type="pct"/>
            <w:tcBorders>
              <w:top w:val="single" w:sz="6" w:space="0" w:color="000000"/>
              <w:left w:val="single" w:sz="6" w:space="0" w:color="000000"/>
              <w:bottom w:val="single" w:sz="6" w:space="0" w:color="000000"/>
              <w:right w:val="single" w:sz="6" w:space="0" w:color="000000"/>
            </w:tcBorders>
            <w:shd w:val="clear" w:color="auto" w:fill="DDDDDD"/>
          </w:tcPr>
          <w:p w14:paraId="16044C54" w14:textId="77777777"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b/>
                <w:bCs/>
                <w:sz w:val="16"/>
                <w:szCs w:val="16"/>
              </w:rPr>
              <w:t>Study design</w:t>
            </w:r>
          </w:p>
        </w:tc>
        <w:tc>
          <w:tcPr>
            <w:tcW w:w="431" w:type="pct"/>
            <w:tcBorders>
              <w:top w:val="single" w:sz="6" w:space="0" w:color="000000"/>
              <w:left w:val="single" w:sz="6" w:space="0" w:color="000000"/>
              <w:bottom w:val="single" w:sz="6" w:space="0" w:color="000000"/>
              <w:right w:val="single" w:sz="6" w:space="0" w:color="000000"/>
            </w:tcBorders>
            <w:shd w:val="clear" w:color="auto" w:fill="DDDDDD"/>
          </w:tcPr>
          <w:p w14:paraId="3DF0F6DA" w14:textId="77777777"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b/>
                <w:bCs/>
                <w:sz w:val="16"/>
                <w:szCs w:val="16"/>
              </w:rPr>
              <w:t>Limitations</w:t>
            </w:r>
          </w:p>
        </w:tc>
        <w:tc>
          <w:tcPr>
            <w:tcW w:w="431" w:type="pct"/>
            <w:tcBorders>
              <w:top w:val="single" w:sz="6" w:space="0" w:color="000000"/>
              <w:left w:val="single" w:sz="6" w:space="0" w:color="000000"/>
              <w:bottom w:val="single" w:sz="6" w:space="0" w:color="000000"/>
              <w:right w:val="single" w:sz="6" w:space="0" w:color="000000"/>
            </w:tcBorders>
            <w:shd w:val="clear" w:color="auto" w:fill="DDDDDD"/>
          </w:tcPr>
          <w:p w14:paraId="603AE436" w14:textId="77777777"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b/>
                <w:bCs/>
                <w:sz w:val="16"/>
                <w:szCs w:val="16"/>
              </w:rPr>
              <w:t>Inconsistency</w:t>
            </w:r>
          </w:p>
        </w:tc>
        <w:tc>
          <w:tcPr>
            <w:tcW w:w="436" w:type="pct"/>
            <w:tcBorders>
              <w:top w:val="single" w:sz="6" w:space="0" w:color="000000"/>
              <w:left w:val="single" w:sz="6" w:space="0" w:color="000000"/>
              <w:bottom w:val="single" w:sz="6" w:space="0" w:color="000000"/>
              <w:right w:val="single" w:sz="6" w:space="0" w:color="000000"/>
            </w:tcBorders>
            <w:shd w:val="clear" w:color="auto" w:fill="DDDDDD"/>
          </w:tcPr>
          <w:p w14:paraId="4E51E7EC" w14:textId="77777777"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b/>
                <w:bCs/>
                <w:sz w:val="16"/>
                <w:szCs w:val="16"/>
              </w:rPr>
              <w:t>Indirectness</w:t>
            </w:r>
          </w:p>
        </w:tc>
        <w:tc>
          <w:tcPr>
            <w:tcW w:w="373" w:type="pct"/>
            <w:tcBorders>
              <w:top w:val="single" w:sz="6" w:space="0" w:color="000000"/>
              <w:left w:val="single" w:sz="6" w:space="0" w:color="000000"/>
              <w:bottom w:val="single" w:sz="6" w:space="0" w:color="000000"/>
              <w:right w:val="single" w:sz="6" w:space="0" w:color="000000"/>
            </w:tcBorders>
            <w:shd w:val="clear" w:color="auto" w:fill="DDDDDD"/>
          </w:tcPr>
          <w:p w14:paraId="373B2FB0" w14:textId="77777777"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b/>
                <w:bCs/>
                <w:sz w:val="16"/>
                <w:szCs w:val="16"/>
              </w:rPr>
              <w:t>Imprecision</w:t>
            </w:r>
          </w:p>
        </w:tc>
        <w:tc>
          <w:tcPr>
            <w:tcW w:w="402" w:type="pct"/>
            <w:tcBorders>
              <w:top w:val="single" w:sz="6" w:space="0" w:color="000000"/>
              <w:left w:val="single" w:sz="6" w:space="0" w:color="000000"/>
              <w:bottom w:val="single" w:sz="6" w:space="0" w:color="000000"/>
              <w:right w:val="single" w:sz="6" w:space="0" w:color="000000"/>
            </w:tcBorders>
            <w:shd w:val="clear" w:color="auto" w:fill="DDDDDD"/>
          </w:tcPr>
          <w:p w14:paraId="74A13C70" w14:textId="77777777"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b/>
                <w:bCs/>
                <w:sz w:val="16"/>
                <w:szCs w:val="16"/>
              </w:rPr>
              <w:t>Publication bias</w:t>
            </w:r>
          </w:p>
        </w:tc>
        <w:tc>
          <w:tcPr>
            <w:tcW w:w="612" w:type="pct"/>
            <w:tcBorders>
              <w:top w:val="single" w:sz="6" w:space="0" w:color="000000"/>
              <w:left w:val="single" w:sz="6" w:space="0" w:color="000000"/>
              <w:bottom w:val="single" w:sz="6" w:space="0" w:color="000000"/>
              <w:right w:val="single" w:sz="6" w:space="0" w:color="000000"/>
            </w:tcBorders>
            <w:shd w:val="clear" w:color="auto" w:fill="DDDDDD"/>
          </w:tcPr>
          <w:p w14:paraId="68989C28" w14:textId="77777777"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b/>
                <w:bCs/>
                <w:sz w:val="16"/>
                <w:szCs w:val="16"/>
              </w:rPr>
              <w:t>Incremental cost per patient*</w:t>
            </w:r>
          </w:p>
        </w:tc>
        <w:tc>
          <w:tcPr>
            <w:tcW w:w="676" w:type="pct"/>
            <w:tcBorders>
              <w:top w:val="single" w:sz="6" w:space="0" w:color="000000"/>
              <w:left w:val="single" w:sz="6" w:space="0" w:color="000000"/>
              <w:bottom w:val="single" w:sz="6" w:space="0" w:color="000000"/>
              <w:right w:val="single" w:sz="6" w:space="0" w:color="000000"/>
            </w:tcBorders>
            <w:shd w:val="clear" w:color="auto" w:fill="DDDDDD"/>
          </w:tcPr>
          <w:p w14:paraId="41AB93F5" w14:textId="77777777"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b/>
                <w:bCs/>
                <w:sz w:val="16"/>
                <w:szCs w:val="16"/>
              </w:rPr>
              <w:t>Incremental effect per patient*</w:t>
            </w:r>
          </w:p>
        </w:tc>
        <w:tc>
          <w:tcPr>
            <w:tcW w:w="605" w:type="pct"/>
            <w:tcBorders>
              <w:top w:val="single" w:sz="6" w:space="0" w:color="000000"/>
              <w:left w:val="single" w:sz="6" w:space="0" w:color="000000"/>
              <w:bottom w:val="single" w:sz="6" w:space="0" w:color="000000"/>
              <w:right w:val="single" w:sz="6" w:space="0" w:color="000000"/>
            </w:tcBorders>
            <w:shd w:val="clear" w:color="auto" w:fill="DDDDDD"/>
          </w:tcPr>
          <w:p w14:paraId="6E57E748" w14:textId="77777777"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b/>
                <w:bCs/>
                <w:sz w:val="16"/>
                <w:szCs w:val="16"/>
              </w:rPr>
              <w:t xml:space="preserve">ICER </w:t>
            </w:r>
          </w:p>
        </w:tc>
        <w:tc>
          <w:tcPr>
            <w:tcW w:w="358" w:type="pct"/>
            <w:vMerge/>
            <w:tcBorders>
              <w:left w:val="single" w:sz="6" w:space="0" w:color="000000"/>
              <w:bottom w:val="single" w:sz="6" w:space="0" w:color="000000"/>
            </w:tcBorders>
            <w:shd w:val="clear" w:color="auto" w:fill="DDDDDD"/>
          </w:tcPr>
          <w:p w14:paraId="3D50A7B9" w14:textId="77777777" w:rsidR="002D745B" w:rsidRPr="00E30A41" w:rsidRDefault="002D745B" w:rsidP="00E350F6">
            <w:pPr>
              <w:jc w:val="both"/>
              <w:rPr>
                <w:rFonts w:ascii="Arial" w:hAnsi="Arial" w:cs="Arial"/>
                <w:b/>
                <w:bCs/>
                <w:sz w:val="16"/>
                <w:szCs w:val="16"/>
              </w:rPr>
            </w:pPr>
          </w:p>
        </w:tc>
      </w:tr>
      <w:tr w:rsidR="002D745B" w:rsidRPr="00F87E48" w14:paraId="774A0B62" w14:textId="77777777" w:rsidTr="00E350F6">
        <w:trPr>
          <w:cantSplit/>
          <w:trHeight w:val="238"/>
          <w:jc w:val="center"/>
        </w:trPr>
        <w:tc>
          <w:tcPr>
            <w:tcW w:w="5000" w:type="pct"/>
            <w:gridSpan w:val="11"/>
            <w:tcBorders>
              <w:top w:val="single" w:sz="6" w:space="0" w:color="000000"/>
              <w:bottom w:val="single" w:sz="6" w:space="0" w:color="000000"/>
            </w:tcBorders>
            <w:shd w:val="clear" w:color="auto" w:fill="EDEDED"/>
          </w:tcPr>
          <w:p w14:paraId="45AF75E1" w14:textId="77777777" w:rsidR="002D745B" w:rsidRPr="00E30A41" w:rsidRDefault="002D745B" w:rsidP="00E350F6">
            <w:pPr>
              <w:jc w:val="both"/>
              <w:rPr>
                <w:rFonts w:ascii="Arial" w:hAnsi="Arial" w:cs="Arial"/>
                <w:sz w:val="16"/>
                <w:szCs w:val="16"/>
              </w:rPr>
            </w:pPr>
            <w:r w:rsidRPr="00E30A41">
              <w:rPr>
                <w:rStyle w:val="label"/>
                <w:rFonts w:ascii="Arial" w:hAnsi="Arial" w:cs="Arial"/>
                <w:sz w:val="16"/>
                <w:szCs w:val="16"/>
              </w:rPr>
              <w:t xml:space="preserve">ICER per </w:t>
            </w:r>
            <w:r w:rsidRPr="00E30A41">
              <w:rPr>
                <w:rFonts w:ascii="Arial" w:hAnsi="Arial" w:cs="Arial"/>
                <w:color w:val="1A1718"/>
                <w:sz w:val="16"/>
                <w:szCs w:val="16"/>
                <w:lang w:eastAsia="en-GB"/>
              </w:rPr>
              <w:t xml:space="preserve">QALY (high quality </w:t>
            </w:r>
            <w:proofErr w:type="gramStart"/>
            <w:r w:rsidRPr="00E30A41">
              <w:rPr>
                <w:rFonts w:ascii="Arial" w:hAnsi="Arial" w:cs="Arial"/>
                <w:color w:val="1A1718"/>
                <w:sz w:val="16"/>
                <w:szCs w:val="16"/>
                <w:lang w:eastAsia="en-GB"/>
              </w:rPr>
              <w:t>study  -</w:t>
            </w:r>
            <w:proofErr w:type="gramEnd"/>
            <w:r w:rsidRPr="00E30A41">
              <w:rPr>
                <w:rFonts w:ascii="Arial" w:hAnsi="Arial" w:cs="Arial"/>
                <w:color w:val="1A1718"/>
                <w:sz w:val="16"/>
                <w:szCs w:val="16"/>
                <w:lang w:eastAsia="en-GB"/>
              </w:rPr>
              <w:t xml:space="preserve"> not funded by Industry)</w:t>
            </w:r>
          </w:p>
        </w:tc>
      </w:tr>
      <w:tr w:rsidR="002D745B" w:rsidRPr="00F87E48" w14:paraId="26A1A601" w14:textId="77777777" w:rsidTr="00E350F6">
        <w:trPr>
          <w:cantSplit/>
          <w:trHeight w:val="408"/>
          <w:jc w:val="center"/>
        </w:trPr>
        <w:tc>
          <w:tcPr>
            <w:tcW w:w="310" w:type="pct"/>
            <w:tcBorders>
              <w:bottom w:val="single" w:sz="6" w:space="0" w:color="000000"/>
              <w:right w:val="single" w:sz="6" w:space="0" w:color="000000"/>
            </w:tcBorders>
          </w:tcPr>
          <w:p w14:paraId="6EA395DA" w14:textId="77777777" w:rsidR="002D745B" w:rsidRPr="00E30A41" w:rsidRDefault="002D745B" w:rsidP="00E350F6">
            <w:pPr>
              <w:jc w:val="both"/>
              <w:rPr>
                <w:rFonts w:ascii="Arial" w:eastAsiaTheme="majorEastAsia" w:hAnsi="Arial" w:cs="Arial"/>
                <w:b/>
                <w:bCs/>
                <w:color w:val="1F3763" w:themeColor="accent1" w:themeShade="7F"/>
                <w:sz w:val="16"/>
                <w:szCs w:val="16"/>
              </w:rPr>
            </w:pPr>
            <w:r w:rsidRPr="00E30A41">
              <w:rPr>
                <w:rFonts w:ascii="Arial" w:hAnsi="Arial" w:cs="Arial"/>
                <w:sz w:val="16"/>
                <w:szCs w:val="16"/>
              </w:rPr>
              <w:t>1</w:t>
            </w:r>
            <w:r w:rsidRPr="00E30A41">
              <w:rPr>
                <w:rFonts w:ascii="Arial" w:hAnsi="Arial" w:cs="Arial"/>
                <w:sz w:val="16"/>
                <w:szCs w:val="16"/>
                <w:vertAlign w:val="superscript"/>
              </w:rPr>
              <w:t>a</w:t>
            </w:r>
          </w:p>
        </w:tc>
        <w:tc>
          <w:tcPr>
            <w:tcW w:w="368" w:type="pct"/>
            <w:tcBorders>
              <w:left w:val="single" w:sz="6" w:space="0" w:color="000000"/>
              <w:bottom w:val="single" w:sz="6" w:space="0" w:color="000000"/>
              <w:right w:val="single" w:sz="6" w:space="0" w:color="000000"/>
            </w:tcBorders>
          </w:tcPr>
          <w:p w14:paraId="14B8B1BA" w14:textId="77777777"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sz w:val="16"/>
                <w:szCs w:val="16"/>
              </w:rPr>
              <w:t>Cost-utility,</w:t>
            </w:r>
          </w:p>
          <w:p w14:paraId="0C86E4D8" w14:textId="77777777"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sz w:val="16"/>
                <w:szCs w:val="16"/>
              </w:rPr>
              <w:t>Markov model</w:t>
            </w:r>
          </w:p>
        </w:tc>
        <w:tc>
          <w:tcPr>
            <w:tcW w:w="431" w:type="pct"/>
            <w:tcBorders>
              <w:left w:val="single" w:sz="6" w:space="0" w:color="000000"/>
              <w:bottom w:val="single" w:sz="6" w:space="0" w:color="000000"/>
              <w:right w:val="single" w:sz="6" w:space="0" w:color="000000"/>
            </w:tcBorders>
          </w:tcPr>
          <w:p w14:paraId="2E05F5C1" w14:textId="77777777"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sz w:val="16"/>
                <w:szCs w:val="16"/>
              </w:rPr>
              <w:t>Not serious</w:t>
            </w:r>
            <w:r w:rsidRPr="00E30A41">
              <w:rPr>
                <w:rFonts w:ascii="Arial" w:hAnsi="Arial" w:cs="Arial"/>
                <w:sz w:val="16"/>
                <w:szCs w:val="16"/>
                <w:vertAlign w:val="superscript"/>
              </w:rPr>
              <w:t>1</w:t>
            </w:r>
          </w:p>
        </w:tc>
        <w:tc>
          <w:tcPr>
            <w:tcW w:w="431" w:type="pct"/>
            <w:tcBorders>
              <w:left w:val="single" w:sz="6" w:space="0" w:color="000000"/>
              <w:bottom w:val="single" w:sz="6" w:space="0" w:color="000000"/>
              <w:right w:val="single" w:sz="6" w:space="0" w:color="000000"/>
            </w:tcBorders>
          </w:tcPr>
          <w:p w14:paraId="35B1CB4D" w14:textId="77777777"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sz w:val="16"/>
                <w:szCs w:val="16"/>
              </w:rPr>
              <w:t>Not serious</w:t>
            </w:r>
          </w:p>
        </w:tc>
        <w:tc>
          <w:tcPr>
            <w:tcW w:w="436" w:type="pct"/>
            <w:tcBorders>
              <w:left w:val="single" w:sz="6" w:space="0" w:color="000000"/>
              <w:bottom w:val="single" w:sz="6" w:space="0" w:color="000000"/>
              <w:right w:val="single" w:sz="6" w:space="0" w:color="000000"/>
            </w:tcBorders>
          </w:tcPr>
          <w:p w14:paraId="00D108D1" w14:textId="77777777"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sz w:val="16"/>
                <w:szCs w:val="16"/>
              </w:rPr>
              <w:t>Serious</w:t>
            </w:r>
            <w:r w:rsidRPr="00E30A41">
              <w:rPr>
                <w:rFonts w:ascii="Arial" w:hAnsi="Arial" w:cs="Arial"/>
                <w:sz w:val="16"/>
                <w:szCs w:val="16"/>
                <w:vertAlign w:val="superscript"/>
              </w:rPr>
              <w:t>2</w:t>
            </w:r>
          </w:p>
        </w:tc>
        <w:tc>
          <w:tcPr>
            <w:tcW w:w="373" w:type="pct"/>
            <w:tcBorders>
              <w:left w:val="single" w:sz="6" w:space="0" w:color="000000"/>
              <w:bottom w:val="single" w:sz="6" w:space="0" w:color="000000"/>
              <w:right w:val="single" w:sz="6" w:space="0" w:color="000000"/>
            </w:tcBorders>
          </w:tcPr>
          <w:p w14:paraId="6E4BE41C" w14:textId="77777777"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sz w:val="16"/>
                <w:szCs w:val="16"/>
              </w:rPr>
              <w:t>Serious</w:t>
            </w:r>
            <w:r w:rsidRPr="00E30A41">
              <w:rPr>
                <w:rFonts w:ascii="Arial" w:hAnsi="Arial" w:cs="Arial"/>
                <w:sz w:val="16"/>
                <w:szCs w:val="16"/>
                <w:vertAlign w:val="superscript"/>
              </w:rPr>
              <w:t>3</w:t>
            </w:r>
          </w:p>
        </w:tc>
        <w:tc>
          <w:tcPr>
            <w:tcW w:w="402" w:type="pct"/>
            <w:tcBorders>
              <w:left w:val="single" w:sz="6" w:space="0" w:color="000000"/>
              <w:bottom w:val="single" w:sz="6" w:space="0" w:color="000000"/>
              <w:right w:val="single" w:sz="6" w:space="0" w:color="000000"/>
            </w:tcBorders>
          </w:tcPr>
          <w:p w14:paraId="707AEA20" w14:textId="77777777"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sz w:val="16"/>
                <w:szCs w:val="16"/>
              </w:rPr>
              <w:t>Not serious</w:t>
            </w:r>
          </w:p>
        </w:tc>
        <w:tc>
          <w:tcPr>
            <w:tcW w:w="612" w:type="pct"/>
            <w:tcBorders>
              <w:left w:val="single" w:sz="6" w:space="0" w:color="000000"/>
              <w:bottom w:val="single" w:sz="6" w:space="0" w:color="000000"/>
              <w:right w:val="single" w:sz="6" w:space="0" w:color="000000"/>
            </w:tcBorders>
          </w:tcPr>
          <w:p w14:paraId="3674BED8" w14:textId="77777777" w:rsidR="002D745B" w:rsidRPr="00E30A41" w:rsidRDefault="002D745B" w:rsidP="00E350F6">
            <w:pPr>
              <w:pStyle w:val="Default"/>
              <w:jc w:val="both"/>
              <w:rPr>
                <w:rFonts w:ascii="Arial" w:hAnsi="Arial" w:cs="Arial"/>
                <w:b/>
                <w:bCs/>
                <w:i/>
                <w:iCs/>
                <w:sz w:val="16"/>
                <w:szCs w:val="16"/>
                <w:lang w:val="en-GB"/>
              </w:rPr>
            </w:pPr>
            <w:r w:rsidRPr="00E30A41">
              <w:rPr>
                <w:rFonts w:ascii="Arial" w:hAnsi="Arial" w:cs="Arial"/>
                <w:sz w:val="16"/>
                <w:szCs w:val="16"/>
                <w:lang w:val="en-GB"/>
              </w:rPr>
              <w:t>704,000 $</w:t>
            </w:r>
          </w:p>
          <w:p w14:paraId="37CA29A1" w14:textId="77777777" w:rsidR="002D745B" w:rsidRPr="00E30A41" w:rsidRDefault="002D745B" w:rsidP="00E350F6">
            <w:pPr>
              <w:pStyle w:val="Default"/>
              <w:jc w:val="both"/>
              <w:rPr>
                <w:rFonts w:ascii="Arial" w:hAnsi="Arial" w:cs="Arial"/>
                <w:b/>
                <w:bCs/>
                <w:i/>
                <w:iCs/>
                <w:sz w:val="16"/>
                <w:szCs w:val="16"/>
                <w:lang w:val="en-GB"/>
              </w:rPr>
            </w:pPr>
            <w:r w:rsidRPr="00E30A41">
              <w:rPr>
                <w:rFonts w:ascii="Arial" w:hAnsi="Arial" w:cs="Arial"/>
                <w:sz w:val="16"/>
                <w:szCs w:val="16"/>
                <w:lang w:val="en-GB"/>
              </w:rPr>
              <w:t>(lifetime horizon)</w:t>
            </w:r>
          </w:p>
        </w:tc>
        <w:tc>
          <w:tcPr>
            <w:tcW w:w="676" w:type="pct"/>
            <w:tcBorders>
              <w:top w:val="single" w:sz="6" w:space="0" w:color="000000"/>
              <w:left w:val="single" w:sz="6" w:space="0" w:color="000000"/>
              <w:bottom w:val="single" w:sz="6" w:space="0" w:color="000000"/>
              <w:right w:val="single" w:sz="6" w:space="0" w:color="000000"/>
            </w:tcBorders>
          </w:tcPr>
          <w:p w14:paraId="61ABD210" w14:textId="77777777" w:rsidR="002D745B" w:rsidRPr="00E30A41" w:rsidRDefault="002D745B" w:rsidP="00E350F6">
            <w:pPr>
              <w:pStyle w:val="Default"/>
              <w:jc w:val="both"/>
              <w:rPr>
                <w:rFonts w:ascii="Arial" w:hAnsi="Arial" w:cs="Arial"/>
                <w:b/>
                <w:bCs/>
                <w:i/>
                <w:iCs/>
                <w:sz w:val="16"/>
                <w:szCs w:val="16"/>
                <w:lang w:val="en-GB"/>
              </w:rPr>
            </w:pPr>
            <w:r w:rsidRPr="00E30A41">
              <w:rPr>
                <w:rFonts w:ascii="Arial" w:hAnsi="Arial" w:cs="Arial"/>
                <w:sz w:val="16"/>
                <w:szCs w:val="16"/>
                <w:lang w:val="en-GB"/>
              </w:rPr>
              <w:t>1.51 QALYs</w:t>
            </w:r>
          </w:p>
          <w:p w14:paraId="17A6A215" w14:textId="77777777" w:rsidR="002D745B" w:rsidRPr="00E30A41" w:rsidRDefault="002D745B" w:rsidP="00E350F6">
            <w:pPr>
              <w:pStyle w:val="Default"/>
              <w:jc w:val="both"/>
              <w:rPr>
                <w:rFonts w:ascii="Arial" w:hAnsi="Arial" w:cs="Arial"/>
                <w:b/>
                <w:bCs/>
                <w:i/>
                <w:iCs/>
                <w:sz w:val="16"/>
                <w:szCs w:val="16"/>
                <w:lang w:val="en-GB"/>
              </w:rPr>
            </w:pPr>
            <w:r w:rsidRPr="00E30A41">
              <w:rPr>
                <w:rFonts w:ascii="Arial" w:hAnsi="Arial" w:cs="Arial"/>
                <w:sz w:val="16"/>
                <w:szCs w:val="16"/>
                <w:lang w:val="en-GB"/>
              </w:rPr>
              <w:t>(lifetime horizon)</w:t>
            </w:r>
          </w:p>
          <w:p w14:paraId="6EA4B32D" w14:textId="77777777" w:rsidR="002D745B" w:rsidRPr="00E30A41" w:rsidRDefault="002D745B" w:rsidP="00E350F6">
            <w:pPr>
              <w:pStyle w:val="Default"/>
              <w:jc w:val="both"/>
              <w:rPr>
                <w:rFonts w:ascii="Arial" w:hAnsi="Arial" w:cs="Arial"/>
                <w:sz w:val="16"/>
                <w:szCs w:val="16"/>
                <w:lang w:val="en-GB"/>
              </w:rPr>
            </w:pPr>
          </w:p>
        </w:tc>
        <w:tc>
          <w:tcPr>
            <w:tcW w:w="605" w:type="pct"/>
            <w:tcBorders>
              <w:top w:val="single" w:sz="6" w:space="0" w:color="000000"/>
              <w:left w:val="single" w:sz="6" w:space="0" w:color="000000"/>
              <w:bottom w:val="single" w:sz="6" w:space="0" w:color="000000"/>
              <w:right w:val="single" w:sz="6" w:space="0" w:color="000000"/>
            </w:tcBorders>
          </w:tcPr>
          <w:p w14:paraId="3F7AC45A" w14:textId="0D0DFB4C" w:rsidR="002D745B" w:rsidRPr="00E30A41" w:rsidRDefault="002D745B" w:rsidP="00E350F6">
            <w:pPr>
              <w:pStyle w:val="Default"/>
              <w:jc w:val="both"/>
              <w:rPr>
                <w:rFonts w:ascii="Arial" w:hAnsi="Arial" w:cs="Arial"/>
                <w:b/>
                <w:bCs/>
                <w:i/>
                <w:iCs/>
                <w:sz w:val="16"/>
                <w:szCs w:val="16"/>
                <w:lang w:val="en-GB"/>
              </w:rPr>
            </w:pPr>
            <w:r w:rsidRPr="00E30A41">
              <w:rPr>
                <w:rFonts w:ascii="Arial" w:hAnsi="Arial" w:cs="Arial"/>
                <w:sz w:val="16"/>
                <w:szCs w:val="16"/>
                <w:lang w:val="en-GB"/>
              </w:rPr>
              <w:t>464,000 $ / QALY</w:t>
            </w:r>
            <w:r w:rsidR="00383491" w:rsidRPr="00FD3FC4">
              <w:rPr>
                <w:rFonts w:ascii="Arial" w:hAnsi="Arial" w:cs="Arial"/>
                <w:sz w:val="16"/>
                <w:szCs w:val="16"/>
                <w:vertAlign w:val="superscript"/>
                <w:lang w:val="en-GB"/>
              </w:rPr>
              <w:t>4</w:t>
            </w:r>
          </w:p>
        </w:tc>
        <w:tc>
          <w:tcPr>
            <w:tcW w:w="358" w:type="pct"/>
            <w:tcBorders>
              <w:left w:val="single" w:sz="6" w:space="0" w:color="000000"/>
              <w:bottom w:val="single" w:sz="6" w:space="0" w:color="000000"/>
            </w:tcBorders>
          </w:tcPr>
          <w:p w14:paraId="63CB8609" w14:textId="77777777" w:rsidR="002D745B" w:rsidRPr="00E30A41" w:rsidRDefault="002D745B" w:rsidP="00E350F6">
            <w:pPr>
              <w:jc w:val="both"/>
              <w:rPr>
                <w:rStyle w:val="quality-sign"/>
                <w:rFonts w:ascii="Arial" w:eastAsia="MS Mincho" w:hAnsi="Arial" w:cs="Arial"/>
                <w:color w:val="000000"/>
                <w:sz w:val="16"/>
                <w:szCs w:val="16"/>
                <w:lang w:eastAsia="en-GB"/>
              </w:rPr>
            </w:pPr>
            <w:r w:rsidRPr="00E30A41">
              <w:rPr>
                <w:rStyle w:val="quality-sign"/>
                <w:rFonts w:ascii="Cambria Math" w:hAnsi="Cambria Math" w:cs="Cambria Math"/>
                <w:sz w:val="16"/>
                <w:szCs w:val="16"/>
              </w:rPr>
              <w:t>⨁⨁⨁</w:t>
            </w:r>
            <w:r w:rsidRPr="00E30A41">
              <w:rPr>
                <w:rStyle w:val="quality-sign"/>
                <w:rFonts w:ascii="Segoe UI Symbol" w:eastAsia="ヒラギノ角ゴシック W3" w:hAnsi="Segoe UI Symbol" w:cs="Segoe UI Symbol"/>
                <w:sz w:val="16"/>
                <w:szCs w:val="16"/>
              </w:rPr>
              <w:t>◯</w:t>
            </w:r>
          </w:p>
          <w:p w14:paraId="11E20334" w14:textId="77777777" w:rsidR="002D745B" w:rsidRPr="00E30A41" w:rsidRDefault="002D745B" w:rsidP="00E350F6">
            <w:pPr>
              <w:jc w:val="both"/>
              <w:rPr>
                <w:rStyle w:val="quality-sign"/>
                <w:rFonts w:ascii="Arial" w:hAnsi="Arial" w:cs="Arial"/>
                <w:sz w:val="16"/>
                <w:szCs w:val="16"/>
              </w:rPr>
            </w:pPr>
            <w:r w:rsidRPr="00E30A41">
              <w:rPr>
                <w:rStyle w:val="quality-sign"/>
                <w:rFonts w:ascii="Arial" w:hAnsi="Arial" w:cs="Arial"/>
                <w:sz w:val="16"/>
                <w:szCs w:val="16"/>
              </w:rPr>
              <w:t xml:space="preserve">MODERATE </w:t>
            </w:r>
          </w:p>
        </w:tc>
      </w:tr>
    </w:tbl>
    <w:p w14:paraId="226A2C1D" w14:textId="77777777" w:rsidR="002D745B" w:rsidRPr="0075421E" w:rsidRDefault="002D745B" w:rsidP="002D745B">
      <w:pPr>
        <w:jc w:val="both"/>
        <w:rPr>
          <w:rFonts w:ascii="Arial" w:hAnsi="Arial" w:cs="Arial"/>
          <w:sz w:val="16"/>
          <w:szCs w:val="16"/>
        </w:rPr>
      </w:pPr>
      <w:r w:rsidRPr="0075421E">
        <w:rPr>
          <w:rFonts w:ascii="Arial" w:hAnsi="Arial" w:cs="Arial"/>
          <w:sz w:val="16"/>
          <w:szCs w:val="16"/>
        </w:rPr>
        <w:t xml:space="preserve">*Incremental cost and effect due to the addition of Dupilumab. </w:t>
      </w:r>
    </w:p>
    <w:p w14:paraId="5E2B0D67" w14:textId="77777777" w:rsidR="002D745B" w:rsidRPr="0075421E" w:rsidRDefault="002D745B" w:rsidP="002D745B">
      <w:pPr>
        <w:jc w:val="both"/>
        <w:rPr>
          <w:rFonts w:ascii="Arial" w:hAnsi="Arial" w:cs="Arial"/>
          <w:sz w:val="16"/>
          <w:szCs w:val="16"/>
        </w:rPr>
      </w:pPr>
      <w:r w:rsidRPr="0075421E">
        <w:rPr>
          <w:rFonts w:ascii="Arial" w:hAnsi="Arial" w:cs="Arial"/>
          <w:sz w:val="16"/>
          <w:szCs w:val="16"/>
        </w:rPr>
        <w:t>ICER: Incremental cost-effectiveness ratio. QALY: Quality adjusted life years. $: US Dollar</w:t>
      </w:r>
      <w:r w:rsidRPr="0075421E">
        <w:rPr>
          <w:rFonts w:ascii="Arial" w:hAnsi="Arial" w:cs="Arial"/>
          <w:color w:val="000000"/>
          <w:sz w:val="16"/>
          <w:szCs w:val="16"/>
          <w:lang w:eastAsia="en-GB"/>
        </w:rPr>
        <w:t>.</w:t>
      </w:r>
    </w:p>
    <w:p w14:paraId="34AE2374" w14:textId="77777777" w:rsidR="002D745B" w:rsidRPr="0075421E" w:rsidRDefault="002D745B" w:rsidP="002D745B">
      <w:pPr>
        <w:pStyle w:val="ListParagraph"/>
        <w:numPr>
          <w:ilvl w:val="0"/>
          <w:numId w:val="13"/>
        </w:numPr>
        <w:spacing w:after="200" w:line="276" w:lineRule="auto"/>
        <w:jc w:val="both"/>
        <w:rPr>
          <w:rFonts w:ascii="Arial" w:hAnsi="Arial" w:cs="Arial"/>
          <w:sz w:val="16"/>
          <w:szCs w:val="16"/>
        </w:rPr>
      </w:pPr>
      <w:r w:rsidRPr="0075421E">
        <w:rPr>
          <w:rFonts w:ascii="Arial" w:hAnsi="Arial" w:cs="Arial"/>
          <w:sz w:val="16"/>
          <w:szCs w:val="16"/>
        </w:rPr>
        <w:t xml:space="preserve">Markov model study with low risk of bias (CHEC score 13 or higher). </w:t>
      </w:r>
    </w:p>
    <w:p w14:paraId="1792D65C" w14:textId="77777777" w:rsidR="002D745B" w:rsidRPr="0075421E" w:rsidRDefault="002D745B" w:rsidP="002D745B">
      <w:pPr>
        <w:pStyle w:val="ListParagraph"/>
        <w:numPr>
          <w:ilvl w:val="0"/>
          <w:numId w:val="13"/>
        </w:numPr>
        <w:spacing w:after="200" w:line="276" w:lineRule="auto"/>
        <w:jc w:val="both"/>
        <w:rPr>
          <w:rFonts w:ascii="Arial" w:hAnsi="Arial" w:cs="Arial"/>
          <w:sz w:val="16"/>
          <w:szCs w:val="16"/>
        </w:rPr>
      </w:pPr>
      <w:r w:rsidRPr="0075421E">
        <w:rPr>
          <w:rFonts w:ascii="Arial" w:hAnsi="Arial" w:cs="Arial"/>
          <w:sz w:val="16"/>
          <w:szCs w:val="16"/>
        </w:rPr>
        <w:t>One single study performed in the USA. The results may not be applicable to other countries.</w:t>
      </w:r>
    </w:p>
    <w:p w14:paraId="3C7B6A39" w14:textId="58BD29A0" w:rsidR="00982C89" w:rsidRDefault="002D745B" w:rsidP="00982C89">
      <w:pPr>
        <w:pStyle w:val="ListParagraph"/>
        <w:numPr>
          <w:ilvl w:val="0"/>
          <w:numId w:val="13"/>
        </w:numPr>
        <w:spacing w:after="200" w:line="276" w:lineRule="auto"/>
        <w:jc w:val="both"/>
        <w:rPr>
          <w:rFonts w:ascii="Arial" w:hAnsi="Arial" w:cs="Arial"/>
          <w:sz w:val="16"/>
          <w:szCs w:val="16"/>
        </w:rPr>
      </w:pPr>
      <w:r w:rsidRPr="0075421E">
        <w:rPr>
          <w:rFonts w:ascii="Arial" w:hAnsi="Arial" w:cs="Arial"/>
          <w:sz w:val="16"/>
          <w:szCs w:val="16"/>
        </w:rPr>
        <w:t>The deterministic sensitivity analysis showed large variations in the ICER value from 300,000 $ to 1,000,000 $ (0.85 to 0.81 utilities gained, respectively). Furthermore, at a threshold of 50,000, the probability for Dupilumab to be cost-effective was 0%.</w:t>
      </w:r>
    </w:p>
    <w:p w14:paraId="5177B03D" w14:textId="77777777" w:rsidR="00383491" w:rsidRPr="00383491" w:rsidRDefault="00383491" w:rsidP="00383491">
      <w:pPr>
        <w:pStyle w:val="ListParagraph"/>
        <w:numPr>
          <w:ilvl w:val="0"/>
          <w:numId w:val="13"/>
        </w:numPr>
        <w:rPr>
          <w:rFonts w:ascii="Arial" w:hAnsi="Arial" w:cs="Arial"/>
          <w:sz w:val="16"/>
          <w:szCs w:val="16"/>
        </w:rPr>
      </w:pPr>
      <w:r w:rsidRPr="00383491">
        <w:rPr>
          <w:rFonts w:ascii="Arial" w:hAnsi="Arial" w:cs="Arial"/>
          <w:sz w:val="16"/>
          <w:szCs w:val="16"/>
        </w:rPr>
        <w:t>The incremental cost-effectiveness ratio drops substantially from ~400k/ QALY to ~200k/QALY when the responder definition is factored into the cost-effectiveness model.</w:t>
      </w:r>
    </w:p>
    <w:p w14:paraId="6BF2C7CC" w14:textId="77777777" w:rsidR="00383491" w:rsidRPr="00982C89" w:rsidRDefault="00383491" w:rsidP="00FD3FC4">
      <w:pPr>
        <w:pStyle w:val="ListParagraph"/>
        <w:spacing w:after="200" w:line="276" w:lineRule="auto"/>
        <w:jc w:val="both"/>
        <w:rPr>
          <w:rFonts w:ascii="Arial" w:hAnsi="Arial" w:cs="Arial"/>
          <w:sz w:val="16"/>
          <w:szCs w:val="16"/>
        </w:rPr>
      </w:pPr>
    </w:p>
    <w:p w14:paraId="4D5AAC61" w14:textId="16FC4EE7" w:rsidR="00982C89" w:rsidRPr="00ED574D" w:rsidRDefault="00982C89" w:rsidP="00982C89">
      <w:pPr>
        <w:rPr>
          <w:rFonts w:ascii="Arial" w:hAnsi="Arial" w:cs="Arial"/>
          <w:b/>
          <w:sz w:val="20"/>
          <w:szCs w:val="20"/>
        </w:rPr>
      </w:pPr>
      <w:r w:rsidRPr="000B1027">
        <w:rPr>
          <w:rFonts w:ascii="Arial" w:hAnsi="Arial" w:cs="Arial"/>
          <w:b/>
          <w:bCs/>
          <w:color w:val="000000"/>
          <w:sz w:val="20"/>
          <w:szCs w:val="20"/>
          <w:lang w:val="en"/>
        </w:rPr>
        <w:t>Table S</w:t>
      </w:r>
      <w:r w:rsidR="000B1027" w:rsidRPr="000B1027">
        <w:rPr>
          <w:rFonts w:ascii="Arial" w:hAnsi="Arial" w:cs="Arial"/>
          <w:b/>
          <w:bCs/>
          <w:color w:val="000000"/>
          <w:sz w:val="20"/>
          <w:szCs w:val="20"/>
          <w:lang w:val="en"/>
        </w:rPr>
        <w:t>2</w:t>
      </w:r>
      <w:r w:rsidR="00761F32">
        <w:rPr>
          <w:rFonts w:ascii="Arial" w:hAnsi="Arial" w:cs="Arial"/>
          <w:b/>
          <w:bCs/>
          <w:color w:val="000000"/>
          <w:sz w:val="20"/>
          <w:szCs w:val="20"/>
          <w:lang w:val="en"/>
        </w:rPr>
        <w:t>4</w:t>
      </w:r>
      <w:r w:rsidR="000B1027" w:rsidRPr="000B1027">
        <w:rPr>
          <w:rFonts w:ascii="Arial" w:hAnsi="Arial" w:cs="Arial"/>
          <w:b/>
          <w:bCs/>
          <w:color w:val="000000"/>
          <w:sz w:val="20"/>
          <w:szCs w:val="20"/>
          <w:lang w:val="en"/>
        </w:rPr>
        <w:t>:</w:t>
      </w:r>
      <w:r w:rsidRPr="000B1027">
        <w:rPr>
          <w:rFonts w:ascii="Arial" w:hAnsi="Arial" w:cs="Arial"/>
          <w:b/>
          <w:bCs/>
          <w:color w:val="000000"/>
          <w:sz w:val="20"/>
          <w:szCs w:val="20"/>
          <w:lang w:val="en"/>
        </w:rPr>
        <w:t xml:space="preserve"> </w:t>
      </w:r>
      <w:r w:rsidRPr="000B1027">
        <w:rPr>
          <w:rFonts w:ascii="Arial" w:hAnsi="Arial" w:cs="Arial"/>
          <w:b/>
          <w:sz w:val="20"/>
          <w:szCs w:val="20"/>
        </w:rPr>
        <w:t>Evidence to decision table supporting recommendations for dupilumab for severe allergic asthma in adults (exacerbations and asthma control)</w:t>
      </w:r>
    </w:p>
    <w:tbl>
      <w:tblPr>
        <w:tblW w:w="0" w:type="auto"/>
        <w:tblCellMar>
          <w:left w:w="0" w:type="dxa"/>
          <w:right w:w="0" w:type="dxa"/>
        </w:tblCellMar>
        <w:tblLook w:val="04A0" w:firstRow="1" w:lastRow="0" w:firstColumn="1" w:lastColumn="0" w:noHBand="0" w:noVBand="1"/>
      </w:tblPr>
      <w:tblGrid>
        <w:gridCol w:w="1691"/>
        <w:gridCol w:w="1560"/>
        <w:gridCol w:w="1735"/>
        <w:gridCol w:w="1936"/>
        <w:gridCol w:w="1935"/>
        <w:gridCol w:w="1198"/>
        <w:gridCol w:w="850"/>
        <w:gridCol w:w="1559"/>
      </w:tblGrid>
      <w:tr w:rsidR="00982C89" w:rsidRPr="00F07060" w14:paraId="6924C212" w14:textId="77777777" w:rsidTr="00ED574D">
        <w:trPr>
          <w:trHeight w:val="19"/>
        </w:trPr>
        <w:tc>
          <w:tcPr>
            <w:tcW w:w="1691" w:type="dxa"/>
            <w:tcBorders>
              <w:top w:val="single" w:sz="8" w:space="0" w:color="FFFFFF"/>
              <w:left w:val="single" w:sz="8" w:space="0" w:color="FFFFFF"/>
              <w:bottom w:val="single" w:sz="24" w:space="0" w:color="FFFFFF"/>
              <w:right w:val="single" w:sz="8" w:space="0" w:color="FFFFFF"/>
            </w:tcBorders>
            <w:shd w:val="clear" w:color="auto" w:fill="5B9BD5"/>
            <w:tcMar>
              <w:top w:w="74" w:type="dxa"/>
              <w:left w:w="74" w:type="dxa"/>
              <w:bottom w:w="74" w:type="dxa"/>
              <w:right w:w="74" w:type="dxa"/>
            </w:tcMar>
            <w:vAlign w:val="center"/>
            <w:hideMark/>
          </w:tcPr>
          <w:p w14:paraId="2A93D7E3" w14:textId="77777777" w:rsidR="00982C89" w:rsidRPr="00F07060" w:rsidRDefault="00982C89" w:rsidP="00E350F6">
            <w:pPr>
              <w:rPr>
                <w:b/>
                <w:bCs/>
                <w:color w:val="000000"/>
                <w:sz w:val="16"/>
                <w:szCs w:val="16"/>
              </w:rPr>
            </w:pPr>
          </w:p>
        </w:tc>
        <w:tc>
          <w:tcPr>
            <w:tcW w:w="10773" w:type="dxa"/>
            <w:gridSpan w:val="7"/>
            <w:tcBorders>
              <w:top w:val="single" w:sz="8" w:space="0" w:color="FFFFFF"/>
              <w:left w:val="single" w:sz="8" w:space="0" w:color="FFFFFF"/>
              <w:bottom w:val="single" w:sz="24" w:space="0" w:color="FFFFFF"/>
              <w:right w:val="single" w:sz="8" w:space="0" w:color="FFFFFF"/>
            </w:tcBorders>
            <w:shd w:val="clear" w:color="auto" w:fill="5B9BD5"/>
            <w:tcMar>
              <w:top w:w="74" w:type="dxa"/>
              <w:left w:w="74" w:type="dxa"/>
              <w:bottom w:w="74" w:type="dxa"/>
              <w:right w:w="74" w:type="dxa"/>
            </w:tcMar>
            <w:vAlign w:val="center"/>
            <w:hideMark/>
          </w:tcPr>
          <w:p w14:paraId="04CDE05B" w14:textId="77777777" w:rsidR="00982C89" w:rsidRPr="00F07060" w:rsidRDefault="00982C89" w:rsidP="00E350F6">
            <w:pPr>
              <w:rPr>
                <w:b/>
                <w:bCs/>
                <w:color w:val="000000"/>
                <w:sz w:val="16"/>
                <w:szCs w:val="16"/>
              </w:rPr>
            </w:pPr>
            <w:r w:rsidRPr="00F07060">
              <w:rPr>
                <w:b/>
                <w:bCs/>
                <w:color w:val="000000"/>
                <w:sz w:val="16"/>
                <w:szCs w:val="16"/>
              </w:rPr>
              <w:t>Judgement</w:t>
            </w:r>
          </w:p>
        </w:tc>
      </w:tr>
      <w:tr w:rsidR="00ED574D" w:rsidRPr="00F07060" w14:paraId="29E9A627" w14:textId="77777777" w:rsidTr="00ED574D">
        <w:trPr>
          <w:trHeight w:val="153"/>
        </w:trPr>
        <w:tc>
          <w:tcPr>
            <w:tcW w:w="1691" w:type="dxa"/>
            <w:tcBorders>
              <w:top w:val="single" w:sz="24"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42362386" w14:textId="77777777" w:rsidR="00982C89" w:rsidRPr="00F07060" w:rsidRDefault="00982C89" w:rsidP="00E350F6">
            <w:pPr>
              <w:rPr>
                <w:b/>
                <w:bCs/>
                <w:color w:val="000000"/>
                <w:sz w:val="16"/>
                <w:szCs w:val="16"/>
              </w:rPr>
            </w:pPr>
            <w:r w:rsidRPr="00F07060">
              <w:rPr>
                <w:b/>
                <w:bCs/>
                <w:color w:val="000000"/>
                <w:sz w:val="16"/>
                <w:szCs w:val="16"/>
              </w:rPr>
              <w:t>Problem (importance)</w:t>
            </w:r>
          </w:p>
        </w:tc>
        <w:tc>
          <w:tcPr>
            <w:tcW w:w="1560"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1FDB69B" w14:textId="77777777" w:rsidR="00982C89" w:rsidRPr="00F07060" w:rsidRDefault="00982C89" w:rsidP="00E350F6">
            <w:pPr>
              <w:rPr>
                <w:b/>
                <w:bCs/>
                <w:color w:val="000000"/>
                <w:sz w:val="16"/>
                <w:szCs w:val="16"/>
              </w:rPr>
            </w:pPr>
            <w:r w:rsidRPr="00F07060">
              <w:rPr>
                <w:b/>
                <w:bCs/>
                <w:color w:val="000000"/>
                <w:sz w:val="16"/>
                <w:szCs w:val="16"/>
              </w:rPr>
              <w:t>No</w:t>
            </w:r>
          </w:p>
        </w:tc>
        <w:tc>
          <w:tcPr>
            <w:tcW w:w="1735"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D531380" w14:textId="77777777" w:rsidR="00982C89" w:rsidRPr="00F07060" w:rsidRDefault="00982C89" w:rsidP="00E350F6">
            <w:pPr>
              <w:rPr>
                <w:b/>
                <w:bCs/>
                <w:color w:val="000000"/>
                <w:sz w:val="16"/>
                <w:szCs w:val="16"/>
              </w:rPr>
            </w:pPr>
            <w:r w:rsidRPr="00F07060">
              <w:rPr>
                <w:b/>
                <w:bCs/>
                <w:color w:val="000000"/>
                <w:sz w:val="16"/>
                <w:szCs w:val="16"/>
              </w:rPr>
              <w:t>Probably no</w:t>
            </w:r>
          </w:p>
        </w:tc>
        <w:tc>
          <w:tcPr>
            <w:tcW w:w="1936"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720025F" w14:textId="77777777" w:rsidR="00982C89" w:rsidRPr="00F07060" w:rsidRDefault="00982C89" w:rsidP="00E350F6">
            <w:pPr>
              <w:rPr>
                <w:b/>
                <w:bCs/>
                <w:color w:val="000000"/>
                <w:sz w:val="16"/>
                <w:szCs w:val="16"/>
              </w:rPr>
            </w:pPr>
            <w:r w:rsidRPr="00F07060">
              <w:rPr>
                <w:b/>
                <w:bCs/>
                <w:color w:val="000000"/>
                <w:sz w:val="16"/>
                <w:szCs w:val="16"/>
              </w:rPr>
              <w:t>Probably yes</w:t>
            </w:r>
          </w:p>
        </w:tc>
        <w:tc>
          <w:tcPr>
            <w:tcW w:w="1935" w:type="dxa"/>
            <w:tcBorders>
              <w:top w:val="single" w:sz="24"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1207CD82" w14:textId="77777777" w:rsidR="00982C89" w:rsidRPr="00F07060" w:rsidRDefault="00982C89" w:rsidP="00E350F6">
            <w:pPr>
              <w:rPr>
                <w:b/>
                <w:bCs/>
                <w:color w:val="000000"/>
                <w:sz w:val="16"/>
                <w:szCs w:val="16"/>
              </w:rPr>
            </w:pPr>
            <w:r w:rsidRPr="00F07060">
              <w:rPr>
                <w:b/>
                <w:bCs/>
                <w:color w:val="000000"/>
                <w:sz w:val="16"/>
                <w:szCs w:val="16"/>
              </w:rPr>
              <w:t>Yes</w:t>
            </w:r>
          </w:p>
        </w:tc>
        <w:tc>
          <w:tcPr>
            <w:tcW w:w="1198"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063A348" w14:textId="77777777" w:rsidR="00982C89" w:rsidRPr="00F07060" w:rsidRDefault="00982C89" w:rsidP="00E350F6">
            <w:pPr>
              <w:rPr>
                <w:b/>
                <w:bCs/>
                <w:color w:val="000000"/>
                <w:sz w:val="16"/>
                <w:szCs w:val="16"/>
              </w:rPr>
            </w:pPr>
          </w:p>
        </w:tc>
        <w:tc>
          <w:tcPr>
            <w:tcW w:w="850"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97BDDB2" w14:textId="77777777" w:rsidR="00982C89" w:rsidRPr="00F07060" w:rsidRDefault="00982C89" w:rsidP="00E350F6">
            <w:pPr>
              <w:rPr>
                <w:b/>
                <w:bCs/>
                <w:color w:val="000000"/>
                <w:sz w:val="16"/>
                <w:szCs w:val="16"/>
              </w:rPr>
            </w:pPr>
            <w:r w:rsidRPr="00F07060">
              <w:rPr>
                <w:b/>
                <w:bCs/>
                <w:color w:val="000000"/>
                <w:sz w:val="16"/>
                <w:szCs w:val="16"/>
              </w:rPr>
              <w:t>Varies</w:t>
            </w:r>
          </w:p>
        </w:tc>
        <w:tc>
          <w:tcPr>
            <w:tcW w:w="1559"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FF4B5A7" w14:textId="77777777" w:rsidR="00982C89" w:rsidRPr="00F07060" w:rsidRDefault="00982C89" w:rsidP="00E350F6">
            <w:pPr>
              <w:rPr>
                <w:b/>
                <w:bCs/>
                <w:color w:val="000000"/>
                <w:sz w:val="16"/>
                <w:szCs w:val="16"/>
              </w:rPr>
            </w:pPr>
            <w:r w:rsidRPr="00F07060">
              <w:rPr>
                <w:b/>
                <w:bCs/>
                <w:color w:val="000000"/>
                <w:sz w:val="16"/>
                <w:szCs w:val="16"/>
              </w:rPr>
              <w:t>Don't know</w:t>
            </w:r>
          </w:p>
        </w:tc>
      </w:tr>
      <w:tr w:rsidR="00ED574D" w:rsidRPr="00F07060" w14:paraId="21356C71" w14:textId="77777777" w:rsidTr="00ED574D">
        <w:trPr>
          <w:trHeight w:val="214"/>
        </w:trPr>
        <w:tc>
          <w:tcPr>
            <w:tcW w:w="1691"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039801E2" w14:textId="77777777" w:rsidR="00982C89" w:rsidRPr="00F07060" w:rsidRDefault="00982C89" w:rsidP="00E350F6">
            <w:pPr>
              <w:rPr>
                <w:b/>
                <w:bCs/>
                <w:color w:val="000000"/>
                <w:sz w:val="16"/>
                <w:szCs w:val="16"/>
              </w:rPr>
            </w:pPr>
            <w:r w:rsidRPr="00F07060">
              <w:rPr>
                <w:b/>
                <w:bCs/>
                <w:color w:val="000000"/>
                <w:sz w:val="16"/>
                <w:szCs w:val="16"/>
              </w:rPr>
              <w:t>Desirable Effects</w:t>
            </w:r>
          </w:p>
        </w:tc>
        <w:tc>
          <w:tcPr>
            <w:tcW w:w="1560"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98CFB29" w14:textId="77777777" w:rsidR="00982C89" w:rsidRPr="00F07060" w:rsidRDefault="00982C89" w:rsidP="00E350F6">
            <w:pPr>
              <w:rPr>
                <w:b/>
                <w:bCs/>
                <w:color w:val="000000"/>
                <w:sz w:val="16"/>
                <w:szCs w:val="16"/>
              </w:rPr>
            </w:pPr>
            <w:r w:rsidRPr="00F07060">
              <w:rPr>
                <w:b/>
                <w:bCs/>
                <w:color w:val="000000"/>
                <w:sz w:val="16"/>
                <w:szCs w:val="16"/>
              </w:rPr>
              <w:t>Trivial</w:t>
            </w:r>
          </w:p>
        </w:tc>
        <w:tc>
          <w:tcPr>
            <w:tcW w:w="173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08C5FB6" w14:textId="77777777" w:rsidR="00982C89" w:rsidRPr="00F07060" w:rsidRDefault="00982C89" w:rsidP="00E350F6">
            <w:pPr>
              <w:rPr>
                <w:b/>
                <w:bCs/>
                <w:color w:val="000000"/>
                <w:sz w:val="16"/>
                <w:szCs w:val="16"/>
              </w:rPr>
            </w:pPr>
            <w:r w:rsidRPr="00F07060">
              <w:rPr>
                <w:b/>
                <w:bCs/>
                <w:color w:val="000000"/>
                <w:sz w:val="16"/>
                <w:szCs w:val="16"/>
              </w:rPr>
              <w:t>Small</w:t>
            </w:r>
          </w:p>
        </w:tc>
        <w:tc>
          <w:tcPr>
            <w:tcW w:w="193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440A0DC" w14:textId="77777777" w:rsidR="00982C89" w:rsidRPr="00F07060" w:rsidRDefault="00982C89" w:rsidP="00E350F6">
            <w:pPr>
              <w:rPr>
                <w:b/>
                <w:bCs/>
                <w:color w:val="000000"/>
                <w:sz w:val="16"/>
                <w:szCs w:val="16"/>
              </w:rPr>
            </w:pPr>
            <w:r w:rsidRPr="00F07060">
              <w:rPr>
                <w:b/>
                <w:bCs/>
                <w:color w:val="000000"/>
                <w:sz w:val="16"/>
                <w:szCs w:val="16"/>
              </w:rPr>
              <w:t>Moderate</w:t>
            </w:r>
          </w:p>
        </w:tc>
        <w:tc>
          <w:tcPr>
            <w:tcW w:w="1935"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0E67E64D" w14:textId="77777777" w:rsidR="00982C89" w:rsidRPr="00F07060" w:rsidRDefault="00982C89" w:rsidP="00E350F6">
            <w:pPr>
              <w:rPr>
                <w:b/>
                <w:bCs/>
                <w:color w:val="000000"/>
                <w:sz w:val="16"/>
                <w:szCs w:val="16"/>
              </w:rPr>
            </w:pPr>
            <w:r w:rsidRPr="00F07060">
              <w:rPr>
                <w:b/>
                <w:bCs/>
                <w:color w:val="000000"/>
                <w:sz w:val="16"/>
                <w:szCs w:val="16"/>
              </w:rPr>
              <w:t>Large</w:t>
            </w:r>
          </w:p>
        </w:tc>
        <w:tc>
          <w:tcPr>
            <w:tcW w:w="1198"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2FACB4C" w14:textId="77777777" w:rsidR="00982C89" w:rsidRPr="00F07060" w:rsidRDefault="00982C89" w:rsidP="00E350F6">
            <w:pPr>
              <w:rPr>
                <w:b/>
                <w:bCs/>
                <w:color w:val="000000"/>
                <w:sz w:val="16"/>
                <w:szCs w:val="16"/>
              </w:rPr>
            </w:pPr>
          </w:p>
        </w:tc>
        <w:tc>
          <w:tcPr>
            <w:tcW w:w="850"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A560CB6" w14:textId="77777777" w:rsidR="00982C89" w:rsidRPr="00F07060" w:rsidRDefault="00982C89" w:rsidP="00E350F6">
            <w:pPr>
              <w:rPr>
                <w:b/>
                <w:bCs/>
                <w:color w:val="000000"/>
                <w:sz w:val="16"/>
                <w:szCs w:val="16"/>
              </w:rPr>
            </w:pPr>
            <w:r w:rsidRPr="00F07060">
              <w:rPr>
                <w:b/>
                <w:bCs/>
                <w:color w:val="000000"/>
                <w:sz w:val="16"/>
                <w:szCs w:val="16"/>
              </w:rPr>
              <w:t>Varies</w:t>
            </w:r>
          </w:p>
        </w:tc>
        <w:tc>
          <w:tcPr>
            <w:tcW w:w="1559"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2325D63" w14:textId="77777777" w:rsidR="00982C89" w:rsidRPr="00F07060" w:rsidRDefault="00982C89" w:rsidP="00E350F6">
            <w:pPr>
              <w:rPr>
                <w:b/>
                <w:bCs/>
                <w:color w:val="000000"/>
                <w:sz w:val="16"/>
                <w:szCs w:val="16"/>
              </w:rPr>
            </w:pPr>
            <w:r w:rsidRPr="00F07060">
              <w:rPr>
                <w:b/>
                <w:bCs/>
                <w:color w:val="000000"/>
                <w:sz w:val="16"/>
                <w:szCs w:val="16"/>
              </w:rPr>
              <w:t>Don't know</w:t>
            </w:r>
          </w:p>
        </w:tc>
      </w:tr>
      <w:tr w:rsidR="00ED574D" w:rsidRPr="00F07060" w14:paraId="7A0A19B9" w14:textId="77777777" w:rsidTr="00ED574D">
        <w:trPr>
          <w:trHeight w:val="134"/>
        </w:trPr>
        <w:tc>
          <w:tcPr>
            <w:tcW w:w="1691"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198DFDD9" w14:textId="77777777" w:rsidR="00982C89" w:rsidRPr="00F07060" w:rsidRDefault="00982C89" w:rsidP="00E350F6">
            <w:pPr>
              <w:rPr>
                <w:b/>
                <w:bCs/>
                <w:color w:val="000000"/>
                <w:sz w:val="16"/>
                <w:szCs w:val="16"/>
              </w:rPr>
            </w:pPr>
            <w:r w:rsidRPr="00F07060">
              <w:rPr>
                <w:b/>
                <w:bCs/>
                <w:color w:val="000000"/>
                <w:sz w:val="16"/>
                <w:szCs w:val="16"/>
              </w:rPr>
              <w:t>Undesirable Effects</w:t>
            </w:r>
          </w:p>
        </w:tc>
        <w:tc>
          <w:tcPr>
            <w:tcW w:w="1560"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7503CA7" w14:textId="77777777" w:rsidR="00982C89" w:rsidRPr="00F07060" w:rsidRDefault="00982C89" w:rsidP="00E350F6">
            <w:pPr>
              <w:rPr>
                <w:b/>
                <w:bCs/>
                <w:color w:val="000000"/>
                <w:sz w:val="16"/>
                <w:szCs w:val="16"/>
              </w:rPr>
            </w:pPr>
            <w:r w:rsidRPr="00F07060">
              <w:rPr>
                <w:b/>
                <w:bCs/>
                <w:color w:val="000000"/>
                <w:sz w:val="16"/>
                <w:szCs w:val="16"/>
              </w:rPr>
              <w:t>Large</w:t>
            </w:r>
          </w:p>
        </w:tc>
        <w:tc>
          <w:tcPr>
            <w:tcW w:w="1735"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C33D62A" w14:textId="77777777" w:rsidR="00982C89" w:rsidRPr="00F07060" w:rsidRDefault="00982C89" w:rsidP="00E350F6">
            <w:pPr>
              <w:rPr>
                <w:b/>
                <w:bCs/>
                <w:color w:val="000000"/>
                <w:sz w:val="16"/>
                <w:szCs w:val="16"/>
              </w:rPr>
            </w:pPr>
            <w:r w:rsidRPr="00F07060">
              <w:rPr>
                <w:b/>
                <w:bCs/>
                <w:color w:val="000000"/>
                <w:sz w:val="16"/>
                <w:szCs w:val="16"/>
              </w:rPr>
              <w:t>Moderate</w:t>
            </w:r>
          </w:p>
        </w:tc>
        <w:tc>
          <w:tcPr>
            <w:tcW w:w="1936"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4BAC0111" w14:textId="77777777" w:rsidR="00982C89" w:rsidRPr="00F07060" w:rsidRDefault="00982C89" w:rsidP="00E350F6">
            <w:pPr>
              <w:rPr>
                <w:b/>
                <w:bCs/>
                <w:color w:val="000000"/>
                <w:sz w:val="16"/>
                <w:szCs w:val="16"/>
              </w:rPr>
            </w:pPr>
            <w:r w:rsidRPr="00F07060">
              <w:rPr>
                <w:b/>
                <w:bCs/>
                <w:color w:val="000000"/>
                <w:sz w:val="16"/>
                <w:szCs w:val="16"/>
              </w:rPr>
              <w:t>Small</w:t>
            </w:r>
          </w:p>
        </w:tc>
        <w:tc>
          <w:tcPr>
            <w:tcW w:w="1935"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0B1D407" w14:textId="77777777" w:rsidR="00982C89" w:rsidRPr="00F07060" w:rsidRDefault="00982C89" w:rsidP="00E350F6">
            <w:pPr>
              <w:rPr>
                <w:b/>
                <w:bCs/>
                <w:color w:val="000000"/>
                <w:sz w:val="16"/>
                <w:szCs w:val="16"/>
              </w:rPr>
            </w:pPr>
            <w:r w:rsidRPr="00F07060">
              <w:rPr>
                <w:b/>
                <w:bCs/>
                <w:color w:val="000000"/>
                <w:sz w:val="16"/>
                <w:szCs w:val="16"/>
              </w:rPr>
              <w:t>Trivial</w:t>
            </w:r>
          </w:p>
        </w:tc>
        <w:tc>
          <w:tcPr>
            <w:tcW w:w="1198"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11FC4C4" w14:textId="77777777" w:rsidR="00982C89" w:rsidRPr="00F07060" w:rsidRDefault="00982C89" w:rsidP="00E350F6">
            <w:pPr>
              <w:rPr>
                <w:b/>
                <w:bCs/>
                <w:color w:val="000000"/>
                <w:sz w:val="16"/>
                <w:szCs w:val="16"/>
              </w:rPr>
            </w:pPr>
          </w:p>
        </w:tc>
        <w:tc>
          <w:tcPr>
            <w:tcW w:w="850"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ACC8433" w14:textId="77777777" w:rsidR="00982C89" w:rsidRPr="00F07060" w:rsidRDefault="00982C89" w:rsidP="00E350F6">
            <w:pPr>
              <w:rPr>
                <w:b/>
                <w:bCs/>
                <w:color w:val="000000"/>
                <w:sz w:val="16"/>
                <w:szCs w:val="16"/>
              </w:rPr>
            </w:pPr>
            <w:r w:rsidRPr="00F07060">
              <w:rPr>
                <w:b/>
                <w:bCs/>
                <w:color w:val="000000"/>
                <w:sz w:val="16"/>
                <w:szCs w:val="16"/>
              </w:rPr>
              <w:t>Varies</w:t>
            </w:r>
          </w:p>
        </w:tc>
        <w:tc>
          <w:tcPr>
            <w:tcW w:w="1559"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2F848B5" w14:textId="77777777" w:rsidR="00982C89" w:rsidRPr="00F07060" w:rsidRDefault="00982C89" w:rsidP="00E350F6">
            <w:pPr>
              <w:rPr>
                <w:b/>
                <w:bCs/>
                <w:color w:val="000000"/>
                <w:sz w:val="16"/>
                <w:szCs w:val="16"/>
              </w:rPr>
            </w:pPr>
            <w:r w:rsidRPr="00F07060">
              <w:rPr>
                <w:b/>
                <w:bCs/>
                <w:color w:val="000000"/>
                <w:sz w:val="16"/>
                <w:szCs w:val="16"/>
              </w:rPr>
              <w:t>Don't know</w:t>
            </w:r>
          </w:p>
        </w:tc>
      </w:tr>
      <w:tr w:rsidR="00ED574D" w:rsidRPr="00F07060" w14:paraId="0C3537DB" w14:textId="77777777" w:rsidTr="00ED574D">
        <w:trPr>
          <w:trHeight w:val="136"/>
        </w:trPr>
        <w:tc>
          <w:tcPr>
            <w:tcW w:w="1691"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7089C378" w14:textId="77777777" w:rsidR="00982C89" w:rsidRPr="00F07060" w:rsidRDefault="00982C89" w:rsidP="00E350F6">
            <w:pPr>
              <w:rPr>
                <w:b/>
                <w:bCs/>
                <w:color w:val="000000"/>
                <w:sz w:val="16"/>
                <w:szCs w:val="16"/>
              </w:rPr>
            </w:pPr>
            <w:r w:rsidRPr="00F07060">
              <w:rPr>
                <w:b/>
                <w:bCs/>
                <w:color w:val="000000"/>
                <w:sz w:val="16"/>
                <w:szCs w:val="16"/>
              </w:rPr>
              <w:t>Certainty of evidence</w:t>
            </w:r>
          </w:p>
        </w:tc>
        <w:tc>
          <w:tcPr>
            <w:tcW w:w="1560"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01CB6C5" w14:textId="77777777" w:rsidR="00982C89" w:rsidRPr="00F07060" w:rsidRDefault="00982C89" w:rsidP="00E350F6">
            <w:pPr>
              <w:rPr>
                <w:b/>
                <w:bCs/>
                <w:color w:val="000000"/>
                <w:sz w:val="16"/>
                <w:szCs w:val="16"/>
              </w:rPr>
            </w:pPr>
            <w:r w:rsidRPr="00F07060">
              <w:rPr>
                <w:b/>
                <w:bCs/>
                <w:color w:val="000000"/>
                <w:sz w:val="16"/>
                <w:szCs w:val="16"/>
              </w:rPr>
              <w:t>Very low</w:t>
            </w:r>
          </w:p>
        </w:tc>
        <w:tc>
          <w:tcPr>
            <w:tcW w:w="173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89C9E3A" w14:textId="77777777" w:rsidR="00982C89" w:rsidRPr="00F07060" w:rsidRDefault="00982C89" w:rsidP="00E350F6">
            <w:pPr>
              <w:rPr>
                <w:b/>
                <w:bCs/>
                <w:color w:val="000000"/>
                <w:sz w:val="16"/>
                <w:szCs w:val="16"/>
              </w:rPr>
            </w:pPr>
            <w:r w:rsidRPr="00F07060">
              <w:rPr>
                <w:b/>
                <w:bCs/>
                <w:color w:val="000000"/>
                <w:sz w:val="16"/>
                <w:szCs w:val="16"/>
              </w:rPr>
              <w:t>Low</w:t>
            </w:r>
          </w:p>
        </w:tc>
        <w:tc>
          <w:tcPr>
            <w:tcW w:w="193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4" w:type="dxa"/>
              <w:left w:w="74" w:type="dxa"/>
              <w:bottom w:w="74" w:type="dxa"/>
              <w:right w:w="74" w:type="dxa"/>
            </w:tcMar>
            <w:vAlign w:val="center"/>
            <w:hideMark/>
          </w:tcPr>
          <w:p w14:paraId="4B6ED7E2" w14:textId="77777777" w:rsidR="00982C89" w:rsidRPr="00F07060" w:rsidRDefault="00982C89" w:rsidP="00E350F6">
            <w:pPr>
              <w:rPr>
                <w:b/>
                <w:bCs/>
                <w:color w:val="000000"/>
                <w:sz w:val="16"/>
                <w:szCs w:val="16"/>
              </w:rPr>
            </w:pPr>
            <w:r w:rsidRPr="00F07060">
              <w:rPr>
                <w:b/>
                <w:bCs/>
                <w:color w:val="000000"/>
                <w:sz w:val="16"/>
                <w:szCs w:val="16"/>
              </w:rPr>
              <w:t>Moderate</w:t>
            </w:r>
          </w:p>
        </w:tc>
        <w:tc>
          <w:tcPr>
            <w:tcW w:w="1935"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765CD782" w14:textId="77777777" w:rsidR="00982C89" w:rsidRPr="00F07060" w:rsidRDefault="00982C89" w:rsidP="00E350F6">
            <w:pPr>
              <w:rPr>
                <w:b/>
                <w:bCs/>
                <w:color w:val="000000"/>
                <w:sz w:val="16"/>
                <w:szCs w:val="16"/>
              </w:rPr>
            </w:pPr>
            <w:r w:rsidRPr="00F07060">
              <w:rPr>
                <w:b/>
                <w:bCs/>
                <w:color w:val="000000"/>
                <w:sz w:val="16"/>
                <w:szCs w:val="16"/>
              </w:rPr>
              <w:t>High</w:t>
            </w:r>
          </w:p>
        </w:tc>
        <w:tc>
          <w:tcPr>
            <w:tcW w:w="1198"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2C49155" w14:textId="77777777" w:rsidR="00982C89" w:rsidRPr="00F07060" w:rsidRDefault="00982C89" w:rsidP="00E350F6">
            <w:pPr>
              <w:rPr>
                <w:b/>
                <w:bCs/>
                <w:color w:val="000000"/>
                <w:sz w:val="16"/>
                <w:szCs w:val="16"/>
              </w:rPr>
            </w:pPr>
          </w:p>
        </w:tc>
        <w:tc>
          <w:tcPr>
            <w:tcW w:w="850"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A085481" w14:textId="77777777" w:rsidR="00982C89" w:rsidRPr="00F07060" w:rsidRDefault="00982C89" w:rsidP="00E350F6">
            <w:pPr>
              <w:rPr>
                <w:b/>
                <w:bCs/>
                <w:color w:val="000000"/>
                <w:sz w:val="16"/>
                <w:szCs w:val="16"/>
              </w:rPr>
            </w:pPr>
          </w:p>
        </w:tc>
        <w:tc>
          <w:tcPr>
            <w:tcW w:w="1559"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C9E9E8D" w14:textId="77777777" w:rsidR="00982C89" w:rsidRPr="00F07060" w:rsidRDefault="00982C89" w:rsidP="00E350F6">
            <w:pPr>
              <w:rPr>
                <w:b/>
                <w:bCs/>
                <w:color w:val="000000"/>
                <w:sz w:val="16"/>
                <w:szCs w:val="16"/>
              </w:rPr>
            </w:pPr>
            <w:r w:rsidRPr="00F07060">
              <w:rPr>
                <w:b/>
                <w:bCs/>
                <w:color w:val="000000"/>
                <w:sz w:val="16"/>
                <w:szCs w:val="16"/>
              </w:rPr>
              <w:t>No included studies</w:t>
            </w:r>
          </w:p>
        </w:tc>
      </w:tr>
      <w:tr w:rsidR="00ED574D" w:rsidRPr="00F07060" w14:paraId="5EEF6AD9" w14:textId="77777777" w:rsidTr="00ED574D">
        <w:trPr>
          <w:trHeight w:val="90"/>
        </w:trPr>
        <w:tc>
          <w:tcPr>
            <w:tcW w:w="1691"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70AC7B9C" w14:textId="77777777" w:rsidR="00982C89" w:rsidRPr="00F07060" w:rsidRDefault="00982C89" w:rsidP="00E350F6">
            <w:pPr>
              <w:rPr>
                <w:b/>
                <w:bCs/>
                <w:color w:val="000000"/>
                <w:sz w:val="16"/>
                <w:szCs w:val="16"/>
              </w:rPr>
            </w:pPr>
            <w:r w:rsidRPr="00F07060">
              <w:rPr>
                <w:b/>
                <w:bCs/>
                <w:color w:val="000000"/>
                <w:sz w:val="16"/>
                <w:szCs w:val="16"/>
              </w:rPr>
              <w:t>Values</w:t>
            </w:r>
          </w:p>
        </w:tc>
        <w:tc>
          <w:tcPr>
            <w:tcW w:w="1560"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40F1293" w14:textId="77777777" w:rsidR="00982C89" w:rsidRPr="00F07060" w:rsidRDefault="00982C89" w:rsidP="00E350F6">
            <w:pPr>
              <w:rPr>
                <w:b/>
                <w:bCs/>
                <w:color w:val="000000"/>
                <w:sz w:val="16"/>
                <w:szCs w:val="16"/>
              </w:rPr>
            </w:pPr>
            <w:r w:rsidRPr="00F07060">
              <w:rPr>
                <w:b/>
                <w:bCs/>
                <w:color w:val="000000"/>
                <w:sz w:val="16"/>
                <w:szCs w:val="16"/>
              </w:rPr>
              <w:t>Important uncertainty or variability</w:t>
            </w:r>
          </w:p>
        </w:tc>
        <w:tc>
          <w:tcPr>
            <w:tcW w:w="1735"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1485177" w14:textId="77777777" w:rsidR="00982C89" w:rsidRPr="00F07060" w:rsidRDefault="00982C89" w:rsidP="00E350F6">
            <w:pPr>
              <w:rPr>
                <w:b/>
                <w:bCs/>
                <w:color w:val="000000"/>
                <w:sz w:val="16"/>
                <w:szCs w:val="16"/>
              </w:rPr>
            </w:pPr>
            <w:r w:rsidRPr="00F07060">
              <w:rPr>
                <w:b/>
                <w:bCs/>
                <w:color w:val="000000"/>
                <w:sz w:val="16"/>
                <w:szCs w:val="16"/>
              </w:rPr>
              <w:t>Possibly important uncertainty or variability</w:t>
            </w:r>
          </w:p>
        </w:tc>
        <w:tc>
          <w:tcPr>
            <w:tcW w:w="193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E6A27AE" w14:textId="77777777" w:rsidR="00982C89" w:rsidRPr="00F07060" w:rsidRDefault="00982C89" w:rsidP="00E350F6">
            <w:pPr>
              <w:rPr>
                <w:b/>
                <w:bCs/>
                <w:color w:val="000000"/>
                <w:sz w:val="16"/>
                <w:szCs w:val="16"/>
              </w:rPr>
            </w:pPr>
            <w:r w:rsidRPr="00F07060">
              <w:rPr>
                <w:b/>
                <w:bCs/>
                <w:color w:val="000000"/>
                <w:sz w:val="16"/>
                <w:szCs w:val="16"/>
              </w:rPr>
              <w:t>Probably no important uncertainty or variability</w:t>
            </w:r>
          </w:p>
        </w:tc>
        <w:tc>
          <w:tcPr>
            <w:tcW w:w="1935"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49813C51" w14:textId="77777777" w:rsidR="00982C89" w:rsidRPr="00F07060" w:rsidRDefault="00982C89" w:rsidP="00E350F6">
            <w:pPr>
              <w:rPr>
                <w:b/>
                <w:bCs/>
                <w:color w:val="000000"/>
                <w:sz w:val="16"/>
                <w:szCs w:val="16"/>
              </w:rPr>
            </w:pPr>
            <w:r w:rsidRPr="00F07060">
              <w:rPr>
                <w:b/>
                <w:bCs/>
                <w:color w:val="000000"/>
                <w:sz w:val="16"/>
                <w:szCs w:val="16"/>
              </w:rPr>
              <w:t>no important uncertainty or variability</w:t>
            </w:r>
          </w:p>
        </w:tc>
        <w:tc>
          <w:tcPr>
            <w:tcW w:w="1198"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DF3BDDF" w14:textId="77777777" w:rsidR="00982C89" w:rsidRPr="00F07060" w:rsidRDefault="00982C89" w:rsidP="00E350F6">
            <w:pPr>
              <w:rPr>
                <w:b/>
                <w:bCs/>
                <w:color w:val="000000"/>
                <w:sz w:val="16"/>
                <w:szCs w:val="16"/>
              </w:rPr>
            </w:pPr>
          </w:p>
        </w:tc>
        <w:tc>
          <w:tcPr>
            <w:tcW w:w="850"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AC81B09" w14:textId="77777777" w:rsidR="00982C89" w:rsidRPr="00F07060" w:rsidRDefault="00982C89" w:rsidP="00E350F6">
            <w:pPr>
              <w:rPr>
                <w:b/>
                <w:bCs/>
                <w:color w:val="000000"/>
                <w:sz w:val="16"/>
                <w:szCs w:val="16"/>
              </w:rPr>
            </w:pPr>
          </w:p>
        </w:tc>
        <w:tc>
          <w:tcPr>
            <w:tcW w:w="1559"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9C1E809" w14:textId="77777777" w:rsidR="00982C89" w:rsidRPr="00F07060" w:rsidRDefault="00982C89" w:rsidP="00E350F6">
            <w:pPr>
              <w:rPr>
                <w:b/>
                <w:bCs/>
                <w:color w:val="000000"/>
                <w:sz w:val="16"/>
                <w:szCs w:val="16"/>
              </w:rPr>
            </w:pPr>
          </w:p>
        </w:tc>
      </w:tr>
      <w:tr w:rsidR="00ED574D" w:rsidRPr="00F07060" w14:paraId="33560E76" w14:textId="77777777" w:rsidTr="00ED574D">
        <w:trPr>
          <w:trHeight w:val="492"/>
        </w:trPr>
        <w:tc>
          <w:tcPr>
            <w:tcW w:w="1691"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21E2EEE9" w14:textId="77777777" w:rsidR="00982C89" w:rsidRPr="00F07060" w:rsidRDefault="00982C89" w:rsidP="00E350F6">
            <w:pPr>
              <w:rPr>
                <w:b/>
                <w:bCs/>
                <w:color w:val="000000"/>
                <w:sz w:val="16"/>
                <w:szCs w:val="16"/>
              </w:rPr>
            </w:pPr>
            <w:r w:rsidRPr="00F07060">
              <w:rPr>
                <w:b/>
                <w:bCs/>
                <w:color w:val="000000"/>
                <w:sz w:val="16"/>
                <w:szCs w:val="16"/>
              </w:rPr>
              <w:lastRenderedPageBreak/>
              <w:t>Balance of effects</w:t>
            </w:r>
          </w:p>
        </w:tc>
        <w:tc>
          <w:tcPr>
            <w:tcW w:w="1560"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9F41F96" w14:textId="77777777" w:rsidR="00982C89" w:rsidRPr="00F07060" w:rsidRDefault="00982C89" w:rsidP="00E350F6">
            <w:pPr>
              <w:rPr>
                <w:b/>
                <w:bCs/>
                <w:color w:val="000000"/>
                <w:sz w:val="16"/>
                <w:szCs w:val="16"/>
              </w:rPr>
            </w:pPr>
            <w:r w:rsidRPr="00F07060">
              <w:rPr>
                <w:b/>
                <w:bCs/>
                <w:color w:val="000000"/>
                <w:sz w:val="16"/>
                <w:szCs w:val="16"/>
              </w:rPr>
              <w:t>Favors the comparison</w:t>
            </w:r>
          </w:p>
        </w:tc>
        <w:tc>
          <w:tcPr>
            <w:tcW w:w="173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56C8726" w14:textId="77777777" w:rsidR="00982C89" w:rsidRPr="00F07060" w:rsidRDefault="00982C89" w:rsidP="00E350F6">
            <w:pPr>
              <w:rPr>
                <w:b/>
                <w:bCs/>
                <w:color w:val="000000"/>
                <w:sz w:val="16"/>
                <w:szCs w:val="16"/>
              </w:rPr>
            </w:pPr>
            <w:r w:rsidRPr="00F07060">
              <w:rPr>
                <w:b/>
                <w:bCs/>
                <w:color w:val="000000"/>
                <w:sz w:val="16"/>
                <w:szCs w:val="16"/>
              </w:rPr>
              <w:t>Probably favors the comparison</w:t>
            </w:r>
          </w:p>
        </w:tc>
        <w:tc>
          <w:tcPr>
            <w:tcW w:w="193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F89857C" w14:textId="77777777" w:rsidR="00982C89" w:rsidRPr="00F07060" w:rsidRDefault="00982C89" w:rsidP="00E350F6">
            <w:pPr>
              <w:rPr>
                <w:b/>
                <w:bCs/>
                <w:color w:val="000000"/>
                <w:sz w:val="16"/>
                <w:szCs w:val="16"/>
              </w:rPr>
            </w:pPr>
            <w:r w:rsidRPr="00F07060">
              <w:rPr>
                <w:b/>
                <w:bCs/>
                <w:color w:val="000000"/>
                <w:sz w:val="16"/>
                <w:szCs w:val="16"/>
              </w:rPr>
              <w:t>Does not favor either the intervention or the comparison</w:t>
            </w:r>
          </w:p>
        </w:tc>
        <w:tc>
          <w:tcPr>
            <w:tcW w:w="193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9D2C73C" w14:textId="77777777" w:rsidR="00982C89" w:rsidRPr="00F07060" w:rsidRDefault="00982C89" w:rsidP="00E350F6">
            <w:pPr>
              <w:rPr>
                <w:b/>
                <w:bCs/>
                <w:color w:val="000000"/>
                <w:sz w:val="16"/>
                <w:szCs w:val="16"/>
              </w:rPr>
            </w:pPr>
            <w:r w:rsidRPr="00F07060">
              <w:rPr>
                <w:b/>
                <w:bCs/>
                <w:color w:val="000000"/>
                <w:sz w:val="16"/>
                <w:szCs w:val="16"/>
              </w:rPr>
              <w:t>Probably favors the intervention</w:t>
            </w:r>
          </w:p>
        </w:tc>
        <w:tc>
          <w:tcPr>
            <w:tcW w:w="1198"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7631EC89" w14:textId="77777777" w:rsidR="00982C89" w:rsidRPr="00F07060" w:rsidRDefault="00982C89" w:rsidP="00E350F6">
            <w:pPr>
              <w:rPr>
                <w:b/>
                <w:bCs/>
                <w:color w:val="000000"/>
                <w:sz w:val="16"/>
                <w:szCs w:val="16"/>
              </w:rPr>
            </w:pPr>
            <w:r w:rsidRPr="00F07060">
              <w:rPr>
                <w:b/>
                <w:bCs/>
                <w:color w:val="000000"/>
                <w:sz w:val="16"/>
                <w:szCs w:val="16"/>
              </w:rPr>
              <w:t>Favors the intervention</w:t>
            </w:r>
          </w:p>
        </w:tc>
        <w:tc>
          <w:tcPr>
            <w:tcW w:w="850"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44C3642" w14:textId="77777777" w:rsidR="00982C89" w:rsidRPr="00F07060" w:rsidRDefault="00982C89" w:rsidP="00E350F6">
            <w:pPr>
              <w:rPr>
                <w:b/>
                <w:bCs/>
                <w:color w:val="000000"/>
                <w:sz w:val="16"/>
                <w:szCs w:val="16"/>
              </w:rPr>
            </w:pPr>
            <w:r w:rsidRPr="00F07060">
              <w:rPr>
                <w:b/>
                <w:bCs/>
                <w:color w:val="000000"/>
                <w:sz w:val="16"/>
                <w:szCs w:val="16"/>
              </w:rPr>
              <w:t>Varies</w:t>
            </w:r>
          </w:p>
        </w:tc>
        <w:tc>
          <w:tcPr>
            <w:tcW w:w="1559"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ACA70CC" w14:textId="77777777" w:rsidR="00982C89" w:rsidRPr="00F07060" w:rsidRDefault="00982C89" w:rsidP="00E350F6">
            <w:pPr>
              <w:rPr>
                <w:b/>
                <w:bCs/>
                <w:color w:val="000000"/>
                <w:sz w:val="16"/>
                <w:szCs w:val="16"/>
              </w:rPr>
            </w:pPr>
            <w:r w:rsidRPr="00F07060">
              <w:rPr>
                <w:b/>
                <w:bCs/>
                <w:color w:val="000000"/>
                <w:sz w:val="16"/>
                <w:szCs w:val="16"/>
              </w:rPr>
              <w:t>Don't know</w:t>
            </w:r>
          </w:p>
        </w:tc>
      </w:tr>
      <w:tr w:rsidR="00ED574D" w:rsidRPr="00F07060" w14:paraId="5C2DE6A5" w14:textId="77777777" w:rsidTr="00ED574D">
        <w:trPr>
          <w:trHeight w:val="19"/>
        </w:trPr>
        <w:tc>
          <w:tcPr>
            <w:tcW w:w="1691"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0775A23B" w14:textId="77777777" w:rsidR="00982C89" w:rsidRPr="00F07060" w:rsidRDefault="00982C89" w:rsidP="00E350F6">
            <w:pPr>
              <w:rPr>
                <w:b/>
                <w:bCs/>
                <w:color w:val="000000"/>
                <w:sz w:val="16"/>
                <w:szCs w:val="16"/>
              </w:rPr>
            </w:pPr>
            <w:r w:rsidRPr="00F07060">
              <w:rPr>
                <w:b/>
                <w:bCs/>
                <w:color w:val="000000"/>
                <w:sz w:val="16"/>
                <w:szCs w:val="16"/>
              </w:rPr>
              <w:t>Resources required</w:t>
            </w:r>
          </w:p>
        </w:tc>
        <w:tc>
          <w:tcPr>
            <w:tcW w:w="1560"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6DD7159" w14:textId="77777777" w:rsidR="00982C89" w:rsidRPr="00F07060" w:rsidRDefault="00982C89" w:rsidP="00E350F6">
            <w:pPr>
              <w:rPr>
                <w:b/>
                <w:bCs/>
                <w:color w:val="000000"/>
                <w:sz w:val="16"/>
                <w:szCs w:val="16"/>
              </w:rPr>
            </w:pPr>
            <w:r w:rsidRPr="00F07060">
              <w:rPr>
                <w:b/>
                <w:bCs/>
                <w:color w:val="000000"/>
                <w:sz w:val="16"/>
                <w:szCs w:val="16"/>
              </w:rPr>
              <w:t>Large costs</w:t>
            </w:r>
          </w:p>
        </w:tc>
        <w:tc>
          <w:tcPr>
            <w:tcW w:w="1735"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8523AD9" w14:textId="77777777" w:rsidR="00982C89" w:rsidRPr="00F07060" w:rsidRDefault="00982C89" w:rsidP="00E350F6">
            <w:pPr>
              <w:rPr>
                <w:b/>
                <w:bCs/>
                <w:color w:val="000000"/>
                <w:sz w:val="16"/>
                <w:szCs w:val="16"/>
              </w:rPr>
            </w:pPr>
            <w:r w:rsidRPr="00F07060">
              <w:rPr>
                <w:b/>
                <w:bCs/>
                <w:color w:val="000000"/>
                <w:sz w:val="16"/>
                <w:szCs w:val="16"/>
              </w:rPr>
              <w:t>Moderate costs</w:t>
            </w:r>
          </w:p>
        </w:tc>
        <w:tc>
          <w:tcPr>
            <w:tcW w:w="193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5A876AA" w14:textId="77777777" w:rsidR="00982C89" w:rsidRPr="00F07060" w:rsidRDefault="00982C89" w:rsidP="00E350F6">
            <w:pPr>
              <w:rPr>
                <w:b/>
                <w:bCs/>
                <w:color w:val="000000"/>
                <w:sz w:val="16"/>
                <w:szCs w:val="16"/>
              </w:rPr>
            </w:pPr>
            <w:r w:rsidRPr="00F07060">
              <w:rPr>
                <w:b/>
                <w:bCs/>
                <w:color w:val="000000"/>
                <w:sz w:val="16"/>
                <w:szCs w:val="16"/>
              </w:rPr>
              <w:t>Negligible costs and savings</w:t>
            </w:r>
          </w:p>
        </w:tc>
        <w:tc>
          <w:tcPr>
            <w:tcW w:w="1935"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ADD3DCF" w14:textId="77777777" w:rsidR="00982C89" w:rsidRPr="00F07060" w:rsidRDefault="00982C89" w:rsidP="00E350F6">
            <w:pPr>
              <w:rPr>
                <w:b/>
                <w:bCs/>
                <w:color w:val="000000"/>
                <w:sz w:val="16"/>
                <w:szCs w:val="16"/>
              </w:rPr>
            </w:pPr>
            <w:r w:rsidRPr="00F07060">
              <w:rPr>
                <w:b/>
                <w:bCs/>
                <w:color w:val="000000"/>
                <w:sz w:val="16"/>
                <w:szCs w:val="16"/>
              </w:rPr>
              <w:t>Moderate savings</w:t>
            </w:r>
          </w:p>
        </w:tc>
        <w:tc>
          <w:tcPr>
            <w:tcW w:w="1198"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499172C" w14:textId="77777777" w:rsidR="00982C89" w:rsidRPr="00F07060" w:rsidRDefault="00982C89" w:rsidP="00E350F6">
            <w:pPr>
              <w:rPr>
                <w:b/>
                <w:bCs/>
                <w:color w:val="000000"/>
                <w:sz w:val="16"/>
                <w:szCs w:val="16"/>
              </w:rPr>
            </w:pPr>
            <w:r w:rsidRPr="00F07060">
              <w:rPr>
                <w:b/>
                <w:bCs/>
                <w:color w:val="000000"/>
                <w:sz w:val="16"/>
                <w:szCs w:val="16"/>
              </w:rPr>
              <w:t>Large savings</w:t>
            </w:r>
          </w:p>
        </w:tc>
        <w:tc>
          <w:tcPr>
            <w:tcW w:w="850"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401ADF42" w14:textId="77777777" w:rsidR="00982C89" w:rsidRPr="00F07060" w:rsidRDefault="00982C89" w:rsidP="00E350F6">
            <w:pPr>
              <w:rPr>
                <w:b/>
                <w:bCs/>
                <w:color w:val="000000"/>
                <w:sz w:val="16"/>
                <w:szCs w:val="16"/>
              </w:rPr>
            </w:pPr>
            <w:r w:rsidRPr="00F07060">
              <w:rPr>
                <w:b/>
                <w:bCs/>
                <w:color w:val="000000"/>
                <w:sz w:val="16"/>
                <w:szCs w:val="16"/>
              </w:rPr>
              <w:t>Varies</w:t>
            </w:r>
          </w:p>
        </w:tc>
        <w:tc>
          <w:tcPr>
            <w:tcW w:w="1559"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1F3AC82" w14:textId="77777777" w:rsidR="00982C89" w:rsidRPr="00F07060" w:rsidRDefault="00982C89" w:rsidP="00E350F6">
            <w:pPr>
              <w:rPr>
                <w:b/>
                <w:bCs/>
                <w:color w:val="000000"/>
                <w:sz w:val="16"/>
                <w:szCs w:val="16"/>
              </w:rPr>
            </w:pPr>
            <w:r w:rsidRPr="00F07060">
              <w:rPr>
                <w:b/>
                <w:bCs/>
                <w:color w:val="000000"/>
                <w:sz w:val="16"/>
                <w:szCs w:val="16"/>
              </w:rPr>
              <w:t>Don't know</w:t>
            </w:r>
          </w:p>
        </w:tc>
      </w:tr>
      <w:tr w:rsidR="00ED574D" w:rsidRPr="00F07060" w14:paraId="4D608AE5" w14:textId="77777777" w:rsidTr="00ED574D">
        <w:trPr>
          <w:trHeight w:val="19"/>
        </w:trPr>
        <w:tc>
          <w:tcPr>
            <w:tcW w:w="1691"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67F6259A" w14:textId="77777777" w:rsidR="00ED574D" w:rsidRPr="00F07060" w:rsidRDefault="00ED574D" w:rsidP="00ED574D">
            <w:pPr>
              <w:rPr>
                <w:b/>
                <w:bCs/>
                <w:color w:val="000000"/>
                <w:sz w:val="16"/>
                <w:szCs w:val="16"/>
              </w:rPr>
            </w:pPr>
            <w:r w:rsidRPr="00F07060">
              <w:rPr>
                <w:b/>
                <w:bCs/>
                <w:color w:val="000000"/>
                <w:sz w:val="16"/>
                <w:szCs w:val="16"/>
              </w:rPr>
              <w:t>Certainty of evidence of required resources</w:t>
            </w:r>
          </w:p>
        </w:tc>
        <w:tc>
          <w:tcPr>
            <w:tcW w:w="1560"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90D60BB" w14:textId="77777777" w:rsidR="00ED574D" w:rsidRPr="00F07060" w:rsidRDefault="00ED574D" w:rsidP="00ED574D">
            <w:pPr>
              <w:rPr>
                <w:b/>
                <w:bCs/>
                <w:color w:val="000000"/>
                <w:sz w:val="16"/>
                <w:szCs w:val="16"/>
              </w:rPr>
            </w:pPr>
            <w:r w:rsidRPr="00F07060">
              <w:rPr>
                <w:b/>
                <w:bCs/>
                <w:color w:val="000000"/>
                <w:sz w:val="16"/>
                <w:szCs w:val="16"/>
              </w:rPr>
              <w:t>Very low</w:t>
            </w:r>
          </w:p>
        </w:tc>
        <w:tc>
          <w:tcPr>
            <w:tcW w:w="173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144D354" w14:textId="77777777" w:rsidR="00ED574D" w:rsidRPr="00F07060" w:rsidRDefault="00ED574D" w:rsidP="00ED574D">
            <w:pPr>
              <w:rPr>
                <w:b/>
                <w:bCs/>
                <w:color w:val="000000"/>
                <w:sz w:val="16"/>
                <w:szCs w:val="16"/>
              </w:rPr>
            </w:pPr>
            <w:r w:rsidRPr="00F07060">
              <w:rPr>
                <w:b/>
                <w:bCs/>
                <w:color w:val="000000"/>
                <w:sz w:val="16"/>
                <w:szCs w:val="16"/>
              </w:rPr>
              <w:t>Low</w:t>
            </w:r>
          </w:p>
        </w:tc>
        <w:tc>
          <w:tcPr>
            <w:tcW w:w="193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86C1EDA" w14:textId="77777777" w:rsidR="00ED574D" w:rsidRPr="00F07060" w:rsidRDefault="00ED574D" w:rsidP="00ED574D">
            <w:pPr>
              <w:rPr>
                <w:b/>
                <w:bCs/>
                <w:color w:val="000000"/>
                <w:sz w:val="16"/>
                <w:szCs w:val="16"/>
              </w:rPr>
            </w:pPr>
            <w:r w:rsidRPr="00F07060">
              <w:rPr>
                <w:b/>
                <w:bCs/>
                <w:color w:val="000000"/>
                <w:sz w:val="16"/>
                <w:szCs w:val="16"/>
              </w:rPr>
              <w:t>Moderate</w:t>
            </w:r>
          </w:p>
        </w:tc>
        <w:tc>
          <w:tcPr>
            <w:tcW w:w="193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6E842CC" w14:textId="77777777" w:rsidR="00ED574D" w:rsidRPr="00F07060" w:rsidRDefault="00ED574D" w:rsidP="00ED574D">
            <w:pPr>
              <w:rPr>
                <w:b/>
                <w:bCs/>
                <w:color w:val="000000"/>
                <w:sz w:val="16"/>
                <w:szCs w:val="16"/>
              </w:rPr>
            </w:pPr>
            <w:r w:rsidRPr="00F07060">
              <w:rPr>
                <w:b/>
                <w:bCs/>
                <w:color w:val="000000"/>
                <w:sz w:val="16"/>
                <w:szCs w:val="16"/>
              </w:rPr>
              <w:t>High</w:t>
            </w:r>
          </w:p>
        </w:tc>
        <w:tc>
          <w:tcPr>
            <w:tcW w:w="1198"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7576F65" w14:textId="3B7C57EA" w:rsidR="00ED574D" w:rsidRPr="00F07060" w:rsidRDefault="00ED574D" w:rsidP="00ED574D">
            <w:pPr>
              <w:rPr>
                <w:b/>
                <w:bCs/>
                <w:color w:val="000000"/>
                <w:sz w:val="16"/>
                <w:szCs w:val="16"/>
              </w:rPr>
            </w:pPr>
            <w:r w:rsidRPr="00F07060">
              <w:rPr>
                <w:b/>
                <w:bCs/>
                <w:color w:val="000000"/>
                <w:sz w:val="16"/>
                <w:szCs w:val="16"/>
              </w:rPr>
              <w:t>Favors the intervention</w:t>
            </w:r>
          </w:p>
        </w:tc>
        <w:tc>
          <w:tcPr>
            <w:tcW w:w="850"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40591CA8" w14:textId="2C4592A9" w:rsidR="00ED574D" w:rsidRPr="00F07060" w:rsidRDefault="00ED574D" w:rsidP="00ED574D">
            <w:pPr>
              <w:rPr>
                <w:b/>
                <w:bCs/>
                <w:color w:val="000000"/>
                <w:sz w:val="16"/>
                <w:szCs w:val="16"/>
              </w:rPr>
            </w:pPr>
            <w:r w:rsidRPr="00F07060">
              <w:rPr>
                <w:b/>
                <w:bCs/>
                <w:color w:val="000000"/>
                <w:sz w:val="16"/>
                <w:szCs w:val="16"/>
              </w:rPr>
              <w:t>Varies</w:t>
            </w:r>
          </w:p>
        </w:tc>
        <w:tc>
          <w:tcPr>
            <w:tcW w:w="1559"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4" w:type="dxa"/>
              <w:left w:w="74" w:type="dxa"/>
              <w:bottom w:w="74" w:type="dxa"/>
              <w:right w:w="74" w:type="dxa"/>
            </w:tcMar>
            <w:vAlign w:val="center"/>
            <w:hideMark/>
          </w:tcPr>
          <w:p w14:paraId="35AD1DE4" w14:textId="77777777" w:rsidR="00ED574D" w:rsidRPr="00F07060" w:rsidRDefault="00ED574D" w:rsidP="00ED574D">
            <w:pPr>
              <w:rPr>
                <w:b/>
                <w:bCs/>
                <w:color w:val="000000"/>
                <w:sz w:val="16"/>
                <w:szCs w:val="16"/>
              </w:rPr>
            </w:pPr>
            <w:r w:rsidRPr="00F07060">
              <w:rPr>
                <w:b/>
                <w:bCs/>
                <w:color w:val="000000"/>
                <w:sz w:val="16"/>
                <w:szCs w:val="16"/>
              </w:rPr>
              <w:t>No included studies</w:t>
            </w:r>
          </w:p>
        </w:tc>
      </w:tr>
      <w:tr w:rsidR="00ED574D" w:rsidRPr="00F07060" w14:paraId="4D9BBE7D" w14:textId="77777777" w:rsidTr="00ED574D">
        <w:trPr>
          <w:trHeight w:val="363"/>
        </w:trPr>
        <w:tc>
          <w:tcPr>
            <w:tcW w:w="1691"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0BBD4F95" w14:textId="77777777" w:rsidR="00ED574D" w:rsidRPr="00F07060" w:rsidRDefault="00ED574D" w:rsidP="00ED574D">
            <w:pPr>
              <w:rPr>
                <w:b/>
                <w:bCs/>
                <w:color w:val="000000"/>
                <w:sz w:val="16"/>
                <w:szCs w:val="16"/>
              </w:rPr>
            </w:pPr>
            <w:r w:rsidRPr="00F07060">
              <w:rPr>
                <w:b/>
                <w:bCs/>
                <w:color w:val="000000"/>
                <w:sz w:val="16"/>
                <w:szCs w:val="16"/>
              </w:rPr>
              <w:t>Cost effectiveness</w:t>
            </w:r>
          </w:p>
        </w:tc>
        <w:tc>
          <w:tcPr>
            <w:tcW w:w="1560"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8A2B92E" w14:textId="77777777" w:rsidR="00ED574D" w:rsidRPr="00F07060" w:rsidRDefault="00ED574D" w:rsidP="00ED574D">
            <w:pPr>
              <w:rPr>
                <w:b/>
                <w:bCs/>
                <w:color w:val="000000"/>
                <w:sz w:val="16"/>
                <w:szCs w:val="16"/>
              </w:rPr>
            </w:pPr>
            <w:r w:rsidRPr="00F07060">
              <w:rPr>
                <w:b/>
                <w:bCs/>
                <w:color w:val="000000"/>
                <w:sz w:val="16"/>
                <w:szCs w:val="16"/>
              </w:rPr>
              <w:t>Favors the comparison</w:t>
            </w:r>
          </w:p>
        </w:tc>
        <w:tc>
          <w:tcPr>
            <w:tcW w:w="1735"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5A70071" w14:textId="77777777" w:rsidR="00ED574D" w:rsidRPr="00F07060" w:rsidRDefault="00ED574D" w:rsidP="00ED574D">
            <w:pPr>
              <w:rPr>
                <w:b/>
                <w:bCs/>
                <w:color w:val="000000"/>
                <w:sz w:val="16"/>
                <w:szCs w:val="16"/>
              </w:rPr>
            </w:pPr>
            <w:r w:rsidRPr="00F07060">
              <w:rPr>
                <w:b/>
                <w:bCs/>
                <w:color w:val="000000"/>
                <w:sz w:val="16"/>
                <w:szCs w:val="16"/>
              </w:rPr>
              <w:t>Probably favors the comparison</w:t>
            </w:r>
          </w:p>
        </w:tc>
        <w:tc>
          <w:tcPr>
            <w:tcW w:w="193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2C8A3BA" w14:textId="77777777" w:rsidR="00ED574D" w:rsidRPr="00F07060" w:rsidRDefault="00ED574D" w:rsidP="00ED574D">
            <w:pPr>
              <w:rPr>
                <w:b/>
                <w:bCs/>
                <w:color w:val="000000"/>
                <w:sz w:val="16"/>
                <w:szCs w:val="16"/>
              </w:rPr>
            </w:pPr>
            <w:r w:rsidRPr="00F07060">
              <w:rPr>
                <w:b/>
                <w:bCs/>
                <w:color w:val="000000"/>
                <w:sz w:val="16"/>
                <w:szCs w:val="16"/>
              </w:rPr>
              <w:t>Does not favor either the intervention or the comparison</w:t>
            </w:r>
          </w:p>
        </w:tc>
        <w:tc>
          <w:tcPr>
            <w:tcW w:w="1935" w:type="dxa"/>
            <w:tcBorders>
              <w:top w:val="single" w:sz="8" w:space="0" w:color="FFFFFF"/>
              <w:left w:val="single" w:sz="8" w:space="0" w:color="FFFFFF"/>
              <w:bottom w:val="single" w:sz="8" w:space="0" w:color="FFFFFF"/>
              <w:right w:val="single" w:sz="8" w:space="0" w:color="FFFFFF"/>
            </w:tcBorders>
            <w:shd w:val="clear" w:color="auto" w:fill="D6DCE5"/>
            <w:tcMar>
              <w:top w:w="74" w:type="dxa"/>
              <w:left w:w="74" w:type="dxa"/>
              <w:bottom w:w="74" w:type="dxa"/>
              <w:right w:w="74" w:type="dxa"/>
            </w:tcMar>
            <w:vAlign w:val="center"/>
            <w:hideMark/>
          </w:tcPr>
          <w:p w14:paraId="263DE4A6" w14:textId="77777777" w:rsidR="00ED574D" w:rsidRPr="00F07060" w:rsidRDefault="00ED574D" w:rsidP="00ED574D">
            <w:pPr>
              <w:rPr>
                <w:b/>
                <w:bCs/>
                <w:color w:val="000000"/>
                <w:sz w:val="16"/>
                <w:szCs w:val="16"/>
              </w:rPr>
            </w:pPr>
            <w:r w:rsidRPr="00F07060">
              <w:rPr>
                <w:b/>
                <w:bCs/>
                <w:color w:val="000000"/>
                <w:sz w:val="16"/>
                <w:szCs w:val="16"/>
              </w:rPr>
              <w:t>Probably favors the intervention</w:t>
            </w:r>
          </w:p>
        </w:tc>
        <w:tc>
          <w:tcPr>
            <w:tcW w:w="1198"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F79721F" w14:textId="77777777" w:rsidR="00ED574D" w:rsidRPr="00F07060" w:rsidRDefault="00ED574D" w:rsidP="00ED574D">
            <w:pPr>
              <w:rPr>
                <w:b/>
                <w:bCs/>
                <w:color w:val="000000"/>
                <w:sz w:val="16"/>
                <w:szCs w:val="16"/>
              </w:rPr>
            </w:pPr>
            <w:r w:rsidRPr="00F07060">
              <w:rPr>
                <w:b/>
                <w:bCs/>
                <w:color w:val="000000"/>
                <w:sz w:val="16"/>
                <w:szCs w:val="16"/>
              </w:rPr>
              <w:t>Favors the intervention</w:t>
            </w:r>
          </w:p>
        </w:tc>
        <w:tc>
          <w:tcPr>
            <w:tcW w:w="850"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11BE37B" w14:textId="77777777" w:rsidR="00ED574D" w:rsidRPr="00F07060" w:rsidRDefault="00ED574D" w:rsidP="00ED574D">
            <w:pPr>
              <w:rPr>
                <w:b/>
                <w:bCs/>
                <w:color w:val="000000"/>
                <w:sz w:val="16"/>
                <w:szCs w:val="16"/>
              </w:rPr>
            </w:pPr>
            <w:r w:rsidRPr="00F07060">
              <w:rPr>
                <w:b/>
                <w:bCs/>
                <w:color w:val="000000"/>
                <w:sz w:val="16"/>
                <w:szCs w:val="16"/>
              </w:rPr>
              <w:t>Varies</w:t>
            </w:r>
          </w:p>
        </w:tc>
        <w:tc>
          <w:tcPr>
            <w:tcW w:w="1559"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05F2C5D2" w14:textId="77777777" w:rsidR="00ED574D" w:rsidRPr="00F07060" w:rsidRDefault="00ED574D" w:rsidP="00ED574D">
            <w:pPr>
              <w:rPr>
                <w:b/>
                <w:bCs/>
                <w:color w:val="000000"/>
                <w:sz w:val="16"/>
                <w:szCs w:val="16"/>
              </w:rPr>
            </w:pPr>
            <w:r w:rsidRPr="00F07060">
              <w:rPr>
                <w:b/>
                <w:bCs/>
                <w:color w:val="000000"/>
                <w:sz w:val="16"/>
                <w:szCs w:val="16"/>
              </w:rPr>
              <w:t>No included studies</w:t>
            </w:r>
          </w:p>
        </w:tc>
      </w:tr>
      <w:tr w:rsidR="00ED574D" w:rsidRPr="00F07060" w14:paraId="17693F51" w14:textId="77777777" w:rsidTr="00ED574D">
        <w:trPr>
          <w:trHeight w:val="48"/>
        </w:trPr>
        <w:tc>
          <w:tcPr>
            <w:tcW w:w="1691"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6AE799E6" w14:textId="77777777" w:rsidR="00ED574D" w:rsidRPr="00F07060" w:rsidRDefault="00ED574D" w:rsidP="00ED574D">
            <w:pPr>
              <w:rPr>
                <w:b/>
                <w:bCs/>
                <w:color w:val="000000"/>
                <w:sz w:val="16"/>
                <w:szCs w:val="16"/>
              </w:rPr>
            </w:pPr>
            <w:r w:rsidRPr="00F07060">
              <w:rPr>
                <w:b/>
                <w:bCs/>
                <w:color w:val="000000"/>
                <w:sz w:val="16"/>
                <w:szCs w:val="16"/>
              </w:rPr>
              <w:t>Equity</w:t>
            </w:r>
          </w:p>
        </w:tc>
        <w:tc>
          <w:tcPr>
            <w:tcW w:w="1560"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207FA40" w14:textId="77777777" w:rsidR="00ED574D" w:rsidRPr="00F07060" w:rsidRDefault="00ED574D" w:rsidP="00ED574D">
            <w:pPr>
              <w:rPr>
                <w:b/>
                <w:bCs/>
                <w:color w:val="000000"/>
                <w:sz w:val="16"/>
                <w:szCs w:val="16"/>
              </w:rPr>
            </w:pPr>
            <w:r w:rsidRPr="00F07060">
              <w:rPr>
                <w:b/>
                <w:bCs/>
                <w:color w:val="000000"/>
                <w:sz w:val="16"/>
                <w:szCs w:val="16"/>
              </w:rPr>
              <w:t>Reduced</w:t>
            </w:r>
          </w:p>
        </w:tc>
        <w:tc>
          <w:tcPr>
            <w:tcW w:w="173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7184018" w14:textId="77777777" w:rsidR="00ED574D" w:rsidRPr="00F07060" w:rsidRDefault="00ED574D" w:rsidP="00ED574D">
            <w:pPr>
              <w:rPr>
                <w:b/>
                <w:bCs/>
                <w:color w:val="000000"/>
                <w:sz w:val="16"/>
                <w:szCs w:val="16"/>
              </w:rPr>
            </w:pPr>
            <w:r w:rsidRPr="00F07060">
              <w:rPr>
                <w:b/>
                <w:bCs/>
                <w:color w:val="000000"/>
                <w:sz w:val="16"/>
                <w:szCs w:val="16"/>
              </w:rPr>
              <w:t>Probably reduced</w:t>
            </w:r>
          </w:p>
        </w:tc>
        <w:tc>
          <w:tcPr>
            <w:tcW w:w="193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85FA034" w14:textId="77777777" w:rsidR="00ED574D" w:rsidRPr="00F07060" w:rsidRDefault="00ED574D" w:rsidP="00ED574D">
            <w:pPr>
              <w:rPr>
                <w:b/>
                <w:bCs/>
                <w:color w:val="000000"/>
                <w:sz w:val="16"/>
                <w:szCs w:val="16"/>
              </w:rPr>
            </w:pPr>
            <w:r w:rsidRPr="00F07060">
              <w:rPr>
                <w:b/>
                <w:bCs/>
                <w:color w:val="000000"/>
                <w:sz w:val="16"/>
                <w:szCs w:val="16"/>
              </w:rPr>
              <w:t>Probably no impact</w:t>
            </w:r>
          </w:p>
        </w:tc>
        <w:tc>
          <w:tcPr>
            <w:tcW w:w="193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791A94F" w14:textId="77777777" w:rsidR="00ED574D" w:rsidRPr="00F07060" w:rsidRDefault="00ED574D" w:rsidP="00ED574D">
            <w:pPr>
              <w:rPr>
                <w:b/>
                <w:bCs/>
                <w:color w:val="000000"/>
                <w:sz w:val="16"/>
                <w:szCs w:val="16"/>
              </w:rPr>
            </w:pPr>
            <w:r w:rsidRPr="00F07060">
              <w:rPr>
                <w:b/>
                <w:bCs/>
                <w:color w:val="000000"/>
                <w:sz w:val="16"/>
                <w:szCs w:val="16"/>
              </w:rPr>
              <w:t>Probably increased</w:t>
            </w:r>
          </w:p>
        </w:tc>
        <w:tc>
          <w:tcPr>
            <w:tcW w:w="1198"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A18FAF1" w14:textId="77777777" w:rsidR="00ED574D" w:rsidRPr="00F07060" w:rsidRDefault="00ED574D" w:rsidP="00ED574D">
            <w:pPr>
              <w:rPr>
                <w:b/>
                <w:bCs/>
                <w:color w:val="000000"/>
                <w:sz w:val="16"/>
                <w:szCs w:val="16"/>
              </w:rPr>
            </w:pPr>
            <w:r w:rsidRPr="00F07060">
              <w:rPr>
                <w:b/>
                <w:bCs/>
                <w:color w:val="000000"/>
                <w:sz w:val="16"/>
                <w:szCs w:val="16"/>
              </w:rPr>
              <w:t>Increased</w:t>
            </w:r>
          </w:p>
        </w:tc>
        <w:tc>
          <w:tcPr>
            <w:tcW w:w="850"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B5FAEB7" w14:textId="77777777" w:rsidR="00ED574D" w:rsidRPr="00F07060" w:rsidRDefault="00ED574D" w:rsidP="00ED574D">
            <w:pPr>
              <w:rPr>
                <w:b/>
                <w:bCs/>
                <w:color w:val="000000"/>
                <w:sz w:val="16"/>
                <w:szCs w:val="16"/>
              </w:rPr>
            </w:pPr>
            <w:r w:rsidRPr="00F07060">
              <w:rPr>
                <w:b/>
                <w:bCs/>
                <w:color w:val="000000"/>
                <w:sz w:val="16"/>
                <w:szCs w:val="16"/>
              </w:rPr>
              <w:t>Varies</w:t>
            </w:r>
          </w:p>
        </w:tc>
        <w:tc>
          <w:tcPr>
            <w:tcW w:w="1559"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30BE810B" w14:textId="77777777" w:rsidR="00ED574D" w:rsidRPr="00F07060" w:rsidRDefault="00ED574D" w:rsidP="00ED574D">
            <w:pPr>
              <w:rPr>
                <w:b/>
                <w:bCs/>
                <w:color w:val="000000"/>
                <w:sz w:val="16"/>
                <w:szCs w:val="16"/>
              </w:rPr>
            </w:pPr>
            <w:r w:rsidRPr="00F07060">
              <w:rPr>
                <w:b/>
                <w:bCs/>
                <w:color w:val="000000"/>
                <w:sz w:val="16"/>
                <w:szCs w:val="16"/>
              </w:rPr>
              <w:t>Don't know</w:t>
            </w:r>
          </w:p>
        </w:tc>
      </w:tr>
      <w:tr w:rsidR="00ED574D" w:rsidRPr="00F07060" w14:paraId="2D5F6FE6" w14:textId="77777777" w:rsidTr="00ED574D">
        <w:trPr>
          <w:trHeight w:val="19"/>
        </w:trPr>
        <w:tc>
          <w:tcPr>
            <w:tcW w:w="1691"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3BAEC25E" w14:textId="77777777" w:rsidR="00ED574D" w:rsidRPr="00F07060" w:rsidRDefault="00ED574D" w:rsidP="00ED574D">
            <w:pPr>
              <w:rPr>
                <w:b/>
                <w:bCs/>
                <w:color w:val="000000"/>
                <w:sz w:val="16"/>
                <w:szCs w:val="16"/>
              </w:rPr>
            </w:pPr>
            <w:r w:rsidRPr="00F07060">
              <w:rPr>
                <w:b/>
                <w:bCs/>
                <w:color w:val="000000"/>
                <w:sz w:val="16"/>
                <w:szCs w:val="16"/>
              </w:rPr>
              <w:t>Acceptability</w:t>
            </w:r>
          </w:p>
        </w:tc>
        <w:tc>
          <w:tcPr>
            <w:tcW w:w="1560"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A6375FA" w14:textId="77777777" w:rsidR="00ED574D" w:rsidRPr="00F07060" w:rsidRDefault="00ED574D" w:rsidP="00ED574D">
            <w:pPr>
              <w:rPr>
                <w:b/>
                <w:bCs/>
                <w:color w:val="000000"/>
                <w:sz w:val="16"/>
                <w:szCs w:val="16"/>
              </w:rPr>
            </w:pPr>
            <w:r w:rsidRPr="00F07060">
              <w:rPr>
                <w:b/>
                <w:bCs/>
                <w:color w:val="000000"/>
                <w:sz w:val="16"/>
                <w:szCs w:val="16"/>
              </w:rPr>
              <w:t>No</w:t>
            </w:r>
          </w:p>
        </w:tc>
        <w:tc>
          <w:tcPr>
            <w:tcW w:w="1735"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4B1CBE5" w14:textId="77777777" w:rsidR="00ED574D" w:rsidRPr="00F07060" w:rsidRDefault="00ED574D" w:rsidP="00ED574D">
            <w:pPr>
              <w:rPr>
                <w:b/>
                <w:bCs/>
                <w:color w:val="000000"/>
                <w:sz w:val="16"/>
                <w:szCs w:val="16"/>
              </w:rPr>
            </w:pPr>
            <w:r w:rsidRPr="00F07060">
              <w:rPr>
                <w:b/>
                <w:bCs/>
                <w:color w:val="000000"/>
                <w:sz w:val="16"/>
                <w:szCs w:val="16"/>
              </w:rPr>
              <w:t>Probably no</w:t>
            </w:r>
          </w:p>
        </w:tc>
        <w:tc>
          <w:tcPr>
            <w:tcW w:w="1936"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03E7BC07" w14:textId="77777777" w:rsidR="00ED574D" w:rsidRPr="00F07060" w:rsidRDefault="00ED574D" w:rsidP="00ED574D">
            <w:pPr>
              <w:rPr>
                <w:b/>
                <w:bCs/>
                <w:color w:val="000000"/>
                <w:sz w:val="16"/>
                <w:szCs w:val="16"/>
              </w:rPr>
            </w:pPr>
            <w:r w:rsidRPr="00F07060">
              <w:rPr>
                <w:b/>
                <w:bCs/>
                <w:color w:val="000000"/>
                <w:sz w:val="16"/>
                <w:szCs w:val="16"/>
              </w:rPr>
              <w:t>Probably yes</w:t>
            </w:r>
          </w:p>
        </w:tc>
        <w:tc>
          <w:tcPr>
            <w:tcW w:w="1935"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C2515FB" w14:textId="77777777" w:rsidR="00ED574D" w:rsidRPr="00F07060" w:rsidRDefault="00ED574D" w:rsidP="00ED574D">
            <w:pPr>
              <w:rPr>
                <w:b/>
                <w:bCs/>
                <w:color w:val="000000"/>
                <w:sz w:val="16"/>
                <w:szCs w:val="16"/>
              </w:rPr>
            </w:pPr>
            <w:r w:rsidRPr="00F07060">
              <w:rPr>
                <w:b/>
                <w:bCs/>
                <w:color w:val="000000"/>
                <w:sz w:val="16"/>
                <w:szCs w:val="16"/>
              </w:rPr>
              <w:t>Yes</w:t>
            </w:r>
          </w:p>
        </w:tc>
        <w:tc>
          <w:tcPr>
            <w:tcW w:w="1198"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5C93C49" w14:textId="77777777" w:rsidR="00ED574D" w:rsidRPr="00F07060" w:rsidRDefault="00ED574D" w:rsidP="00ED574D">
            <w:pPr>
              <w:rPr>
                <w:b/>
                <w:bCs/>
                <w:color w:val="000000"/>
                <w:sz w:val="16"/>
                <w:szCs w:val="16"/>
              </w:rPr>
            </w:pPr>
          </w:p>
        </w:tc>
        <w:tc>
          <w:tcPr>
            <w:tcW w:w="850"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41AB154" w14:textId="77777777" w:rsidR="00ED574D" w:rsidRPr="00F07060" w:rsidRDefault="00ED574D" w:rsidP="00ED574D">
            <w:pPr>
              <w:rPr>
                <w:b/>
                <w:bCs/>
                <w:color w:val="000000"/>
                <w:sz w:val="16"/>
                <w:szCs w:val="16"/>
              </w:rPr>
            </w:pPr>
            <w:r w:rsidRPr="00F07060">
              <w:rPr>
                <w:b/>
                <w:bCs/>
                <w:color w:val="000000"/>
                <w:sz w:val="16"/>
                <w:szCs w:val="16"/>
              </w:rPr>
              <w:t>Varies</w:t>
            </w:r>
          </w:p>
        </w:tc>
        <w:tc>
          <w:tcPr>
            <w:tcW w:w="1559"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F11EA89" w14:textId="77777777" w:rsidR="00ED574D" w:rsidRPr="00F07060" w:rsidRDefault="00ED574D" w:rsidP="00ED574D">
            <w:pPr>
              <w:rPr>
                <w:b/>
                <w:bCs/>
                <w:color w:val="000000"/>
                <w:sz w:val="16"/>
                <w:szCs w:val="16"/>
              </w:rPr>
            </w:pPr>
            <w:r w:rsidRPr="00F07060">
              <w:rPr>
                <w:b/>
                <w:bCs/>
                <w:color w:val="000000"/>
                <w:sz w:val="16"/>
                <w:szCs w:val="16"/>
              </w:rPr>
              <w:t>Don't know</w:t>
            </w:r>
          </w:p>
        </w:tc>
      </w:tr>
      <w:tr w:rsidR="00ED574D" w:rsidRPr="00F07060" w14:paraId="2A5995D1" w14:textId="77777777" w:rsidTr="00ED574D">
        <w:trPr>
          <w:trHeight w:val="19"/>
        </w:trPr>
        <w:tc>
          <w:tcPr>
            <w:tcW w:w="1691"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41549422" w14:textId="77777777" w:rsidR="00ED574D" w:rsidRPr="00F07060" w:rsidRDefault="00ED574D" w:rsidP="00ED574D">
            <w:pPr>
              <w:rPr>
                <w:b/>
                <w:bCs/>
                <w:color w:val="000000"/>
                <w:sz w:val="16"/>
                <w:szCs w:val="16"/>
              </w:rPr>
            </w:pPr>
            <w:r w:rsidRPr="00F07060">
              <w:rPr>
                <w:b/>
                <w:bCs/>
                <w:color w:val="000000"/>
                <w:sz w:val="16"/>
                <w:szCs w:val="16"/>
              </w:rPr>
              <w:t>Feasibility</w:t>
            </w:r>
          </w:p>
        </w:tc>
        <w:tc>
          <w:tcPr>
            <w:tcW w:w="1560"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4C3C46D" w14:textId="77777777" w:rsidR="00ED574D" w:rsidRPr="00F07060" w:rsidRDefault="00ED574D" w:rsidP="00ED574D">
            <w:pPr>
              <w:rPr>
                <w:b/>
                <w:bCs/>
                <w:color w:val="000000"/>
                <w:sz w:val="16"/>
                <w:szCs w:val="16"/>
              </w:rPr>
            </w:pPr>
            <w:r w:rsidRPr="00F07060">
              <w:rPr>
                <w:b/>
                <w:bCs/>
                <w:color w:val="000000"/>
                <w:sz w:val="16"/>
                <w:szCs w:val="16"/>
              </w:rPr>
              <w:t>No</w:t>
            </w:r>
          </w:p>
        </w:tc>
        <w:tc>
          <w:tcPr>
            <w:tcW w:w="173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5536EE7" w14:textId="77777777" w:rsidR="00ED574D" w:rsidRPr="00F07060" w:rsidRDefault="00ED574D" w:rsidP="00ED574D">
            <w:pPr>
              <w:rPr>
                <w:b/>
                <w:bCs/>
                <w:color w:val="000000"/>
                <w:sz w:val="16"/>
                <w:szCs w:val="16"/>
              </w:rPr>
            </w:pPr>
            <w:r w:rsidRPr="00F07060">
              <w:rPr>
                <w:b/>
                <w:bCs/>
                <w:color w:val="000000"/>
                <w:sz w:val="16"/>
                <w:szCs w:val="16"/>
              </w:rPr>
              <w:t>Probably no</w:t>
            </w:r>
          </w:p>
        </w:tc>
        <w:tc>
          <w:tcPr>
            <w:tcW w:w="1936"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2CD25D93" w14:textId="77777777" w:rsidR="00ED574D" w:rsidRPr="00F07060" w:rsidRDefault="00ED574D" w:rsidP="00ED574D">
            <w:pPr>
              <w:rPr>
                <w:b/>
                <w:bCs/>
                <w:color w:val="000000"/>
                <w:sz w:val="16"/>
                <w:szCs w:val="16"/>
              </w:rPr>
            </w:pPr>
            <w:r w:rsidRPr="00F07060">
              <w:rPr>
                <w:b/>
                <w:bCs/>
                <w:color w:val="000000"/>
                <w:sz w:val="16"/>
                <w:szCs w:val="16"/>
              </w:rPr>
              <w:t>Probably yes</w:t>
            </w:r>
          </w:p>
        </w:tc>
        <w:tc>
          <w:tcPr>
            <w:tcW w:w="193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D5C9916" w14:textId="77777777" w:rsidR="00ED574D" w:rsidRPr="00F07060" w:rsidRDefault="00ED574D" w:rsidP="00ED574D">
            <w:pPr>
              <w:rPr>
                <w:b/>
                <w:bCs/>
                <w:color w:val="000000"/>
                <w:sz w:val="16"/>
                <w:szCs w:val="16"/>
              </w:rPr>
            </w:pPr>
            <w:r w:rsidRPr="00F07060">
              <w:rPr>
                <w:b/>
                <w:bCs/>
                <w:color w:val="000000"/>
                <w:sz w:val="16"/>
                <w:szCs w:val="16"/>
              </w:rPr>
              <w:t>Yes</w:t>
            </w:r>
          </w:p>
        </w:tc>
        <w:tc>
          <w:tcPr>
            <w:tcW w:w="1198"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4699BD1" w14:textId="77777777" w:rsidR="00ED574D" w:rsidRPr="00F07060" w:rsidRDefault="00ED574D" w:rsidP="00ED574D">
            <w:pPr>
              <w:rPr>
                <w:b/>
                <w:bCs/>
                <w:color w:val="000000"/>
                <w:sz w:val="16"/>
                <w:szCs w:val="16"/>
              </w:rPr>
            </w:pPr>
          </w:p>
        </w:tc>
        <w:tc>
          <w:tcPr>
            <w:tcW w:w="850"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28B4497" w14:textId="77777777" w:rsidR="00ED574D" w:rsidRPr="00F07060" w:rsidRDefault="00ED574D" w:rsidP="00ED574D">
            <w:pPr>
              <w:rPr>
                <w:b/>
                <w:bCs/>
                <w:color w:val="000000"/>
                <w:sz w:val="16"/>
                <w:szCs w:val="16"/>
              </w:rPr>
            </w:pPr>
            <w:r w:rsidRPr="00F07060">
              <w:rPr>
                <w:b/>
                <w:bCs/>
                <w:color w:val="000000"/>
                <w:sz w:val="16"/>
                <w:szCs w:val="16"/>
              </w:rPr>
              <w:t>Varies</w:t>
            </w:r>
          </w:p>
        </w:tc>
        <w:tc>
          <w:tcPr>
            <w:tcW w:w="1559"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3D34061" w14:textId="77777777" w:rsidR="00ED574D" w:rsidRPr="00F07060" w:rsidRDefault="00ED574D" w:rsidP="00ED574D">
            <w:pPr>
              <w:rPr>
                <w:b/>
                <w:bCs/>
                <w:color w:val="000000"/>
                <w:sz w:val="16"/>
                <w:szCs w:val="16"/>
              </w:rPr>
            </w:pPr>
            <w:r w:rsidRPr="00F07060">
              <w:rPr>
                <w:b/>
                <w:bCs/>
                <w:color w:val="000000"/>
                <w:sz w:val="16"/>
                <w:szCs w:val="16"/>
              </w:rPr>
              <w:t>Don't know</w:t>
            </w:r>
          </w:p>
        </w:tc>
      </w:tr>
    </w:tbl>
    <w:p w14:paraId="429E06C6" w14:textId="77777777" w:rsidR="00ED574D" w:rsidRPr="00A44FD1" w:rsidRDefault="00ED574D" w:rsidP="00982C89">
      <w:pPr>
        <w:rPr>
          <w:b/>
          <w:bCs/>
          <w:color w:val="000000"/>
          <w:sz w:val="20"/>
          <w:szCs w:val="20"/>
          <w:lang w:val="en"/>
        </w:rPr>
      </w:pPr>
    </w:p>
    <w:p w14:paraId="14D824EF" w14:textId="07DE9E64" w:rsidR="00982C89" w:rsidRPr="005C0D59" w:rsidRDefault="00982C89" w:rsidP="00982C89">
      <w:pPr>
        <w:rPr>
          <w:rFonts w:ascii="Arial" w:hAnsi="Arial" w:cs="Arial"/>
          <w:b/>
          <w:sz w:val="20"/>
          <w:szCs w:val="20"/>
        </w:rPr>
      </w:pPr>
      <w:r w:rsidRPr="00A44FD1">
        <w:rPr>
          <w:b/>
          <w:bCs/>
          <w:color w:val="000000"/>
          <w:sz w:val="20"/>
          <w:szCs w:val="20"/>
          <w:lang w:val="en"/>
        </w:rPr>
        <w:t>Table S</w:t>
      </w:r>
      <w:r w:rsidR="00ED574D">
        <w:rPr>
          <w:b/>
          <w:bCs/>
          <w:color w:val="000000"/>
          <w:sz w:val="20"/>
          <w:szCs w:val="20"/>
          <w:lang w:val="en"/>
        </w:rPr>
        <w:t>2</w:t>
      </w:r>
      <w:r w:rsidR="00761F32">
        <w:rPr>
          <w:b/>
          <w:bCs/>
          <w:color w:val="000000"/>
          <w:sz w:val="20"/>
          <w:szCs w:val="20"/>
          <w:lang w:val="en"/>
        </w:rPr>
        <w:t>5</w:t>
      </w:r>
      <w:r w:rsidRPr="00A44FD1">
        <w:rPr>
          <w:b/>
          <w:bCs/>
          <w:color w:val="000000"/>
          <w:sz w:val="20"/>
          <w:szCs w:val="20"/>
          <w:lang w:val="en"/>
        </w:rPr>
        <w:t xml:space="preserve"> </w:t>
      </w:r>
      <w:r w:rsidRPr="005C0D59">
        <w:rPr>
          <w:rFonts w:ascii="Arial" w:hAnsi="Arial" w:cs="Arial"/>
          <w:b/>
          <w:sz w:val="20"/>
          <w:szCs w:val="20"/>
        </w:rPr>
        <w:t>Evidence to decision table supporting recommendations for dupilumab for severe allergic asthma in adults (lung function)</w:t>
      </w:r>
    </w:p>
    <w:p w14:paraId="430D971A" w14:textId="77777777" w:rsidR="00982C89" w:rsidRPr="00A44FD1" w:rsidRDefault="00982C89" w:rsidP="00982C89">
      <w:pPr>
        <w:pStyle w:val="ListParagraph"/>
        <w:rPr>
          <w:b/>
          <w:bCs/>
          <w:color w:val="000000"/>
          <w:sz w:val="20"/>
          <w:szCs w:val="20"/>
          <w:lang w:val="en"/>
        </w:rPr>
      </w:pPr>
    </w:p>
    <w:tbl>
      <w:tblPr>
        <w:tblW w:w="0" w:type="auto"/>
        <w:tblCellMar>
          <w:left w:w="0" w:type="dxa"/>
          <w:right w:w="0" w:type="dxa"/>
        </w:tblCellMar>
        <w:tblLook w:val="04A0" w:firstRow="1" w:lastRow="0" w:firstColumn="1" w:lastColumn="0" w:noHBand="0" w:noVBand="1"/>
      </w:tblPr>
      <w:tblGrid>
        <w:gridCol w:w="1661"/>
        <w:gridCol w:w="1125"/>
        <w:gridCol w:w="1665"/>
        <w:gridCol w:w="2072"/>
        <w:gridCol w:w="1532"/>
        <w:gridCol w:w="1802"/>
        <w:gridCol w:w="765"/>
        <w:gridCol w:w="1842"/>
      </w:tblGrid>
      <w:tr w:rsidR="00982C89" w:rsidRPr="00F07060" w14:paraId="331F59F0" w14:textId="77777777" w:rsidTr="005C0D59">
        <w:trPr>
          <w:trHeight w:val="19"/>
        </w:trPr>
        <w:tc>
          <w:tcPr>
            <w:tcW w:w="1661" w:type="dxa"/>
            <w:tcBorders>
              <w:top w:val="single" w:sz="8" w:space="0" w:color="FFFFFF"/>
              <w:left w:val="single" w:sz="8" w:space="0" w:color="FFFFFF"/>
              <w:bottom w:val="single" w:sz="24" w:space="0" w:color="FFFFFF"/>
              <w:right w:val="single" w:sz="8" w:space="0" w:color="FFFFFF"/>
            </w:tcBorders>
            <w:shd w:val="clear" w:color="auto" w:fill="5B9BD5"/>
            <w:tcMar>
              <w:top w:w="74" w:type="dxa"/>
              <w:left w:w="74" w:type="dxa"/>
              <w:bottom w:w="74" w:type="dxa"/>
              <w:right w:w="74" w:type="dxa"/>
            </w:tcMar>
            <w:vAlign w:val="center"/>
            <w:hideMark/>
          </w:tcPr>
          <w:p w14:paraId="7B6A95B6" w14:textId="77777777" w:rsidR="00982C89" w:rsidRPr="00F07060" w:rsidRDefault="00982C89" w:rsidP="00E350F6">
            <w:pPr>
              <w:rPr>
                <w:b/>
                <w:bCs/>
                <w:color w:val="000000"/>
                <w:sz w:val="16"/>
                <w:szCs w:val="16"/>
              </w:rPr>
            </w:pPr>
          </w:p>
        </w:tc>
        <w:tc>
          <w:tcPr>
            <w:tcW w:w="10803" w:type="dxa"/>
            <w:gridSpan w:val="7"/>
            <w:tcBorders>
              <w:top w:val="single" w:sz="8" w:space="0" w:color="FFFFFF"/>
              <w:left w:val="single" w:sz="8" w:space="0" w:color="FFFFFF"/>
              <w:bottom w:val="single" w:sz="24" w:space="0" w:color="FFFFFF"/>
              <w:right w:val="single" w:sz="8" w:space="0" w:color="FFFFFF"/>
            </w:tcBorders>
            <w:shd w:val="clear" w:color="auto" w:fill="5B9BD5"/>
            <w:tcMar>
              <w:top w:w="74" w:type="dxa"/>
              <w:left w:w="74" w:type="dxa"/>
              <w:bottom w:w="74" w:type="dxa"/>
              <w:right w:w="74" w:type="dxa"/>
            </w:tcMar>
            <w:vAlign w:val="center"/>
            <w:hideMark/>
          </w:tcPr>
          <w:p w14:paraId="42FE5C15" w14:textId="77777777" w:rsidR="00982C89" w:rsidRPr="00F07060" w:rsidRDefault="00982C89" w:rsidP="00E350F6">
            <w:pPr>
              <w:rPr>
                <w:b/>
                <w:bCs/>
                <w:color w:val="000000"/>
                <w:sz w:val="16"/>
                <w:szCs w:val="16"/>
              </w:rPr>
            </w:pPr>
            <w:r w:rsidRPr="00F07060">
              <w:rPr>
                <w:b/>
                <w:bCs/>
                <w:color w:val="000000"/>
                <w:sz w:val="16"/>
                <w:szCs w:val="16"/>
              </w:rPr>
              <w:t>Judgement</w:t>
            </w:r>
          </w:p>
        </w:tc>
      </w:tr>
      <w:tr w:rsidR="00982C89" w:rsidRPr="00F07060" w14:paraId="75842705" w14:textId="77777777" w:rsidTr="005C0D59">
        <w:trPr>
          <w:trHeight w:val="49"/>
        </w:trPr>
        <w:tc>
          <w:tcPr>
            <w:tcW w:w="1661" w:type="dxa"/>
            <w:tcBorders>
              <w:top w:val="single" w:sz="24"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54CA0A87" w14:textId="77777777" w:rsidR="00982C89" w:rsidRPr="00F07060" w:rsidRDefault="00982C89" w:rsidP="00E350F6">
            <w:pPr>
              <w:rPr>
                <w:b/>
                <w:bCs/>
                <w:color w:val="000000"/>
                <w:sz w:val="16"/>
                <w:szCs w:val="16"/>
              </w:rPr>
            </w:pPr>
            <w:r w:rsidRPr="00F07060">
              <w:rPr>
                <w:b/>
                <w:bCs/>
                <w:color w:val="000000"/>
                <w:sz w:val="16"/>
                <w:szCs w:val="16"/>
              </w:rPr>
              <w:t>Problem (importance)</w:t>
            </w:r>
          </w:p>
        </w:tc>
        <w:tc>
          <w:tcPr>
            <w:tcW w:w="1125"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602BBAD" w14:textId="77777777" w:rsidR="00982C89" w:rsidRPr="00F07060" w:rsidRDefault="00982C89" w:rsidP="00E350F6">
            <w:pPr>
              <w:rPr>
                <w:b/>
                <w:bCs/>
                <w:color w:val="000000"/>
                <w:sz w:val="16"/>
                <w:szCs w:val="16"/>
              </w:rPr>
            </w:pPr>
            <w:r w:rsidRPr="00F07060">
              <w:rPr>
                <w:b/>
                <w:bCs/>
                <w:color w:val="000000"/>
                <w:sz w:val="16"/>
                <w:szCs w:val="16"/>
              </w:rPr>
              <w:t>No</w:t>
            </w:r>
          </w:p>
        </w:tc>
        <w:tc>
          <w:tcPr>
            <w:tcW w:w="1665"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1E6C580" w14:textId="77777777" w:rsidR="00982C89" w:rsidRPr="00F07060" w:rsidRDefault="00982C89" w:rsidP="00E350F6">
            <w:pPr>
              <w:rPr>
                <w:b/>
                <w:bCs/>
                <w:color w:val="000000"/>
                <w:sz w:val="16"/>
                <w:szCs w:val="16"/>
              </w:rPr>
            </w:pPr>
            <w:r w:rsidRPr="00F07060">
              <w:rPr>
                <w:b/>
                <w:bCs/>
                <w:color w:val="000000"/>
                <w:sz w:val="16"/>
                <w:szCs w:val="16"/>
              </w:rPr>
              <w:t>Probably no</w:t>
            </w:r>
          </w:p>
        </w:tc>
        <w:tc>
          <w:tcPr>
            <w:tcW w:w="2072"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D337752" w14:textId="77777777" w:rsidR="00982C89" w:rsidRPr="00F07060" w:rsidRDefault="00982C89" w:rsidP="00E350F6">
            <w:pPr>
              <w:rPr>
                <w:b/>
                <w:bCs/>
                <w:color w:val="000000"/>
                <w:sz w:val="16"/>
                <w:szCs w:val="16"/>
              </w:rPr>
            </w:pPr>
            <w:r w:rsidRPr="00F07060">
              <w:rPr>
                <w:b/>
                <w:bCs/>
                <w:color w:val="000000"/>
                <w:sz w:val="16"/>
                <w:szCs w:val="16"/>
              </w:rPr>
              <w:t>Probably yes</w:t>
            </w:r>
          </w:p>
        </w:tc>
        <w:tc>
          <w:tcPr>
            <w:tcW w:w="1532" w:type="dxa"/>
            <w:tcBorders>
              <w:top w:val="single" w:sz="24"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1A756AFE" w14:textId="77777777" w:rsidR="00982C89" w:rsidRPr="00F07060" w:rsidRDefault="00982C89" w:rsidP="00E350F6">
            <w:pPr>
              <w:rPr>
                <w:b/>
                <w:bCs/>
                <w:color w:val="000000"/>
                <w:sz w:val="16"/>
                <w:szCs w:val="16"/>
              </w:rPr>
            </w:pPr>
            <w:r w:rsidRPr="00F07060">
              <w:rPr>
                <w:b/>
                <w:bCs/>
                <w:color w:val="000000"/>
                <w:sz w:val="16"/>
                <w:szCs w:val="16"/>
              </w:rPr>
              <w:t>Yes</w:t>
            </w:r>
          </w:p>
        </w:tc>
        <w:tc>
          <w:tcPr>
            <w:tcW w:w="1802"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59662D3" w14:textId="77777777" w:rsidR="00982C89" w:rsidRPr="00F07060" w:rsidRDefault="00982C89" w:rsidP="00E350F6">
            <w:pPr>
              <w:rPr>
                <w:b/>
                <w:bCs/>
                <w:color w:val="000000"/>
                <w:sz w:val="16"/>
                <w:szCs w:val="16"/>
              </w:rPr>
            </w:pPr>
          </w:p>
        </w:tc>
        <w:tc>
          <w:tcPr>
            <w:tcW w:w="765"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559F63F" w14:textId="77777777" w:rsidR="00982C89" w:rsidRPr="00F07060" w:rsidRDefault="00982C89" w:rsidP="00E350F6">
            <w:pPr>
              <w:rPr>
                <w:b/>
                <w:bCs/>
                <w:color w:val="000000"/>
                <w:sz w:val="16"/>
                <w:szCs w:val="16"/>
              </w:rPr>
            </w:pPr>
            <w:r w:rsidRPr="00F07060">
              <w:rPr>
                <w:b/>
                <w:bCs/>
                <w:color w:val="000000"/>
                <w:sz w:val="16"/>
                <w:szCs w:val="16"/>
              </w:rPr>
              <w:t>Varies</w:t>
            </w:r>
          </w:p>
        </w:tc>
        <w:tc>
          <w:tcPr>
            <w:tcW w:w="1842"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7488E34" w14:textId="77777777" w:rsidR="00982C89" w:rsidRPr="00F07060" w:rsidRDefault="00982C89" w:rsidP="00E350F6">
            <w:pPr>
              <w:rPr>
                <w:b/>
                <w:bCs/>
                <w:color w:val="000000"/>
                <w:sz w:val="16"/>
                <w:szCs w:val="16"/>
              </w:rPr>
            </w:pPr>
            <w:r w:rsidRPr="00F07060">
              <w:rPr>
                <w:b/>
                <w:bCs/>
                <w:color w:val="000000"/>
                <w:sz w:val="16"/>
                <w:szCs w:val="16"/>
              </w:rPr>
              <w:t>Don't know</w:t>
            </w:r>
          </w:p>
        </w:tc>
      </w:tr>
      <w:tr w:rsidR="00982C89" w:rsidRPr="00F07060" w14:paraId="3C17A5E0" w14:textId="77777777" w:rsidTr="005C0D59">
        <w:trPr>
          <w:trHeight w:val="19"/>
        </w:trPr>
        <w:tc>
          <w:tcPr>
            <w:tcW w:w="1661"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69D9EB9E" w14:textId="77777777" w:rsidR="00982C89" w:rsidRPr="00F07060" w:rsidRDefault="00982C89" w:rsidP="00E350F6">
            <w:pPr>
              <w:rPr>
                <w:b/>
                <w:bCs/>
                <w:color w:val="000000"/>
                <w:sz w:val="16"/>
                <w:szCs w:val="16"/>
              </w:rPr>
            </w:pPr>
            <w:r w:rsidRPr="00F07060">
              <w:rPr>
                <w:b/>
                <w:bCs/>
                <w:color w:val="000000"/>
                <w:sz w:val="16"/>
                <w:szCs w:val="16"/>
              </w:rPr>
              <w:t>Desirable Effects</w:t>
            </w:r>
          </w:p>
        </w:tc>
        <w:tc>
          <w:tcPr>
            <w:tcW w:w="112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830EF87" w14:textId="77777777" w:rsidR="00982C89" w:rsidRPr="00F07060" w:rsidRDefault="00982C89" w:rsidP="00E350F6">
            <w:pPr>
              <w:rPr>
                <w:b/>
                <w:bCs/>
                <w:color w:val="000000"/>
                <w:sz w:val="16"/>
                <w:szCs w:val="16"/>
              </w:rPr>
            </w:pPr>
            <w:r w:rsidRPr="00F07060">
              <w:rPr>
                <w:b/>
                <w:bCs/>
                <w:color w:val="000000"/>
                <w:sz w:val="16"/>
                <w:szCs w:val="16"/>
              </w:rPr>
              <w:t>Trivial</w:t>
            </w:r>
          </w:p>
        </w:tc>
        <w:tc>
          <w:tcPr>
            <w:tcW w:w="166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861F3CC" w14:textId="77777777" w:rsidR="00982C89" w:rsidRPr="00F07060" w:rsidRDefault="00982C89" w:rsidP="00E350F6">
            <w:pPr>
              <w:rPr>
                <w:b/>
                <w:bCs/>
                <w:color w:val="000000"/>
                <w:sz w:val="16"/>
                <w:szCs w:val="16"/>
              </w:rPr>
            </w:pPr>
            <w:r w:rsidRPr="00F07060">
              <w:rPr>
                <w:b/>
                <w:bCs/>
                <w:color w:val="000000"/>
                <w:sz w:val="16"/>
                <w:szCs w:val="16"/>
              </w:rPr>
              <w:t>Small</w:t>
            </w:r>
          </w:p>
        </w:tc>
        <w:tc>
          <w:tcPr>
            <w:tcW w:w="2072"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0D2A636" w14:textId="77777777" w:rsidR="00982C89" w:rsidRPr="00F07060" w:rsidRDefault="00982C89" w:rsidP="00E350F6">
            <w:pPr>
              <w:rPr>
                <w:b/>
                <w:bCs/>
                <w:color w:val="000000"/>
                <w:sz w:val="16"/>
                <w:szCs w:val="16"/>
              </w:rPr>
            </w:pPr>
            <w:r w:rsidRPr="00F07060">
              <w:rPr>
                <w:b/>
                <w:bCs/>
                <w:color w:val="000000"/>
                <w:sz w:val="16"/>
                <w:szCs w:val="16"/>
              </w:rPr>
              <w:t>Moderate</w:t>
            </w:r>
          </w:p>
        </w:tc>
        <w:tc>
          <w:tcPr>
            <w:tcW w:w="1532"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4C3F3BEF" w14:textId="77777777" w:rsidR="00982C89" w:rsidRPr="00F07060" w:rsidRDefault="00982C89" w:rsidP="00E350F6">
            <w:pPr>
              <w:rPr>
                <w:b/>
                <w:bCs/>
                <w:color w:val="000000"/>
                <w:sz w:val="16"/>
                <w:szCs w:val="16"/>
              </w:rPr>
            </w:pPr>
            <w:r w:rsidRPr="00F07060">
              <w:rPr>
                <w:b/>
                <w:bCs/>
                <w:color w:val="000000"/>
                <w:sz w:val="16"/>
                <w:szCs w:val="16"/>
              </w:rPr>
              <w:t>Large</w:t>
            </w:r>
          </w:p>
        </w:tc>
        <w:tc>
          <w:tcPr>
            <w:tcW w:w="1802"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0EB2341" w14:textId="77777777" w:rsidR="00982C89" w:rsidRPr="00F07060" w:rsidRDefault="00982C89" w:rsidP="00E350F6">
            <w:pPr>
              <w:rPr>
                <w:b/>
                <w:bCs/>
                <w:color w:val="000000"/>
                <w:sz w:val="16"/>
                <w:szCs w:val="16"/>
              </w:rPr>
            </w:pPr>
          </w:p>
        </w:tc>
        <w:tc>
          <w:tcPr>
            <w:tcW w:w="76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7B44FE0" w14:textId="77777777" w:rsidR="00982C89" w:rsidRPr="00F07060" w:rsidRDefault="00982C89" w:rsidP="00E350F6">
            <w:pPr>
              <w:rPr>
                <w:b/>
                <w:bCs/>
                <w:color w:val="000000"/>
                <w:sz w:val="16"/>
                <w:szCs w:val="16"/>
              </w:rPr>
            </w:pPr>
            <w:r w:rsidRPr="00F07060">
              <w:rPr>
                <w:b/>
                <w:bCs/>
                <w:color w:val="000000"/>
                <w:sz w:val="16"/>
                <w:szCs w:val="16"/>
              </w:rPr>
              <w:t>Varies</w:t>
            </w:r>
          </w:p>
        </w:tc>
        <w:tc>
          <w:tcPr>
            <w:tcW w:w="1842"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B69275A" w14:textId="77777777" w:rsidR="00982C89" w:rsidRPr="00F07060" w:rsidRDefault="00982C89" w:rsidP="00E350F6">
            <w:pPr>
              <w:rPr>
                <w:b/>
                <w:bCs/>
                <w:color w:val="000000"/>
                <w:sz w:val="16"/>
                <w:szCs w:val="16"/>
              </w:rPr>
            </w:pPr>
            <w:r w:rsidRPr="00F07060">
              <w:rPr>
                <w:b/>
                <w:bCs/>
                <w:color w:val="000000"/>
                <w:sz w:val="16"/>
                <w:szCs w:val="16"/>
              </w:rPr>
              <w:t>Don't know</w:t>
            </w:r>
          </w:p>
        </w:tc>
      </w:tr>
      <w:tr w:rsidR="00982C89" w:rsidRPr="00F07060" w14:paraId="37F2BD9C" w14:textId="77777777" w:rsidTr="005C0D59">
        <w:trPr>
          <w:trHeight w:val="19"/>
        </w:trPr>
        <w:tc>
          <w:tcPr>
            <w:tcW w:w="1661"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724357B7" w14:textId="77777777" w:rsidR="00982C89" w:rsidRPr="00F07060" w:rsidRDefault="00982C89" w:rsidP="00E350F6">
            <w:pPr>
              <w:rPr>
                <w:b/>
                <w:bCs/>
                <w:color w:val="000000"/>
                <w:sz w:val="16"/>
                <w:szCs w:val="16"/>
              </w:rPr>
            </w:pPr>
            <w:r w:rsidRPr="00F07060">
              <w:rPr>
                <w:b/>
                <w:bCs/>
                <w:color w:val="000000"/>
                <w:sz w:val="16"/>
                <w:szCs w:val="16"/>
              </w:rPr>
              <w:t>Undesirable Effects</w:t>
            </w:r>
          </w:p>
        </w:tc>
        <w:tc>
          <w:tcPr>
            <w:tcW w:w="1125"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C89036A" w14:textId="77777777" w:rsidR="00982C89" w:rsidRPr="00F07060" w:rsidRDefault="00982C89" w:rsidP="00E350F6">
            <w:pPr>
              <w:rPr>
                <w:b/>
                <w:bCs/>
                <w:color w:val="000000"/>
                <w:sz w:val="16"/>
                <w:szCs w:val="16"/>
              </w:rPr>
            </w:pPr>
            <w:r w:rsidRPr="00F07060">
              <w:rPr>
                <w:b/>
                <w:bCs/>
                <w:color w:val="000000"/>
                <w:sz w:val="16"/>
                <w:szCs w:val="16"/>
              </w:rPr>
              <w:t>Large</w:t>
            </w:r>
          </w:p>
        </w:tc>
        <w:tc>
          <w:tcPr>
            <w:tcW w:w="1665"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F54BDC4" w14:textId="77777777" w:rsidR="00982C89" w:rsidRPr="00F07060" w:rsidRDefault="00982C89" w:rsidP="00E350F6">
            <w:pPr>
              <w:rPr>
                <w:b/>
                <w:bCs/>
                <w:color w:val="000000"/>
                <w:sz w:val="16"/>
                <w:szCs w:val="16"/>
              </w:rPr>
            </w:pPr>
            <w:r w:rsidRPr="00F07060">
              <w:rPr>
                <w:b/>
                <w:bCs/>
                <w:color w:val="000000"/>
                <w:sz w:val="16"/>
                <w:szCs w:val="16"/>
              </w:rPr>
              <w:t>Moderate</w:t>
            </w:r>
          </w:p>
        </w:tc>
        <w:tc>
          <w:tcPr>
            <w:tcW w:w="2072"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0100F441" w14:textId="77777777" w:rsidR="00982C89" w:rsidRPr="00F07060" w:rsidRDefault="00982C89" w:rsidP="00E350F6">
            <w:pPr>
              <w:rPr>
                <w:b/>
                <w:bCs/>
                <w:color w:val="000000"/>
                <w:sz w:val="16"/>
                <w:szCs w:val="16"/>
              </w:rPr>
            </w:pPr>
            <w:r w:rsidRPr="00F07060">
              <w:rPr>
                <w:b/>
                <w:bCs/>
                <w:color w:val="000000"/>
                <w:sz w:val="16"/>
                <w:szCs w:val="16"/>
              </w:rPr>
              <w:t>Small</w:t>
            </w:r>
          </w:p>
        </w:tc>
        <w:tc>
          <w:tcPr>
            <w:tcW w:w="1532"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CA7123F" w14:textId="77777777" w:rsidR="00982C89" w:rsidRPr="00F07060" w:rsidRDefault="00982C89" w:rsidP="00E350F6">
            <w:pPr>
              <w:rPr>
                <w:b/>
                <w:bCs/>
                <w:color w:val="000000"/>
                <w:sz w:val="16"/>
                <w:szCs w:val="16"/>
              </w:rPr>
            </w:pPr>
            <w:r w:rsidRPr="00F07060">
              <w:rPr>
                <w:b/>
                <w:bCs/>
                <w:color w:val="000000"/>
                <w:sz w:val="16"/>
                <w:szCs w:val="16"/>
              </w:rPr>
              <w:t>Trivial</w:t>
            </w:r>
          </w:p>
        </w:tc>
        <w:tc>
          <w:tcPr>
            <w:tcW w:w="1802"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073A9F1" w14:textId="77777777" w:rsidR="00982C89" w:rsidRPr="00F07060" w:rsidRDefault="00982C89" w:rsidP="00E350F6">
            <w:pPr>
              <w:rPr>
                <w:b/>
                <w:bCs/>
                <w:color w:val="000000"/>
                <w:sz w:val="16"/>
                <w:szCs w:val="16"/>
              </w:rPr>
            </w:pPr>
          </w:p>
        </w:tc>
        <w:tc>
          <w:tcPr>
            <w:tcW w:w="765"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04B6A98" w14:textId="77777777" w:rsidR="00982C89" w:rsidRPr="00F07060" w:rsidRDefault="00982C89" w:rsidP="00E350F6">
            <w:pPr>
              <w:rPr>
                <w:b/>
                <w:bCs/>
                <w:color w:val="000000"/>
                <w:sz w:val="16"/>
                <w:szCs w:val="16"/>
              </w:rPr>
            </w:pPr>
            <w:r w:rsidRPr="00F07060">
              <w:rPr>
                <w:b/>
                <w:bCs/>
                <w:color w:val="000000"/>
                <w:sz w:val="16"/>
                <w:szCs w:val="16"/>
              </w:rPr>
              <w:t>Varies</w:t>
            </w:r>
          </w:p>
        </w:tc>
        <w:tc>
          <w:tcPr>
            <w:tcW w:w="1842"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844F187" w14:textId="77777777" w:rsidR="00982C89" w:rsidRPr="00F07060" w:rsidRDefault="00982C89" w:rsidP="00E350F6">
            <w:pPr>
              <w:rPr>
                <w:b/>
                <w:bCs/>
                <w:color w:val="000000"/>
                <w:sz w:val="16"/>
                <w:szCs w:val="16"/>
              </w:rPr>
            </w:pPr>
            <w:r w:rsidRPr="00F07060">
              <w:rPr>
                <w:b/>
                <w:bCs/>
                <w:color w:val="000000"/>
                <w:sz w:val="16"/>
                <w:szCs w:val="16"/>
              </w:rPr>
              <w:t>Don't know</w:t>
            </w:r>
          </w:p>
        </w:tc>
      </w:tr>
      <w:tr w:rsidR="00982C89" w:rsidRPr="00F07060" w14:paraId="23614B8B" w14:textId="77777777" w:rsidTr="005C0D59">
        <w:trPr>
          <w:trHeight w:val="19"/>
        </w:trPr>
        <w:tc>
          <w:tcPr>
            <w:tcW w:w="1661"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7660CB4E" w14:textId="77777777" w:rsidR="00982C89" w:rsidRPr="00F07060" w:rsidRDefault="00982C89" w:rsidP="00E350F6">
            <w:pPr>
              <w:rPr>
                <w:b/>
                <w:bCs/>
                <w:color w:val="000000"/>
                <w:sz w:val="16"/>
                <w:szCs w:val="16"/>
              </w:rPr>
            </w:pPr>
            <w:r w:rsidRPr="00F07060">
              <w:rPr>
                <w:b/>
                <w:bCs/>
                <w:color w:val="000000"/>
                <w:sz w:val="16"/>
                <w:szCs w:val="16"/>
              </w:rPr>
              <w:t>Certainty of evidence</w:t>
            </w:r>
          </w:p>
        </w:tc>
        <w:tc>
          <w:tcPr>
            <w:tcW w:w="112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A647408" w14:textId="77777777" w:rsidR="00982C89" w:rsidRPr="00F07060" w:rsidRDefault="00982C89" w:rsidP="00E350F6">
            <w:pPr>
              <w:rPr>
                <w:b/>
                <w:bCs/>
                <w:color w:val="000000"/>
                <w:sz w:val="16"/>
                <w:szCs w:val="16"/>
              </w:rPr>
            </w:pPr>
            <w:r w:rsidRPr="00F07060">
              <w:rPr>
                <w:b/>
                <w:bCs/>
                <w:color w:val="000000"/>
                <w:sz w:val="16"/>
                <w:szCs w:val="16"/>
              </w:rPr>
              <w:t>Very low</w:t>
            </w:r>
          </w:p>
        </w:tc>
        <w:tc>
          <w:tcPr>
            <w:tcW w:w="1665"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7AC44B1E" w14:textId="77777777" w:rsidR="00982C89" w:rsidRPr="00F07060" w:rsidRDefault="00982C89" w:rsidP="00E350F6">
            <w:pPr>
              <w:rPr>
                <w:b/>
                <w:bCs/>
                <w:color w:val="000000"/>
                <w:sz w:val="16"/>
                <w:szCs w:val="16"/>
              </w:rPr>
            </w:pPr>
            <w:r w:rsidRPr="00F07060">
              <w:rPr>
                <w:b/>
                <w:bCs/>
                <w:color w:val="000000"/>
                <w:sz w:val="16"/>
                <w:szCs w:val="16"/>
              </w:rPr>
              <w:t>Low</w:t>
            </w:r>
          </w:p>
        </w:tc>
        <w:tc>
          <w:tcPr>
            <w:tcW w:w="2072"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4" w:type="dxa"/>
              <w:left w:w="74" w:type="dxa"/>
              <w:bottom w:w="74" w:type="dxa"/>
              <w:right w:w="74" w:type="dxa"/>
            </w:tcMar>
            <w:vAlign w:val="center"/>
            <w:hideMark/>
          </w:tcPr>
          <w:p w14:paraId="5782B39C" w14:textId="77777777" w:rsidR="00982C89" w:rsidRPr="00F07060" w:rsidRDefault="00982C89" w:rsidP="00E350F6">
            <w:pPr>
              <w:rPr>
                <w:b/>
                <w:bCs/>
                <w:color w:val="000000"/>
                <w:sz w:val="16"/>
                <w:szCs w:val="16"/>
              </w:rPr>
            </w:pPr>
            <w:r w:rsidRPr="00F07060">
              <w:rPr>
                <w:b/>
                <w:bCs/>
                <w:color w:val="000000"/>
                <w:sz w:val="16"/>
                <w:szCs w:val="16"/>
              </w:rPr>
              <w:t>Moderate</w:t>
            </w:r>
          </w:p>
        </w:tc>
        <w:tc>
          <w:tcPr>
            <w:tcW w:w="1532"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4" w:type="dxa"/>
              <w:left w:w="74" w:type="dxa"/>
              <w:bottom w:w="74" w:type="dxa"/>
              <w:right w:w="74" w:type="dxa"/>
            </w:tcMar>
            <w:vAlign w:val="center"/>
            <w:hideMark/>
          </w:tcPr>
          <w:p w14:paraId="4C314F4C" w14:textId="77777777" w:rsidR="00982C89" w:rsidRPr="00F07060" w:rsidRDefault="00982C89" w:rsidP="00E350F6">
            <w:pPr>
              <w:rPr>
                <w:b/>
                <w:bCs/>
                <w:color w:val="000000"/>
                <w:sz w:val="16"/>
                <w:szCs w:val="16"/>
              </w:rPr>
            </w:pPr>
            <w:r w:rsidRPr="00F07060">
              <w:rPr>
                <w:b/>
                <w:bCs/>
                <w:color w:val="000000"/>
                <w:sz w:val="16"/>
                <w:szCs w:val="16"/>
              </w:rPr>
              <w:t>High</w:t>
            </w:r>
          </w:p>
        </w:tc>
        <w:tc>
          <w:tcPr>
            <w:tcW w:w="1802"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ABBF878" w14:textId="77777777" w:rsidR="00982C89" w:rsidRPr="00F07060" w:rsidRDefault="00982C89" w:rsidP="00E350F6">
            <w:pPr>
              <w:rPr>
                <w:b/>
                <w:bCs/>
                <w:color w:val="000000"/>
                <w:sz w:val="16"/>
                <w:szCs w:val="16"/>
              </w:rPr>
            </w:pPr>
          </w:p>
        </w:tc>
        <w:tc>
          <w:tcPr>
            <w:tcW w:w="76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837CF9D" w14:textId="77777777" w:rsidR="00982C89" w:rsidRPr="00F07060" w:rsidRDefault="00982C89" w:rsidP="00E350F6">
            <w:pPr>
              <w:rPr>
                <w:b/>
                <w:bCs/>
                <w:color w:val="000000"/>
                <w:sz w:val="16"/>
                <w:szCs w:val="16"/>
              </w:rPr>
            </w:pPr>
          </w:p>
        </w:tc>
        <w:tc>
          <w:tcPr>
            <w:tcW w:w="1842"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0248078" w14:textId="77777777" w:rsidR="00982C89" w:rsidRPr="00F07060" w:rsidRDefault="00982C89" w:rsidP="00E350F6">
            <w:pPr>
              <w:rPr>
                <w:b/>
                <w:bCs/>
                <w:color w:val="000000"/>
                <w:sz w:val="16"/>
                <w:szCs w:val="16"/>
              </w:rPr>
            </w:pPr>
            <w:r w:rsidRPr="00F07060">
              <w:rPr>
                <w:b/>
                <w:bCs/>
                <w:color w:val="000000"/>
                <w:sz w:val="16"/>
                <w:szCs w:val="16"/>
              </w:rPr>
              <w:t>No included studies</w:t>
            </w:r>
          </w:p>
        </w:tc>
      </w:tr>
      <w:tr w:rsidR="00982C89" w:rsidRPr="00F07060" w14:paraId="3EAF5C7E" w14:textId="77777777" w:rsidTr="005C0D59">
        <w:trPr>
          <w:trHeight w:val="19"/>
        </w:trPr>
        <w:tc>
          <w:tcPr>
            <w:tcW w:w="1661"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669BE611" w14:textId="77777777" w:rsidR="00982C89" w:rsidRPr="00F07060" w:rsidRDefault="00982C89" w:rsidP="00E350F6">
            <w:pPr>
              <w:rPr>
                <w:b/>
                <w:bCs/>
                <w:color w:val="000000"/>
                <w:sz w:val="16"/>
                <w:szCs w:val="16"/>
              </w:rPr>
            </w:pPr>
            <w:r w:rsidRPr="00F07060">
              <w:rPr>
                <w:b/>
                <w:bCs/>
                <w:color w:val="000000"/>
                <w:sz w:val="16"/>
                <w:szCs w:val="16"/>
              </w:rPr>
              <w:t>Values</w:t>
            </w:r>
          </w:p>
        </w:tc>
        <w:tc>
          <w:tcPr>
            <w:tcW w:w="1125"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5D5FA76" w14:textId="77777777" w:rsidR="00982C89" w:rsidRPr="00F07060" w:rsidRDefault="00982C89" w:rsidP="00E350F6">
            <w:pPr>
              <w:rPr>
                <w:b/>
                <w:bCs/>
                <w:color w:val="000000"/>
                <w:sz w:val="16"/>
                <w:szCs w:val="16"/>
              </w:rPr>
            </w:pPr>
            <w:r w:rsidRPr="00F07060">
              <w:rPr>
                <w:b/>
                <w:bCs/>
                <w:color w:val="000000"/>
                <w:sz w:val="16"/>
                <w:szCs w:val="16"/>
              </w:rPr>
              <w:t>Important uncertainty or variability</w:t>
            </w:r>
          </w:p>
        </w:tc>
        <w:tc>
          <w:tcPr>
            <w:tcW w:w="1665"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CF64400" w14:textId="77777777" w:rsidR="00982C89" w:rsidRPr="00F07060" w:rsidRDefault="00982C89" w:rsidP="00E350F6">
            <w:pPr>
              <w:rPr>
                <w:b/>
                <w:bCs/>
                <w:color w:val="000000"/>
                <w:sz w:val="16"/>
                <w:szCs w:val="16"/>
              </w:rPr>
            </w:pPr>
            <w:r w:rsidRPr="00F07060">
              <w:rPr>
                <w:b/>
                <w:bCs/>
                <w:color w:val="000000"/>
                <w:sz w:val="16"/>
                <w:szCs w:val="16"/>
              </w:rPr>
              <w:t>Possibly important uncertainty or variability</w:t>
            </w:r>
          </w:p>
        </w:tc>
        <w:tc>
          <w:tcPr>
            <w:tcW w:w="2072"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E9BAA9D" w14:textId="77777777" w:rsidR="00982C89" w:rsidRPr="00F07060" w:rsidRDefault="00982C89" w:rsidP="00E350F6">
            <w:pPr>
              <w:rPr>
                <w:b/>
                <w:bCs/>
                <w:color w:val="000000"/>
                <w:sz w:val="16"/>
                <w:szCs w:val="16"/>
              </w:rPr>
            </w:pPr>
            <w:r w:rsidRPr="00F07060">
              <w:rPr>
                <w:b/>
                <w:bCs/>
                <w:color w:val="000000"/>
                <w:sz w:val="16"/>
                <w:szCs w:val="16"/>
              </w:rPr>
              <w:t>Probably no important uncertainty or variability</w:t>
            </w:r>
          </w:p>
        </w:tc>
        <w:tc>
          <w:tcPr>
            <w:tcW w:w="1532"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04ED1132" w14:textId="77777777" w:rsidR="00982C89" w:rsidRPr="00F07060" w:rsidRDefault="00982C89" w:rsidP="00E350F6">
            <w:pPr>
              <w:rPr>
                <w:b/>
                <w:bCs/>
                <w:color w:val="000000"/>
                <w:sz w:val="16"/>
                <w:szCs w:val="16"/>
              </w:rPr>
            </w:pPr>
            <w:r w:rsidRPr="00F07060">
              <w:rPr>
                <w:b/>
                <w:bCs/>
                <w:color w:val="000000"/>
                <w:sz w:val="16"/>
                <w:szCs w:val="16"/>
              </w:rPr>
              <w:t>no important uncertainty or variability</w:t>
            </w:r>
          </w:p>
        </w:tc>
        <w:tc>
          <w:tcPr>
            <w:tcW w:w="1802"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5B95B92" w14:textId="77777777" w:rsidR="00982C89" w:rsidRPr="00F07060" w:rsidRDefault="00982C89" w:rsidP="00E350F6">
            <w:pPr>
              <w:rPr>
                <w:b/>
                <w:bCs/>
                <w:color w:val="000000"/>
                <w:sz w:val="16"/>
                <w:szCs w:val="16"/>
              </w:rPr>
            </w:pPr>
          </w:p>
        </w:tc>
        <w:tc>
          <w:tcPr>
            <w:tcW w:w="765"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2FAB08E" w14:textId="77777777" w:rsidR="00982C89" w:rsidRPr="00F07060" w:rsidRDefault="00982C89" w:rsidP="00E350F6">
            <w:pPr>
              <w:rPr>
                <w:b/>
                <w:bCs/>
                <w:color w:val="000000"/>
                <w:sz w:val="16"/>
                <w:szCs w:val="16"/>
              </w:rPr>
            </w:pPr>
          </w:p>
        </w:tc>
        <w:tc>
          <w:tcPr>
            <w:tcW w:w="1842"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653FA1F" w14:textId="77777777" w:rsidR="00982C89" w:rsidRPr="00F07060" w:rsidRDefault="00982C89" w:rsidP="00E350F6">
            <w:pPr>
              <w:rPr>
                <w:b/>
                <w:bCs/>
                <w:color w:val="000000"/>
                <w:sz w:val="16"/>
                <w:szCs w:val="16"/>
              </w:rPr>
            </w:pPr>
          </w:p>
        </w:tc>
      </w:tr>
      <w:tr w:rsidR="00982C89" w:rsidRPr="00F07060" w14:paraId="45CD9D8C" w14:textId="77777777" w:rsidTr="005C0D59">
        <w:trPr>
          <w:trHeight w:val="277"/>
        </w:trPr>
        <w:tc>
          <w:tcPr>
            <w:tcW w:w="1661"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687C2776" w14:textId="77777777" w:rsidR="00982C89" w:rsidRPr="00F07060" w:rsidRDefault="00982C89" w:rsidP="00E350F6">
            <w:pPr>
              <w:rPr>
                <w:b/>
                <w:bCs/>
                <w:color w:val="000000"/>
                <w:sz w:val="16"/>
                <w:szCs w:val="16"/>
              </w:rPr>
            </w:pPr>
            <w:r w:rsidRPr="00F07060">
              <w:rPr>
                <w:b/>
                <w:bCs/>
                <w:color w:val="000000"/>
                <w:sz w:val="16"/>
                <w:szCs w:val="16"/>
              </w:rPr>
              <w:t>Balance of effects</w:t>
            </w:r>
          </w:p>
        </w:tc>
        <w:tc>
          <w:tcPr>
            <w:tcW w:w="112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E02C3F6" w14:textId="77777777" w:rsidR="00982C89" w:rsidRPr="00F07060" w:rsidRDefault="00982C89" w:rsidP="00E350F6">
            <w:pPr>
              <w:rPr>
                <w:b/>
                <w:bCs/>
                <w:color w:val="000000"/>
                <w:sz w:val="16"/>
                <w:szCs w:val="16"/>
              </w:rPr>
            </w:pPr>
            <w:r w:rsidRPr="00F07060">
              <w:rPr>
                <w:b/>
                <w:bCs/>
                <w:color w:val="000000"/>
                <w:sz w:val="16"/>
                <w:szCs w:val="16"/>
              </w:rPr>
              <w:t>Favors the comparison</w:t>
            </w:r>
          </w:p>
        </w:tc>
        <w:tc>
          <w:tcPr>
            <w:tcW w:w="166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B24BC5D" w14:textId="77777777" w:rsidR="00982C89" w:rsidRPr="00F07060" w:rsidRDefault="00982C89" w:rsidP="00E350F6">
            <w:pPr>
              <w:rPr>
                <w:b/>
                <w:bCs/>
                <w:color w:val="000000"/>
                <w:sz w:val="16"/>
                <w:szCs w:val="16"/>
              </w:rPr>
            </w:pPr>
            <w:r w:rsidRPr="00F07060">
              <w:rPr>
                <w:b/>
                <w:bCs/>
                <w:color w:val="000000"/>
                <w:sz w:val="16"/>
                <w:szCs w:val="16"/>
              </w:rPr>
              <w:t>Probably favors the comparison</w:t>
            </w:r>
          </w:p>
        </w:tc>
        <w:tc>
          <w:tcPr>
            <w:tcW w:w="2072"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B5B0956" w14:textId="77777777" w:rsidR="00982C89" w:rsidRPr="00F07060" w:rsidRDefault="00982C89" w:rsidP="00E350F6">
            <w:pPr>
              <w:rPr>
                <w:b/>
                <w:bCs/>
                <w:color w:val="000000"/>
                <w:sz w:val="16"/>
                <w:szCs w:val="16"/>
              </w:rPr>
            </w:pPr>
            <w:r w:rsidRPr="00F07060">
              <w:rPr>
                <w:b/>
                <w:bCs/>
                <w:color w:val="000000"/>
                <w:sz w:val="16"/>
                <w:szCs w:val="16"/>
              </w:rPr>
              <w:t>Does not favor either the intervention or the comparison</w:t>
            </w:r>
          </w:p>
        </w:tc>
        <w:tc>
          <w:tcPr>
            <w:tcW w:w="1532"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4E820201" w14:textId="77777777" w:rsidR="00982C89" w:rsidRPr="00F07060" w:rsidRDefault="00982C89" w:rsidP="00E350F6">
            <w:pPr>
              <w:rPr>
                <w:b/>
                <w:bCs/>
                <w:color w:val="000000"/>
                <w:sz w:val="16"/>
                <w:szCs w:val="16"/>
              </w:rPr>
            </w:pPr>
            <w:r w:rsidRPr="00F07060">
              <w:rPr>
                <w:b/>
                <w:bCs/>
                <w:color w:val="000000"/>
                <w:sz w:val="16"/>
                <w:szCs w:val="16"/>
              </w:rPr>
              <w:t>Probably favors the intervention</w:t>
            </w:r>
          </w:p>
        </w:tc>
        <w:tc>
          <w:tcPr>
            <w:tcW w:w="1802"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4" w:type="dxa"/>
              <w:left w:w="74" w:type="dxa"/>
              <w:bottom w:w="74" w:type="dxa"/>
              <w:right w:w="74" w:type="dxa"/>
            </w:tcMar>
            <w:vAlign w:val="center"/>
            <w:hideMark/>
          </w:tcPr>
          <w:p w14:paraId="6C93D16D" w14:textId="77777777" w:rsidR="00982C89" w:rsidRPr="00F07060" w:rsidRDefault="00982C89" w:rsidP="00E350F6">
            <w:pPr>
              <w:rPr>
                <w:b/>
                <w:bCs/>
                <w:color w:val="000000"/>
                <w:sz w:val="16"/>
                <w:szCs w:val="16"/>
              </w:rPr>
            </w:pPr>
            <w:r w:rsidRPr="00F07060">
              <w:rPr>
                <w:b/>
                <w:bCs/>
                <w:color w:val="000000"/>
                <w:sz w:val="16"/>
                <w:szCs w:val="16"/>
              </w:rPr>
              <w:t>Favors the intervention</w:t>
            </w:r>
          </w:p>
        </w:tc>
        <w:tc>
          <w:tcPr>
            <w:tcW w:w="76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DD64678" w14:textId="77777777" w:rsidR="00982C89" w:rsidRPr="00F07060" w:rsidRDefault="00982C89" w:rsidP="00E350F6">
            <w:pPr>
              <w:rPr>
                <w:b/>
                <w:bCs/>
                <w:color w:val="000000"/>
                <w:sz w:val="16"/>
                <w:szCs w:val="16"/>
              </w:rPr>
            </w:pPr>
            <w:r w:rsidRPr="00F07060">
              <w:rPr>
                <w:b/>
                <w:bCs/>
                <w:color w:val="000000"/>
                <w:sz w:val="16"/>
                <w:szCs w:val="16"/>
              </w:rPr>
              <w:t>Varies</w:t>
            </w:r>
          </w:p>
        </w:tc>
        <w:tc>
          <w:tcPr>
            <w:tcW w:w="1842"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05A5DCF" w14:textId="77777777" w:rsidR="00982C89" w:rsidRPr="00F07060" w:rsidRDefault="00982C89" w:rsidP="00E350F6">
            <w:pPr>
              <w:rPr>
                <w:b/>
                <w:bCs/>
                <w:color w:val="000000"/>
                <w:sz w:val="16"/>
                <w:szCs w:val="16"/>
              </w:rPr>
            </w:pPr>
            <w:r w:rsidRPr="00F07060">
              <w:rPr>
                <w:b/>
                <w:bCs/>
                <w:color w:val="000000"/>
                <w:sz w:val="16"/>
                <w:szCs w:val="16"/>
              </w:rPr>
              <w:t>Don't know</w:t>
            </w:r>
          </w:p>
        </w:tc>
      </w:tr>
      <w:tr w:rsidR="00982C89" w:rsidRPr="00F07060" w14:paraId="381E3F28" w14:textId="77777777" w:rsidTr="005C0D59">
        <w:trPr>
          <w:trHeight w:val="132"/>
        </w:trPr>
        <w:tc>
          <w:tcPr>
            <w:tcW w:w="1661"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7C21EB68" w14:textId="77777777" w:rsidR="00982C89" w:rsidRPr="00F07060" w:rsidRDefault="00982C89" w:rsidP="00E350F6">
            <w:pPr>
              <w:rPr>
                <w:b/>
                <w:bCs/>
                <w:color w:val="000000"/>
                <w:sz w:val="16"/>
                <w:szCs w:val="16"/>
              </w:rPr>
            </w:pPr>
            <w:r w:rsidRPr="00F07060">
              <w:rPr>
                <w:b/>
                <w:bCs/>
                <w:color w:val="000000"/>
                <w:sz w:val="16"/>
                <w:szCs w:val="16"/>
              </w:rPr>
              <w:t>Resources required</w:t>
            </w:r>
          </w:p>
        </w:tc>
        <w:tc>
          <w:tcPr>
            <w:tcW w:w="1125"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C50F608" w14:textId="77777777" w:rsidR="00982C89" w:rsidRPr="00F07060" w:rsidRDefault="00982C89" w:rsidP="00E350F6">
            <w:pPr>
              <w:rPr>
                <w:b/>
                <w:bCs/>
                <w:color w:val="000000"/>
                <w:sz w:val="16"/>
                <w:szCs w:val="16"/>
              </w:rPr>
            </w:pPr>
            <w:r w:rsidRPr="00F07060">
              <w:rPr>
                <w:b/>
                <w:bCs/>
                <w:color w:val="000000"/>
                <w:sz w:val="16"/>
                <w:szCs w:val="16"/>
              </w:rPr>
              <w:t>Large costs</w:t>
            </w:r>
          </w:p>
        </w:tc>
        <w:tc>
          <w:tcPr>
            <w:tcW w:w="1665"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8FB777D" w14:textId="77777777" w:rsidR="00982C89" w:rsidRPr="00F07060" w:rsidRDefault="00982C89" w:rsidP="00E350F6">
            <w:pPr>
              <w:rPr>
                <w:b/>
                <w:bCs/>
                <w:color w:val="000000"/>
                <w:sz w:val="16"/>
                <w:szCs w:val="16"/>
              </w:rPr>
            </w:pPr>
            <w:r w:rsidRPr="00F07060">
              <w:rPr>
                <w:b/>
                <w:bCs/>
                <w:color w:val="000000"/>
                <w:sz w:val="16"/>
                <w:szCs w:val="16"/>
              </w:rPr>
              <w:t>Moderate costs</w:t>
            </w:r>
          </w:p>
        </w:tc>
        <w:tc>
          <w:tcPr>
            <w:tcW w:w="2072"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2239D13" w14:textId="77777777" w:rsidR="00982C89" w:rsidRPr="00F07060" w:rsidRDefault="00982C89" w:rsidP="00E350F6">
            <w:pPr>
              <w:rPr>
                <w:b/>
                <w:bCs/>
                <w:color w:val="000000"/>
                <w:sz w:val="16"/>
                <w:szCs w:val="16"/>
              </w:rPr>
            </w:pPr>
            <w:r w:rsidRPr="00F07060">
              <w:rPr>
                <w:b/>
                <w:bCs/>
                <w:color w:val="000000"/>
                <w:sz w:val="16"/>
                <w:szCs w:val="16"/>
              </w:rPr>
              <w:t>Negligible costs and savings</w:t>
            </w:r>
          </w:p>
        </w:tc>
        <w:tc>
          <w:tcPr>
            <w:tcW w:w="1532"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B4DB141" w14:textId="77777777" w:rsidR="00982C89" w:rsidRPr="00F07060" w:rsidRDefault="00982C89" w:rsidP="00E350F6">
            <w:pPr>
              <w:rPr>
                <w:b/>
                <w:bCs/>
                <w:color w:val="000000"/>
                <w:sz w:val="16"/>
                <w:szCs w:val="16"/>
              </w:rPr>
            </w:pPr>
            <w:r w:rsidRPr="00F07060">
              <w:rPr>
                <w:b/>
                <w:bCs/>
                <w:color w:val="000000"/>
                <w:sz w:val="16"/>
                <w:szCs w:val="16"/>
              </w:rPr>
              <w:t>Moderate savings</w:t>
            </w:r>
          </w:p>
        </w:tc>
        <w:tc>
          <w:tcPr>
            <w:tcW w:w="1802"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E95CBCE" w14:textId="77777777" w:rsidR="00982C89" w:rsidRPr="00F07060" w:rsidRDefault="00982C89" w:rsidP="00E350F6">
            <w:pPr>
              <w:rPr>
                <w:b/>
                <w:bCs/>
                <w:color w:val="000000"/>
                <w:sz w:val="16"/>
                <w:szCs w:val="16"/>
              </w:rPr>
            </w:pPr>
            <w:r w:rsidRPr="00F07060">
              <w:rPr>
                <w:b/>
                <w:bCs/>
                <w:color w:val="000000"/>
                <w:sz w:val="16"/>
                <w:szCs w:val="16"/>
              </w:rPr>
              <w:t>Large savings</w:t>
            </w:r>
          </w:p>
        </w:tc>
        <w:tc>
          <w:tcPr>
            <w:tcW w:w="765"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23B8525D" w14:textId="77777777" w:rsidR="00982C89" w:rsidRPr="00F07060" w:rsidRDefault="00982C89" w:rsidP="00E350F6">
            <w:pPr>
              <w:rPr>
                <w:b/>
                <w:bCs/>
                <w:color w:val="000000"/>
                <w:sz w:val="16"/>
                <w:szCs w:val="16"/>
              </w:rPr>
            </w:pPr>
            <w:r w:rsidRPr="00F07060">
              <w:rPr>
                <w:b/>
                <w:bCs/>
                <w:color w:val="000000"/>
                <w:sz w:val="16"/>
                <w:szCs w:val="16"/>
              </w:rPr>
              <w:t>Varies</w:t>
            </w:r>
          </w:p>
        </w:tc>
        <w:tc>
          <w:tcPr>
            <w:tcW w:w="1842"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13C79EC" w14:textId="77777777" w:rsidR="00982C89" w:rsidRPr="00F07060" w:rsidRDefault="00982C89" w:rsidP="00E350F6">
            <w:pPr>
              <w:rPr>
                <w:b/>
                <w:bCs/>
                <w:color w:val="000000"/>
                <w:sz w:val="16"/>
                <w:szCs w:val="16"/>
              </w:rPr>
            </w:pPr>
            <w:r w:rsidRPr="00F07060">
              <w:rPr>
                <w:b/>
                <w:bCs/>
                <w:color w:val="000000"/>
                <w:sz w:val="16"/>
                <w:szCs w:val="16"/>
              </w:rPr>
              <w:t>Don't know</w:t>
            </w:r>
          </w:p>
        </w:tc>
      </w:tr>
      <w:tr w:rsidR="00982C89" w:rsidRPr="00F07060" w14:paraId="5E56F377" w14:textId="77777777" w:rsidTr="005C0D59">
        <w:trPr>
          <w:trHeight w:val="19"/>
        </w:trPr>
        <w:tc>
          <w:tcPr>
            <w:tcW w:w="1661"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7B69B513" w14:textId="77777777" w:rsidR="00982C89" w:rsidRPr="00F07060" w:rsidRDefault="00982C89" w:rsidP="00E350F6">
            <w:pPr>
              <w:rPr>
                <w:b/>
                <w:bCs/>
                <w:color w:val="000000"/>
                <w:sz w:val="16"/>
                <w:szCs w:val="16"/>
              </w:rPr>
            </w:pPr>
            <w:r w:rsidRPr="00F07060">
              <w:rPr>
                <w:b/>
                <w:bCs/>
                <w:color w:val="000000"/>
                <w:sz w:val="16"/>
                <w:szCs w:val="16"/>
              </w:rPr>
              <w:t>Certainty of evidence of required resources</w:t>
            </w:r>
          </w:p>
        </w:tc>
        <w:tc>
          <w:tcPr>
            <w:tcW w:w="112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154880D" w14:textId="77777777" w:rsidR="00982C89" w:rsidRPr="00F07060" w:rsidRDefault="00982C89" w:rsidP="00E350F6">
            <w:pPr>
              <w:rPr>
                <w:b/>
                <w:bCs/>
                <w:color w:val="000000"/>
                <w:sz w:val="16"/>
                <w:szCs w:val="16"/>
              </w:rPr>
            </w:pPr>
            <w:r w:rsidRPr="00F07060">
              <w:rPr>
                <w:b/>
                <w:bCs/>
                <w:color w:val="000000"/>
                <w:sz w:val="16"/>
                <w:szCs w:val="16"/>
              </w:rPr>
              <w:t>Very low</w:t>
            </w:r>
          </w:p>
        </w:tc>
        <w:tc>
          <w:tcPr>
            <w:tcW w:w="166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2F40ECC" w14:textId="77777777" w:rsidR="00982C89" w:rsidRPr="00F07060" w:rsidRDefault="00982C89" w:rsidP="00E350F6">
            <w:pPr>
              <w:rPr>
                <w:b/>
                <w:bCs/>
                <w:color w:val="000000"/>
                <w:sz w:val="16"/>
                <w:szCs w:val="16"/>
              </w:rPr>
            </w:pPr>
            <w:r w:rsidRPr="00F07060">
              <w:rPr>
                <w:b/>
                <w:bCs/>
                <w:color w:val="000000"/>
                <w:sz w:val="16"/>
                <w:szCs w:val="16"/>
              </w:rPr>
              <w:t>Low</w:t>
            </w:r>
          </w:p>
        </w:tc>
        <w:tc>
          <w:tcPr>
            <w:tcW w:w="2072"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7E88B2B" w14:textId="77777777" w:rsidR="00982C89" w:rsidRPr="00F07060" w:rsidRDefault="00982C89" w:rsidP="00E350F6">
            <w:pPr>
              <w:rPr>
                <w:b/>
                <w:bCs/>
                <w:color w:val="000000"/>
                <w:sz w:val="16"/>
                <w:szCs w:val="16"/>
              </w:rPr>
            </w:pPr>
            <w:r w:rsidRPr="00F07060">
              <w:rPr>
                <w:b/>
                <w:bCs/>
                <w:color w:val="000000"/>
                <w:sz w:val="16"/>
                <w:szCs w:val="16"/>
              </w:rPr>
              <w:t>Moderate</w:t>
            </w:r>
          </w:p>
        </w:tc>
        <w:tc>
          <w:tcPr>
            <w:tcW w:w="1532"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F2FA90B" w14:textId="77777777" w:rsidR="00982C89" w:rsidRPr="00F07060" w:rsidRDefault="00982C89" w:rsidP="00E350F6">
            <w:pPr>
              <w:rPr>
                <w:b/>
                <w:bCs/>
                <w:color w:val="000000"/>
                <w:sz w:val="16"/>
                <w:szCs w:val="16"/>
              </w:rPr>
            </w:pPr>
            <w:r w:rsidRPr="00F07060">
              <w:rPr>
                <w:b/>
                <w:bCs/>
                <w:color w:val="000000"/>
                <w:sz w:val="16"/>
                <w:szCs w:val="16"/>
              </w:rPr>
              <w:t>High</w:t>
            </w:r>
          </w:p>
        </w:tc>
        <w:tc>
          <w:tcPr>
            <w:tcW w:w="1802"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274DC39" w14:textId="77777777" w:rsidR="00982C89" w:rsidRPr="00F07060" w:rsidRDefault="00982C89" w:rsidP="00E350F6">
            <w:pPr>
              <w:rPr>
                <w:b/>
                <w:bCs/>
                <w:color w:val="000000"/>
                <w:sz w:val="16"/>
                <w:szCs w:val="16"/>
              </w:rPr>
            </w:pPr>
          </w:p>
        </w:tc>
        <w:tc>
          <w:tcPr>
            <w:tcW w:w="76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8312649" w14:textId="77777777" w:rsidR="00982C89" w:rsidRPr="00F07060" w:rsidRDefault="00982C89" w:rsidP="00E350F6">
            <w:pPr>
              <w:rPr>
                <w:b/>
                <w:bCs/>
                <w:color w:val="000000"/>
                <w:sz w:val="16"/>
                <w:szCs w:val="16"/>
              </w:rPr>
            </w:pPr>
          </w:p>
        </w:tc>
        <w:tc>
          <w:tcPr>
            <w:tcW w:w="1842"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7096A579" w14:textId="77777777" w:rsidR="00982C89" w:rsidRPr="00F07060" w:rsidRDefault="00982C89" w:rsidP="00E350F6">
            <w:pPr>
              <w:rPr>
                <w:b/>
                <w:bCs/>
                <w:color w:val="000000"/>
                <w:sz w:val="16"/>
                <w:szCs w:val="16"/>
              </w:rPr>
            </w:pPr>
            <w:r w:rsidRPr="00F07060">
              <w:rPr>
                <w:b/>
                <w:bCs/>
                <w:color w:val="000000"/>
                <w:sz w:val="16"/>
                <w:szCs w:val="16"/>
              </w:rPr>
              <w:t>No included studies</w:t>
            </w:r>
          </w:p>
        </w:tc>
      </w:tr>
      <w:tr w:rsidR="00982C89" w:rsidRPr="00F07060" w14:paraId="60E3FE60" w14:textId="77777777" w:rsidTr="005C0D59">
        <w:trPr>
          <w:trHeight w:val="244"/>
        </w:trPr>
        <w:tc>
          <w:tcPr>
            <w:tcW w:w="1661"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48C6F445" w14:textId="77777777" w:rsidR="00982C89" w:rsidRPr="00F07060" w:rsidRDefault="00982C89" w:rsidP="00E350F6">
            <w:pPr>
              <w:rPr>
                <w:b/>
                <w:bCs/>
                <w:color w:val="000000"/>
                <w:sz w:val="16"/>
                <w:szCs w:val="16"/>
              </w:rPr>
            </w:pPr>
            <w:r w:rsidRPr="00F07060">
              <w:rPr>
                <w:b/>
                <w:bCs/>
                <w:color w:val="000000"/>
                <w:sz w:val="16"/>
                <w:szCs w:val="16"/>
              </w:rPr>
              <w:lastRenderedPageBreak/>
              <w:t>Cost effectiveness</w:t>
            </w:r>
          </w:p>
        </w:tc>
        <w:tc>
          <w:tcPr>
            <w:tcW w:w="1125"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395E551" w14:textId="77777777" w:rsidR="00982C89" w:rsidRPr="00F07060" w:rsidRDefault="00982C89" w:rsidP="00E350F6">
            <w:pPr>
              <w:rPr>
                <w:b/>
                <w:bCs/>
                <w:color w:val="000000"/>
                <w:sz w:val="16"/>
                <w:szCs w:val="16"/>
              </w:rPr>
            </w:pPr>
            <w:r w:rsidRPr="00F07060">
              <w:rPr>
                <w:b/>
                <w:bCs/>
                <w:color w:val="000000"/>
                <w:sz w:val="16"/>
                <w:szCs w:val="16"/>
              </w:rPr>
              <w:t>Favors the comparison</w:t>
            </w:r>
          </w:p>
        </w:tc>
        <w:tc>
          <w:tcPr>
            <w:tcW w:w="1665"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88B1DA1" w14:textId="77777777" w:rsidR="00982C89" w:rsidRPr="00F07060" w:rsidRDefault="00982C89" w:rsidP="00E350F6">
            <w:pPr>
              <w:rPr>
                <w:b/>
                <w:bCs/>
                <w:color w:val="000000"/>
                <w:sz w:val="16"/>
                <w:szCs w:val="16"/>
              </w:rPr>
            </w:pPr>
            <w:r w:rsidRPr="00F07060">
              <w:rPr>
                <w:b/>
                <w:bCs/>
                <w:color w:val="000000"/>
                <w:sz w:val="16"/>
                <w:szCs w:val="16"/>
              </w:rPr>
              <w:t>Probably favors the comparison</w:t>
            </w:r>
          </w:p>
        </w:tc>
        <w:tc>
          <w:tcPr>
            <w:tcW w:w="2072"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BFC9517" w14:textId="77777777" w:rsidR="00982C89" w:rsidRPr="00F07060" w:rsidRDefault="00982C89" w:rsidP="00E350F6">
            <w:pPr>
              <w:rPr>
                <w:b/>
                <w:bCs/>
                <w:color w:val="000000"/>
                <w:sz w:val="16"/>
                <w:szCs w:val="16"/>
              </w:rPr>
            </w:pPr>
            <w:r w:rsidRPr="00F07060">
              <w:rPr>
                <w:b/>
                <w:bCs/>
                <w:color w:val="000000"/>
                <w:sz w:val="16"/>
                <w:szCs w:val="16"/>
              </w:rPr>
              <w:t>Does not favor either the intervention or the comparison</w:t>
            </w:r>
          </w:p>
        </w:tc>
        <w:tc>
          <w:tcPr>
            <w:tcW w:w="1532" w:type="dxa"/>
            <w:tcBorders>
              <w:top w:val="single" w:sz="8" w:space="0" w:color="FFFFFF"/>
              <w:left w:val="single" w:sz="8" w:space="0" w:color="FFFFFF"/>
              <w:bottom w:val="single" w:sz="8" w:space="0" w:color="FFFFFF"/>
              <w:right w:val="single" w:sz="8" w:space="0" w:color="FFFFFF"/>
            </w:tcBorders>
            <w:shd w:val="clear" w:color="auto" w:fill="D6DCE5"/>
            <w:tcMar>
              <w:top w:w="74" w:type="dxa"/>
              <w:left w:w="74" w:type="dxa"/>
              <w:bottom w:w="74" w:type="dxa"/>
              <w:right w:w="74" w:type="dxa"/>
            </w:tcMar>
            <w:vAlign w:val="center"/>
            <w:hideMark/>
          </w:tcPr>
          <w:p w14:paraId="73F04089" w14:textId="77777777" w:rsidR="00982C89" w:rsidRPr="00F07060" w:rsidRDefault="00982C89" w:rsidP="00E350F6">
            <w:pPr>
              <w:rPr>
                <w:b/>
                <w:bCs/>
                <w:color w:val="000000"/>
                <w:sz w:val="16"/>
                <w:szCs w:val="16"/>
              </w:rPr>
            </w:pPr>
            <w:r w:rsidRPr="00F07060">
              <w:rPr>
                <w:b/>
                <w:bCs/>
                <w:color w:val="000000"/>
                <w:sz w:val="16"/>
                <w:szCs w:val="16"/>
              </w:rPr>
              <w:t>Probably favors the intervention</w:t>
            </w:r>
          </w:p>
        </w:tc>
        <w:tc>
          <w:tcPr>
            <w:tcW w:w="1802"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2E8B5EA" w14:textId="77777777" w:rsidR="00982C89" w:rsidRPr="00F07060" w:rsidRDefault="00982C89" w:rsidP="00E350F6">
            <w:pPr>
              <w:rPr>
                <w:b/>
                <w:bCs/>
                <w:color w:val="000000"/>
                <w:sz w:val="16"/>
                <w:szCs w:val="16"/>
              </w:rPr>
            </w:pPr>
            <w:r w:rsidRPr="00F07060">
              <w:rPr>
                <w:b/>
                <w:bCs/>
                <w:color w:val="000000"/>
                <w:sz w:val="16"/>
                <w:szCs w:val="16"/>
              </w:rPr>
              <w:t>Favors the intervention</w:t>
            </w:r>
          </w:p>
        </w:tc>
        <w:tc>
          <w:tcPr>
            <w:tcW w:w="765"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497AC73" w14:textId="77777777" w:rsidR="00982C89" w:rsidRPr="00F07060" w:rsidRDefault="00982C89" w:rsidP="00E350F6">
            <w:pPr>
              <w:rPr>
                <w:b/>
                <w:bCs/>
                <w:color w:val="000000"/>
                <w:sz w:val="16"/>
                <w:szCs w:val="16"/>
              </w:rPr>
            </w:pPr>
            <w:r w:rsidRPr="00F07060">
              <w:rPr>
                <w:b/>
                <w:bCs/>
                <w:color w:val="000000"/>
                <w:sz w:val="16"/>
                <w:szCs w:val="16"/>
              </w:rPr>
              <w:t>Varies</w:t>
            </w:r>
          </w:p>
        </w:tc>
        <w:tc>
          <w:tcPr>
            <w:tcW w:w="1842"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19BF7479" w14:textId="77777777" w:rsidR="00982C89" w:rsidRPr="00F07060" w:rsidRDefault="00982C89" w:rsidP="00E350F6">
            <w:pPr>
              <w:rPr>
                <w:b/>
                <w:bCs/>
                <w:color w:val="000000"/>
                <w:sz w:val="16"/>
                <w:szCs w:val="16"/>
              </w:rPr>
            </w:pPr>
            <w:r w:rsidRPr="00F07060">
              <w:rPr>
                <w:b/>
                <w:bCs/>
                <w:color w:val="000000"/>
                <w:sz w:val="16"/>
                <w:szCs w:val="16"/>
              </w:rPr>
              <w:t>No included studies</w:t>
            </w:r>
          </w:p>
        </w:tc>
      </w:tr>
      <w:tr w:rsidR="00982C89" w:rsidRPr="00F07060" w14:paraId="34F82C74" w14:textId="77777777" w:rsidTr="005C0D59">
        <w:trPr>
          <w:trHeight w:val="19"/>
        </w:trPr>
        <w:tc>
          <w:tcPr>
            <w:tcW w:w="1661"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25A2A076" w14:textId="77777777" w:rsidR="00982C89" w:rsidRPr="00F07060" w:rsidRDefault="00982C89" w:rsidP="00E350F6">
            <w:pPr>
              <w:rPr>
                <w:b/>
                <w:bCs/>
                <w:color w:val="000000"/>
                <w:sz w:val="16"/>
                <w:szCs w:val="16"/>
              </w:rPr>
            </w:pPr>
            <w:r w:rsidRPr="00F07060">
              <w:rPr>
                <w:b/>
                <w:bCs/>
                <w:color w:val="000000"/>
                <w:sz w:val="16"/>
                <w:szCs w:val="16"/>
              </w:rPr>
              <w:t>Equity</w:t>
            </w:r>
          </w:p>
        </w:tc>
        <w:tc>
          <w:tcPr>
            <w:tcW w:w="112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AF2A4CF" w14:textId="77777777" w:rsidR="00982C89" w:rsidRPr="00F07060" w:rsidRDefault="00982C89" w:rsidP="00E350F6">
            <w:pPr>
              <w:rPr>
                <w:b/>
                <w:bCs/>
                <w:color w:val="000000"/>
                <w:sz w:val="16"/>
                <w:szCs w:val="16"/>
              </w:rPr>
            </w:pPr>
            <w:r w:rsidRPr="00F07060">
              <w:rPr>
                <w:b/>
                <w:bCs/>
                <w:color w:val="000000"/>
                <w:sz w:val="16"/>
                <w:szCs w:val="16"/>
              </w:rPr>
              <w:t>Reduced</w:t>
            </w:r>
          </w:p>
        </w:tc>
        <w:tc>
          <w:tcPr>
            <w:tcW w:w="166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9A98026" w14:textId="77777777" w:rsidR="00982C89" w:rsidRPr="00F07060" w:rsidRDefault="00982C89" w:rsidP="00E350F6">
            <w:pPr>
              <w:rPr>
                <w:b/>
                <w:bCs/>
                <w:color w:val="000000"/>
                <w:sz w:val="16"/>
                <w:szCs w:val="16"/>
              </w:rPr>
            </w:pPr>
            <w:r w:rsidRPr="00F07060">
              <w:rPr>
                <w:b/>
                <w:bCs/>
                <w:color w:val="000000"/>
                <w:sz w:val="16"/>
                <w:szCs w:val="16"/>
              </w:rPr>
              <w:t>Probably reduced</w:t>
            </w:r>
          </w:p>
        </w:tc>
        <w:tc>
          <w:tcPr>
            <w:tcW w:w="2072"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6A621D2" w14:textId="77777777" w:rsidR="00982C89" w:rsidRPr="00F07060" w:rsidRDefault="00982C89" w:rsidP="00E350F6">
            <w:pPr>
              <w:rPr>
                <w:b/>
                <w:bCs/>
                <w:color w:val="000000"/>
                <w:sz w:val="16"/>
                <w:szCs w:val="16"/>
              </w:rPr>
            </w:pPr>
            <w:r w:rsidRPr="00F07060">
              <w:rPr>
                <w:b/>
                <w:bCs/>
                <w:color w:val="000000"/>
                <w:sz w:val="16"/>
                <w:szCs w:val="16"/>
              </w:rPr>
              <w:t>Probably no impact</w:t>
            </w:r>
          </w:p>
        </w:tc>
        <w:tc>
          <w:tcPr>
            <w:tcW w:w="1532"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E6C6468" w14:textId="77777777" w:rsidR="00982C89" w:rsidRPr="00F07060" w:rsidRDefault="00982C89" w:rsidP="00E350F6">
            <w:pPr>
              <w:rPr>
                <w:b/>
                <w:bCs/>
                <w:color w:val="000000"/>
                <w:sz w:val="16"/>
                <w:szCs w:val="16"/>
              </w:rPr>
            </w:pPr>
            <w:r w:rsidRPr="00F07060">
              <w:rPr>
                <w:b/>
                <w:bCs/>
                <w:color w:val="000000"/>
                <w:sz w:val="16"/>
                <w:szCs w:val="16"/>
              </w:rPr>
              <w:t>Probably increased</w:t>
            </w:r>
          </w:p>
        </w:tc>
        <w:tc>
          <w:tcPr>
            <w:tcW w:w="1802"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F54D201" w14:textId="77777777" w:rsidR="00982C89" w:rsidRPr="00F07060" w:rsidRDefault="00982C89" w:rsidP="00E350F6">
            <w:pPr>
              <w:rPr>
                <w:b/>
                <w:bCs/>
                <w:color w:val="000000"/>
                <w:sz w:val="16"/>
                <w:szCs w:val="16"/>
              </w:rPr>
            </w:pPr>
            <w:r w:rsidRPr="00F07060">
              <w:rPr>
                <w:b/>
                <w:bCs/>
                <w:color w:val="000000"/>
                <w:sz w:val="16"/>
                <w:szCs w:val="16"/>
              </w:rPr>
              <w:t>Increased</w:t>
            </w:r>
          </w:p>
        </w:tc>
        <w:tc>
          <w:tcPr>
            <w:tcW w:w="76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409639A" w14:textId="77777777" w:rsidR="00982C89" w:rsidRPr="00F07060" w:rsidRDefault="00982C89" w:rsidP="00E350F6">
            <w:pPr>
              <w:rPr>
                <w:b/>
                <w:bCs/>
                <w:color w:val="000000"/>
                <w:sz w:val="16"/>
                <w:szCs w:val="16"/>
              </w:rPr>
            </w:pPr>
            <w:r w:rsidRPr="00F07060">
              <w:rPr>
                <w:b/>
                <w:bCs/>
                <w:color w:val="000000"/>
                <w:sz w:val="16"/>
                <w:szCs w:val="16"/>
              </w:rPr>
              <w:t>Varies</w:t>
            </w:r>
          </w:p>
        </w:tc>
        <w:tc>
          <w:tcPr>
            <w:tcW w:w="1842"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273EF2DF" w14:textId="77777777" w:rsidR="00982C89" w:rsidRPr="00F07060" w:rsidRDefault="00982C89" w:rsidP="00E350F6">
            <w:pPr>
              <w:rPr>
                <w:b/>
                <w:bCs/>
                <w:color w:val="000000"/>
                <w:sz w:val="16"/>
                <w:szCs w:val="16"/>
              </w:rPr>
            </w:pPr>
            <w:r w:rsidRPr="00F07060">
              <w:rPr>
                <w:b/>
                <w:bCs/>
                <w:color w:val="000000"/>
                <w:sz w:val="16"/>
                <w:szCs w:val="16"/>
              </w:rPr>
              <w:t>Don't know</w:t>
            </w:r>
          </w:p>
        </w:tc>
      </w:tr>
      <w:tr w:rsidR="00982C89" w:rsidRPr="00F07060" w14:paraId="1C8315E9" w14:textId="77777777" w:rsidTr="005C0D59">
        <w:trPr>
          <w:trHeight w:val="19"/>
        </w:trPr>
        <w:tc>
          <w:tcPr>
            <w:tcW w:w="1661"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2FCE3702" w14:textId="77777777" w:rsidR="00982C89" w:rsidRPr="00F07060" w:rsidRDefault="00982C89" w:rsidP="00E350F6">
            <w:pPr>
              <w:rPr>
                <w:b/>
                <w:bCs/>
                <w:color w:val="000000"/>
                <w:sz w:val="16"/>
                <w:szCs w:val="16"/>
              </w:rPr>
            </w:pPr>
            <w:r w:rsidRPr="00F07060">
              <w:rPr>
                <w:b/>
                <w:bCs/>
                <w:color w:val="000000"/>
                <w:sz w:val="16"/>
                <w:szCs w:val="16"/>
              </w:rPr>
              <w:t>Acceptability</w:t>
            </w:r>
          </w:p>
        </w:tc>
        <w:tc>
          <w:tcPr>
            <w:tcW w:w="1125"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5210B8A" w14:textId="77777777" w:rsidR="00982C89" w:rsidRPr="00F07060" w:rsidRDefault="00982C89" w:rsidP="00E350F6">
            <w:pPr>
              <w:rPr>
                <w:b/>
                <w:bCs/>
                <w:color w:val="000000"/>
                <w:sz w:val="16"/>
                <w:szCs w:val="16"/>
              </w:rPr>
            </w:pPr>
            <w:r w:rsidRPr="00F07060">
              <w:rPr>
                <w:b/>
                <w:bCs/>
                <w:color w:val="000000"/>
                <w:sz w:val="16"/>
                <w:szCs w:val="16"/>
              </w:rPr>
              <w:t>No</w:t>
            </w:r>
          </w:p>
        </w:tc>
        <w:tc>
          <w:tcPr>
            <w:tcW w:w="1665"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FC46F5F" w14:textId="77777777" w:rsidR="00982C89" w:rsidRPr="00F07060" w:rsidRDefault="00982C89" w:rsidP="00E350F6">
            <w:pPr>
              <w:rPr>
                <w:b/>
                <w:bCs/>
                <w:color w:val="000000"/>
                <w:sz w:val="16"/>
                <w:szCs w:val="16"/>
              </w:rPr>
            </w:pPr>
            <w:r w:rsidRPr="00F07060">
              <w:rPr>
                <w:b/>
                <w:bCs/>
                <w:color w:val="000000"/>
                <w:sz w:val="16"/>
                <w:szCs w:val="16"/>
              </w:rPr>
              <w:t>Probably no</w:t>
            </w:r>
          </w:p>
        </w:tc>
        <w:tc>
          <w:tcPr>
            <w:tcW w:w="2072"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1DF158DE" w14:textId="77777777" w:rsidR="00982C89" w:rsidRPr="00F07060" w:rsidRDefault="00982C89" w:rsidP="00E350F6">
            <w:pPr>
              <w:rPr>
                <w:b/>
                <w:bCs/>
                <w:color w:val="000000"/>
                <w:sz w:val="16"/>
                <w:szCs w:val="16"/>
              </w:rPr>
            </w:pPr>
            <w:r w:rsidRPr="00F07060">
              <w:rPr>
                <w:b/>
                <w:bCs/>
                <w:color w:val="000000"/>
                <w:sz w:val="16"/>
                <w:szCs w:val="16"/>
              </w:rPr>
              <w:t>Probably yes</w:t>
            </w:r>
          </w:p>
        </w:tc>
        <w:tc>
          <w:tcPr>
            <w:tcW w:w="1532"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EEB0FD1" w14:textId="77777777" w:rsidR="00982C89" w:rsidRPr="00F07060" w:rsidRDefault="00982C89" w:rsidP="00E350F6">
            <w:pPr>
              <w:rPr>
                <w:b/>
                <w:bCs/>
                <w:color w:val="000000"/>
                <w:sz w:val="16"/>
                <w:szCs w:val="16"/>
              </w:rPr>
            </w:pPr>
            <w:r w:rsidRPr="00F07060">
              <w:rPr>
                <w:b/>
                <w:bCs/>
                <w:color w:val="000000"/>
                <w:sz w:val="16"/>
                <w:szCs w:val="16"/>
              </w:rPr>
              <w:t>Yes</w:t>
            </w:r>
          </w:p>
        </w:tc>
        <w:tc>
          <w:tcPr>
            <w:tcW w:w="1802"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ACAB698" w14:textId="77777777" w:rsidR="00982C89" w:rsidRPr="00F07060" w:rsidRDefault="00982C89" w:rsidP="00E350F6">
            <w:pPr>
              <w:rPr>
                <w:b/>
                <w:bCs/>
                <w:color w:val="000000"/>
                <w:sz w:val="16"/>
                <w:szCs w:val="16"/>
              </w:rPr>
            </w:pPr>
          </w:p>
        </w:tc>
        <w:tc>
          <w:tcPr>
            <w:tcW w:w="765"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DCBADC0" w14:textId="77777777" w:rsidR="00982C89" w:rsidRPr="00F07060" w:rsidRDefault="00982C89" w:rsidP="00E350F6">
            <w:pPr>
              <w:rPr>
                <w:b/>
                <w:bCs/>
                <w:color w:val="000000"/>
                <w:sz w:val="16"/>
                <w:szCs w:val="16"/>
              </w:rPr>
            </w:pPr>
            <w:r w:rsidRPr="00F07060">
              <w:rPr>
                <w:b/>
                <w:bCs/>
                <w:color w:val="000000"/>
                <w:sz w:val="16"/>
                <w:szCs w:val="16"/>
              </w:rPr>
              <w:t>Varies</w:t>
            </w:r>
          </w:p>
        </w:tc>
        <w:tc>
          <w:tcPr>
            <w:tcW w:w="1842"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9D571FF" w14:textId="77777777" w:rsidR="00982C89" w:rsidRPr="00F07060" w:rsidRDefault="00982C89" w:rsidP="00E350F6">
            <w:pPr>
              <w:rPr>
                <w:b/>
                <w:bCs/>
                <w:color w:val="000000"/>
                <w:sz w:val="16"/>
                <w:szCs w:val="16"/>
              </w:rPr>
            </w:pPr>
            <w:r w:rsidRPr="00F07060">
              <w:rPr>
                <w:b/>
                <w:bCs/>
                <w:color w:val="000000"/>
                <w:sz w:val="16"/>
                <w:szCs w:val="16"/>
              </w:rPr>
              <w:t>Don't know</w:t>
            </w:r>
          </w:p>
        </w:tc>
      </w:tr>
      <w:tr w:rsidR="00982C89" w:rsidRPr="00F07060" w14:paraId="57AD5D19" w14:textId="77777777" w:rsidTr="005C0D59">
        <w:trPr>
          <w:trHeight w:val="94"/>
        </w:trPr>
        <w:tc>
          <w:tcPr>
            <w:tcW w:w="1661"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6BEC500D" w14:textId="77777777" w:rsidR="00982C89" w:rsidRPr="00F07060" w:rsidRDefault="00982C89" w:rsidP="00E350F6">
            <w:pPr>
              <w:rPr>
                <w:b/>
                <w:bCs/>
                <w:color w:val="000000"/>
                <w:sz w:val="16"/>
                <w:szCs w:val="16"/>
              </w:rPr>
            </w:pPr>
            <w:r w:rsidRPr="00F07060">
              <w:rPr>
                <w:b/>
                <w:bCs/>
                <w:color w:val="000000"/>
                <w:sz w:val="16"/>
                <w:szCs w:val="16"/>
              </w:rPr>
              <w:t>Feasibility</w:t>
            </w:r>
          </w:p>
        </w:tc>
        <w:tc>
          <w:tcPr>
            <w:tcW w:w="112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3C7FCB4" w14:textId="77777777" w:rsidR="00982C89" w:rsidRPr="00F07060" w:rsidRDefault="00982C89" w:rsidP="00E350F6">
            <w:pPr>
              <w:rPr>
                <w:b/>
                <w:bCs/>
                <w:color w:val="000000"/>
                <w:sz w:val="16"/>
                <w:szCs w:val="16"/>
              </w:rPr>
            </w:pPr>
            <w:r w:rsidRPr="00F07060">
              <w:rPr>
                <w:b/>
                <w:bCs/>
                <w:color w:val="000000"/>
                <w:sz w:val="16"/>
                <w:szCs w:val="16"/>
              </w:rPr>
              <w:t>No</w:t>
            </w:r>
          </w:p>
        </w:tc>
        <w:tc>
          <w:tcPr>
            <w:tcW w:w="166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A367A82" w14:textId="77777777" w:rsidR="00982C89" w:rsidRPr="00F07060" w:rsidRDefault="00982C89" w:rsidP="00E350F6">
            <w:pPr>
              <w:rPr>
                <w:b/>
                <w:bCs/>
                <w:color w:val="000000"/>
                <w:sz w:val="16"/>
                <w:szCs w:val="16"/>
              </w:rPr>
            </w:pPr>
            <w:r w:rsidRPr="00F07060">
              <w:rPr>
                <w:b/>
                <w:bCs/>
                <w:color w:val="000000"/>
                <w:sz w:val="16"/>
                <w:szCs w:val="16"/>
              </w:rPr>
              <w:t>Probably no</w:t>
            </w:r>
          </w:p>
        </w:tc>
        <w:tc>
          <w:tcPr>
            <w:tcW w:w="2072"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67067D07" w14:textId="77777777" w:rsidR="00982C89" w:rsidRPr="00F07060" w:rsidRDefault="00982C89" w:rsidP="00E350F6">
            <w:pPr>
              <w:rPr>
                <w:b/>
                <w:bCs/>
                <w:color w:val="000000"/>
                <w:sz w:val="16"/>
                <w:szCs w:val="16"/>
              </w:rPr>
            </w:pPr>
            <w:r w:rsidRPr="00F07060">
              <w:rPr>
                <w:b/>
                <w:bCs/>
                <w:color w:val="000000"/>
                <w:sz w:val="16"/>
                <w:szCs w:val="16"/>
              </w:rPr>
              <w:t>Probably yes</w:t>
            </w:r>
          </w:p>
        </w:tc>
        <w:tc>
          <w:tcPr>
            <w:tcW w:w="1532"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EF77165" w14:textId="77777777" w:rsidR="00982C89" w:rsidRPr="00F07060" w:rsidRDefault="00982C89" w:rsidP="00E350F6">
            <w:pPr>
              <w:rPr>
                <w:b/>
                <w:bCs/>
                <w:color w:val="000000"/>
                <w:sz w:val="16"/>
                <w:szCs w:val="16"/>
              </w:rPr>
            </w:pPr>
            <w:r w:rsidRPr="00F07060">
              <w:rPr>
                <w:b/>
                <w:bCs/>
                <w:color w:val="000000"/>
                <w:sz w:val="16"/>
                <w:szCs w:val="16"/>
              </w:rPr>
              <w:t>Yes</w:t>
            </w:r>
          </w:p>
        </w:tc>
        <w:tc>
          <w:tcPr>
            <w:tcW w:w="1802"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5C6398E" w14:textId="77777777" w:rsidR="00982C89" w:rsidRPr="00F07060" w:rsidRDefault="00982C89" w:rsidP="00E350F6">
            <w:pPr>
              <w:rPr>
                <w:b/>
                <w:bCs/>
                <w:color w:val="000000"/>
                <w:sz w:val="16"/>
                <w:szCs w:val="16"/>
              </w:rPr>
            </w:pPr>
          </w:p>
        </w:tc>
        <w:tc>
          <w:tcPr>
            <w:tcW w:w="76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09B052E" w14:textId="77777777" w:rsidR="00982C89" w:rsidRPr="00F07060" w:rsidRDefault="00982C89" w:rsidP="00E350F6">
            <w:pPr>
              <w:rPr>
                <w:b/>
                <w:bCs/>
                <w:color w:val="000000"/>
                <w:sz w:val="16"/>
                <w:szCs w:val="16"/>
              </w:rPr>
            </w:pPr>
            <w:r w:rsidRPr="00F07060">
              <w:rPr>
                <w:b/>
                <w:bCs/>
                <w:color w:val="000000"/>
                <w:sz w:val="16"/>
                <w:szCs w:val="16"/>
              </w:rPr>
              <w:t>Varies</w:t>
            </w:r>
          </w:p>
        </w:tc>
        <w:tc>
          <w:tcPr>
            <w:tcW w:w="1842"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62294A5" w14:textId="77777777" w:rsidR="00982C89" w:rsidRPr="00F07060" w:rsidRDefault="00982C89" w:rsidP="00E350F6">
            <w:pPr>
              <w:rPr>
                <w:b/>
                <w:bCs/>
                <w:color w:val="000000"/>
                <w:sz w:val="16"/>
                <w:szCs w:val="16"/>
              </w:rPr>
            </w:pPr>
            <w:r w:rsidRPr="00F07060">
              <w:rPr>
                <w:b/>
                <w:bCs/>
                <w:color w:val="000000"/>
                <w:sz w:val="16"/>
                <w:szCs w:val="16"/>
              </w:rPr>
              <w:t>Don't know</w:t>
            </w:r>
          </w:p>
        </w:tc>
      </w:tr>
    </w:tbl>
    <w:p w14:paraId="30D97C26" w14:textId="77777777" w:rsidR="00982C89" w:rsidRPr="00A44FD1" w:rsidRDefault="00982C89" w:rsidP="00982C89">
      <w:pPr>
        <w:rPr>
          <w:b/>
          <w:bCs/>
          <w:color w:val="000000"/>
          <w:sz w:val="20"/>
          <w:szCs w:val="20"/>
          <w:lang w:val="en"/>
        </w:rPr>
      </w:pPr>
    </w:p>
    <w:p w14:paraId="717027EC" w14:textId="76B87920" w:rsidR="00DB51A1" w:rsidRDefault="00DB51A1" w:rsidP="00596BE0">
      <w:pPr>
        <w:jc w:val="both"/>
        <w:rPr>
          <w:rFonts w:ascii="Arial" w:hAnsi="Arial" w:cs="Arial"/>
          <w:color w:val="000000"/>
          <w:sz w:val="16"/>
          <w:szCs w:val="16"/>
        </w:rPr>
      </w:pPr>
    </w:p>
    <w:p w14:paraId="59C991AB" w14:textId="48214DF5" w:rsidR="00DB51A1" w:rsidRPr="00D5426A" w:rsidRDefault="00DB51A1" w:rsidP="00DB51A1">
      <w:pPr>
        <w:pStyle w:val="Heading2"/>
        <w:spacing w:after="120"/>
        <w:rPr>
          <w:rFonts w:ascii="Arial" w:hAnsi="Arial" w:cs="Arial"/>
          <w:b/>
          <w:color w:val="000000" w:themeColor="text1"/>
          <w:sz w:val="20"/>
          <w:szCs w:val="20"/>
        </w:rPr>
      </w:pPr>
      <w:r w:rsidRPr="00D5426A">
        <w:rPr>
          <w:rFonts w:ascii="Arial" w:hAnsi="Arial" w:cs="Arial"/>
          <w:b/>
          <w:color w:val="000000" w:themeColor="text1"/>
          <w:sz w:val="20"/>
          <w:szCs w:val="20"/>
        </w:rPr>
        <w:t xml:space="preserve">Table </w:t>
      </w:r>
      <w:r w:rsidR="00D5426A">
        <w:rPr>
          <w:rFonts w:ascii="Arial" w:hAnsi="Arial" w:cs="Arial"/>
          <w:b/>
          <w:color w:val="000000" w:themeColor="text1"/>
          <w:sz w:val="20"/>
          <w:szCs w:val="20"/>
        </w:rPr>
        <w:t>S26</w:t>
      </w:r>
      <w:r w:rsidRPr="00D5426A">
        <w:rPr>
          <w:rFonts w:ascii="Arial" w:hAnsi="Arial" w:cs="Arial"/>
          <w:b/>
          <w:color w:val="000000" w:themeColor="text1"/>
          <w:sz w:val="20"/>
          <w:szCs w:val="20"/>
        </w:rPr>
        <w:t xml:space="preserve"> Summary of </w:t>
      </w:r>
      <w:r w:rsidR="00D5426A">
        <w:rPr>
          <w:rFonts w:ascii="Arial" w:hAnsi="Arial" w:cs="Arial"/>
          <w:b/>
          <w:color w:val="000000" w:themeColor="text1"/>
          <w:sz w:val="20"/>
          <w:szCs w:val="20"/>
        </w:rPr>
        <w:t>finding</w:t>
      </w:r>
      <w:r w:rsidRPr="00D5426A">
        <w:rPr>
          <w:rFonts w:ascii="Arial" w:hAnsi="Arial" w:cs="Arial"/>
          <w:b/>
          <w:color w:val="000000" w:themeColor="text1"/>
          <w:sz w:val="20"/>
          <w:szCs w:val="20"/>
        </w:rPr>
        <w:t xml:space="preserve"> for </w:t>
      </w:r>
      <w:r w:rsidR="00D5426A">
        <w:rPr>
          <w:rFonts w:ascii="Arial" w:hAnsi="Arial" w:cs="Arial"/>
          <w:b/>
          <w:color w:val="000000" w:themeColor="text1"/>
          <w:sz w:val="20"/>
          <w:szCs w:val="20"/>
        </w:rPr>
        <w:t xml:space="preserve">dupilumab in severe </w:t>
      </w:r>
      <w:r w:rsidR="00111973">
        <w:rPr>
          <w:rFonts w:ascii="Arial" w:hAnsi="Arial" w:cs="Arial"/>
          <w:b/>
          <w:color w:val="000000" w:themeColor="text1"/>
          <w:sz w:val="20"/>
          <w:szCs w:val="20"/>
        </w:rPr>
        <w:t xml:space="preserve">T2 </w:t>
      </w:r>
      <w:r w:rsidR="00D5426A">
        <w:rPr>
          <w:rFonts w:ascii="Arial" w:hAnsi="Arial" w:cs="Arial"/>
          <w:b/>
          <w:color w:val="000000" w:themeColor="text1"/>
          <w:sz w:val="20"/>
          <w:szCs w:val="20"/>
        </w:rPr>
        <w:t>asthma</w:t>
      </w:r>
    </w:p>
    <w:tbl>
      <w:tblPr>
        <w:tblW w:w="0" w:type="auto"/>
        <w:tblCellMar>
          <w:top w:w="75" w:type="dxa"/>
          <w:left w:w="75" w:type="dxa"/>
          <w:bottom w:w="75" w:type="dxa"/>
          <w:right w:w="75" w:type="dxa"/>
        </w:tblCellMar>
        <w:tblLook w:val="04A0" w:firstRow="1" w:lastRow="0" w:firstColumn="1" w:lastColumn="0" w:noHBand="0" w:noVBand="1"/>
      </w:tblPr>
      <w:tblGrid>
        <w:gridCol w:w="3081"/>
        <w:gridCol w:w="3075"/>
        <w:gridCol w:w="1698"/>
        <w:gridCol w:w="1969"/>
        <w:gridCol w:w="1236"/>
        <w:gridCol w:w="2379"/>
      </w:tblGrid>
      <w:tr w:rsidR="00DB51A1" w:rsidRPr="00143FD5" w14:paraId="2C51DE77" w14:textId="77777777" w:rsidTr="00DB51A1">
        <w:trPr>
          <w:cantSplit/>
          <w:tblHeader/>
        </w:trPr>
        <w:tc>
          <w:tcPr>
            <w:tcW w:w="0" w:type="auto"/>
            <w:gridSpan w:val="6"/>
            <w:tcBorders>
              <w:top w:val="single" w:sz="6" w:space="0" w:color="000000"/>
              <w:left w:val="nil"/>
              <w:bottom w:val="single" w:sz="6" w:space="0" w:color="000000"/>
              <w:right w:val="nil"/>
            </w:tcBorders>
            <w:hideMark/>
          </w:tcPr>
          <w:p w14:paraId="24E62623" w14:textId="77777777" w:rsidR="00DB51A1" w:rsidRPr="00143FD5" w:rsidRDefault="00DB51A1" w:rsidP="002C76E7">
            <w:pPr>
              <w:pStyle w:val="Title1"/>
              <w:spacing w:before="0" w:beforeAutospacing="0" w:after="0" w:afterAutospacing="0" w:line="276" w:lineRule="auto"/>
              <w:rPr>
                <w:rFonts w:ascii="Arial" w:hAnsi="Arial" w:cs="Arial"/>
                <w:sz w:val="16"/>
                <w:szCs w:val="16"/>
              </w:rPr>
            </w:pPr>
            <w:r w:rsidRPr="00143FD5">
              <w:rPr>
                <w:rFonts w:ascii="Arial" w:hAnsi="Arial" w:cs="Arial"/>
                <w:b/>
                <w:bCs/>
                <w:sz w:val="16"/>
                <w:szCs w:val="16"/>
              </w:rPr>
              <w:t>Dupilumab compared to standard of care for asthma</w:t>
            </w:r>
          </w:p>
        </w:tc>
      </w:tr>
      <w:tr w:rsidR="00DB51A1" w:rsidRPr="00143FD5" w14:paraId="5FD9CEC6" w14:textId="77777777" w:rsidTr="00DB51A1">
        <w:trPr>
          <w:cantSplit/>
          <w:tblHeader/>
        </w:trPr>
        <w:tc>
          <w:tcPr>
            <w:tcW w:w="0" w:type="auto"/>
            <w:gridSpan w:val="6"/>
            <w:tcBorders>
              <w:top w:val="single" w:sz="6" w:space="0" w:color="000000"/>
              <w:left w:val="nil"/>
              <w:bottom w:val="single" w:sz="6" w:space="0" w:color="000000"/>
              <w:right w:val="nil"/>
            </w:tcBorders>
            <w:hideMark/>
          </w:tcPr>
          <w:p w14:paraId="5BD03539" w14:textId="77777777" w:rsidR="00DB51A1" w:rsidRPr="00143FD5" w:rsidRDefault="00DB51A1" w:rsidP="002C76E7">
            <w:pPr>
              <w:rPr>
                <w:rFonts w:ascii="Arial" w:hAnsi="Arial" w:cs="Arial"/>
                <w:b/>
                <w:bCs/>
                <w:sz w:val="16"/>
                <w:szCs w:val="16"/>
              </w:rPr>
            </w:pPr>
            <w:r>
              <w:rPr>
                <w:rFonts w:ascii="Arial" w:hAnsi="Arial" w:cs="Arial"/>
                <w:b/>
                <w:bCs/>
                <w:sz w:val="16"/>
                <w:szCs w:val="16"/>
              </w:rPr>
              <w:t>P</w:t>
            </w:r>
            <w:r w:rsidRPr="00143FD5">
              <w:rPr>
                <w:rFonts w:ascii="Arial" w:hAnsi="Arial" w:cs="Arial"/>
                <w:b/>
                <w:bCs/>
                <w:sz w:val="16"/>
                <w:szCs w:val="16"/>
              </w:rPr>
              <w:t xml:space="preserve">opulation: </w:t>
            </w:r>
            <w:r>
              <w:rPr>
                <w:rFonts w:ascii="Arial" w:hAnsi="Arial" w:cs="Arial"/>
                <w:bCs/>
                <w:sz w:val="16"/>
                <w:szCs w:val="16"/>
              </w:rPr>
              <w:t xml:space="preserve">patients with </w:t>
            </w:r>
            <w:r w:rsidRPr="00143FD5">
              <w:rPr>
                <w:rFonts w:ascii="Arial" w:hAnsi="Arial" w:cs="Arial"/>
                <w:bCs/>
                <w:sz w:val="16"/>
                <w:szCs w:val="16"/>
              </w:rPr>
              <w:t>severe</w:t>
            </w:r>
            <w:r w:rsidRPr="00143FD5">
              <w:rPr>
                <w:rFonts w:ascii="Arial" w:hAnsi="Arial" w:cs="Arial"/>
                <w:b/>
                <w:bCs/>
                <w:sz w:val="16"/>
                <w:szCs w:val="16"/>
              </w:rPr>
              <w:t xml:space="preserve"> </w:t>
            </w:r>
            <w:r w:rsidRPr="00143FD5">
              <w:rPr>
                <w:rFonts w:ascii="Arial" w:hAnsi="Arial" w:cs="Arial"/>
                <w:bCs/>
                <w:sz w:val="16"/>
                <w:szCs w:val="16"/>
              </w:rPr>
              <w:t>asthma</w:t>
            </w:r>
            <w:r>
              <w:rPr>
                <w:rFonts w:ascii="Arial" w:hAnsi="Arial" w:cs="Arial"/>
                <w:bCs/>
                <w:sz w:val="16"/>
                <w:szCs w:val="16"/>
              </w:rPr>
              <w:t xml:space="preserve"> uncontrolled under ICS/OSC and 1-2 additional controllers</w:t>
            </w:r>
          </w:p>
          <w:p w14:paraId="5D96BC2C" w14:textId="77777777" w:rsidR="00DB51A1" w:rsidRPr="00143FD5" w:rsidRDefault="00DB51A1" w:rsidP="002C76E7">
            <w:pPr>
              <w:rPr>
                <w:rFonts w:ascii="Arial" w:hAnsi="Arial" w:cs="Arial"/>
                <w:b/>
                <w:bCs/>
                <w:sz w:val="16"/>
                <w:szCs w:val="16"/>
              </w:rPr>
            </w:pPr>
            <w:r w:rsidRPr="00143FD5">
              <w:rPr>
                <w:rFonts w:ascii="Arial" w:hAnsi="Arial" w:cs="Arial"/>
                <w:b/>
                <w:bCs/>
                <w:sz w:val="16"/>
                <w:szCs w:val="16"/>
              </w:rPr>
              <w:t xml:space="preserve">Intervention: </w:t>
            </w:r>
            <w:r w:rsidRPr="00143FD5">
              <w:rPr>
                <w:rFonts w:ascii="Arial" w:hAnsi="Arial" w:cs="Arial"/>
                <w:bCs/>
                <w:sz w:val="16"/>
                <w:szCs w:val="16"/>
              </w:rPr>
              <w:t>dupilumab</w:t>
            </w:r>
          </w:p>
          <w:p w14:paraId="7ABDD679" w14:textId="77777777" w:rsidR="00DB51A1" w:rsidRPr="00143FD5" w:rsidRDefault="00DB51A1" w:rsidP="002C76E7">
            <w:pPr>
              <w:rPr>
                <w:rFonts w:ascii="Arial" w:hAnsi="Arial" w:cs="Arial"/>
                <w:sz w:val="16"/>
                <w:szCs w:val="16"/>
              </w:rPr>
            </w:pPr>
            <w:r w:rsidRPr="00143FD5">
              <w:rPr>
                <w:rFonts w:ascii="Arial" w:hAnsi="Arial" w:cs="Arial"/>
                <w:b/>
                <w:bCs/>
                <w:sz w:val="16"/>
                <w:szCs w:val="16"/>
              </w:rPr>
              <w:t xml:space="preserve">Comparison: </w:t>
            </w:r>
            <w:r w:rsidRPr="00143FD5">
              <w:rPr>
                <w:rFonts w:ascii="Arial" w:hAnsi="Arial" w:cs="Arial"/>
                <w:bCs/>
                <w:sz w:val="16"/>
                <w:szCs w:val="16"/>
              </w:rPr>
              <w:t>standard of care</w:t>
            </w:r>
          </w:p>
        </w:tc>
      </w:tr>
      <w:tr w:rsidR="00DB51A1" w:rsidRPr="00143FD5" w14:paraId="6D205B65" w14:textId="77777777" w:rsidTr="00DB51A1">
        <w:trPr>
          <w:cantSplit/>
          <w:tblHeader/>
        </w:trPr>
        <w:tc>
          <w:tcPr>
            <w:tcW w:w="0" w:type="auto"/>
            <w:vMerge w:val="restart"/>
            <w:tcBorders>
              <w:top w:val="single" w:sz="12" w:space="0" w:color="000000"/>
              <w:left w:val="nil"/>
              <w:bottom w:val="single" w:sz="6" w:space="0" w:color="000000"/>
              <w:right w:val="nil"/>
            </w:tcBorders>
            <w:shd w:val="clear" w:color="auto" w:fill="3271AA"/>
            <w:vAlign w:val="center"/>
            <w:hideMark/>
          </w:tcPr>
          <w:p w14:paraId="41DE74A5" w14:textId="77777777" w:rsidR="00DB51A1" w:rsidRPr="00143FD5" w:rsidRDefault="00DB51A1" w:rsidP="002C76E7">
            <w:pPr>
              <w:pStyle w:val="NormalWeb"/>
              <w:spacing w:before="0" w:beforeAutospacing="0" w:after="0" w:afterAutospacing="0" w:line="276" w:lineRule="auto"/>
              <w:jc w:val="center"/>
              <w:rPr>
                <w:rFonts w:ascii="Arial" w:hAnsi="Arial" w:cs="Arial"/>
                <w:b/>
                <w:bCs/>
                <w:color w:val="FFFFFF"/>
                <w:sz w:val="16"/>
                <w:szCs w:val="16"/>
              </w:rPr>
            </w:pPr>
            <w:r w:rsidRPr="00143FD5">
              <w:rPr>
                <w:rFonts w:ascii="Arial" w:hAnsi="Arial" w:cs="Arial"/>
                <w:b/>
                <w:bCs/>
                <w:color w:val="FFFFFF"/>
                <w:sz w:val="16"/>
                <w:szCs w:val="16"/>
              </w:rPr>
              <w:t>Outcomes</w:t>
            </w:r>
          </w:p>
        </w:tc>
        <w:tc>
          <w:tcPr>
            <w:tcW w:w="0" w:type="auto"/>
            <w:vMerge w:val="restart"/>
            <w:tcBorders>
              <w:top w:val="single" w:sz="12" w:space="0" w:color="000000"/>
              <w:left w:val="nil"/>
              <w:bottom w:val="single" w:sz="6" w:space="0" w:color="000000"/>
              <w:right w:val="nil"/>
            </w:tcBorders>
            <w:shd w:val="clear" w:color="auto" w:fill="3271AA"/>
            <w:vAlign w:val="center"/>
            <w:hideMark/>
          </w:tcPr>
          <w:p w14:paraId="0E2DBB4E" w14:textId="77777777" w:rsidR="00DB51A1" w:rsidRPr="00143FD5" w:rsidRDefault="00DB51A1" w:rsidP="002C76E7">
            <w:pPr>
              <w:pStyle w:val="NormalWeb"/>
              <w:spacing w:before="0" w:beforeAutospacing="0" w:after="0" w:afterAutospacing="0" w:line="276" w:lineRule="auto"/>
              <w:ind w:left="-77"/>
              <w:jc w:val="center"/>
              <w:rPr>
                <w:rFonts w:ascii="Arial" w:hAnsi="Arial" w:cs="Arial"/>
                <w:b/>
                <w:bCs/>
                <w:color w:val="FFFFFF"/>
                <w:sz w:val="16"/>
                <w:szCs w:val="16"/>
              </w:rPr>
            </w:pPr>
            <w:r w:rsidRPr="00143FD5">
              <w:rPr>
                <w:rFonts w:ascii="Arial" w:hAnsi="Arial" w:cs="Arial"/>
                <w:b/>
                <w:bCs/>
                <w:color w:val="FFFFFF"/>
                <w:sz w:val="16"/>
                <w:szCs w:val="16"/>
              </w:rPr>
              <w:t>№ of participants</w:t>
            </w:r>
            <w:r>
              <w:rPr>
                <w:rFonts w:ascii="Arial" w:hAnsi="Arial" w:cs="Arial"/>
                <w:b/>
                <w:bCs/>
                <w:color w:val="FFFFFF"/>
                <w:sz w:val="16"/>
                <w:szCs w:val="16"/>
              </w:rPr>
              <w:t xml:space="preserve"> evaluated for a particular outcome</w:t>
            </w:r>
            <w:r w:rsidRPr="00143FD5">
              <w:rPr>
                <w:rFonts w:ascii="Arial" w:hAnsi="Arial" w:cs="Arial"/>
                <w:b/>
                <w:bCs/>
                <w:color w:val="FFFFFF"/>
                <w:sz w:val="16"/>
                <w:szCs w:val="16"/>
              </w:rPr>
              <w:br/>
              <w:t>(</w:t>
            </w:r>
            <w:r>
              <w:rPr>
                <w:rFonts w:ascii="Arial" w:hAnsi="Arial" w:cs="Arial"/>
                <w:b/>
                <w:bCs/>
                <w:color w:val="FFFFFF"/>
                <w:sz w:val="16"/>
                <w:szCs w:val="16"/>
              </w:rPr>
              <w:t xml:space="preserve">no of </w:t>
            </w:r>
            <w:r w:rsidRPr="00143FD5">
              <w:rPr>
                <w:rFonts w:ascii="Arial" w:hAnsi="Arial" w:cs="Arial"/>
                <w:b/>
                <w:bCs/>
                <w:color w:val="FFFFFF"/>
                <w:sz w:val="16"/>
                <w:szCs w:val="16"/>
              </w:rPr>
              <w:t>studies</w:t>
            </w:r>
            <w:r>
              <w:rPr>
                <w:rFonts w:ascii="Arial" w:hAnsi="Arial" w:cs="Arial"/>
                <w:b/>
                <w:bCs/>
                <w:color w:val="FFFFFF"/>
                <w:sz w:val="16"/>
                <w:szCs w:val="16"/>
              </w:rPr>
              <w:t xml:space="preserve"> pooled for the SR</w:t>
            </w:r>
            <w:r w:rsidRPr="00143FD5">
              <w:rPr>
                <w:rFonts w:ascii="Arial" w:hAnsi="Arial" w:cs="Arial"/>
                <w:b/>
                <w:bCs/>
                <w:color w:val="FFFFFF"/>
                <w:sz w:val="16"/>
                <w:szCs w:val="16"/>
              </w:rPr>
              <w:t>)</w:t>
            </w:r>
            <w:r w:rsidRPr="00143FD5">
              <w:rPr>
                <w:rFonts w:ascii="Arial" w:hAnsi="Arial" w:cs="Arial"/>
                <w:b/>
                <w:bCs/>
                <w:color w:val="FFFFFF"/>
                <w:sz w:val="16"/>
                <w:szCs w:val="16"/>
              </w:rPr>
              <w:br/>
              <w:t>Follow-up</w:t>
            </w:r>
            <w:r>
              <w:rPr>
                <w:rFonts w:ascii="Arial" w:hAnsi="Arial" w:cs="Arial"/>
                <w:b/>
                <w:bCs/>
                <w:color w:val="FFFFFF"/>
                <w:sz w:val="16"/>
                <w:szCs w:val="16"/>
              </w:rPr>
              <w:t xml:space="preserve"> </w:t>
            </w:r>
            <w:r w:rsidRPr="00143FD5">
              <w:rPr>
                <w:rFonts w:ascii="Arial" w:hAnsi="Arial" w:cs="Arial"/>
                <w:b/>
                <w:bCs/>
                <w:color w:val="FFFFFF"/>
                <w:sz w:val="16"/>
                <w:szCs w:val="16"/>
              </w:rPr>
              <w:t>range</w:t>
            </w:r>
          </w:p>
        </w:tc>
        <w:tc>
          <w:tcPr>
            <w:tcW w:w="0" w:type="auto"/>
            <w:vMerge w:val="restart"/>
            <w:tcBorders>
              <w:top w:val="single" w:sz="12" w:space="0" w:color="000000"/>
              <w:left w:val="nil"/>
              <w:bottom w:val="single" w:sz="6" w:space="0" w:color="000000"/>
              <w:right w:val="nil"/>
            </w:tcBorders>
            <w:shd w:val="clear" w:color="auto" w:fill="3271AA"/>
            <w:vAlign w:val="center"/>
            <w:hideMark/>
          </w:tcPr>
          <w:p w14:paraId="0B775F41" w14:textId="77777777" w:rsidR="00DB51A1" w:rsidRPr="00143FD5" w:rsidRDefault="00DB51A1" w:rsidP="002C76E7">
            <w:pPr>
              <w:pStyle w:val="NormalWeb"/>
              <w:spacing w:before="0" w:beforeAutospacing="0" w:after="0" w:afterAutospacing="0" w:line="276" w:lineRule="auto"/>
              <w:jc w:val="center"/>
              <w:rPr>
                <w:rFonts w:ascii="Arial" w:hAnsi="Arial" w:cs="Arial"/>
                <w:b/>
                <w:bCs/>
                <w:color w:val="FFFFFF"/>
                <w:sz w:val="16"/>
                <w:szCs w:val="16"/>
              </w:rPr>
            </w:pPr>
            <w:r w:rsidRPr="00143FD5">
              <w:rPr>
                <w:rFonts w:ascii="Arial" w:hAnsi="Arial" w:cs="Arial"/>
                <w:b/>
                <w:bCs/>
                <w:color w:val="FFFFFF"/>
                <w:sz w:val="16"/>
                <w:szCs w:val="16"/>
              </w:rPr>
              <w:t>Certainty of the evidence</w:t>
            </w:r>
            <w:r w:rsidRPr="00143FD5">
              <w:rPr>
                <w:rFonts w:ascii="Arial" w:hAnsi="Arial" w:cs="Arial"/>
                <w:b/>
                <w:bCs/>
                <w:color w:val="FFFFFF"/>
                <w:sz w:val="16"/>
                <w:szCs w:val="16"/>
              </w:rPr>
              <w:br/>
              <w:t>(GRADE)</w:t>
            </w:r>
          </w:p>
        </w:tc>
        <w:tc>
          <w:tcPr>
            <w:tcW w:w="0" w:type="auto"/>
            <w:vMerge w:val="restart"/>
            <w:tcBorders>
              <w:top w:val="single" w:sz="12" w:space="0" w:color="000000"/>
              <w:left w:val="nil"/>
              <w:bottom w:val="single" w:sz="6" w:space="0" w:color="000000"/>
              <w:right w:val="nil"/>
            </w:tcBorders>
            <w:shd w:val="clear" w:color="auto" w:fill="3271AA"/>
            <w:vAlign w:val="center"/>
            <w:hideMark/>
          </w:tcPr>
          <w:p w14:paraId="7D8DF1C3" w14:textId="77777777" w:rsidR="00DB51A1" w:rsidRPr="00143FD5" w:rsidRDefault="00DB51A1" w:rsidP="002C76E7">
            <w:pPr>
              <w:pStyle w:val="NormalWeb"/>
              <w:spacing w:before="0" w:beforeAutospacing="0" w:after="0" w:afterAutospacing="0" w:line="276" w:lineRule="auto"/>
              <w:jc w:val="center"/>
              <w:rPr>
                <w:rFonts w:ascii="Arial" w:hAnsi="Arial" w:cs="Arial"/>
                <w:b/>
                <w:bCs/>
                <w:color w:val="FFFFFF"/>
                <w:sz w:val="16"/>
                <w:szCs w:val="16"/>
              </w:rPr>
            </w:pPr>
            <w:r w:rsidRPr="00143FD5">
              <w:rPr>
                <w:rFonts w:ascii="Arial" w:hAnsi="Arial" w:cs="Arial"/>
                <w:b/>
                <w:bCs/>
                <w:color w:val="FFFFFF"/>
                <w:sz w:val="16"/>
                <w:szCs w:val="16"/>
              </w:rPr>
              <w:t>Relative effect</w:t>
            </w:r>
            <w:r w:rsidRPr="00143FD5">
              <w:rPr>
                <w:rFonts w:ascii="Arial" w:hAnsi="Arial" w:cs="Arial"/>
                <w:b/>
                <w:bCs/>
                <w:color w:val="FFFFFF"/>
                <w:sz w:val="16"/>
                <w:szCs w:val="16"/>
              </w:rPr>
              <w:br/>
              <w:t>(95% CI)</w:t>
            </w:r>
          </w:p>
        </w:tc>
        <w:tc>
          <w:tcPr>
            <w:tcW w:w="0" w:type="auto"/>
            <w:gridSpan w:val="2"/>
            <w:tcBorders>
              <w:top w:val="single" w:sz="12" w:space="0" w:color="000000"/>
              <w:left w:val="nil"/>
              <w:bottom w:val="single" w:sz="6" w:space="0" w:color="000000"/>
              <w:right w:val="nil"/>
            </w:tcBorders>
            <w:shd w:val="clear" w:color="auto" w:fill="D3D3D3"/>
            <w:vAlign w:val="center"/>
            <w:hideMark/>
          </w:tcPr>
          <w:p w14:paraId="4980CC09" w14:textId="77777777" w:rsidR="00DB51A1" w:rsidRPr="00143FD5" w:rsidRDefault="00DB51A1" w:rsidP="002C76E7">
            <w:pPr>
              <w:pStyle w:val="NormalWeb"/>
              <w:spacing w:before="0" w:beforeAutospacing="0" w:after="0" w:afterAutospacing="0" w:line="276" w:lineRule="auto"/>
              <w:jc w:val="center"/>
              <w:rPr>
                <w:rFonts w:ascii="Arial" w:hAnsi="Arial" w:cs="Arial"/>
                <w:b/>
                <w:bCs/>
                <w:color w:val="000000"/>
                <w:sz w:val="16"/>
                <w:szCs w:val="16"/>
              </w:rPr>
            </w:pPr>
            <w:r w:rsidRPr="00143FD5">
              <w:rPr>
                <w:rFonts w:ascii="Arial" w:hAnsi="Arial" w:cs="Arial"/>
                <w:b/>
                <w:bCs/>
                <w:color w:val="000000"/>
                <w:sz w:val="16"/>
                <w:szCs w:val="16"/>
              </w:rPr>
              <w:t>Anticipated absolute effects</w:t>
            </w:r>
          </w:p>
        </w:tc>
      </w:tr>
      <w:tr w:rsidR="00DB51A1" w:rsidRPr="00143FD5" w14:paraId="76D79BE7" w14:textId="77777777" w:rsidTr="00DB51A1">
        <w:trPr>
          <w:cantSplit/>
          <w:tblHeader/>
        </w:trPr>
        <w:tc>
          <w:tcPr>
            <w:tcW w:w="0" w:type="auto"/>
            <w:vMerge/>
            <w:tcBorders>
              <w:top w:val="single" w:sz="12" w:space="0" w:color="000000"/>
              <w:left w:val="nil"/>
              <w:bottom w:val="single" w:sz="6" w:space="0" w:color="000000"/>
              <w:right w:val="nil"/>
            </w:tcBorders>
            <w:vAlign w:val="center"/>
            <w:hideMark/>
          </w:tcPr>
          <w:p w14:paraId="0D5F21A3" w14:textId="77777777" w:rsidR="00DB51A1" w:rsidRPr="00143FD5" w:rsidRDefault="00DB51A1" w:rsidP="002C76E7">
            <w:pPr>
              <w:rPr>
                <w:rFonts w:ascii="Arial" w:hAnsi="Arial" w:cs="Arial"/>
                <w:b/>
                <w:bCs/>
                <w:color w:val="FFFFFF"/>
                <w:sz w:val="16"/>
                <w:szCs w:val="16"/>
              </w:rPr>
            </w:pPr>
          </w:p>
        </w:tc>
        <w:tc>
          <w:tcPr>
            <w:tcW w:w="0" w:type="auto"/>
            <w:vMerge/>
            <w:tcBorders>
              <w:top w:val="single" w:sz="12" w:space="0" w:color="000000"/>
              <w:left w:val="nil"/>
              <w:bottom w:val="single" w:sz="6" w:space="0" w:color="000000"/>
              <w:right w:val="nil"/>
            </w:tcBorders>
            <w:vAlign w:val="center"/>
            <w:hideMark/>
          </w:tcPr>
          <w:p w14:paraId="159A2C14" w14:textId="77777777" w:rsidR="00DB51A1" w:rsidRPr="00143FD5" w:rsidRDefault="00DB51A1" w:rsidP="002C76E7">
            <w:pPr>
              <w:rPr>
                <w:rFonts w:ascii="Arial" w:hAnsi="Arial" w:cs="Arial"/>
                <w:b/>
                <w:bCs/>
                <w:color w:val="FFFFFF"/>
                <w:sz w:val="16"/>
                <w:szCs w:val="16"/>
              </w:rPr>
            </w:pPr>
          </w:p>
        </w:tc>
        <w:tc>
          <w:tcPr>
            <w:tcW w:w="0" w:type="auto"/>
            <w:vMerge/>
            <w:tcBorders>
              <w:top w:val="single" w:sz="12" w:space="0" w:color="000000"/>
              <w:left w:val="nil"/>
              <w:bottom w:val="single" w:sz="6" w:space="0" w:color="000000"/>
              <w:right w:val="nil"/>
            </w:tcBorders>
            <w:vAlign w:val="center"/>
            <w:hideMark/>
          </w:tcPr>
          <w:p w14:paraId="5699C824" w14:textId="77777777" w:rsidR="00DB51A1" w:rsidRPr="00143FD5" w:rsidRDefault="00DB51A1" w:rsidP="002C76E7">
            <w:pPr>
              <w:rPr>
                <w:rFonts w:ascii="Arial" w:hAnsi="Arial" w:cs="Arial"/>
                <w:b/>
                <w:bCs/>
                <w:color w:val="FFFFFF"/>
                <w:sz w:val="16"/>
                <w:szCs w:val="16"/>
              </w:rPr>
            </w:pPr>
          </w:p>
        </w:tc>
        <w:tc>
          <w:tcPr>
            <w:tcW w:w="0" w:type="auto"/>
            <w:vMerge/>
            <w:tcBorders>
              <w:top w:val="single" w:sz="12" w:space="0" w:color="000000"/>
              <w:left w:val="nil"/>
              <w:bottom w:val="single" w:sz="6" w:space="0" w:color="000000"/>
              <w:right w:val="nil"/>
            </w:tcBorders>
            <w:vAlign w:val="center"/>
            <w:hideMark/>
          </w:tcPr>
          <w:p w14:paraId="649FF4DA" w14:textId="77777777" w:rsidR="00DB51A1" w:rsidRPr="00143FD5" w:rsidRDefault="00DB51A1" w:rsidP="002C76E7">
            <w:pPr>
              <w:rPr>
                <w:rFonts w:ascii="Arial" w:hAnsi="Arial" w:cs="Arial"/>
                <w:b/>
                <w:bCs/>
                <w:color w:val="FFFFFF"/>
                <w:sz w:val="16"/>
                <w:szCs w:val="16"/>
              </w:rPr>
            </w:pPr>
          </w:p>
        </w:tc>
        <w:tc>
          <w:tcPr>
            <w:tcW w:w="0" w:type="auto"/>
            <w:tcBorders>
              <w:top w:val="single" w:sz="12" w:space="0" w:color="000000"/>
              <w:left w:val="nil"/>
              <w:bottom w:val="single" w:sz="6" w:space="0" w:color="000000"/>
              <w:right w:val="nil"/>
            </w:tcBorders>
            <w:shd w:val="clear" w:color="auto" w:fill="D3D3D3"/>
            <w:vAlign w:val="center"/>
            <w:hideMark/>
          </w:tcPr>
          <w:p w14:paraId="67813EFC" w14:textId="77777777" w:rsidR="00DB51A1" w:rsidRPr="00143FD5" w:rsidRDefault="00DB51A1" w:rsidP="002C76E7">
            <w:pPr>
              <w:pStyle w:val="NormalWeb"/>
              <w:spacing w:before="0" w:beforeAutospacing="0" w:after="0" w:afterAutospacing="0" w:line="276" w:lineRule="auto"/>
              <w:jc w:val="center"/>
              <w:rPr>
                <w:rFonts w:ascii="Arial" w:hAnsi="Arial" w:cs="Arial"/>
                <w:b/>
                <w:bCs/>
                <w:color w:val="000000"/>
                <w:sz w:val="16"/>
                <w:szCs w:val="16"/>
              </w:rPr>
            </w:pPr>
            <w:r w:rsidRPr="00143FD5">
              <w:rPr>
                <w:rFonts w:ascii="Arial" w:hAnsi="Arial" w:cs="Arial"/>
                <w:b/>
                <w:bCs/>
                <w:color w:val="000000"/>
                <w:sz w:val="16"/>
                <w:szCs w:val="16"/>
              </w:rPr>
              <w:t>Risk with placebo</w:t>
            </w:r>
          </w:p>
        </w:tc>
        <w:tc>
          <w:tcPr>
            <w:tcW w:w="0" w:type="auto"/>
            <w:tcBorders>
              <w:top w:val="single" w:sz="12" w:space="0" w:color="000000"/>
              <w:left w:val="nil"/>
              <w:bottom w:val="single" w:sz="6" w:space="0" w:color="000000"/>
              <w:right w:val="nil"/>
            </w:tcBorders>
            <w:shd w:val="clear" w:color="auto" w:fill="D3D3D3"/>
            <w:vAlign w:val="center"/>
            <w:hideMark/>
          </w:tcPr>
          <w:p w14:paraId="645A4A0C" w14:textId="77777777" w:rsidR="00DB51A1" w:rsidRPr="00143FD5" w:rsidRDefault="00DB51A1" w:rsidP="002C76E7">
            <w:pPr>
              <w:pStyle w:val="NormalWeb"/>
              <w:spacing w:before="0" w:beforeAutospacing="0" w:after="0" w:afterAutospacing="0" w:line="276" w:lineRule="auto"/>
              <w:jc w:val="center"/>
              <w:rPr>
                <w:rFonts w:ascii="Arial" w:hAnsi="Arial" w:cs="Arial"/>
                <w:b/>
                <w:bCs/>
                <w:color w:val="000000"/>
                <w:sz w:val="16"/>
                <w:szCs w:val="16"/>
              </w:rPr>
            </w:pPr>
            <w:r w:rsidRPr="00143FD5">
              <w:rPr>
                <w:rFonts w:ascii="Arial" w:hAnsi="Arial" w:cs="Arial"/>
                <w:b/>
                <w:bCs/>
                <w:color w:val="000000"/>
                <w:sz w:val="16"/>
                <w:szCs w:val="16"/>
              </w:rPr>
              <w:t>Risk difference with dupilumab</w:t>
            </w:r>
          </w:p>
        </w:tc>
      </w:tr>
      <w:tr w:rsidR="00DB51A1" w:rsidRPr="00143FD5" w14:paraId="442C32A4" w14:textId="77777777" w:rsidTr="00DB51A1">
        <w:trPr>
          <w:cantSplit/>
        </w:trPr>
        <w:tc>
          <w:tcPr>
            <w:tcW w:w="0" w:type="auto"/>
            <w:vMerge w:val="restart"/>
            <w:tcBorders>
              <w:top w:val="single" w:sz="6" w:space="0" w:color="000000"/>
              <w:left w:val="nil"/>
              <w:bottom w:val="single" w:sz="6" w:space="0" w:color="000000"/>
              <w:right w:val="nil"/>
            </w:tcBorders>
            <w:vAlign w:val="center"/>
            <w:hideMark/>
          </w:tcPr>
          <w:p w14:paraId="4884DC30" w14:textId="77777777" w:rsidR="00DB51A1" w:rsidRPr="00143FD5" w:rsidRDefault="00DB51A1" w:rsidP="002C76E7">
            <w:pPr>
              <w:jc w:val="center"/>
              <w:rPr>
                <w:rStyle w:val="label"/>
                <w:rFonts w:ascii="Arial" w:hAnsi="Arial" w:cs="Arial"/>
                <w:sz w:val="16"/>
                <w:szCs w:val="16"/>
              </w:rPr>
            </w:pPr>
            <w:r w:rsidRPr="00143FD5">
              <w:rPr>
                <w:rStyle w:val="label"/>
                <w:rFonts w:ascii="Arial" w:hAnsi="Arial" w:cs="Arial"/>
                <w:sz w:val="16"/>
                <w:szCs w:val="16"/>
              </w:rPr>
              <w:t>EXACERBATION RATE RATIO</w:t>
            </w:r>
          </w:p>
          <w:p w14:paraId="2BFFED3D" w14:textId="77777777" w:rsidR="00DB51A1" w:rsidRPr="00143FD5" w:rsidRDefault="00DB51A1" w:rsidP="002C76E7">
            <w:pPr>
              <w:jc w:val="center"/>
              <w:rPr>
                <w:rStyle w:val="label"/>
                <w:rFonts w:ascii="Arial" w:hAnsi="Arial" w:cs="Arial"/>
                <w:sz w:val="16"/>
                <w:szCs w:val="16"/>
              </w:rPr>
            </w:pPr>
            <w:r w:rsidRPr="00143FD5">
              <w:rPr>
                <w:rStyle w:val="label"/>
                <w:rFonts w:ascii="Arial" w:hAnsi="Arial" w:cs="Arial"/>
                <w:sz w:val="16"/>
                <w:szCs w:val="16"/>
              </w:rPr>
              <w:t>assessed with annual</w:t>
            </w:r>
            <w:r>
              <w:rPr>
                <w:rStyle w:val="label"/>
                <w:rFonts w:ascii="Arial" w:hAnsi="Arial" w:cs="Arial"/>
                <w:sz w:val="16"/>
                <w:szCs w:val="16"/>
              </w:rPr>
              <w:t>ised</w:t>
            </w:r>
            <w:r w:rsidRPr="00143FD5">
              <w:rPr>
                <w:rStyle w:val="label"/>
                <w:rFonts w:ascii="Arial" w:hAnsi="Arial" w:cs="Arial"/>
                <w:sz w:val="16"/>
                <w:szCs w:val="16"/>
              </w:rPr>
              <w:t xml:space="preserve"> asthma exacerbation</w:t>
            </w:r>
            <w:r>
              <w:rPr>
                <w:rStyle w:val="label"/>
                <w:rFonts w:ascii="Arial" w:hAnsi="Arial" w:cs="Arial"/>
                <w:sz w:val="16"/>
                <w:szCs w:val="16"/>
              </w:rPr>
              <w:t>s rate</w:t>
            </w:r>
          </w:p>
          <w:p w14:paraId="143D01CC" w14:textId="77777777" w:rsidR="00DB51A1" w:rsidRPr="00143FD5" w:rsidRDefault="00DB51A1" w:rsidP="002C76E7">
            <w:pPr>
              <w:jc w:val="center"/>
              <w:rPr>
                <w:rFonts w:ascii="Arial" w:hAnsi="Arial" w:cs="Arial"/>
                <w:sz w:val="16"/>
                <w:szCs w:val="16"/>
              </w:rPr>
            </w:pPr>
          </w:p>
        </w:tc>
        <w:tc>
          <w:tcPr>
            <w:tcW w:w="0" w:type="auto"/>
            <w:vMerge w:val="restart"/>
            <w:tcBorders>
              <w:top w:val="single" w:sz="6" w:space="0" w:color="000000"/>
              <w:left w:val="nil"/>
              <w:bottom w:val="single" w:sz="6" w:space="0" w:color="000000"/>
              <w:right w:val="nil"/>
            </w:tcBorders>
            <w:vAlign w:val="center"/>
            <w:hideMark/>
          </w:tcPr>
          <w:p w14:paraId="037AB146" w14:textId="77777777" w:rsidR="00DB51A1" w:rsidRDefault="00DB51A1" w:rsidP="002C76E7">
            <w:pPr>
              <w:jc w:val="center"/>
              <w:rPr>
                <w:rFonts w:ascii="Arial" w:hAnsi="Arial" w:cs="Arial"/>
                <w:sz w:val="16"/>
                <w:szCs w:val="16"/>
              </w:rPr>
            </w:pPr>
            <w:r w:rsidRPr="00143FD5">
              <w:rPr>
                <w:rFonts w:ascii="Arial" w:hAnsi="Arial" w:cs="Arial"/>
                <w:sz w:val="16"/>
                <w:szCs w:val="16"/>
              </w:rPr>
              <w:t>2735</w:t>
            </w:r>
            <w:r w:rsidRPr="00143FD5">
              <w:rPr>
                <w:rFonts w:ascii="Arial" w:hAnsi="Arial" w:cs="Arial"/>
                <w:sz w:val="16"/>
                <w:szCs w:val="16"/>
              </w:rPr>
              <w:br/>
              <w:t xml:space="preserve">(3 RCTs) </w:t>
            </w:r>
          </w:p>
          <w:p w14:paraId="14EF8CD2" w14:textId="77777777" w:rsidR="00DB51A1" w:rsidRDefault="00DB51A1" w:rsidP="002C76E7">
            <w:pPr>
              <w:jc w:val="center"/>
              <w:rPr>
                <w:rFonts w:ascii="Arial" w:hAnsi="Arial" w:cs="Arial"/>
                <w:sz w:val="16"/>
                <w:szCs w:val="16"/>
                <w:vertAlign w:val="superscript"/>
              </w:rPr>
            </w:pPr>
            <w:r>
              <w:rPr>
                <w:rFonts w:ascii="Arial" w:hAnsi="Arial" w:cs="Arial"/>
                <w:sz w:val="16"/>
                <w:szCs w:val="16"/>
                <w:vertAlign w:val="superscript"/>
              </w:rPr>
              <w:t>26,</w:t>
            </w:r>
            <w:r w:rsidRPr="00143FD5">
              <w:rPr>
                <w:rStyle w:val="label"/>
                <w:rFonts w:ascii="Arial" w:hAnsi="Arial" w:cs="Arial"/>
                <w:sz w:val="16"/>
                <w:szCs w:val="16"/>
              </w:rPr>
              <w:t xml:space="preserve"> </w:t>
            </w:r>
            <w:r>
              <w:rPr>
                <w:rFonts w:ascii="Arial" w:hAnsi="Arial" w:cs="Arial"/>
                <w:sz w:val="16"/>
                <w:szCs w:val="16"/>
                <w:vertAlign w:val="superscript"/>
              </w:rPr>
              <w:t>27,28</w:t>
            </w:r>
          </w:p>
          <w:p w14:paraId="44FA0538" w14:textId="77777777" w:rsidR="00DB51A1" w:rsidRPr="00143FD5" w:rsidRDefault="00DB51A1" w:rsidP="002C76E7">
            <w:pPr>
              <w:jc w:val="center"/>
              <w:rPr>
                <w:rFonts w:ascii="Arial" w:hAnsi="Arial" w:cs="Arial"/>
                <w:sz w:val="16"/>
                <w:szCs w:val="16"/>
              </w:rPr>
            </w:pPr>
            <w:r w:rsidRPr="00143FD5">
              <w:rPr>
                <w:rStyle w:val="label"/>
                <w:rFonts w:ascii="Arial" w:hAnsi="Arial" w:cs="Arial"/>
                <w:sz w:val="16"/>
                <w:szCs w:val="16"/>
              </w:rPr>
              <w:t>24 to 52 week</w:t>
            </w:r>
            <w:r>
              <w:rPr>
                <w:rStyle w:val="label"/>
                <w:rFonts w:ascii="Arial" w:hAnsi="Arial" w:cs="Arial"/>
                <w:sz w:val="16"/>
                <w:szCs w:val="16"/>
              </w:rPr>
              <w:t>s</w:t>
            </w:r>
          </w:p>
        </w:tc>
        <w:tc>
          <w:tcPr>
            <w:tcW w:w="0" w:type="auto"/>
            <w:vMerge w:val="restart"/>
            <w:tcBorders>
              <w:top w:val="single" w:sz="6" w:space="0" w:color="000000"/>
              <w:left w:val="nil"/>
              <w:bottom w:val="single" w:sz="6" w:space="0" w:color="000000"/>
              <w:right w:val="nil"/>
            </w:tcBorders>
            <w:vAlign w:val="center"/>
            <w:hideMark/>
          </w:tcPr>
          <w:p w14:paraId="46A70046" w14:textId="77777777" w:rsidR="00DB51A1" w:rsidRPr="00143FD5" w:rsidRDefault="00DB51A1" w:rsidP="002C76E7">
            <w:pPr>
              <w:jc w:val="center"/>
              <w:rPr>
                <w:rFonts w:ascii="Arial" w:hAnsi="Arial" w:cs="Arial"/>
                <w:sz w:val="16"/>
                <w:szCs w:val="16"/>
              </w:rPr>
            </w:pPr>
            <w:r w:rsidRPr="00143FD5">
              <w:rPr>
                <w:rStyle w:val="quality-sign"/>
                <w:rFonts w:ascii="Cambria Math" w:hAnsi="Cambria Math" w:cs="Cambria Math"/>
                <w:sz w:val="16"/>
                <w:szCs w:val="16"/>
              </w:rPr>
              <w:t>⨁⨁⨁⨁</w:t>
            </w:r>
            <w:r w:rsidRPr="00143FD5">
              <w:rPr>
                <w:rFonts w:ascii="Arial" w:hAnsi="Arial" w:cs="Arial"/>
                <w:sz w:val="16"/>
                <w:szCs w:val="16"/>
              </w:rPr>
              <w:br/>
            </w:r>
            <w:r w:rsidRPr="00143FD5">
              <w:rPr>
                <w:rStyle w:val="quality-text"/>
                <w:rFonts w:ascii="Arial" w:hAnsi="Arial" w:cs="Arial"/>
                <w:sz w:val="16"/>
                <w:szCs w:val="16"/>
              </w:rPr>
              <w:t>HIGH</w:t>
            </w:r>
            <w:r w:rsidRPr="00143FD5">
              <w:rPr>
                <w:rFonts w:ascii="Arial" w:hAnsi="Arial" w:cs="Arial"/>
                <w:sz w:val="16"/>
                <w:szCs w:val="16"/>
              </w:rPr>
              <w:t xml:space="preserve"> </w:t>
            </w:r>
            <w:proofErr w:type="gramStart"/>
            <w:r w:rsidRPr="00143FD5">
              <w:rPr>
                <w:rFonts w:ascii="Arial" w:hAnsi="Arial" w:cs="Arial"/>
                <w:sz w:val="16"/>
                <w:szCs w:val="16"/>
                <w:vertAlign w:val="superscript"/>
              </w:rPr>
              <w:t>4</w:t>
            </w:r>
            <w:r w:rsidRPr="00143FD5">
              <w:rPr>
                <w:rStyle w:val="comma"/>
                <w:rFonts w:ascii="Arial" w:hAnsi="Arial" w:cs="Arial"/>
                <w:sz w:val="16"/>
                <w:szCs w:val="16"/>
                <w:vertAlign w:val="superscript"/>
              </w:rPr>
              <w:t>,</w:t>
            </w:r>
            <w:r w:rsidRPr="00143FD5">
              <w:rPr>
                <w:rFonts w:ascii="Arial" w:hAnsi="Arial" w:cs="Arial"/>
                <w:sz w:val="16"/>
                <w:szCs w:val="16"/>
                <w:vertAlign w:val="superscript"/>
              </w:rPr>
              <w:t>a</w:t>
            </w:r>
            <w:proofErr w:type="gramEnd"/>
          </w:p>
        </w:tc>
        <w:tc>
          <w:tcPr>
            <w:tcW w:w="0" w:type="auto"/>
            <w:vMerge w:val="restart"/>
            <w:tcBorders>
              <w:top w:val="single" w:sz="6" w:space="0" w:color="000000"/>
              <w:left w:val="nil"/>
              <w:bottom w:val="single" w:sz="6" w:space="0" w:color="000000"/>
              <w:right w:val="nil"/>
            </w:tcBorders>
            <w:vAlign w:val="center"/>
            <w:hideMark/>
          </w:tcPr>
          <w:p w14:paraId="0FC2497C" w14:textId="6B7BB527" w:rsidR="00DB51A1" w:rsidRPr="00143FD5" w:rsidRDefault="00DB51A1" w:rsidP="002C76E7">
            <w:pPr>
              <w:jc w:val="center"/>
              <w:rPr>
                <w:rStyle w:val="block"/>
                <w:rFonts w:ascii="Arial" w:hAnsi="Arial" w:cs="Arial"/>
                <w:b/>
                <w:bCs/>
                <w:sz w:val="16"/>
                <w:szCs w:val="16"/>
              </w:rPr>
            </w:pPr>
            <w:r>
              <w:rPr>
                <w:rStyle w:val="block"/>
                <w:rFonts w:ascii="Arial" w:hAnsi="Arial" w:cs="Arial"/>
                <w:b/>
                <w:bCs/>
                <w:sz w:val="16"/>
                <w:szCs w:val="16"/>
              </w:rPr>
              <w:t>I</w:t>
            </w:r>
            <w:r>
              <w:rPr>
                <w:rStyle w:val="block"/>
                <w:b/>
                <w:bCs/>
              </w:rPr>
              <w:t>ncidence risk ratio</w:t>
            </w:r>
            <w:r w:rsidRPr="00143FD5">
              <w:rPr>
                <w:rStyle w:val="block"/>
                <w:rFonts w:ascii="Arial" w:hAnsi="Arial" w:cs="Arial"/>
                <w:b/>
                <w:bCs/>
                <w:sz w:val="16"/>
                <w:szCs w:val="16"/>
              </w:rPr>
              <w:t xml:space="preserve"> 0.51 </w:t>
            </w:r>
          </w:p>
          <w:p w14:paraId="2B89DB89" w14:textId="77777777" w:rsidR="00DB51A1" w:rsidRPr="00143FD5" w:rsidRDefault="00DB51A1" w:rsidP="002C76E7">
            <w:pPr>
              <w:jc w:val="center"/>
              <w:rPr>
                <w:rFonts w:ascii="Arial" w:hAnsi="Arial" w:cs="Arial"/>
                <w:sz w:val="16"/>
                <w:szCs w:val="16"/>
              </w:rPr>
            </w:pPr>
            <w:r w:rsidRPr="00143FD5">
              <w:rPr>
                <w:rStyle w:val="block"/>
                <w:rFonts w:ascii="Arial" w:hAnsi="Arial" w:cs="Arial"/>
                <w:bCs/>
                <w:sz w:val="16"/>
                <w:szCs w:val="16"/>
              </w:rPr>
              <w:t>(0.45 to 0.59)</w:t>
            </w:r>
            <w:r w:rsidRPr="00143FD5">
              <w:rPr>
                <w:rStyle w:val="block"/>
                <w:rFonts w:ascii="Arial" w:hAnsi="Arial" w:cs="Arial"/>
                <w:b/>
                <w:bCs/>
                <w:sz w:val="16"/>
                <w:szCs w:val="16"/>
              </w:rPr>
              <w:t xml:space="preserve"> </w:t>
            </w:r>
            <w:r w:rsidRPr="00143FD5">
              <w:rPr>
                <w:rStyle w:val="block"/>
                <w:rFonts w:ascii="Arial" w:hAnsi="Arial" w:cs="Arial"/>
                <w:bCs/>
                <w:sz w:val="16"/>
                <w:szCs w:val="16"/>
                <w:vertAlign w:val="superscript"/>
              </w:rPr>
              <w:t>b</w:t>
            </w:r>
            <w:r w:rsidRPr="00143FD5">
              <w:rPr>
                <w:rFonts w:ascii="Arial" w:hAnsi="Arial" w:cs="Arial"/>
                <w:sz w:val="16"/>
                <w:szCs w:val="16"/>
              </w:rPr>
              <w:t xml:space="preserve"> </w:t>
            </w:r>
          </w:p>
        </w:tc>
        <w:tc>
          <w:tcPr>
            <w:tcW w:w="0" w:type="auto"/>
            <w:gridSpan w:val="2"/>
            <w:tcBorders>
              <w:top w:val="single" w:sz="6" w:space="0" w:color="000000"/>
              <w:left w:val="nil"/>
              <w:bottom w:val="single" w:sz="6" w:space="0" w:color="000000"/>
              <w:right w:val="nil"/>
            </w:tcBorders>
            <w:shd w:val="clear" w:color="auto" w:fill="E0E0E0"/>
            <w:vAlign w:val="center"/>
            <w:hideMark/>
          </w:tcPr>
          <w:p w14:paraId="62B7E72A" w14:textId="77777777" w:rsidR="00DB51A1" w:rsidRPr="00143FD5" w:rsidRDefault="00DB51A1" w:rsidP="002C76E7">
            <w:pPr>
              <w:jc w:val="center"/>
              <w:rPr>
                <w:rFonts w:ascii="Arial" w:hAnsi="Arial" w:cs="Arial"/>
                <w:b/>
                <w:bCs/>
                <w:sz w:val="16"/>
                <w:szCs w:val="16"/>
              </w:rPr>
            </w:pPr>
            <w:r w:rsidRPr="00143FD5">
              <w:rPr>
                <w:rFonts w:ascii="Arial" w:hAnsi="Arial" w:cs="Arial"/>
                <w:b/>
                <w:bCs/>
                <w:sz w:val="16"/>
                <w:szCs w:val="16"/>
              </w:rPr>
              <w:t xml:space="preserve">Moderate </w:t>
            </w:r>
          </w:p>
        </w:tc>
      </w:tr>
      <w:tr w:rsidR="00DB51A1" w:rsidRPr="00143FD5" w14:paraId="150A7A55" w14:textId="77777777" w:rsidTr="00DB51A1">
        <w:trPr>
          <w:cantSplit/>
          <w:trHeight w:val="666"/>
        </w:trPr>
        <w:tc>
          <w:tcPr>
            <w:tcW w:w="0" w:type="auto"/>
            <w:vMerge/>
            <w:tcBorders>
              <w:top w:val="single" w:sz="6" w:space="0" w:color="000000"/>
              <w:left w:val="nil"/>
              <w:bottom w:val="single" w:sz="6" w:space="0" w:color="000000"/>
              <w:right w:val="nil"/>
            </w:tcBorders>
            <w:vAlign w:val="center"/>
            <w:hideMark/>
          </w:tcPr>
          <w:p w14:paraId="6E9F8522" w14:textId="77777777" w:rsidR="00DB51A1" w:rsidRPr="00143FD5" w:rsidRDefault="00DB51A1" w:rsidP="002C76E7">
            <w:pPr>
              <w:rPr>
                <w:rFonts w:ascii="Arial" w:hAnsi="Arial" w:cs="Arial"/>
                <w:sz w:val="16"/>
                <w:szCs w:val="16"/>
              </w:rPr>
            </w:pPr>
          </w:p>
        </w:tc>
        <w:tc>
          <w:tcPr>
            <w:tcW w:w="0" w:type="auto"/>
            <w:vMerge/>
            <w:tcBorders>
              <w:top w:val="single" w:sz="6" w:space="0" w:color="000000"/>
              <w:left w:val="nil"/>
              <w:bottom w:val="single" w:sz="6" w:space="0" w:color="000000"/>
              <w:right w:val="nil"/>
            </w:tcBorders>
            <w:vAlign w:val="center"/>
            <w:hideMark/>
          </w:tcPr>
          <w:p w14:paraId="78C35518" w14:textId="77777777" w:rsidR="00DB51A1" w:rsidRPr="00143FD5" w:rsidRDefault="00DB51A1" w:rsidP="002C76E7">
            <w:pPr>
              <w:rPr>
                <w:rFonts w:ascii="Arial" w:hAnsi="Arial" w:cs="Arial"/>
                <w:sz w:val="16"/>
                <w:szCs w:val="16"/>
              </w:rPr>
            </w:pPr>
          </w:p>
        </w:tc>
        <w:tc>
          <w:tcPr>
            <w:tcW w:w="0" w:type="auto"/>
            <w:vMerge/>
            <w:tcBorders>
              <w:top w:val="single" w:sz="6" w:space="0" w:color="000000"/>
              <w:left w:val="nil"/>
              <w:bottom w:val="single" w:sz="6" w:space="0" w:color="000000"/>
              <w:right w:val="nil"/>
            </w:tcBorders>
            <w:vAlign w:val="center"/>
            <w:hideMark/>
          </w:tcPr>
          <w:p w14:paraId="78A481B6" w14:textId="77777777" w:rsidR="00DB51A1" w:rsidRPr="00143FD5" w:rsidRDefault="00DB51A1" w:rsidP="002C76E7">
            <w:pPr>
              <w:rPr>
                <w:rFonts w:ascii="Arial" w:hAnsi="Arial" w:cs="Arial"/>
                <w:sz w:val="16"/>
                <w:szCs w:val="16"/>
              </w:rPr>
            </w:pPr>
          </w:p>
        </w:tc>
        <w:tc>
          <w:tcPr>
            <w:tcW w:w="0" w:type="auto"/>
            <w:vMerge/>
            <w:tcBorders>
              <w:top w:val="single" w:sz="6" w:space="0" w:color="000000"/>
              <w:left w:val="nil"/>
              <w:bottom w:val="single" w:sz="6" w:space="0" w:color="000000"/>
              <w:right w:val="nil"/>
            </w:tcBorders>
            <w:vAlign w:val="center"/>
            <w:hideMark/>
          </w:tcPr>
          <w:p w14:paraId="5A111708" w14:textId="77777777" w:rsidR="00DB51A1" w:rsidRPr="00143FD5" w:rsidRDefault="00DB51A1" w:rsidP="002C76E7">
            <w:pPr>
              <w:rPr>
                <w:rFonts w:ascii="Arial" w:hAnsi="Arial" w:cs="Arial"/>
                <w:sz w:val="16"/>
                <w:szCs w:val="16"/>
              </w:rPr>
            </w:pPr>
          </w:p>
        </w:tc>
        <w:tc>
          <w:tcPr>
            <w:tcW w:w="0" w:type="auto"/>
            <w:tcBorders>
              <w:top w:val="single" w:sz="6" w:space="0" w:color="000000"/>
              <w:left w:val="nil"/>
              <w:bottom w:val="single" w:sz="6" w:space="0" w:color="000000"/>
              <w:right w:val="nil"/>
            </w:tcBorders>
            <w:shd w:val="clear" w:color="auto" w:fill="EDEDED"/>
            <w:vAlign w:val="center"/>
            <w:hideMark/>
          </w:tcPr>
          <w:p w14:paraId="5CAD67BE" w14:textId="77777777" w:rsidR="00DB51A1" w:rsidRPr="00143FD5" w:rsidRDefault="00DB51A1" w:rsidP="002C76E7">
            <w:pPr>
              <w:jc w:val="center"/>
              <w:rPr>
                <w:rFonts w:ascii="Arial" w:hAnsi="Arial" w:cs="Arial"/>
                <w:sz w:val="16"/>
                <w:szCs w:val="16"/>
              </w:rPr>
            </w:pPr>
            <w:r w:rsidRPr="00A41162">
              <w:rPr>
                <w:rFonts w:ascii="Arial" w:hAnsi="Arial" w:cs="Arial"/>
                <w:sz w:val="16"/>
                <w:szCs w:val="16"/>
              </w:rPr>
              <w:t>90 per 1,000</w:t>
            </w:r>
          </w:p>
        </w:tc>
        <w:tc>
          <w:tcPr>
            <w:tcW w:w="0" w:type="auto"/>
            <w:tcBorders>
              <w:top w:val="single" w:sz="6" w:space="0" w:color="000000"/>
              <w:left w:val="nil"/>
              <w:bottom w:val="single" w:sz="6" w:space="0" w:color="000000"/>
              <w:right w:val="nil"/>
            </w:tcBorders>
            <w:shd w:val="clear" w:color="auto" w:fill="EDEDED"/>
            <w:vAlign w:val="center"/>
            <w:hideMark/>
          </w:tcPr>
          <w:p w14:paraId="0371DC10" w14:textId="77777777" w:rsidR="00DB51A1" w:rsidRPr="00143FD5" w:rsidRDefault="00DB51A1" w:rsidP="002C76E7">
            <w:pPr>
              <w:jc w:val="center"/>
              <w:rPr>
                <w:rStyle w:val="cell-value"/>
                <w:rFonts w:ascii="Arial" w:hAnsi="Arial" w:cs="Arial"/>
                <w:bCs/>
                <w:sz w:val="16"/>
                <w:szCs w:val="16"/>
              </w:rPr>
            </w:pPr>
            <w:r w:rsidRPr="00143FD5">
              <w:rPr>
                <w:rStyle w:val="cell-value"/>
                <w:rFonts w:ascii="Arial" w:hAnsi="Arial" w:cs="Arial"/>
                <w:b/>
                <w:bCs/>
                <w:sz w:val="16"/>
                <w:szCs w:val="16"/>
              </w:rPr>
              <w:t>757 fewer</w:t>
            </w:r>
            <w:r w:rsidRPr="00143FD5">
              <w:rPr>
                <w:rStyle w:val="cell-value"/>
                <w:rFonts w:ascii="Arial" w:hAnsi="Arial" w:cs="Arial"/>
                <w:bCs/>
                <w:sz w:val="16"/>
                <w:szCs w:val="16"/>
              </w:rPr>
              <w:t xml:space="preserve"> per 1,000 </w:t>
            </w:r>
          </w:p>
          <w:p w14:paraId="421404D7" w14:textId="77777777" w:rsidR="00DB51A1" w:rsidRPr="00143FD5" w:rsidRDefault="00DB51A1" w:rsidP="002C76E7">
            <w:pPr>
              <w:jc w:val="center"/>
              <w:rPr>
                <w:rFonts w:ascii="Arial" w:hAnsi="Arial" w:cs="Arial"/>
                <w:sz w:val="16"/>
                <w:szCs w:val="16"/>
              </w:rPr>
            </w:pPr>
            <w:r w:rsidRPr="00143FD5">
              <w:rPr>
                <w:rStyle w:val="cell-value"/>
                <w:rFonts w:ascii="Arial" w:hAnsi="Arial" w:cs="Arial"/>
                <w:bCs/>
                <w:sz w:val="16"/>
                <w:szCs w:val="16"/>
              </w:rPr>
              <w:t>(from 836 fewer to 655 fewer)</w:t>
            </w:r>
          </w:p>
        </w:tc>
      </w:tr>
      <w:tr w:rsidR="00DB51A1" w:rsidRPr="00143FD5" w14:paraId="4B52E483" w14:textId="77777777" w:rsidTr="00DB51A1">
        <w:trPr>
          <w:cantSplit/>
        </w:trPr>
        <w:tc>
          <w:tcPr>
            <w:tcW w:w="0" w:type="auto"/>
            <w:tcBorders>
              <w:top w:val="single" w:sz="6" w:space="0" w:color="000000"/>
              <w:left w:val="nil"/>
              <w:bottom w:val="single" w:sz="6" w:space="0" w:color="000000"/>
              <w:right w:val="nil"/>
            </w:tcBorders>
            <w:vAlign w:val="center"/>
            <w:hideMark/>
          </w:tcPr>
          <w:p w14:paraId="4E03DAA2" w14:textId="77777777" w:rsidR="00DB51A1" w:rsidRPr="00143FD5" w:rsidRDefault="00DB51A1" w:rsidP="002C76E7">
            <w:pPr>
              <w:jc w:val="center"/>
              <w:rPr>
                <w:rStyle w:val="label"/>
                <w:rFonts w:ascii="Arial" w:hAnsi="Arial" w:cs="Arial"/>
                <w:sz w:val="16"/>
                <w:szCs w:val="16"/>
              </w:rPr>
            </w:pPr>
            <w:r w:rsidRPr="00143FD5">
              <w:rPr>
                <w:rStyle w:val="label"/>
                <w:rFonts w:ascii="Arial" w:hAnsi="Arial" w:cs="Arial"/>
                <w:sz w:val="16"/>
                <w:szCs w:val="16"/>
              </w:rPr>
              <w:t>LUNG FUNCTION</w:t>
            </w:r>
          </w:p>
          <w:p w14:paraId="04E744D5" w14:textId="77777777" w:rsidR="00DB51A1" w:rsidRPr="00143FD5" w:rsidRDefault="00DB51A1" w:rsidP="002C76E7">
            <w:pPr>
              <w:jc w:val="center"/>
              <w:rPr>
                <w:rStyle w:val="label"/>
                <w:rFonts w:ascii="Arial" w:hAnsi="Arial" w:cs="Arial"/>
                <w:sz w:val="16"/>
                <w:szCs w:val="16"/>
              </w:rPr>
            </w:pPr>
            <w:r w:rsidRPr="00143FD5">
              <w:rPr>
                <w:rStyle w:val="label"/>
                <w:rFonts w:ascii="Arial" w:hAnsi="Arial" w:cs="Arial"/>
                <w:sz w:val="16"/>
                <w:szCs w:val="16"/>
              </w:rPr>
              <w:t>assessed with</w:t>
            </w:r>
            <w:r>
              <w:rPr>
                <w:rStyle w:val="label"/>
                <w:rFonts w:ascii="Arial" w:hAnsi="Arial" w:cs="Arial"/>
                <w:sz w:val="16"/>
                <w:szCs w:val="16"/>
              </w:rPr>
              <w:t xml:space="preserve"> </w:t>
            </w:r>
            <w:r w:rsidRPr="00143FD5">
              <w:rPr>
                <w:rStyle w:val="label"/>
                <w:rFonts w:ascii="Arial" w:hAnsi="Arial" w:cs="Arial"/>
                <w:sz w:val="16"/>
                <w:szCs w:val="16"/>
              </w:rPr>
              <w:t xml:space="preserve">FEV1 in L </w:t>
            </w:r>
          </w:p>
          <w:p w14:paraId="374859E6" w14:textId="77777777" w:rsidR="00DB51A1" w:rsidRPr="00143FD5" w:rsidRDefault="00DB51A1" w:rsidP="002C76E7">
            <w:pPr>
              <w:jc w:val="center"/>
              <w:rPr>
                <w:rFonts w:ascii="Arial" w:hAnsi="Arial" w:cs="Arial"/>
                <w:sz w:val="16"/>
                <w:szCs w:val="16"/>
              </w:rPr>
            </w:pPr>
          </w:p>
        </w:tc>
        <w:tc>
          <w:tcPr>
            <w:tcW w:w="0" w:type="auto"/>
            <w:tcBorders>
              <w:top w:val="single" w:sz="6" w:space="0" w:color="000000"/>
              <w:left w:val="nil"/>
              <w:bottom w:val="single" w:sz="6" w:space="0" w:color="000000"/>
              <w:right w:val="nil"/>
            </w:tcBorders>
            <w:vAlign w:val="center"/>
            <w:hideMark/>
          </w:tcPr>
          <w:p w14:paraId="6DADA112" w14:textId="77777777" w:rsidR="00DB51A1" w:rsidRDefault="00DB51A1" w:rsidP="002C76E7">
            <w:pPr>
              <w:jc w:val="center"/>
              <w:rPr>
                <w:rFonts w:ascii="Arial" w:hAnsi="Arial" w:cs="Arial"/>
                <w:sz w:val="16"/>
                <w:szCs w:val="16"/>
                <w:vertAlign w:val="superscript"/>
              </w:rPr>
            </w:pPr>
            <w:r w:rsidRPr="00143FD5">
              <w:rPr>
                <w:rFonts w:ascii="Arial" w:hAnsi="Arial" w:cs="Arial"/>
                <w:sz w:val="16"/>
                <w:szCs w:val="16"/>
              </w:rPr>
              <w:t>2577</w:t>
            </w:r>
            <w:r w:rsidRPr="00143FD5">
              <w:rPr>
                <w:rFonts w:ascii="Arial" w:hAnsi="Arial" w:cs="Arial"/>
                <w:sz w:val="16"/>
                <w:szCs w:val="16"/>
              </w:rPr>
              <w:br/>
              <w:t xml:space="preserve">(3 RCTs) </w:t>
            </w:r>
            <w:r>
              <w:rPr>
                <w:rFonts w:ascii="Arial" w:hAnsi="Arial" w:cs="Arial"/>
                <w:sz w:val="16"/>
                <w:szCs w:val="16"/>
                <w:vertAlign w:val="superscript"/>
              </w:rPr>
              <w:t>26,27,28</w:t>
            </w:r>
          </w:p>
          <w:p w14:paraId="39092B8C" w14:textId="77777777" w:rsidR="00DB51A1" w:rsidRPr="00143FD5" w:rsidRDefault="00DB51A1" w:rsidP="002C76E7">
            <w:pPr>
              <w:jc w:val="center"/>
              <w:rPr>
                <w:rFonts w:ascii="Arial" w:hAnsi="Arial" w:cs="Arial"/>
                <w:sz w:val="16"/>
                <w:szCs w:val="16"/>
              </w:rPr>
            </w:pPr>
            <w:r w:rsidRPr="00143FD5">
              <w:rPr>
                <w:rStyle w:val="label"/>
                <w:rFonts w:ascii="Arial" w:hAnsi="Arial" w:cs="Arial"/>
                <w:sz w:val="16"/>
                <w:szCs w:val="16"/>
              </w:rPr>
              <w:t>24 to 52 week</w:t>
            </w:r>
            <w:r>
              <w:rPr>
                <w:rStyle w:val="label"/>
                <w:rFonts w:ascii="Arial" w:hAnsi="Arial" w:cs="Arial"/>
                <w:sz w:val="16"/>
                <w:szCs w:val="16"/>
              </w:rPr>
              <w:t>s</w:t>
            </w:r>
          </w:p>
        </w:tc>
        <w:tc>
          <w:tcPr>
            <w:tcW w:w="0" w:type="auto"/>
            <w:tcBorders>
              <w:top w:val="single" w:sz="6" w:space="0" w:color="000000"/>
              <w:left w:val="nil"/>
              <w:bottom w:val="single" w:sz="6" w:space="0" w:color="000000"/>
              <w:right w:val="nil"/>
            </w:tcBorders>
            <w:vAlign w:val="center"/>
            <w:hideMark/>
          </w:tcPr>
          <w:p w14:paraId="2FD86504" w14:textId="77777777" w:rsidR="00DB51A1" w:rsidRPr="00143FD5" w:rsidRDefault="00DB51A1" w:rsidP="002C76E7">
            <w:pPr>
              <w:jc w:val="center"/>
              <w:rPr>
                <w:rFonts w:ascii="Arial" w:hAnsi="Arial" w:cs="Arial"/>
                <w:sz w:val="16"/>
                <w:szCs w:val="16"/>
              </w:rPr>
            </w:pPr>
            <w:r w:rsidRPr="00143FD5">
              <w:rPr>
                <w:rStyle w:val="quality-sign"/>
                <w:rFonts w:ascii="Cambria Math" w:hAnsi="Cambria Math" w:cs="Cambria Math"/>
                <w:sz w:val="16"/>
                <w:szCs w:val="16"/>
              </w:rPr>
              <w:t>⨁⨁⨁</w:t>
            </w:r>
            <w:r w:rsidRPr="00143FD5">
              <w:rPr>
                <w:rStyle w:val="quality-sign"/>
                <w:rFonts w:ascii="Segoe UI Symbol" w:eastAsia="MS Gothic" w:hAnsi="Segoe UI Symbol" w:cs="Segoe UI Symbol"/>
                <w:sz w:val="16"/>
                <w:szCs w:val="16"/>
              </w:rPr>
              <w:t>◯</w:t>
            </w:r>
            <w:r w:rsidRPr="00143FD5">
              <w:rPr>
                <w:rFonts w:ascii="Arial" w:hAnsi="Arial" w:cs="Arial"/>
                <w:sz w:val="16"/>
                <w:szCs w:val="16"/>
              </w:rPr>
              <w:br/>
              <w:t xml:space="preserve">MODERATE </w:t>
            </w:r>
            <w:proofErr w:type="gramStart"/>
            <w:r w:rsidRPr="00143FD5">
              <w:rPr>
                <w:rFonts w:ascii="Arial" w:hAnsi="Arial" w:cs="Arial"/>
                <w:sz w:val="16"/>
                <w:szCs w:val="16"/>
                <w:vertAlign w:val="superscript"/>
              </w:rPr>
              <w:t>4,a</w:t>
            </w:r>
            <w:proofErr w:type="gramEnd"/>
            <w:r w:rsidRPr="00143FD5">
              <w:rPr>
                <w:rFonts w:ascii="Arial" w:hAnsi="Arial" w:cs="Arial"/>
                <w:sz w:val="16"/>
                <w:szCs w:val="16"/>
                <w:vertAlign w:val="superscript"/>
              </w:rPr>
              <w:t>,c,d</w:t>
            </w:r>
          </w:p>
        </w:tc>
        <w:tc>
          <w:tcPr>
            <w:tcW w:w="0" w:type="auto"/>
            <w:tcBorders>
              <w:top w:val="single" w:sz="6" w:space="0" w:color="000000"/>
              <w:left w:val="nil"/>
              <w:bottom w:val="single" w:sz="6" w:space="0" w:color="000000"/>
              <w:right w:val="nil"/>
            </w:tcBorders>
            <w:vAlign w:val="center"/>
            <w:hideMark/>
          </w:tcPr>
          <w:p w14:paraId="1BA8050D" w14:textId="77777777" w:rsidR="00DB51A1" w:rsidRPr="00143FD5" w:rsidRDefault="00DB51A1" w:rsidP="002C76E7">
            <w:pPr>
              <w:jc w:val="center"/>
              <w:rPr>
                <w:rFonts w:ascii="Arial" w:hAnsi="Arial" w:cs="Arial"/>
                <w:sz w:val="16"/>
                <w:szCs w:val="16"/>
              </w:rPr>
            </w:pPr>
            <w:r w:rsidRPr="00143FD5">
              <w:rPr>
                <w:rStyle w:val="cell"/>
                <w:rFonts w:ascii="Arial" w:hAnsi="Arial" w:cs="Arial"/>
                <w:sz w:val="16"/>
                <w:szCs w:val="16"/>
              </w:rPr>
              <w:t>-</w:t>
            </w:r>
            <w:r w:rsidRPr="00143FD5">
              <w:rPr>
                <w:rFonts w:ascii="Arial" w:hAnsi="Arial" w:cs="Arial"/>
                <w:sz w:val="16"/>
                <w:szCs w:val="16"/>
              </w:rPr>
              <w:t xml:space="preserve"> </w:t>
            </w:r>
          </w:p>
        </w:tc>
        <w:tc>
          <w:tcPr>
            <w:tcW w:w="0" w:type="auto"/>
            <w:tcBorders>
              <w:top w:val="single" w:sz="6" w:space="0" w:color="000000"/>
              <w:left w:val="nil"/>
              <w:bottom w:val="single" w:sz="6" w:space="0" w:color="000000"/>
              <w:right w:val="nil"/>
            </w:tcBorders>
            <w:shd w:val="clear" w:color="auto" w:fill="EDEDED"/>
            <w:vAlign w:val="center"/>
            <w:hideMark/>
          </w:tcPr>
          <w:p w14:paraId="17D678D9" w14:textId="77777777" w:rsidR="00DB51A1" w:rsidRPr="00143FD5" w:rsidRDefault="00DB51A1" w:rsidP="002C76E7">
            <w:pPr>
              <w:jc w:val="center"/>
              <w:rPr>
                <w:rFonts w:ascii="Arial" w:hAnsi="Arial" w:cs="Arial"/>
                <w:sz w:val="16"/>
                <w:szCs w:val="16"/>
              </w:rPr>
            </w:pPr>
            <w:r w:rsidRPr="00143FD5">
              <w:rPr>
                <w:rFonts w:ascii="Arial" w:hAnsi="Arial" w:cs="Arial"/>
                <w:sz w:val="16"/>
                <w:szCs w:val="16"/>
              </w:rPr>
              <w:t>-</w:t>
            </w:r>
          </w:p>
        </w:tc>
        <w:tc>
          <w:tcPr>
            <w:tcW w:w="0" w:type="auto"/>
            <w:tcBorders>
              <w:top w:val="single" w:sz="6" w:space="0" w:color="000000"/>
              <w:left w:val="nil"/>
              <w:bottom w:val="single" w:sz="6" w:space="0" w:color="000000"/>
              <w:right w:val="nil"/>
            </w:tcBorders>
            <w:shd w:val="clear" w:color="auto" w:fill="EDEDED"/>
            <w:vAlign w:val="center"/>
            <w:hideMark/>
          </w:tcPr>
          <w:p w14:paraId="19E6EE5B" w14:textId="0CAA8636" w:rsidR="00DB51A1" w:rsidRPr="00143FD5" w:rsidRDefault="00DB51A1" w:rsidP="002C76E7">
            <w:pPr>
              <w:jc w:val="center"/>
              <w:rPr>
                <w:rFonts w:ascii="Arial" w:hAnsi="Arial" w:cs="Arial"/>
                <w:sz w:val="16"/>
                <w:szCs w:val="16"/>
              </w:rPr>
            </w:pPr>
            <w:r w:rsidRPr="00143FD5">
              <w:rPr>
                <w:rStyle w:val="cell-value"/>
                <w:rFonts w:ascii="Arial" w:hAnsi="Arial" w:cs="Arial"/>
                <w:sz w:val="16"/>
                <w:szCs w:val="16"/>
              </w:rPr>
              <w:t xml:space="preserve">MD </w:t>
            </w:r>
            <w:r>
              <w:rPr>
                <w:rStyle w:val="cell-value"/>
                <w:rFonts w:ascii="Arial" w:hAnsi="Arial" w:cs="Arial"/>
                <w:sz w:val="16"/>
                <w:szCs w:val="16"/>
              </w:rPr>
              <w:t>+</w:t>
            </w:r>
            <w:r w:rsidRPr="00143FD5">
              <w:rPr>
                <w:rStyle w:val="cell-value"/>
                <w:rFonts w:ascii="Arial" w:hAnsi="Arial" w:cs="Arial"/>
                <w:b/>
                <w:sz w:val="16"/>
                <w:szCs w:val="16"/>
              </w:rPr>
              <w:t xml:space="preserve">0.15 </w:t>
            </w:r>
            <w:r w:rsidRPr="00143FD5">
              <w:rPr>
                <w:rStyle w:val="cell-value"/>
                <w:rFonts w:ascii="Arial" w:hAnsi="Arial" w:cs="Arial"/>
                <w:sz w:val="16"/>
                <w:szCs w:val="16"/>
              </w:rPr>
              <w:t>(</w:t>
            </w:r>
            <w:r>
              <w:rPr>
                <w:rStyle w:val="cell-value"/>
                <w:rFonts w:ascii="Arial" w:hAnsi="Arial" w:cs="Arial"/>
                <w:sz w:val="16"/>
                <w:szCs w:val="16"/>
              </w:rPr>
              <w:t>+</w:t>
            </w:r>
            <w:r w:rsidRPr="00143FD5">
              <w:rPr>
                <w:rStyle w:val="cell-value"/>
                <w:rFonts w:ascii="Arial" w:hAnsi="Arial" w:cs="Arial"/>
                <w:sz w:val="16"/>
                <w:szCs w:val="16"/>
              </w:rPr>
              <w:t xml:space="preserve">0.11 to </w:t>
            </w:r>
            <w:r>
              <w:rPr>
                <w:rStyle w:val="cell-value"/>
                <w:rFonts w:ascii="Arial" w:hAnsi="Arial" w:cs="Arial"/>
                <w:sz w:val="16"/>
                <w:szCs w:val="16"/>
              </w:rPr>
              <w:t>+</w:t>
            </w:r>
            <w:r w:rsidRPr="00143FD5">
              <w:rPr>
                <w:rStyle w:val="cell-value"/>
                <w:rFonts w:ascii="Arial" w:hAnsi="Arial" w:cs="Arial"/>
                <w:sz w:val="16"/>
                <w:szCs w:val="16"/>
              </w:rPr>
              <w:t>0.</w:t>
            </w:r>
            <w:proofErr w:type="gramStart"/>
            <w:r w:rsidRPr="00143FD5">
              <w:rPr>
                <w:rStyle w:val="cell-value"/>
                <w:rFonts w:ascii="Arial" w:hAnsi="Arial" w:cs="Arial"/>
                <w:sz w:val="16"/>
                <w:szCs w:val="16"/>
              </w:rPr>
              <w:t>18)</w:t>
            </w:r>
            <w:r w:rsidRPr="00143FD5">
              <w:rPr>
                <w:rStyle w:val="cell-value"/>
                <w:rFonts w:ascii="Arial" w:hAnsi="Arial" w:cs="Arial"/>
                <w:sz w:val="16"/>
                <w:szCs w:val="16"/>
                <w:vertAlign w:val="superscript"/>
              </w:rPr>
              <w:t>b</w:t>
            </w:r>
            <w:proofErr w:type="gramEnd"/>
          </w:p>
        </w:tc>
      </w:tr>
      <w:tr w:rsidR="00DB51A1" w:rsidRPr="00143FD5" w14:paraId="1C070CF9" w14:textId="77777777" w:rsidTr="00DB51A1">
        <w:trPr>
          <w:cantSplit/>
        </w:trPr>
        <w:tc>
          <w:tcPr>
            <w:tcW w:w="0" w:type="auto"/>
            <w:tcBorders>
              <w:top w:val="single" w:sz="6" w:space="0" w:color="000000"/>
              <w:left w:val="nil"/>
              <w:bottom w:val="single" w:sz="6" w:space="0" w:color="000000"/>
              <w:right w:val="nil"/>
            </w:tcBorders>
            <w:vAlign w:val="center"/>
            <w:hideMark/>
          </w:tcPr>
          <w:p w14:paraId="46154C0F" w14:textId="77777777" w:rsidR="00DB51A1" w:rsidRPr="00143FD5" w:rsidRDefault="00DB51A1" w:rsidP="002C76E7">
            <w:pPr>
              <w:jc w:val="center"/>
              <w:rPr>
                <w:rStyle w:val="label"/>
                <w:rFonts w:ascii="Arial" w:hAnsi="Arial" w:cs="Arial"/>
                <w:sz w:val="16"/>
                <w:szCs w:val="16"/>
              </w:rPr>
            </w:pPr>
            <w:r w:rsidRPr="00143FD5">
              <w:rPr>
                <w:rStyle w:val="label"/>
                <w:rFonts w:ascii="Arial" w:hAnsi="Arial" w:cs="Arial"/>
                <w:sz w:val="16"/>
                <w:szCs w:val="16"/>
              </w:rPr>
              <w:t>ASTHMA CON</w:t>
            </w:r>
            <w:r>
              <w:rPr>
                <w:rStyle w:val="label"/>
                <w:rFonts w:ascii="Arial" w:hAnsi="Arial" w:cs="Arial"/>
                <w:sz w:val="16"/>
                <w:szCs w:val="16"/>
              </w:rPr>
              <w:t>T</w:t>
            </w:r>
            <w:r w:rsidRPr="00143FD5">
              <w:rPr>
                <w:rStyle w:val="label"/>
                <w:rFonts w:ascii="Arial" w:hAnsi="Arial" w:cs="Arial"/>
                <w:sz w:val="16"/>
                <w:szCs w:val="16"/>
              </w:rPr>
              <w:t>ROL</w:t>
            </w:r>
          </w:p>
          <w:p w14:paraId="3A13A674" w14:textId="77777777" w:rsidR="00DB51A1" w:rsidRPr="00143FD5" w:rsidRDefault="00DB51A1" w:rsidP="002C76E7">
            <w:pPr>
              <w:jc w:val="center"/>
              <w:rPr>
                <w:rStyle w:val="label"/>
                <w:rFonts w:ascii="Arial" w:hAnsi="Arial" w:cs="Arial"/>
                <w:sz w:val="16"/>
                <w:szCs w:val="16"/>
              </w:rPr>
            </w:pPr>
            <w:r w:rsidRPr="00143FD5">
              <w:rPr>
                <w:rStyle w:val="label"/>
                <w:rFonts w:ascii="Arial" w:hAnsi="Arial" w:cs="Arial"/>
                <w:sz w:val="16"/>
                <w:szCs w:val="16"/>
              </w:rPr>
              <w:t>assessed with</w:t>
            </w:r>
            <w:r>
              <w:rPr>
                <w:rStyle w:val="label"/>
                <w:rFonts w:ascii="Arial" w:hAnsi="Arial" w:cs="Arial"/>
                <w:sz w:val="16"/>
                <w:szCs w:val="16"/>
              </w:rPr>
              <w:t xml:space="preserve"> </w:t>
            </w:r>
            <w:r w:rsidRPr="00143FD5">
              <w:rPr>
                <w:rStyle w:val="label"/>
                <w:rFonts w:ascii="Arial" w:hAnsi="Arial" w:cs="Arial"/>
                <w:sz w:val="16"/>
                <w:szCs w:val="16"/>
              </w:rPr>
              <w:t>Asthma Control Questionnaire</w:t>
            </w:r>
            <w:r>
              <w:rPr>
                <w:rStyle w:val="label"/>
                <w:rFonts w:ascii="Arial" w:hAnsi="Arial" w:cs="Arial"/>
                <w:sz w:val="16"/>
                <w:szCs w:val="16"/>
              </w:rPr>
              <w:t>-5</w:t>
            </w:r>
          </w:p>
          <w:p w14:paraId="1EE5832A" w14:textId="77777777" w:rsidR="00DB51A1" w:rsidRPr="00143FD5" w:rsidRDefault="00DB51A1" w:rsidP="002C76E7">
            <w:pPr>
              <w:jc w:val="center"/>
              <w:rPr>
                <w:rStyle w:val="label"/>
                <w:rFonts w:ascii="Arial" w:hAnsi="Arial" w:cs="Arial"/>
                <w:sz w:val="16"/>
                <w:szCs w:val="16"/>
              </w:rPr>
            </w:pPr>
            <w:r w:rsidRPr="00143FD5">
              <w:rPr>
                <w:rStyle w:val="label"/>
                <w:rFonts w:ascii="Arial" w:hAnsi="Arial" w:cs="Arial"/>
                <w:sz w:val="16"/>
                <w:szCs w:val="16"/>
              </w:rPr>
              <w:t>(ACQ-5)</w:t>
            </w:r>
          </w:p>
          <w:p w14:paraId="65E59F9F" w14:textId="77777777" w:rsidR="00DB51A1" w:rsidRPr="00143FD5" w:rsidRDefault="00DB51A1" w:rsidP="002C76E7">
            <w:pPr>
              <w:jc w:val="center"/>
              <w:rPr>
                <w:rStyle w:val="label"/>
                <w:rFonts w:ascii="Arial" w:hAnsi="Arial" w:cs="Arial"/>
                <w:sz w:val="16"/>
                <w:szCs w:val="16"/>
              </w:rPr>
            </w:pPr>
            <w:r w:rsidRPr="00143FD5">
              <w:rPr>
                <w:rStyle w:val="label"/>
                <w:rFonts w:ascii="Arial" w:hAnsi="Arial" w:cs="Arial"/>
                <w:sz w:val="16"/>
                <w:szCs w:val="16"/>
              </w:rPr>
              <w:t>Scale from: 1 to 5</w:t>
            </w:r>
          </w:p>
          <w:p w14:paraId="35298DE6" w14:textId="77777777" w:rsidR="00DB51A1" w:rsidRPr="00143FD5" w:rsidRDefault="00DB51A1" w:rsidP="002C76E7">
            <w:pPr>
              <w:jc w:val="center"/>
              <w:rPr>
                <w:rFonts w:ascii="Arial" w:hAnsi="Arial" w:cs="Arial"/>
                <w:sz w:val="16"/>
                <w:szCs w:val="16"/>
              </w:rPr>
            </w:pPr>
          </w:p>
        </w:tc>
        <w:tc>
          <w:tcPr>
            <w:tcW w:w="0" w:type="auto"/>
            <w:tcBorders>
              <w:top w:val="single" w:sz="6" w:space="0" w:color="000000"/>
              <w:left w:val="nil"/>
              <w:bottom w:val="single" w:sz="6" w:space="0" w:color="000000"/>
              <w:right w:val="nil"/>
            </w:tcBorders>
            <w:vAlign w:val="center"/>
            <w:hideMark/>
          </w:tcPr>
          <w:p w14:paraId="1635830E" w14:textId="77777777" w:rsidR="00DB51A1" w:rsidRDefault="00DB51A1" w:rsidP="002C76E7">
            <w:pPr>
              <w:jc w:val="center"/>
              <w:rPr>
                <w:rFonts w:ascii="Arial" w:hAnsi="Arial" w:cs="Arial"/>
                <w:sz w:val="16"/>
                <w:szCs w:val="16"/>
                <w:vertAlign w:val="superscript"/>
              </w:rPr>
            </w:pPr>
            <w:r w:rsidRPr="00143FD5">
              <w:rPr>
                <w:rFonts w:ascii="Arial" w:hAnsi="Arial" w:cs="Arial"/>
                <w:sz w:val="16"/>
                <w:szCs w:val="16"/>
              </w:rPr>
              <w:t>2516</w:t>
            </w:r>
            <w:r w:rsidRPr="00143FD5">
              <w:rPr>
                <w:rFonts w:ascii="Arial" w:hAnsi="Arial" w:cs="Arial"/>
                <w:sz w:val="16"/>
                <w:szCs w:val="16"/>
              </w:rPr>
              <w:br/>
              <w:t xml:space="preserve">(3 RCTs) </w:t>
            </w:r>
            <w:r>
              <w:rPr>
                <w:rFonts w:ascii="Arial" w:hAnsi="Arial" w:cs="Arial"/>
                <w:sz w:val="16"/>
                <w:szCs w:val="16"/>
                <w:vertAlign w:val="superscript"/>
              </w:rPr>
              <w:t>26,27,28</w:t>
            </w:r>
          </w:p>
          <w:p w14:paraId="1DF1630A" w14:textId="77777777" w:rsidR="00DB51A1" w:rsidRPr="00143FD5" w:rsidRDefault="00DB51A1" w:rsidP="002C76E7">
            <w:pPr>
              <w:jc w:val="center"/>
              <w:rPr>
                <w:rFonts w:ascii="Arial" w:hAnsi="Arial" w:cs="Arial"/>
                <w:sz w:val="16"/>
                <w:szCs w:val="16"/>
              </w:rPr>
            </w:pPr>
            <w:r w:rsidRPr="00143FD5">
              <w:rPr>
                <w:rStyle w:val="label"/>
                <w:rFonts w:ascii="Arial" w:hAnsi="Arial" w:cs="Arial"/>
                <w:sz w:val="16"/>
                <w:szCs w:val="16"/>
              </w:rPr>
              <w:t>24 to 52 week</w:t>
            </w:r>
            <w:r>
              <w:rPr>
                <w:rStyle w:val="label"/>
                <w:rFonts w:ascii="Arial" w:hAnsi="Arial" w:cs="Arial"/>
                <w:sz w:val="16"/>
                <w:szCs w:val="16"/>
              </w:rPr>
              <w:t>s</w:t>
            </w:r>
          </w:p>
        </w:tc>
        <w:tc>
          <w:tcPr>
            <w:tcW w:w="0" w:type="auto"/>
            <w:tcBorders>
              <w:top w:val="single" w:sz="6" w:space="0" w:color="000000"/>
              <w:left w:val="nil"/>
              <w:bottom w:val="single" w:sz="6" w:space="0" w:color="000000"/>
              <w:right w:val="nil"/>
            </w:tcBorders>
            <w:vAlign w:val="center"/>
            <w:hideMark/>
          </w:tcPr>
          <w:p w14:paraId="50713DE4" w14:textId="77777777" w:rsidR="00DB51A1" w:rsidRPr="00143FD5" w:rsidRDefault="00DB51A1" w:rsidP="002C76E7">
            <w:pPr>
              <w:jc w:val="center"/>
              <w:rPr>
                <w:rFonts w:ascii="Arial" w:hAnsi="Arial" w:cs="Arial"/>
                <w:sz w:val="16"/>
                <w:szCs w:val="16"/>
              </w:rPr>
            </w:pPr>
            <w:r w:rsidRPr="00143FD5">
              <w:rPr>
                <w:rStyle w:val="quality-sign"/>
                <w:rFonts w:ascii="Cambria Math" w:hAnsi="Cambria Math" w:cs="Cambria Math"/>
                <w:sz w:val="16"/>
                <w:szCs w:val="16"/>
              </w:rPr>
              <w:t>⨁⨁⨁⨁</w:t>
            </w:r>
            <w:r w:rsidRPr="00143FD5">
              <w:rPr>
                <w:rFonts w:ascii="Arial" w:hAnsi="Arial" w:cs="Arial"/>
                <w:sz w:val="16"/>
                <w:szCs w:val="16"/>
              </w:rPr>
              <w:br/>
            </w:r>
            <w:r w:rsidRPr="00143FD5">
              <w:rPr>
                <w:rStyle w:val="quality-text"/>
                <w:rFonts w:ascii="Arial" w:hAnsi="Arial" w:cs="Arial"/>
                <w:sz w:val="16"/>
                <w:szCs w:val="16"/>
              </w:rPr>
              <w:t>HIGH</w:t>
            </w:r>
            <w:r w:rsidRPr="00143FD5">
              <w:rPr>
                <w:rFonts w:ascii="Arial" w:hAnsi="Arial" w:cs="Arial"/>
                <w:sz w:val="16"/>
                <w:szCs w:val="16"/>
              </w:rPr>
              <w:t xml:space="preserve"> </w:t>
            </w:r>
            <w:proofErr w:type="gramStart"/>
            <w:r w:rsidRPr="00143FD5">
              <w:rPr>
                <w:rFonts w:ascii="Arial" w:hAnsi="Arial" w:cs="Arial"/>
                <w:sz w:val="16"/>
                <w:szCs w:val="16"/>
                <w:vertAlign w:val="superscript"/>
              </w:rPr>
              <w:t>4</w:t>
            </w:r>
            <w:r w:rsidRPr="00143FD5">
              <w:rPr>
                <w:rStyle w:val="comma"/>
                <w:rFonts w:ascii="Arial" w:hAnsi="Arial" w:cs="Arial"/>
                <w:sz w:val="16"/>
                <w:szCs w:val="16"/>
                <w:vertAlign w:val="superscript"/>
              </w:rPr>
              <w:t>,</w:t>
            </w:r>
            <w:r w:rsidRPr="00143FD5">
              <w:rPr>
                <w:rFonts w:ascii="Arial" w:hAnsi="Arial" w:cs="Arial"/>
                <w:sz w:val="16"/>
                <w:szCs w:val="16"/>
                <w:vertAlign w:val="superscript"/>
              </w:rPr>
              <w:t>a</w:t>
            </w:r>
            <w:proofErr w:type="gramEnd"/>
            <w:r w:rsidRPr="00143FD5">
              <w:rPr>
                <w:rFonts w:ascii="Arial" w:hAnsi="Arial" w:cs="Arial"/>
                <w:sz w:val="16"/>
                <w:szCs w:val="16"/>
                <w:vertAlign w:val="superscript"/>
              </w:rPr>
              <w:t>, e</w:t>
            </w:r>
          </w:p>
        </w:tc>
        <w:tc>
          <w:tcPr>
            <w:tcW w:w="0" w:type="auto"/>
            <w:tcBorders>
              <w:top w:val="single" w:sz="6" w:space="0" w:color="000000"/>
              <w:left w:val="nil"/>
              <w:bottom w:val="single" w:sz="6" w:space="0" w:color="000000"/>
              <w:right w:val="nil"/>
            </w:tcBorders>
            <w:vAlign w:val="center"/>
            <w:hideMark/>
          </w:tcPr>
          <w:p w14:paraId="236023B4" w14:textId="77777777" w:rsidR="00DB51A1" w:rsidRPr="00143FD5" w:rsidRDefault="00DB51A1" w:rsidP="002C76E7">
            <w:pPr>
              <w:jc w:val="center"/>
              <w:rPr>
                <w:rFonts w:ascii="Arial" w:hAnsi="Arial" w:cs="Arial"/>
                <w:sz w:val="16"/>
                <w:szCs w:val="16"/>
              </w:rPr>
            </w:pPr>
            <w:r w:rsidRPr="00143FD5">
              <w:rPr>
                <w:rStyle w:val="cell"/>
                <w:rFonts w:ascii="Arial" w:hAnsi="Arial" w:cs="Arial"/>
                <w:sz w:val="16"/>
                <w:szCs w:val="16"/>
              </w:rPr>
              <w:t>-</w:t>
            </w:r>
            <w:r w:rsidRPr="00143FD5">
              <w:rPr>
                <w:rFonts w:ascii="Arial" w:hAnsi="Arial" w:cs="Arial"/>
                <w:sz w:val="16"/>
                <w:szCs w:val="16"/>
              </w:rPr>
              <w:t xml:space="preserve"> </w:t>
            </w:r>
          </w:p>
        </w:tc>
        <w:tc>
          <w:tcPr>
            <w:tcW w:w="0" w:type="auto"/>
            <w:tcBorders>
              <w:top w:val="single" w:sz="6" w:space="0" w:color="000000"/>
              <w:left w:val="nil"/>
              <w:bottom w:val="single" w:sz="6" w:space="0" w:color="000000"/>
              <w:right w:val="nil"/>
            </w:tcBorders>
            <w:shd w:val="clear" w:color="auto" w:fill="EDEDED"/>
            <w:vAlign w:val="center"/>
            <w:hideMark/>
          </w:tcPr>
          <w:p w14:paraId="3A467BFE" w14:textId="77777777" w:rsidR="00DB51A1" w:rsidRPr="00143FD5" w:rsidRDefault="00DB51A1" w:rsidP="002C76E7">
            <w:pPr>
              <w:jc w:val="center"/>
              <w:rPr>
                <w:rFonts w:ascii="Arial" w:hAnsi="Arial" w:cs="Arial"/>
                <w:sz w:val="16"/>
                <w:szCs w:val="16"/>
              </w:rPr>
            </w:pPr>
            <w:r w:rsidRPr="00143FD5">
              <w:rPr>
                <w:rStyle w:val="cell-value"/>
                <w:rFonts w:ascii="Arial" w:hAnsi="Arial" w:cs="Arial"/>
                <w:sz w:val="16"/>
                <w:szCs w:val="16"/>
              </w:rPr>
              <w:t>-</w:t>
            </w:r>
            <w:r w:rsidRPr="00143FD5">
              <w:rPr>
                <w:rFonts w:ascii="Arial" w:hAnsi="Arial" w:cs="Arial"/>
                <w:sz w:val="16"/>
                <w:szCs w:val="16"/>
              </w:rPr>
              <w:t xml:space="preserve"> </w:t>
            </w:r>
          </w:p>
        </w:tc>
        <w:tc>
          <w:tcPr>
            <w:tcW w:w="0" w:type="auto"/>
            <w:tcBorders>
              <w:top w:val="single" w:sz="6" w:space="0" w:color="000000"/>
              <w:left w:val="nil"/>
              <w:bottom w:val="single" w:sz="6" w:space="0" w:color="000000"/>
              <w:right w:val="nil"/>
            </w:tcBorders>
            <w:shd w:val="clear" w:color="auto" w:fill="EDEDED"/>
            <w:vAlign w:val="center"/>
            <w:hideMark/>
          </w:tcPr>
          <w:p w14:paraId="3D0FA3AE" w14:textId="3D4C89EC" w:rsidR="00DB51A1" w:rsidRPr="00143FD5" w:rsidRDefault="00DB51A1" w:rsidP="002C76E7">
            <w:pPr>
              <w:jc w:val="center"/>
              <w:rPr>
                <w:rFonts w:ascii="Arial" w:hAnsi="Arial" w:cs="Arial"/>
                <w:sz w:val="16"/>
                <w:szCs w:val="16"/>
              </w:rPr>
            </w:pPr>
            <w:r w:rsidRPr="00143FD5">
              <w:rPr>
                <w:rFonts w:ascii="Arial" w:hAnsi="Arial" w:cs="Arial"/>
                <w:sz w:val="16"/>
                <w:szCs w:val="16"/>
              </w:rPr>
              <w:t xml:space="preserve">MD </w:t>
            </w:r>
            <w:r>
              <w:rPr>
                <w:rFonts w:ascii="Arial" w:hAnsi="Arial" w:cs="Arial"/>
                <w:sz w:val="16"/>
                <w:szCs w:val="16"/>
              </w:rPr>
              <w:t>-</w:t>
            </w:r>
            <w:r w:rsidRPr="00143FD5">
              <w:rPr>
                <w:rFonts w:ascii="Arial" w:hAnsi="Arial" w:cs="Arial"/>
                <w:b/>
                <w:sz w:val="16"/>
                <w:szCs w:val="16"/>
              </w:rPr>
              <w:t xml:space="preserve">0.28 </w:t>
            </w:r>
            <w:r w:rsidRPr="00143FD5">
              <w:rPr>
                <w:rFonts w:ascii="Arial" w:hAnsi="Arial" w:cs="Arial"/>
                <w:sz w:val="16"/>
                <w:szCs w:val="16"/>
              </w:rPr>
              <w:t>(</w:t>
            </w:r>
            <w:r>
              <w:rPr>
                <w:rFonts w:ascii="Arial" w:hAnsi="Arial" w:cs="Arial"/>
                <w:sz w:val="16"/>
                <w:szCs w:val="16"/>
              </w:rPr>
              <w:t>-</w:t>
            </w:r>
            <w:r w:rsidRPr="00143FD5">
              <w:rPr>
                <w:rFonts w:ascii="Arial" w:hAnsi="Arial" w:cs="Arial"/>
                <w:sz w:val="16"/>
                <w:szCs w:val="16"/>
              </w:rPr>
              <w:t xml:space="preserve">0.39 to </w:t>
            </w:r>
            <w:r>
              <w:rPr>
                <w:rFonts w:ascii="Arial" w:hAnsi="Arial" w:cs="Arial"/>
                <w:sz w:val="16"/>
                <w:szCs w:val="16"/>
              </w:rPr>
              <w:t>-</w:t>
            </w:r>
            <w:r w:rsidRPr="00143FD5">
              <w:rPr>
                <w:rFonts w:ascii="Arial" w:hAnsi="Arial" w:cs="Arial"/>
                <w:sz w:val="16"/>
                <w:szCs w:val="16"/>
              </w:rPr>
              <w:t xml:space="preserve">0.17) </w:t>
            </w:r>
            <w:r w:rsidRPr="00143FD5">
              <w:rPr>
                <w:rFonts w:ascii="Arial" w:hAnsi="Arial" w:cs="Arial"/>
                <w:sz w:val="16"/>
                <w:szCs w:val="16"/>
                <w:vertAlign w:val="superscript"/>
              </w:rPr>
              <w:t>b</w:t>
            </w:r>
          </w:p>
        </w:tc>
      </w:tr>
      <w:tr w:rsidR="00DB51A1" w:rsidRPr="00143FD5" w14:paraId="7588B9D0" w14:textId="77777777" w:rsidTr="00DB51A1">
        <w:trPr>
          <w:cantSplit/>
        </w:trPr>
        <w:tc>
          <w:tcPr>
            <w:tcW w:w="0" w:type="auto"/>
            <w:tcBorders>
              <w:top w:val="single" w:sz="6" w:space="0" w:color="000000"/>
              <w:left w:val="nil"/>
              <w:bottom w:val="single" w:sz="6" w:space="0" w:color="000000"/>
              <w:right w:val="nil"/>
            </w:tcBorders>
            <w:vAlign w:val="center"/>
            <w:hideMark/>
          </w:tcPr>
          <w:p w14:paraId="5589803A" w14:textId="77777777" w:rsidR="00DB51A1" w:rsidRPr="00143FD5" w:rsidRDefault="00DB51A1" w:rsidP="002C76E7">
            <w:pPr>
              <w:jc w:val="center"/>
              <w:rPr>
                <w:rStyle w:val="label"/>
                <w:rFonts w:ascii="Arial" w:hAnsi="Arial" w:cs="Arial"/>
                <w:sz w:val="16"/>
                <w:szCs w:val="16"/>
              </w:rPr>
            </w:pPr>
            <w:r w:rsidRPr="00143FD5">
              <w:rPr>
                <w:rStyle w:val="label"/>
                <w:rFonts w:ascii="Arial" w:hAnsi="Arial" w:cs="Arial"/>
                <w:sz w:val="16"/>
                <w:szCs w:val="16"/>
              </w:rPr>
              <w:t>QUALITY OF LIFE</w:t>
            </w:r>
          </w:p>
          <w:p w14:paraId="17090DC2" w14:textId="77777777" w:rsidR="00DB51A1" w:rsidRPr="00143FD5" w:rsidRDefault="00DB51A1" w:rsidP="002C76E7">
            <w:pPr>
              <w:jc w:val="center"/>
              <w:rPr>
                <w:rStyle w:val="label"/>
                <w:rFonts w:ascii="Arial" w:hAnsi="Arial" w:cs="Arial"/>
                <w:sz w:val="16"/>
                <w:szCs w:val="16"/>
              </w:rPr>
            </w:pPr>
            <w:r w:rsidRPr="00143FD5">
              <w:rPr>
                <w:rStyle w:val="label"/>
                <w:rFonts w:ascii="Arial" w:hAnsi="Arial" w:cs="Arial"/>
                <w:sz w:val="16"/>
                <w:szCs w:val="16"/>
              </w:rPr>
              <w:t>assessed with</w:t>
            </w:r>
            <w:r>
              <w:rPr>
                <w:rStyle w:val="label"/>
                <w:rFonts w:ascii="Arial" w:hAnsi="Arial" w:cs="Arial"/>
                <w:sz w:val="16"/>
                <w:szCs w:val="16"/>
              </w:rPr>
              <w:t xml:space="preserve"> </w:t>
            </w:r>
            <w:r w:rsidRPr="00143FD5">
              <w:rPr>
                <w:rStyle w:val="label"/>
                <w:rFonts w:ascii="Arial" w:hAnsi="Arial" w:cs="Arial"/>
                <w:sz w:val="16"/>
                <w:szCs w:val="16"/>
              </w:rPr>
              <w:t>Asthma Quality of Life</w:t>
            </w:r>
          </w:p>
          <w:p w14:paraId="51619967" w14:textId="77777777" w:rsidR="00DB51A1" w:rsidRPr="00143FD5" w:rsidRDefault="00DB51A1" w:rsidP="002C76E7">
            <w:pPr>
              <w:jc w:val="center"/>
              <w:rPr>
                <w:rStyle w:val="label"/>
                <w:rFonts w:ascii="Arial" w:hAnsi="Arial" w:cs="Arial"/>
                <w:sz w:val="16"/>
                <w:szCs w:val="16"/>
              </w:rPr>
            </w:pPr>
            <w:r w:rsidRPr="00143FD5">
              <w:rPr>
                <w:rStyle w:val="label"/>
                <w:rFonts w:ascii="Arial" w:hAnsi="Arial" w:cs="Arial"/>
                <w:sz w:val="16"/>
                <w:szCs w:val="16"/>
              </w:rPr>
              <w:t>Questionnaire (AQLQ)</w:t>
            </w:r>
          </w:p>
          <w:p w14:paraId="2846DAAA" w14:textId="77777777" w:rsidR="00DB51A1" w:rsidRPr="00143FD5" w:rsidRDefault="00DB51A1" w:rsidP="002C76E7">
            <w:pPr>
              <w:jc w:val="center"/>
              <w:rPr>
                <w:rStyle w:val="label"/>
                <w:rFonts w:ascii="Arial" w:hAnsi="Arial" w:cs="Arial"/>
                <w:sz w:val="16"/>
                <w:szCs w:val="16"/>
              </w:rPr>
            </w:pPr>
            <w:r w:rsidRPr="00143FD5">
              <w:rPr>
                <w:rStyle w:val="label"/>
                <w:rFonts w:ascii="Arial" w:hAnsi="Arial" w:cs="Arial"/>
                <w:sz w:val="16"/>
                <w:szCs w:val="16"/>
              </w:rPr>
              <w:t>Scale from: 1 to 7</w:t>
            </w:r>
          </w:p>
          <w:p w14:paraId="413F61DB" w14:textId="77777777" w:rsidR="00DB51A1" w:rsidRPr="00143FD5" w:rsidRDefault="00DB51A1" w:rsidP="002C76E7">
            <w:pPr>
              <w:jc w:val="center"/>
              <w:rPr>
                <w:rFonts w:ascii="Arial" w:hAnsi="Arial" w:cs="Arial"/>
                <w:sz w:val="16"/>
                <w:szCs w:val="16"/>
              </w:rPr>
            </w:pPr>
          </w:p>
        </w:tc>
        <w:tc>
          <w:tcPr>
            <w:tcW w:w="0" w:type="auto"/>
            <w:tcBorders>
              <w:top w:val="single" w:sz="6" w:space="0" w:color="000000"/>
              <w:left w:val="nil"/>
              <w:bottom w:val="single" w:sz="6" w:space="0" w:color="000000"/>
              <w:right w:val="nil"/>
            </w:tcBorders>
            <w:vAlign w:val="center"/>
            <w:hideMark/>
          </w:tcPr>
          <w:p w14:paraId="3799EDF1" w14:textId="77777777" w:rsidR="00DB51A1" w:rsidRPr="00143FD5" w:rsidRDefault="00DB51A1" w:rsidP="002C76E7">
            <w:pPr>
              <w:jc w:val="center"/>
              <w:rPr>
                <w:rFonts w:ascii="Arial" w:hAnsi="Arial" w:cs="Arial"/>
                <w:sz w:val="16"/>
                <w:szCs w:val="16"/>
              </w:rPr>
            </w:pPr>
            <w:r w:rsidRPr="00143FD5">
              <w:rPr>
                <w:rFonts w:ascii="Arial" w:hAnsi="Arial" w:cs="Arial"/>
                <w:sz w:val="16"/>
                <w:szCs w:val="16"/>
              </w:rPr>
              <w:t>2046</w:t>
            </w:r>
          </w:p>
          <w:p w14:paraId="274A1929" w14:textId="77777777" w:rsidR="00DB51A1" w:rsidRDefault="00DB51A1" w:rsidP="002C76E7">
            <w:pPr>
              <w:jc w:val="center"/>
              <w:rPr>
                <w:rFonts w:ascii="Arial" w:hAnsi="Arial" w:cs="Arial"/>
                <w:sz w:val="16"/>
                <w:szCs w:val="16"/>
                <w:vertAlign w:val="superscript"/>
              </w:rPr>
            </w:pPr>
            <w:r w:rsidRPr="00143FD5">
              <w:rPr>
                <w:rFonts w:ascii="Arial" w:hAnsi="Arial" w:cs="Arial"/>
                <w:sz w:val="16"/>
                <w:szCs w:val="16"/>
              </w:rPr>
              <w:t xml:space="preserve">(2 RCTs) </w:t>
            </w:r>
            <w:r>
              <w:rPr>
                <w:rFonts w:ascii="Arial" w:hAnsi="Arial" w:cs="Arial"/>
                <w:sz w:val="16"/>
                <w:szCs w:val="16"/>
                <w:vertAlign w:val="superscript"/>
              </w:rPr>
              <w:t>26,27</w:t>
            </w:r>
          </w:p>
          <w:p w14:paraId="60B3EEDE" w14:textId="77777777" w:rsidR="00DB51A1" w:rsidRDefault="00DB51A1" w:rsidP="002C76E7">
            <w:pPr>
              <w:jc w:val="center"/>
              <w:rPr>
                <w:rFonts w:ascii="Arial" w:hAnsi="Arial" w:cs="Arial"/>
                <w:sz w:val="16"/>
                <w:szCs w:val="16"/>
                <w:vertAlign w:val="superscript"/>
              </w:rPr>
            </w:pPr>
          </w:p>
          <w:p w14:paraId="71DFA498" w14:textId="77777777" w:rsidR="00DB51A1" w:rsidRPr="00143FD5" w:rsidRDefault="00DB51A1" w:rsidP="002C76E7">
            <w:pPr>
              <w:jc w:val="center"/>
              <w:rPr>
                <w:rFonts w:ascii="Arial" w:hAnsi="Arial" w:cs="Arial"/>
                <w:sz w:val="16"/>
                <w:szCs w:val="16"/>
              </w:rPr>
            </w:pPr>
            <w:r w:rsidRPr="00143FD5">
              <w:rPr>
                <w:rStyle w:val="label"/>
                <w:rFonts w:ascii="Arial" w:hAnsi="Arial" w:cs="Arial"/>
                <w:sz w:val="16"/>
                <w:szCs w:val="16"/>
              </w:rPr>
              <w:t>24 to 52 week</w:t>
            </w:r>
            <w:r>
              <w:rPr>
                <w:rStyle w:val="label"/>
                <w:rFonts w:ascii="Arial" w:hAnsi="Arial" w:cs="Arial"/>
                <w:sz w:val="16"/>
                <w:szCs w:val="16"/>
              </w:rPr>
              <w:t>s</w:t>
            </w:r>
          </w:p>
        </w:tc>
        <w:tc>
          <w:tcPr>
            <w:tcW w:w="0" w:type="auto"/>
            <w:tcBorders>
              <w:top w:val="single" w:sz="6" w:space="0" w:color="000000"/>
              <w:left w:val="nil"/>
              <w:bottom w:val="single" w:sz="6" w:space="0" w:color="000000"/>
              <w:right w:val="nil"/>
            </w:tcBorders>
            <w:vAlign w:val="center"/>
            <w:hideMark/>
          </w:tcPr>
          <w:p w14:paraId="2BBA5547" w14:textId="77777777" w:rsidR="00DB51A1" w:rsidRPr="00143FD5" w:rsidRDefault="00DB51A1" w:rsidP="002C76E7">
            <w:pPr>
              <w:jc w:val="center"/>
              <w:rPr>
                <w:rFonts w:ascii="Arial" w:hAnsi="Arial" w:cs="Arial"/>
                <w:sz w:val="16"/>
                <w:szCs w:val="16"/>
              </w:rPr>
            </w:pPr>
            <w:r w:rsidRPr="00143FD5">
              <w:rPr>
                <w:rStyle w:val="quality-sign"/>
                <w:rFonts w:ascii="Cambria Math" w:hAnsi="Cambria Math" w:cs="Cambria Math"/>
                <w:sz w:val="16"/>
                <w:szCs w:val="16"/>
              </w:rPr>
              <w:t>⨁⨁⨁⨁</w:t>
            </w:r>
            <w:r w:rsidRPr="00143FD5">
              <w:rPr>
                <w:rFonts w:ascii="Arial" w:hAnsi="Arial" w:cs="Arial"/>
                <w:sz w:val="16"/>
                <w:szCs w:val="16"/>
              </w:rPr>
              <w:br/>
            </w:r>
            <w:r w:rsidRPr="00143FD5">
              <w:rPr>
                <w:rStyle w:val="quality-text"/>
                <w:rFonts w:ascii="Arial" w:hAnsi="Arial" w:cs="Arial"/>
                <w:sz w:val="16"/>
                <w:szCs w:val="16"/>
              </w:rPr>
              <w:t>HIGH</w:t>
            </w:r>
            <w:r w:rsidRPr="00143FD5">
              <w:rPr>
                <w:rFonts w:ascii="Arial" w:hAnsi="Arial" w:cs="Arial"/>
                <w:sz w:val="16"/>
                <w:szCs w:val="16"/>
              </w:rPr>
              <w:t xml:space="preserve"> </w:t>
            </w:r>
            <w:proofErr w:type="gramStart"/>
            <w:r w:rsidRPr="00143FD5">
              <w:rPr>
                <w:rFonts w:ascii="Arial" w:hAnsi="Arial" w:cs="Arial"/>
                <w:sz w:val="16"/>
                <w:szCs w:val="16"/>
                <w:vertAlign w:val="superscript"/>
              </w:rPr>
              <w:t>4</w:t>
            </w:r>
            <w:r w:rsidRPr="00143FD5">
              <w:rPr>
                <w:rStyle w:val="comma"/>
                <w:rFonts w:ascii="Arial" w:hAnsi="Arial" w:cs="Arial"/>
                <w:sz w:val="16"/>
                <w:szCs w:val="16"/>
                <w:vertAlign w:val="superscript"/>
              </w:rPr>
              <w:t>,</w:t>
            </w:r>
            <w:r w:rsidRPr="00143FD5">
              <w:rPr>
                <w:rFonts w:ascii="Arial" w:hAnsi="Arial" w:cs="Arial"/>
                <w:sz w:val="16"/>
                <w:szCs w:val="16"/>
                <w:vertAlign w:val="superscript"/>
              </w:rPr>
              <w:t>a</w:t>
            </w:r>
            <w:proofErr w:type="gramEnd"/>
            <w:r w:rsidRPr="00143FD5">
              <w:rPr>
                <w:rFonts w:ascii="Arial" w:hAnsi="Arial" w:cs="Arial"/>
                <w:sz w:val="16"/>
                <w:szCs w:val="16"/>
                <w:vertAlign w:val="superscript"/>
              </w:rPr>
              <w:t>, f</w:t>
            </w:r>
          </w:p>
        </w:tc>
        <w:tc>
          <w:tcPr>
            <w:tcW w:w="0" w:type="auto"/>
            <w:tcBorders>
              <w:top w:val="single" w:sz="6" w:space="0" w:color="000000"/>
              <w:left w:val="nil"/>
              <w:bottom w:val="single" w:sz="6" w:space="0" w:color="000000"/>
              <w:right w:val="nil"/>
            </w:tcBorders>
            <w:vAlign w:val="center"/>
            <w:hideMark/>
          </w:tcPr>
          <w:p w14:paraId="26665A96" w14:textId="77777777" w:rsidR="00DB51A1" w:rsidRPr="00143FD5" w:rsidRDefault="00DB51A1" w:rsidP="002C76E7">
            <w:pPr>
              <w:jc w:val="center"/>
              <w:rPr>
                <w:rFonts w:ascii="Arial" w:hAnsi="Arial" w:cs="Arial"/>
                <w:sz w:val="16"/>
                <w:szCs w:val="16"/>
              </w:rPr>
            </w:pPr>
            <w:r w:rsidRPr="00143FD5">
              <w:rPr>
                <w:rStyle w:val="cell"/>
                <w:rFonts w:ascii="Arial" w:hAnsi="Arial" w:cs="Arial"/>
                <w:sz w:val="16"/>
                <w:szCs w:val="16"/>
              </w:rPr>
              <w:t>-</w:t>
            </w:r>
            <w:r w:rsidRPr="00143FD5">
              <w:rPr>
                <w:rFonts w:ascii="Arial" w:hAnsi="Arial" w:cs="Arial"/>
                <w:sz w:val="16"/>
                <w:szCs w:val="16"/>
              </w:rPr>
              <w:t xml:space="preserve"> </w:t>
            </w:r>
          </w:p>
        </w:tc>
        <w:tc>
          <w:tcPr>
            <w:tcW w:w="0" w:type="auto"/>
            <w:tcBorders>
              <w:top w:val="single" w:sz="6" w:space="0" w:color="000000"/>
              <w:left w:val="nil"/>
              <w:bottom w:val="single" w:sz="6" w:space="0" w:color="000000"/>
              <w:right w:val="nil"/>
            </w:tcBorders>
            <w:shd w:val="clear" w:color="auto" w:fill="EDEDED"/>
            <w:vAlign w:val="center"/>
            <w:hideMark/>
          </w:tcPr>
          <w:p w14:paraId="3FAE0582" w14:textId="77777777" w:rsidR="00DB51A1" w:rsidRPr="00143FD5" w:rsidRDefault="00DB51A1" w:rsidP="002C76E7">
            <w:pPr>
              <w:jc w:val="center"/>
              <w:rPr>
                <w:rFonts w:ascii="Arial" w:hAnsi="Arial" w:cs="Arial"/>
                <w:sz w:val="16"/>
                <w:szCs w:val="16"/>
              </w:rPr>
            </w:pPr>
            <w:r w:rsidRPr="00143FD5">
              <w:rPr>
                <w:rStyle w:val="cell-value"/>
                <w:rFonts w:ascii="Arial" w:hAnsi="Arial" w:cs="Arial"/>
                <w:sz w:val="16"/>
                <w:szCs w:val="16"/>
              </w:rPr>
              <w:t>-</w:t>
            </w:r>
            <w:r w:rsidRPr="00143FD5">
              <w:rPr>
                <w:rFonts w:ascii="Arial" w:hAnsi="Arial" w:cs="Arial"/>
                <w:sz w:val="16"/>
                <w:szCs w:val="16"/>
              </w:rPr>
              <w:t xml:space="preserve"> </w:t>
            </w:r>
          </w:p>
        </w:tc>
        <w:tc>
          <w:tcPr>
            <w:tcW w:w="0" w:type="auto"/>
            <w:tcBorders>
              <w:top w:val="single" w:sz="6" w:space="0" w:color="000000"/>
              <w:left w:val="nil"/>
              <w:bottom w:val="single" w:sz="6" w:space="0" w:color="000000"/>
              <w:right w:val="nil"/>
            </w:tcBorders>
            <w:shd w:val="clear" w:color="auto" w:fill="EDEDED"/>
            <w:vAlign w:val="center"/>
            <w:hideMark/>
          </w:tcPr>
          <w:p w14:paraId="12161DFA" w14:textId="16A4EE14" w:rsidR="00DB51A1" w:rsidRPr="00143FD5" w:rsidRDefault="00DB51A1" w:rsidP="002C76E7">
            <w:pPr>
              <w:jc w:val="center"/>
              <w:rPr>
                <w:rFonts w:ascii="Arial" w:hAnsi="Arial" w:cs="Arial"/>
                <w:sz w:val="16"/>
                <w:szCs w:val="16"/>
              </w:rPr>
            </w:pPr>
            <w:r w:rsidRPr="00143FD5">
              <w:rPr>
                <w:rStyle w:val="cell-value"/>
                <w:rFonts w:ascii="Arial" w:hAnsi="Arial" w:cs="Arial"/>
                <w:sz w:val="16"/>
                <w:szCs w:val="16"/>
              </w:rPr>
              <w:t xml:space="preserve">MD </w:t>
            </w:r>
            <w:r>
              <w:rPr>
                <w:rStyle w:val="cell-value"/>
                <w:rFonts w:ascii="Arial" w:hAnsi="Arial" w:cs="Arial"/>
                <w:sz w:val="16"/>
                <w:szCs w:val="16"/>
              </w:rPr>
              <w:t>+</w:t>
            </w:r>
            <w:r w:rsidRPr="00143FD5">
              <w:rPr>
                <w:rStyle w:val="cell-value"/>
                <w:rFonts w:ascii="Arial" w:hAnsi="Arial" w:cs="Arial"/>
                <w:b/>
                <w:sz w:val="16"/>
                <w:szCs w:val="16"/>
              </w:rPr>
              <w:t xml:space="preserve">0.28 </w:t>
            </w:r>
            <w:r w:rsidRPr="00143FD5">
              <w:rPr>
                <w:rStyle w:val="cell-value"/>
                <w:rFonts w:ascii="Arial" w:hAnsi="Arial" w:cs="Arial"/>
                <w:sz w:val="16"/>
                <w:szCs w:val="16"/>
              </w:rPr>
              <w:t>(</w:t>
            </w:r>
            <w:r>
              <w:rPr>
                <w:rStyle w:val="cell-value"/>
                <w:rFonts w:ascii="Arial" w:hAnsi="Arial" w:cs="Arial"/>
                <w:sz w:val="16"/>
                <w:szCs w:val="16"/>
              </w:rPr>
              <w:t>+</w:t>
            </w:r>
            <w:r w:rsidRPr="00143FD5">
              <w:rPr>
                <w:rStyle w:val="cell-value"/>
                <w:rFonts w:ascii="Arial" w:hAnsi="Arial" w:cs="Arial"/>
                <w:sz w:val="16"/>
                <w:szCs w:val="16"/>
              </w:rPr>
              <w:t xml:space="preserve">0.2 to </w:t>
            </w:r>
            <w:r>
              <w:rPr>
                <w:rStyle w:val="cell-value"/>
                <w:rFonts w:ascii="Arial" w:hAnsi="Arial" w:cs="Arial"/>
                <w:sz w:val="16"/>
                <w:szCs w:val="16"/>
              </w:rPr>
              <w:t>+</w:t>
            </w:r>
            <w:r w:rsidRPr="00143FD5">
              <w:rPr>
                <w:rStyle w:val="cell-value"/>
                <w:rFonts w:ascii="Arial" w:hAnsi="Arial" w:cs="Arial"/>
                <w:sz w:val="16"/>
                <w:szCs w:val="16"/>
              </w:rPr>
              <w:t xml:space="preserve">0.37) </w:t>
            </w:r>
            <w:r w:rsidRPr="00143FD5">
              <w:rPr>
                <w:rStyle w:val="cell-value"/>
                <w:rFonts w:ascii="Arial" w:hAnsi="Arial" w:cs="Arial"/>
                <w:sz w:val="16"/>
                <w:szCs w:val="16"/>
                <w:vertAlign w:val="superscript"/>
              </w:rPr>
              <w:t>b</w:t>
            </w:r>
          </w:p>
        </w:tc>
      </w:tr>
      <w:tr w:rsidR="00DB51A1" w:rsidRPr="00143FD5" w14:paraId="1517CD15" w14:textId="77777777" w:rsidTr="00DB51A1">
        <w:trPr>
          <w:cantSplit/>
        </w:trPr>
        <w:tc>
          <w:tcPr>
            <w:tcW w:w="0" w:type="auto"/>
            <w:tcBorders>
              <w:top w:val="single" w:sz="6" w:space="0" w:color="000000"/>
              <w:left w:val="nil"/>
              <w:bottom w:val="single" w:sz="6" w:space="0" w:color="000000"/>
              <w:right w:val="nil"/>
            </w:tcBorders>
            <w:vAlign w:val="center"/>
            <w:hideMark/>
          </w:tcPr>
          <w:p w14:paraId="194D5108" w14:textId="77777777" w:rsidR="00DB51A1" w:rsidRPr="00143FD5" w:rsidRDefault="00DB51A1" w:rsidP="002C76E7">
            <w:pPr>
              <w:jc w:val="center"/>
              <w:rPr>
                <w:rStyle w:val="label"/>
                <w:rFonts w:ascii="Arial" w:hAnsi="Arial" w:cs="Arial"/>
                <w:sz w:val="16"/>
                <w:szCs w:val="16"/>
              </w:rPr>
            </w:pPr>
            <w:r w:rsidRPr="00143FD5">
              <w:rPr>
                <w:rStyle w:val="label"/>
                <w:rFonts w:ascii="Arial" w:hAnsi="Arial" w:cs="Arial"/>
                <w:sz w:val="16"/>
                <w:szCs w:val="16"/>
              </w:rPr>
              <w:lastRenderedPageBreak/>
              <w:t>SAFETY</w:t>
            </w:r>
          </w:p>
          <w:p w14:paraId="462A6C1C" w14:textId="77777777" w:rsidR="00DB51A1" w:rsidRPr="00143FD5" w:rsidRDefault="00DB51A1" w:rsidP="002C76E7">
            <w:pPr>
              <w:jc w:val="center"/>
              <w:rPr>
                <w:rStyle w:val="label"/>
                <w:rFonts w:ascii="Arial" w:hAnsi="Arial" w:cs="Arial"/>
                <w:sz w:val="16"/>
                <w:szCs w:val="16"/>
              </w:rPr>
            </w:pPr>
            <w:r w:rsidRPr="00143FD5">
              <w:rPr>
                <w:rStyle w:val="label"/>
                <w:rFonts w:ascii="Arial" w:hAnsi="Arial" w:cs="Arial"/>
                <w:sz w:val="16"/>
                <w:szCs w:val="16"/>
              </w:rPr>
              <w:t>Treatment-related adverse events (AE)</w:t>
            </w:r>
          </w:p>
          <w:p w14:paraId="64823D98" w14:textId="77777777" w:rsidR="00DB51A1" w:rsidRPr="00143FD5" w:rsidRDefault="00DB51A1" w:rsidP="002C76E7">
            <w:pPr>
              <w:jc w:val="center"/>
              <w:rPr>
                <w:rFonts w:ascii="Arial" w:hAnsi="Arial" w:cs="Arial"/>
                <w:sz w:val="16"/>
                <w:szCs w:val="16"/>
              </w:rPr>
            </w:pPr>
          </w:p>
        </w:tc>
        <w:tc>
          <w:tcPr>
            <w:tcW w:w="0" w:type="auto"/>
            <w:tcBorders>
              <w:top w:val="single" w:sz="6" w:space="0" w:color="000000"/>
              <w:left w:val="nil"/>
              <w:bottom w:val="single" w:sz="6" w:space="0" w:color="000000"/>
              <w:right w:val="nil"/>
            </w:tcBorders>
            <w:vAlign w:val="center"/>
            <w:hideMark/>
          </w:tcPr>
          <w:p w14:paraId="7381DEBC" w14:textId="77777777" w:rsidR="00DB51A1" w:rsidRDefault="00DB51A1" w:rsidP="002C76E7">
            <w:pPr>
              <w:jc w:val="center"/>
              <w:rPr>
                <w:rFonts w:ascii="Arial" w:hAnsi="Arial" w:cs="Arial"/>
                <w:sz w:val="16"/>
                <w:szCs w:val="16"/>
                <w:vertAlign w:val="superscript"/>
              </w:rPr>
            </w:pPr>
            <w:r w:rsidRPr="00143FD5">
              <w:rPr>
                <w:rFonts w:ascii="Arial" w:hAnsi="Arial" w:cs="Arial"/>
                <w:sz w:val="16"/>
                <w:szCs w:val="16"/>
              </w:rPr>
              <w:t>356</w:t>
            </w:r>
            <w:r w:rsidRPr="00143FD5">
              <w:rPr>
                <w:rFonts w:ascii="Arial" w:hAnsi="Arial" w:cs="Arial"/>
                <w:sz w:val="16"/>
                <w:szCs w:val="16"/>
              </w:rPr>
              <w:br/>
              <w:t xml:space="preserve">(1 RCT) </w:t>
            </w:r>
            <w:r w:rsidRPr="00B71CC8">
              <w:rPr>
                <w:rFonts w:ascii="Arial" w:hAnsi="Arial" w:cs="Arial"/>
                <w:sz w:val="16"/>
                <w:szCs w:val="16"/>
                <w:vertAlign w:val="superscript"/>
              </w:rPr>
              <w:t>2</w:t>
            </w:r>
            <w:r>
              <w:rPr>
                <w:rFonts w:ascii="Arial" w:hAnsi="Arial" w:cs="Arial"/>
                <w:sz w:val="16"/>
                <w:szCs w:val="16"/>
                <w:vertAlign w:val="superscript"/>
              </w:rPr>
              <w:t>6</w:t>
            </w:r>
          </w:p>
          <w:p w14:paraId="584ACF6D" w14:textId="77777777" w:rsidR="00DB51A1" w:rsidRPr="00143FD5" w:rsidRDefault="00DB51A1" w:rsidP="002C76E7">
            <w:pPr>
              <w:jc w:val="center"/>
              <w:rPr>
                <w:rFonts w:ascii="Arial" w:hAnsi="Arial" w:cs="Arial"/>
                <w:sz w:val="16"/>
                <w:szCs w:val="16"/>
              </w:rPr>
            </w:pPr>
            <w:r w:rsidRPr="00143FD5">
              <w:rPr>
                <w:rStyle w:val="label"/>
                <w:rFonts w:ascii="Arial" w:hAnsi="Arial" w:cs="Arial"/>
                <w:sz w:val="16"/>
                <w:szCs w:val="16"/>
              </w:rPr>
              <w:t>mean 24 weeks</w:t>
            </w:r>
          </w:p>
        </w:tc>
        <w:tc>
          <w:tcPr>
            <w:tcW w:w="0" w:type="auto"/>
            <w:tcBorders>
              <w:top w:val="single" w:sz="6" w:space="0" w:color="000000"/>
              <w:left w:val="nil"/>
              <w:bottom w:val="single" w:sz="6" w:space="0" w:color="000000"/>
              <w:right w:val="nil"/>
            </w:tcBorders>
            <w:vAlign w:val="center"/>
            <w:hideMark/>
          </w:tcPr>
          <w:p w14:paraId="49046FA0" w14:textId="77777777" w:rsidR="00DB51A1" w:rsidRPr="00143FD5" w:rsidRDefault="00DB51A1" w:rsidP="002C76E7">
            <w:pPr>
              <w:jc w:val="center"/>
              <w:rPr>
                <w:rFonts w:ascii="Arial" w:hAnsi="Arial" w:cs="Arial"/>
                <w:sz w:val="16"/>
                <w:szCs w:val="16"/>
              </w:rPr>
            </w:pPr>
            <w:r w:rsidRPr="00143FD5">
              <w:rPr>
                <w:rStyle w:val="quality-sign"/>
                <w:rFonts w:ascii="Cambria Math" w:hAnsi="Cambria Math" w:cs="Cambria Math"/>
                <w:sz w:val="16"/>
                <w:szCs w:val="16"/>
              </w:rPr>
              <w:t>⨁⨁⨁</w:t>
            </w:r>
            <w:r w:rsidRPr="00143FD5">
              <w:rPr>
                <w:rStyle w:val="quality-sign"/>
                <w:rFonts w:ascii="Segoe UI Symbol" w:eastAsia="MS Gothic" w:hAnsi="Segoe UI Symbol" w:cs="Segoe UI Symbol"/>
                <w:sz w:val="16"/>
                <w:szCs w:val="16"/>
              </w:rPr>
              <w:t>◯</w:t>
            </w:r>
            <w:r w:rsidRPr="00143FD5">
              <w:rPr>
                <w:rFonts w:ascii="Arial" w:hAnsi="Arial" w:cs="Arial"/>
                <w:sz w:val="16"/>
                <w:szCs w:val="16"/>
              </w:rPr>
              <w:br/>
            </w:r>
            <w:r w:rsidRPr="00143FD5">
              <w:rPr>
                <w:rStyle w:val="quality-text"/>
                <w:rFonts w:ascii="Arial" w:hAnsi="Arial" w:cs="Arial"/>
                <w:sz w:val="16"/>
                <w:szCs w:val="16"/>
              </w:rPr>
              <w:t>MODERATE</w:t>
            </w:r>
            <w:r w:rsidRPr="00143FD5">
              <w:rPr>
                <w:rFonts w:ascii="Arial" w:hAnsi="Arial" w:cs="Arial"/>
                <w:sz w:val="16"/>
                <w:szCs w:val="16"/>
              </w:rPr>
              <w:t xml:space="preserve"> </w:t>
            </w:r>
            <w:proofErr w:type="gramStart"/>
            <w:r w:rsidRPr="00143FD5">
              <w:rPr>
                <w:rFonts w:ascii="Arial" w:hAnsi="Arial" w:cs="Arial"/>
                <w:sz w:val="16"/>
                <w:szCs w:val="16"/>
                <w:vertAlign w:val="superscript"/>
              </w:rPr>
              <w:t>4</w:t>
            </w:r>
            <w:r w:rsidRPr="00143FD5">
              <w:rPr>
                <w:rStyle w:val="comma"/>
                <w:rFonts w:ascii="Arial" w:hAnsi="Arial" w:cs="Arial"/>
                <w:sz w:val="16"/>
                <w:szCs w:val="16"/>
                <w:vertAlign w:val="superscript"/>
              </w:rPr>
              <w:t>,</w:t>
            </w:r>
            <w:r w:rsidRPr="00143FD5">
              <w:rPr>
                <w:rFonts w:ascii="Arial" w:hAnsi="Arial" w:cs="Arial"/>
                <w:sz w:val="16"/>
                <w:szCs w:val="16"/>
                <w:vertAlign w:val="superscript"/>
              </w:rPr>
              <w:t>a</w:t>
            </w:r>
            <w:proofErr w:type="gramEnd"/>
            <w:r w:rsidRPr="00143FD5">
              <w:rPr>
                <w:rFonts w:ascii="Arial" w:hAnsi="Arial" w:cs="Arial"/>
                <w:sz w:val="16"/>
                <w:szCs w:val="16"/>
                <w:vertAlign w:val="superscript"/>
              </w:rPr>
              <w:t>,j</w:t>
            </w:r>
          </w:p>
        </w:tc>
        <w:tc>
          <w:tcPr>
            <w:tcW w:w="0" w:type="auto"/>
            <w:tcBorders>
              <w:top w:val="single" w:sz="6" w:space="0" w:color="000000"/>
              <w:left w:val="nil"/>
              <w:bottom w:val="single" w:sz="6" w:space="0" w:color="000000"/>
              <w:right w:val="nil"/>
            </w:tcBorders>
            <w:vAlign w:val="center"/>
            <w:hideMark/>
          </w:tcPr>
          <w:p w14:paraId="4A3B1D99" w14:textId="5BB0DC16" w:rsidR="00DB51A1" w:rsidRPr="00143FD5" w:rsidRDefault="00DB51A1" w:rsidP="002C76E7">
            <w:pPr>
              <w:jc w:val="center"/>
              <w:rPr>
                <w:rFonts w:ascii="Arial" w:hAnsi="Arial" w:cs="Arial"/>
                <w:sz w:val="16"/>
                <w:szCs w:val="16"/>
              </w:rPr>
            </w:pPr>
            <w:r>
              <w:rPr>
                <w:rStyle w:val="block"/>
                <w:rFonts w:ascii="Arial" w:hAnsi="Arial" w:cs="Arial"/>
                <w:b/>
                <w:bCs/>
                <w:sz w:val="16"/>
                <w:szCs w:val="16"/>
              </w:rPr>
              <w:t>Risk ratio</w:t>
            </w:r>
            <w:r w:rsidRPr="00143FD5">
              <w:rPr>
                <w:rStyle w:val="block"/>
                <w:rFonts w:ascii="Arial" w:hAnsi="Arial" w:cs="Arial"/>
                <w:b/>
                <w:bCs/>
                <w:sz w:val="16"/>
                <w:szCs w:val="16"/>
              </w:rPr>
              <w:t xml:space="preserve"> 1.12 </w:t>
            </w:r>
            <w:r w:rsidRPr="00143FD5">
              <w:rPr>
                <w:rStyle w:val="block"/>
                <w:rFonts w:ascii="Arial" w:hAnsi="Arial" w:cs="Arial"/>
                <w:bCs/>
                <w:sz w:val="16"/>
                <w:szCs w:val="16"/>
              </w:rPr>
              <w:t>(0.98 to 1.28) k</w:t>
            </w:r>
            <w:r w:rsidRPr="00143FD5">
              <w:rPr>
                <w:rFonts w:ascii="Arial" w:hAnsi="Arial" w:cs="Arial"/>
                <w:sz w:val="16"/>
                <w:szCs w:val="16"/>
              </w:rPr>
              <w:t xml:space="preserve"> </w:t>
            </w:r>
          </w:p>
        </w:tc>
        <w:tc>
          <w:tcPr>
            <w:tcW w:w="0" w:type="auto"/>
            <w:tcBorders>
              <w:top w:val="single" w:sz="6" w:space="0" w:color="000000"/>
              <w:left w:val="nil"/>
              <w:bottom w:val="single" w:sz="6" w:space="0" w:color="000000"/>
              <w:right w:val="nil"/>
            </w:tcBorders>
            <w:shd w:val="clear" w:color="auto" w:fill="EDEDED"/>
            <w:vAlign w:val="center"/>
            <w:hideMark/>
          </w:tcPr>
          <w:p w14:paraId="58EB5391" w14:textId="77777777" w:rsidR="00DB51A1" w:rsidRPr="00143FD5" w:rsidRDefault="00DB51A1" w:rsidP="002C76E7">
            <w:pPr>
              <w:jc w:val="center"/>
              <w:rPr>
                <w:rFonts w:ascii="Arial" w:hAnsi="Arial" w:cs="Arial"/>
                <w:sz w:val="16"/>
                <w:szCs w:val="16"/>
              </w:rPr>
            </w:pPr>
            <w:r w:rsidRPr="00143FD5">
              <w:rPr>
                <w:rFonts w:ascii="Arial" w:hAnsi="Arial" w:cs="Arial"/>
                <w:sz w:val="16"/>
                <w:szCs w:val="16"/>
              </w:rPr>
              <w:t>711 per 1.000</w:t>
            </w:r>
          </w:p>
        </w:tc>
        <w:tc>
          <w:tcPr>
            <w:tcW w:w="0" w:type="auto"/>
            <w:tcBorders>
              <w:top w:val="single" w:sz="6" w:space="0" w:color="000000"/>
              <w:left w:val="nil"/>
              <w:bottom w:val="single" w:sz="6" w:space="0" w:color="000000"/>
              <w:right w:val="nil"/>
            </w:tcBorders>
            <w:shd w:val="clear" w:color="auto" w:fill="EDEDED"/>
            <w:vAlign w:val="center"/>
            <w:hideMark/>
          </w:tcPr>
          <w:p w14:paraId="56F1CB79" w14:textId="77777777" w:rsidR="00DB51A1" w:rsidRPr="00143FD5" w:rsidRDefault="00DB51A1" w:rsidP="002C76E7">
            <w:pPr>
              <w:jc w:val="center"/>
              <w:rPr>
                <w:rFonts w:ascii="Arial" w:hAnsi="Arial" w:cs="Arial"/>
                <w:sz w:val="16"/>
                <w:szCs w:val="16"/>
              </w:rPr>
            </w:pPr>
            <w:r w:rsidRPr="00143FD5">
              <w:rPr>
                <w:rStyle w:val="cell-value"/>
                <w:rFonts w:ascii="Arial" w:hAnsi="Arial" w:cs="Arial"/>
                <w:b/>
                <w:bCs/>
                <w:sz w:val="16"/>
                <w:szCs w:val="16"/>
              </w:rPr>
              <w:t>85 more per 1.000</w:t>
            </w:r>
            <w:r w:rsidRPr="00143FD5">
              <w:rPr>
                <w:rStyle w:val="cell-value"/>
                <w:rFonts w:ascii="Arial" w:hAnsi="Arial" w:cs="Arial"/>
                <w:bCs/>
                <w:sz w:val="16"/>
                <w:szCs w:val="16"/>
              </w:rPr>
              <w:t xml:space="preserve"> (14 fewer to 199 more)</w:t>
            </w:r>
            <w:r w:rsidRPr="00143FD5">
              <w:rPr>
                <w:rStyle w:val="cell-value"/>
                <w:rFonts w:ascii="Arial" w:hAnsi="Arial" w:cs="Arial"/>
                <w:b/>
                <w:bCs/>
                <w:sz w:val="16"/>
                <w:szCs w:val="16"/>
              </w:rPr>
              <w:t xml:space="preserve"> </w:t>
            </w:r>
          </w:p>
        </w:tc>
      </w:tr>
      <w:tr w:rsidR="00DB51A1" w:rsidRPr="00143FD5" w14:paraId="5A6EEEAC" w14:textId="77777777" w:rsidTr="00DB51A1">
        <w:trPr>
          <w:cantSplit/>
        </w:trPr>
        <w:tc>
          <w:tcPr>
            <w:tcW w:w="0" w:type="auto"/>
            <w:tcBorders>
              <w:top w:val="single" w:sz="6" w:space="0" w:color="000000"/>
              <w:left w:val="nil"/>
              <w:bottom w:val="single" w:sz="6" w:space="0" w:color="000000"/>
              <w:right w:val="nil"/>
            </w:tcBorders>
            <w:shd w:val="clear" w:color="auto" w:fill="auto"/>
            <w:vAlign w:val="center"/>
            <w:hideMark/>
          </w:tcPr>
          <w:p w14:paraId="4D23563A" w14:textId="77777777" w:rsidR="00DB51A1" w:rsidRPr="00143FD5" w:rsidRDefault="00DB51A1" w:rsidP="002C76E7">
            <w:pPr>
              <w:jc w:val="center"/>
              <w:rPr>
                <w:rStyle w:val="label"/>
                <w:rFonts w:ascii="Arial" w:hAnsi="Arial" w:cs="Arial"/>
                <w:sz w:val="16"/>
                <w:szCs w:val="16"/>
              </w:rPr>
            </w:pPr>
            <w:r w:rsidRPr="00143FD5">
              <w:rPr>
                <w:rStyle w:val="label"/>
                <w:rFonts w:ascii="Arial" w:hAnsi="Arial" w:cs="Arial"/>
                <w:sz w:val="16"/>
                <w:szCs w:val="16"/>
              </w:rPr>
              <w:t>SAFETY</w:t>
            </w:r>
          </w:p>
          <w:p w14:paraId="5FAFC05E" w14:textId="77777777" w:rsidR="00DB51A1" w:rsidRPr="00143FD5" w:rsidRDefault="00DB51A1" w:rsidP="002C76E7">
            <w:pPr>
              <w:jc w:val="center"/>
              <w:rPr>
                <w:rStyle w:val="label"/>
                <w:rFonts w:ascii="Arial" w:hAnsi="Arial" w:cs="Arial"/>
                <w:sz w:val="16"/>
                <w:szCs w:val="16"/>
              </w:rPr>
            </w:pPr>
            <w:r w:rsidRPr="00143FD5">
              <w:rPr>
                <w:rStyle w:val="label"/>
                <w:rFonts w:ascii="Arial" w:hAnsi="Arial" w:cs="Arial"/>
                <w:sz w:val="16"/>
                <w:szCs w:val="16"/>
              </w:rPr>
              <w:t>Treatment-related serious adverse events (SAE)</w:t>
            </w:r>
          </w:p>
          <w:p w14:paraId="7473B30F" w14:textId="77777777" w:rsidR="00DB51A1" w:rsidRPr="00143FD5" w:rsidRDefault="00DB51A1" w:rsidP="002C76E7">
            <w:pPr>
              <w:jc w:val="center"/>
              <w:rPr>
                <w:rFonts w:ascii="Arial" w:hAnsi="Arial" w:cs="Arial"/>
                <w:sz w:val="16"/>
                <w:szCs w:val="16"/>
              </w:rPr>
            </w:pPr>
          </w:p>
        </w:tc>
        <w:tc>
          <w:tcPr>
            <w:tcW w:w="0" w:type="auto"/>
            <w:tcBorders>
              <w:top w:val="single" w:sz="6" w:space="0" w:color="000000"/>
              <w:left w:val="nil"/>
              <w:bottom w:val="single" w:sz="6" w:space="0" w:color="000000"/>
              <w:right w:val="nil"/>
            </w:tcBorders>
            <w:vAlign w:val="center"/>
            <w:hideMark/>
          </w:tcPr>
          <w:p w14:paraId="15A92948" w14:textId="77777777" w:rsidR="00DB51A1" w:rsidRDefault="00DB51A1" w:rsidP="002C76E7">
            <w:pPr>
              <w:jc w:val="center"/>
              <w:rPr>
                <w:rFonts w:ascii="Arial" w:hAnsi="Arial" w:cs="Arial"/>
                <w:sz w:val="16"/>
                <w:szCs w:val="16"/>
                <w:vertAlign w:val="superscript"/>
              </w:rPr>
            </w:pPr>
            <w:r w:rsidRPr="00143FD5">
              <w:rPr>
                <w:rFonts w:ascii="Arial" w:hAnsi="Arial" w:cs="Arial"/>
                <w:sz w:val="16"/>
                <w:szCs w:val="16"/>
              </w:rPr>
              <w:t>356</w:t>
            </w:r>
            <w:r w:rsidRPr="00143FD5">
              <w:rPr>
                <w:rFonts w:ascii="Arial" w:hAnsi="Arial" w:cs="Arial"/>
                <w:sz w:val="16"/>
                <w:szCs w:val="16"/>
              </w:rPr>
              <w:br/>
              <w:t xml:space="preserve">(1 RCT) </w:t>
            </w:r>
            <w:r w:rsidRPr="00B71CC8">
              <w:rPr>
                <w:rFonts w:ascii="Arial" w:hAnsi="Arial" w:cs="Arial"/>
                <w:sz w:val="16"/>
                <w:szCs w:val="16"/>
                <w:vertAlign w:val="superscript"/>
              </w:rPr>
              <w:t>2</w:t>
            </w:r>
            <w:r>
              <w:rPr>
                <w:rFonts w:ascii="Arial" w:hAnsi="Arial" w:cs="Arial"/>
                <w:sz w:val="16"/>
                <w:szCs w:val="16"/>
                <w:vertAlign w:val="superscript"/>
              </w:rPr>
              <w:t>6</w:t>
            </w:r>
          </w:p>
          <w:p w14:paraId="15A1791D" w14:textId="77777777" w:rsidR="00DB51A1" w:rsidRPr="00143FD5" w:rsidRDefault="00DB51A1" w:rsidP="002C76E7">
            <w:pPr>
              <w:jc w:val="center"/>
              <w:rPr>
                <w:rFonts w:ascii="Arial" w:hAnsi="Arial" w:cs="Arial"/>
                <w:sz w:val="16"/>
                <w:szCs w:val="16"/>
              </w:rPr>
            </w:pPr>
            <w:r w:rsidRPr="00143FD5">
              <w:rPr>
                <w:rStyle w:val="label"/>
                <w:rFonts w:ascii="Arial" w:hAnsi="Arial" w:cs="Arial"/>
                <w:sz w:val="16"/>
                <w:szCs w:val="16"/>
              </w:rPr>
              <w:t>mean 24 weeks</w:t>
            </w:r>
          </w:p>
        </w:tc>
        <w:tc>
          <w:tcPr>
            <w:tcW w:w="0" w:type="auto"/>
            <w:tcBorders>
              <w:top w:val="single" w:sz="6" w:space="0" w:color="000000"/>
              <w:left w:val="nil"/>
              <w:bottom w:val="single" w:sz="6" w:space="0" w:color="000000"/>
              <w:right w:val="nil"/>
            </w:tcBorders>
            <w:vAlign w:val="center"/>
            <w:hideMark/>
          </w:tcPr>
          <w:p w14:paraId="6EB00BB9" w14:textId="77777777" w:rsidR="00DB51A1" w:rsidRPr="00143FD5" w:rsidRDefault="00DB51A1" w:rsidP="002C76E7">
            <w:pPr>
              <w:jc w:val="center"/>
              <w:rPr>
                <w:rFonts w:ascii="Arial" w:hAnsi="Arial" w:cs="Arial"/>
                <w:sz w:val="16"/>
                <w:szCs w:val="16"/>
              </w:rPr>
            </w:pPr>
            <w:r w:rsidRPr="00143FD5">
              <w:rPr>
                <w:rStyle w:val="quality-sign"/>
                <w:rFonts w:ascii="Cambria Math" w:hAnsi="Cambria Math" w:cs="Cambria Math"/>
                <w:sz w:val="16"/>
                <w:szCs w:val="16"/>
              </w:rPr>
              <w:t>⨁⨁</w:t>
            </w:r>
            <w:r w:rsidRPr="00143FD5">
              <w:rPr>
                <w:rStyle w:val="quality-sign"/>
                <w:rFonts w:ascii="Segoe UI Symbol" w:eastAsia="MS Gothic" w:hAnsi="Segoe UI Symbol" w:cs="Segoe UI Symbol"/>
                <w:sz w:val="16"/>
                <w:szCs w:val="16"/>
              </w:rPr>
              <w:t>◯◯</w:t>
            </w:r>
            <w:r w:rsidRPr="00143FD5">
              <w:rPr>
                <w:rFonts w:ascii="Arial" w:hAnsi="Arial" w:cs="Arial"/>
                <w:sz w:val="16"/>
                <w:szCs w:val="16"/>
              </w:rPr>
              <w:br/>
            </w:r>
            <w:r w:rsidRPr="00143FD5">
              <w:rPr>
                <w:rStyle w:val="quality-text"/>
                <w:rFonts w:ascii="Arial" w:hAnsi="Arial" w:cs="Arial"/>
                <w:sz w:val="16"/>
                <w:szCs w:val="16"/>
              </w:rPr>
              <w:t>LOW</w:t>
            </w:r>
            <w:r w:rsidRPr="00143FD5">
              <w:rPr>
                <w:rFonts w:ascii="Arial" w:hAnsi="Arial" w:cs="Arial"/>
                <w:sz w:val="16"/>
                <w:szCs w:val="16"/>
              </w:rPr>
              <w:t xml:space="preserve"> </w:t>
            </w:r>
            <w:proofErr w:type="gramStart"/>
            <w:r w:rsidRPr="00143FD5">
              <w:rPr>
                <w:rFonts w:ascii="Arial" w:hAnsi="Arial" w:cs="Arial"/>
                <w:sz w:val="16"/>
                <w:szCs w:val="16"/>
                <w:vertAlign w:val="superscript"/>
              </w:rPr>
              <w:t>4</w:t>
            </w:r>
            <w:r w:rsidRPr="00143FD5">
              <w:rPr>
                <w:rStyle w:val="comma"/>
                <w:rFonts w:ascii="Arial" w:hAnsi="Arial" w:cs="Arial"/>
                <w:sz w:val="16"/>
                <w:szCs w:val="16"/>
                <w:vertAlign w:val="superscript"/>
              </w:rPr>
              <w:t>,</w:t>
            </w:r>
            <w:r w:rsidRPr="00143FD5">
              <w:rPr>
                <w:rFonts w:ascii="Arial" w:hAnsi="Arial" w:cs="Arial"/>
                <w:sz w:val="16"/>
                <w:szCs w:val="16"/>
                <w:vertAlign w:val="superscript"/>
              </w:rPr>
              <w:t>a</w:t>
            </w:r>
            <w:proofErr w:type="gramEnd"/>
            <w:r w:rsidRPr="00143FD5">
              <w:rPr>
                <w:rFonts w:ascii="Arial" w:hAnsi="Arial" w:cs="Arial"/>
                <w:sz w:val="16"/>
                <w:szCs w:val="16"/>
                <w:vertAlign w:val="superscript"/>
              </w:rPr>
              <w:t>,k</w:t>
            </w:r>
          </w:p>
        </w:tc>
        <w:tc>
          <w:tcPr>
            <w:tcW w:w="0" w:type="auto"/>
            <w:tcBorders>
              <w:top w:val="single" w:sz="6" w:space="0" w:color="000000"/>
              <w:left w:val="nil"/>
              <w:bottom w:val="single" w:sz="6" w:space="0" w:color="000000"/>
              <w:right w:val="nil"/>
            </w:tcBorders>
            <w:vAlign w:val="center"/>
            <w:hideMark/>
          </w:tcPr>
          <w:p w14:paraId="72BEAF44" w14:textId="318B8B54" w:rsidR="00DB51A1" w:rsidRPr="00143FD5" w:rsidRDefault="00DB51A1" w:rsidP="002C76E7">
            <w:pPr>
              <w:jc w:val="center"/>
              <w:rPr>
                <w:rFonts w:ascii="Arial" w:hAnsi="Arial" w:cs="Arial"/>
                <w:sz w:val="16"/>
                <w:szCs w:val="16"/>
              </w:rPr>
            </w:pPr>
            <w:r>
              <w:rPr>
                <w:rStyle w:val="block"/>
                <w:rFonts w:ascii="Arial" w:hAnsi="Arial" w:cs="Arial"/>
                <w:b/>
                <w:bCs/>
                <w:sz w:val="16"/>
                <w:szCs w:val="16"/>
              </w:rPr>
              <w:t>Risk ratio</w:t>
            </w:r>
            <w:r w:rsidRPr="00143FD5">
              <w:rPr>
                <w:rStyle w:val="block"/>
                <w:rFonts w:ascii="Arial" w:hAnsi="Arial" w:cs="Arial"/>
                <w:b/>
                <w:bCs/>
                <w:sz w:val="16"/>
                <w:szCs w:val="16"/>
              </w:rPr>
              <w:t xml:space="preserve"> 1.23 </w:t>
            </w:r>
            <w:r w:rsidRPr="00143FD5">
              <w:rPr>
                <w:rStyle w:val="block"/>
                <w:rFonts w:ascii="Arial" w:hAnsi="Arial" w:cs="Arial"/>
                <w:bCs/>
                <w:sz w:val="16"/>
                <w:szCs w:val="16"/>
              </w:rPr>
              <w:t>(0.54 to 2.77)</w:t>
            </w:r>
          </w:p>
        </w:tc>
        <w:tc>
          <w:tcPr>
            <w:tcW w:w="0" w:type="auto"/>
            <w:tcBorders>
              <w:top w:val="single" w:sz="6" w:space="0" w:color="000000"/>
              <w:left w:val="nil"/>
              <w:bottom w:val="single" w:sz="6" w:space="0" w:color="000000"/>
              <w:right w:val="nil"/>
            </w:tcBorders>
            <w:shd w:val="clear" w:color="auto" w:fill="EDEDED"/>
            <w:vAlign w:val="center"/>
            <w:hideMark/>
          </w:tcPr>
          <w:p w14:paraId="1856B5AC" w14:textId="77777777" w:rsidR="00DB51A1" w:rsidRPr="00143FD5" w:rsidRDefault="00DB51A1" w:rsidP="002C76E7">
            <w:pPr>
              <w:jc w:val="center"/>
              <w:rPr>
                <w:rFonts w:ascii="Arial" w:hAnsi="Arial" w:cs="Arial"/>
                <w:sz w:val="16"/>
                <w:szCs w:val="16"/>
              </w:rPr>
            </w:pPr>
            <w:r w:rsidRPr="00143FD5">
              <w:rPr>
                <w:rFonts w:ascii="Arial" w:hAnsi="Arial" w:cs="Arial"/>
                <w:sz w:val="16"/>
                <w:szCs w:val="16"/>
              </w:rPr>
              <w:t xml:space="preserve">56 per 1,000 </w:t>
            </w:r>
          </w:p>
        </w:tc>
        <w:tc>
          <w:tcPr>
            <w:tcW w:w="0" w:type="auto"/>
            <w:tcBorders>
              <w:top w:val="single" w:sz="6" w:space="0" w:color="000000"/>
              <w:left w:val="nil"/>
              <w:bottom w:val="single" w:sz="6" w:space="0" w:color="000000"/>
              <w:right w:val="nil"/>
            </w:tcBorders>
            <w:shd w:val="clear" w:color="auto" w:fill="EDEDED"/>
            <w:vAlign w:val="center"/>
            <w:hideMark/>
          </w:tcPr>
          <w:p w14:paraId="51844599" w14:textId="77777777" w:rsidR="00DB51A1" w:rsidRPr="00143FD5" w:rsidRDefault="00DB51A1" w:rsidP="002C76E7">
            <w:pPr>
              <w:jc w:val="center"/>
              <w:rPr>
                <w:rFonts w:ascii="Arial" w:hAnsi="Arial" w:cs="Arial"/>
                <w:sz w:val="16"/>
                <w:szCs w:val="16"/>
              </w:rPr>
            </w:pPr>
            <w:r w:rsidRPr="00143FD5">
              <w:rPr>
                <w:rStyle w:val="cell-value"/>
                <w:rFonts w:ascii="Arial" w:hAnsi="Arial" w:cs="Arial"/>
                <w:b/>
                <w:bCs/>
                <w:sz w:val="16"/>
                <w:szCs w:val="16"/>
              </w:rPr>
              <w:t xml:space="preserve">13 more per 1.000 </w:t>
            </w:r>
            <w:r w:rsidRPr="00143FD5">
              <w:rPr>
                <w:rStyle w:val="cell-value"/>
                <w:rFonts w:ascii="Arial" w:hAnsi="Arial" w:cs="Arial"/>
                <w:bCs/>
                <w:sz w:val="16"/>
                <w:szCs w:val="16"/>
              </w:rPr>
              <w:t>(26 fewer to 98 more)</w:t>
            </w:r>
          </w:p>
        </w:tc>
      </w:tr>
      <w:tr w:rsidR="00DB51A1" w:rsidRPr="00143FD5" w14:paraId="45124DA2" w14:textId="77777777" w:rsidTr="00DB51A1">
        <w:trPr>
          <w:cantSplit/>
        </w:trPr>
        <w:tc>
          <w:tcPr>
            <w:tcW w:w="0" w:type="auto"/>
            <w:tcBorders>
              <w:top w:val="single" w:sz="6" w:space="0" w:color="000000"/>
              <w:left w:val="nil"/>
              <w:bottom w:val="single" w:sz="6" w:space="0" w:color="000000"/>
              <w:right w:val="nil"/>
            </w:tcBorders>
            <w:vAlign w:val="center"/>
            <w:hideMark/>
          </w:tcPr>
          <w:p w14:paraId="6CC7327E" w14:textId="77777777" w:rsidR="00DB51A1" w:rsidRPr="00143FD5" w:rsidRDefault="00DB51A1" w:rsidP="002C76E7">
            <w:pPr>
              <w:jc w:val="center"/>
              <w:rPr>
                <w:rStyle w:val="label"/>
                <w:rFonts w:ascii="Arial" w:hAnsi="Arial" w:cs="Arial"/>
                <w:sz w:val="16"/>
                <w:szCs w:val="16"/>
              </w:rPr>
            </w:pPr>
            <w:r>
              <w:rPr>
                <w:rStyle w:val="label"/>
                <w:rFonts w:ascii="Arial" w:hAnsi="Arial" w:cs="Arial"/>
                <w:sz w:val="16"/>
                <w:szCs w:val="16"/>
              </w:rPr>
              <w:t xml:space="preserve">REDUCTION IN </w:t>
            </w:r>
            <w:r w:rsidRPr="00143FD5">
              <w:rPr>
                <w:rStyle w:val="label"/>
                <w:rFonts w:ascii="Arial" w:hAnsi="Arial" w:cs="Arial"/>
                <w:sz w:val="16"/>
                <w:szCs w:val="16"/>
              </w:rPr>
              <w:t xml:space="preserve">RESCUE MEDICATION USE </w:t>
            </w:r>
          </w:p>
          <w:p w14:paraId="30E90F33" w14:textId="77777777" w:rsidR="00DB51A1" w:rsidRPr="00143FD5" w:rsidRDefault="00DB51A1" w:rsidP="002C76E7">
            <w:pPr>
              <w:jc w:val="center"/>
              <w:rPr>
                <w:rStyle w:val="label"/>
                <w:rFonts w:ascii="Arial" w:hAnsi="Arial" w:cs="Arial"/>
                <w:sz w:val="16"/>
                <w:szCs w:val="16"/>
              </w:rPr>
            </w:pPr>
            <w:r w:rsidRPr="00143FD5">
              <w:rPr>
                <w:rStyle w:val="label"/>
                <w:rFonts w:ascii="Arial" w:hAnsi="Arial" w:cs="Arial"/>
                <w:sz w:val="16"/>
                <w:szCs w:val="16"/>
              </w:rPr>
              <w:t>assessed with: puffs/day</w:t>
            </w:r>
          </w:p>
          <w:p w14:paraId="77F8E214" w14:textId="77777777" w:rsidR="00DB51A1" w:rsidRPr="00143FD5" w:rsidRDefault="00DB51A1" w:rsidP="002C76E7">
            <w:pPr>
              <w:jc w:val="center"/>
              <w:rPr>
                <w:rFonts w:ascii="Arial" w:hAnsi="Arial" w:cs="Arial"/>
                <w:sz w:val="16"/>
                <w:szCs w:val="16"/>
              </w:rPr>
            </w:pPr>
          </w:p>
        </w:tc>
        <w:tc>
          <w:tcPr>
            <w:tcW w:w="0" w:type="auto"/>
            <w:tcBorders>
              <w:top w:val="single" w:sz="6" w:space="0" w:color="000000"/>
              <w:left w:val="nil"/>
              <w:bottom w:val="single" w:sz="6" w:space="0" w:color="000000"/>
              <w:right w:val="nil"/>
            </w:tcBorders>
            <w:vAlign w:val="center"/>
            <w:hideMark/>
          </w:tcPr>
          <w:p w14:paraId="22060F34" w14:textId="77777777" w:rsidR="00DB51A1" w:rsidRPr="00143FD5" w:rsidRDefault="00DB51A1" w:rsidP="002C76E7">
            <w:pPr>
              <w:jc w:val="center"/>
              <w:rPr>
                <w:rFonts w:ascii="Arial" w:hAnsi="Arial" w:cs="Arial"/>
                <w:sz w:val="16"/>
                <w:szCs w:val="16"/>
              </w:rPr>
            </w:pPr>
            <w:r w:rsidRPr="00143FD5">
              <w:rPr>
                <w:rFonts w:ascii="Arial" w:hAnsi="Arial" w:cs="Arial"/>
                <w:sz w:val="16"/>
                <w:szCs w:val="16"/>
              </w:rPr>
              <w:t>568</w:t>
            </w:r>
          </w:p>
          <w:p w14:paraId="5D821422" w14:textId="77777777" w:rsidR="00DB51A1" w:rsidRDefault="00DB51A1" w:rsidP="002C76E7">
            <w:pPr>
              <w:jc w:val="center"/>
              <w:rPr>
                <w:rFonts w:ascii="Arial" w:hAnsi="Arial" w:cs="Arial"/>
                <w:sz w:val="16"/>
                <w:szCs w:val="16"/>
                <w:vertAlign w:val="superscript"/>
              </w:rPr>
            </w:pPr>
            <w:r>
              <w:rPr>
                <w:rFonts w:ascii="Arial" w:hAnsi="Arial" w:cs="Arial"/>
                <w:sz w:val="16"/>
                <w:szCs w:val="16"/>
              </w:rPr>
              <w:t>(</w:t>
            </w:r>
            <w:r w:rsidRPr="00143FD5">
              <w:rPr>
                <w:rFonts w:ascii="Arial" w:hAnsi="Arial" w:cs="Arial"/>
                <w:sz w:val="16"/>
                <w:szCs w:val="16"/>
              </w:rPr>
              <w:t>1 RCT</w:t>
            </w:r>
            <w:r>
              <w:rPr>
                <w:rFonts w:ascii="Arial" w:hAnsi="Arial" w:cs="Arial"/>
                <w:sz w:val="16"/>
                <w:szCs w:val="16"/>
              </w:rPr>
              <w:t>)</w:t>
            </w:r>
            <w:r w:rsidRPr="00143FD5">
              <w:rPr>
                <w:rFonts w:ascii="Arial" w:hAnsi="Arial" w:cs="Arial"/>
                <w:sz w:val="16"/>
                <w:szCs w:val="16"/>
              </w:rPr>
              <w:t xml:space="preserve"> </w:t>
            </w:r>
            <w:r w:rsidRPr="00B71CC8">
              <w:rPr>
                <w:rFonts w:ascii="Arial" w:hAnsi="Arial" w:cs="Arial"/>
                <w:sz w:val="16"/>
                <w:szCs w:val="16"/>
                <w:vertAlign w:val="superscript"/>
              </w:rPr>
              <w:t>26</w:t>
            </w:r>
          </w:p>
          <w:p w14:paraId="624B38D0" w14:textId="77777777" w:rsidR="00DB51A1" w:rsidRPr="00143FD5" w:rsidRDefault="00DB51A1" w:rsidP="002C76E7">
            <w:pPr>
              <w:jc w:val="center"/>
              <w:rPr>
                <w:rFonts w:ascii="Arial" w:hAnsi="Arial" w:cs="Arial"/>
                <w:sz w:val="16"/>
                <w:szCs w:val="16"/>
              </w:rPr>
            </w:pPr>
            <w:r w:rsidRPr="00143FD5">
              <w:rPr>
                <w:rStyle w:val="label"/>
                <w:rFonts w:ascii="Arial" w:hAnsi="Arial" w:cs="Arial"/>
                <w:sz w:val="16"/>
                <w:szCs w:val="16"/>
              </w:rPr>
              <w:t>24 to 52 week</w:t>
            </w:r>
            <w:r>
              <w:rPr>
                <w:rStyle w:val="label"/>
                <w:rFonts w:ascii="Arial" w:hAnsi="Arial" w:cs="Arial"/>
                <w:sz w:val="16"/>
                <w:szCs w:val="16"/>
              </w:rPr>
              <w:t>s</w:t>
            </w:r>
          </w:p>
        </w:tc>
        <w:tc>
          <w:tcPr>
            <w:tcW w:w="0" w:type="auto"/>
            <w:tcBorders>
              <w:top w:val="single" w:sz="6" w:space="0" w:color="000000"/>
              <w:left w:val="nil"/>
              <w:bottom w:val="single" w:sz="6" w:space="0" w:color="000000"/>
              <w:right w:val="nil"/>
            </w:tcBorders>
            <w:vAlign w:val="center"/>
            <w:hideMark/>
          </w:tcPr>
          <w:p w14:paraId="7ACF62F1" w14:textId="77777777" w:rsidR="00DB51A1" w:rsidRPr="00143FD5" w:rsidRDefault="00DB51A1" w:rsidP="002C76E7">
            <w:pPr>
              <w:jc w:val="center"/>
              <w:rPr>
                <w:rFonts w:ascii="Arial" w:hAnsi="Arial" w:cs="Arial"/>
                <w:sz w:val="16"/>
                <w:szCs w:val="16"/>
              </w:rPr>
            </w:pPr>
            <w:r w:rsidRPr="00143FD5">
              <w:rPr>
                <w:rStyle w:val="quality-sign"/>
                <w:rFonts w:ascii="Cambria Math" w:hAnsi="Cambria Math" w:cs="Cambria Math"/>
                <w:sz w:val="16"/>
                <w:szCs w:val="16"/>
              </w:rPr>
              <w:t>⨁⨁⨁⨁</w:t>
            </w:r>
            <w:r w:rsidRPr="00143FD5">
              <w:rPr>
                <w:rFonts w:ascii="Arial" w:hAnsi="Arial" w:cs="Arial"/>
                <w:sz w:val="16"/>
                <w:szCs w:val="16"/>
              </w:rPr>
              <w:br/>
            </w:r>
            <w:r w:rsidRPr="00143FD5">
              <w:rPr>
                <w:rStyle w:val="quality-text"/>
                <w:rFonts w:ascii="Arial" w:hAnsi="Arial" w:cs="Arial"/>
                <w:sz w:val="16"/>
                <w:szCs w:val="16"/>
              </w:rPr>
              <w:t>HIGH</w:t>
            </w:r>
            <w:r w:rsidRPr="00143FD5">
              <w:rPr>
                <w:rFonts w:ascii="Arial" w:hAnsi="Arial" w:cs="Arial"/>
                <w:sz w:val="16"/>
                <w:szCs w:val="16"/>
              </w:rPr>
              <w:t xml:space="preserve"> </w:t>
            </w:r>
            <w:proofErr w:type="gramStart"/>
            <w:r w:rsidRPr="00143FD5">
              <w:rPr>
                <w:rFonts w:ascii="Arial" w:hAnsi="Arial" w:cs="Arial"/>
                <w:sz w:val="16"/>
                <w:szCs w:val="16"/>
                <w:vertAlign w:val="superscript"/>
              </w:rPr>
              <w:t>4</w:t>
            </w:r>
            <w:r w:rsidRPr="00143FD5">
              <w:rPr>
                <w:rStyle w:val="comma"/>
                <w:rFonts w:ascii="Arial" w:hAnsi="Arial" w:cs="Arial"/>
                <w:sz w:val="16"/>
                <w:szCs w:val="16"/>
                <w:vertAlign w:val="superscript"/>
              </w:rPr>
              <w:t>,</w:t>
            </w:r>
            <w:r w:rsidRPr="00143FD5">
              <w:rPr>
                <w:rFonts w:ascii="Arial" w:hAnsi="Arial" w:cs="Arial"/>
                <w:sz w:val="16"/>
                <w:szCs w:val="16"/>
                <w:vertAlign w:val="superscript"/>
              </w:rPr>
              <w:t>a</w:t>
            </w:r>
            <w:proofErr w:type="gramEnd"/>
          </w:p>
        </w:tc>
        <w:tc>
          <w:tcPr>
            <w:tcW w:w="0" w:type="auto"/>
            <w:tcBorders>
              <w:top w:val="single" w:sz="6" w:space="0" w:color="000000"/>
              <w:left w:val="nil"/>
              <w:bottom w:val="single" w:sz="6" w:space="0" w:color="000000"/>
              <w:right w:val="nil"/>
            </w:tcBorders>
            <w:vAlign w:val="center"/>
            <w:hideMark/>
          </w:tcPr>
          <w:p w14:paraId="0113C086" w14:textId="77777777" w:rsidR="00DB51A1" w:rsidRPr="00143FD5" w:rsidRDefault="00DB51A1" w:rsidP="002C76E7">
            <w:pPr>
              <w:jc w:val="center"/>
              <w:rPr>
                <w:rFonts w:ascii="Arial" w:hAnsi="Arial" w:cs="Arial"/>
                <w:sz w:val="16"/>
                <w:szCs w:val="16"/>
              </w:rPr>
            </w:pPr>
            <w:r w:rsidRPr="00143FD5">
              <w:rPr>
                <w:rStyle w:val="block"/>
                <w:rFonts w:ascii="Arial" w:hAnsi="Arial" w:cs="Arial"/>
                <w:b/>
                <w:bCs/>
                <w:sz w:val="16"/>
                <w:szCs w:val="16"/>
              </w:rPr>
              <w:t>-</w:t>
            </w:r>
          </w:p>
        </w:tc>
        <w:tc>
          <w:tcPr>
            <w:tcW w:w="0" w:type="auto"/>
            <w:tcBorders>
              <w:top w:val="single" w:sz="6" w:space="0" w:color="000000"/>
              <w:left w:val="nil"/>
              <w:bottom w:val="single" w:sz="6" w:space="0" w:color="000000"/>
              <w:right w:val="nil"/>
            </w:tcBorders>
            <w:shd w:val="clear" w:color="auto" w:fill="EDEDED"/>
            <w:vAlign w:val="center"/>
            <w:hideMark/>
          </w:tcPr>
          <w:p w14:paraId="6DCD89A7" w14:textId="77777777" w:rsidR="00DB51A1" w:rsidRPr="00143FD5" w:rsidRDefault="00DB51A1" w:rsidP="002C76E7">
            <w:pPr>
              <w:jc w:val="center"/>
              <w:rPr>
                <w:rFonts w:ascii="Arial" w:hAnsi="Arial" w:cs="Arial"/>
                <w:sz w:val="16"/>
                <w:szCs w:val="16"/>
              </w:rPr>
            </w:pPr>
            <w:r w:rsidRPr="00143FD5">
              <w:rPr>
                <w:rFonts w:ascii="Arial" w:hAnsi="Arial" w:cs="Arial"/>
                <w:sz w:val="16"/>
                <w:szCs w:val="16"/>
              </w:rPr>
              <w:t xml:space="preserve">- </w:t>
            </w:r>
          </w:p>
        </w:tc>
        <w:tc>
          <w:tcPr>
            <w:tcW w:w="0" w:type="auto"/>
            <w:tcBorders>
              <w:top w:val="single" w:sz="6" w:space="0" w:color="000000"/>
              <w:left w:val="nil"/>
              <w:bottom w:val="single" w:sz="6" w:space="0" w:color="000000"/>
              <w:right w:val="nil"/>
            </w:tcBorders>
            <w:shd w:val="clear" w:color="auto" w:fill="EDEDED"/>
            <w:vAlign w:val="center"/>
            <w:hideMark/>
          </w:tcPr>
          <w:p w14:paraId="0126B59F" w14:textId="14E041A1" w:rsidR="00DB51A1" w:rsidRPr="00143FD5" w:rsidRDefault="00DB51A1" w:rsidP="002C76E7">
            <w:pPr>
              <w:jc w:val="center"/>
              <w:rPr>
                <w:rFonts w:ascii="Arial" w:hAnsi="Arial" w:cs="Arial"/>
                <w:sz w:val="16"/>
                <w:szCs w:val="16"/>
              </w:rPr>
            </w:pPr>
            <w:r w:rsidRPr="00143FD5">
              <w:rPr>
                <w:rFonts w:ascii="Arial" w:hAnsi="Arial" w:cs="Arial"/>
                <w:sz w:val="16"/>
                <w:szCs w:val="16"/>
              </w:rPr>
              <w:t xml:space="preserve">MD </w:t>
            </w:r>
            <w:r>
              <w:rPr>
                <w:rFonts w:ascii="Arial" w:hAnsi="Arial" w:cs="Arial"/>
                <w:sz w:val="16"/>
                <w:szCs w:val="16"/>
              </w:rPr>
              <w:t>-</w:t>
            </w:r>
            <w:r w:rsidRPr="00143FD5">
              <w:rPr>
                <w:rFonts w:ascii="Arial" w:hAnsi="Arial" w:cs="Arial"/>
                <w:b/>
                <w:sz w:val="16"/>
                <w:szCs w:val="16"/>
              </w:rPr>
              <w:t>0.35 lower</w:t>
            </w:r>
            <w:r w:rsidRPr="00143FD5">
              <w:rPr>
                <w:rFonts w:ascii="Arial" w:hAnsi="Arial" w:cs="Arial"/>
                <w:sz w:val="16"/>
                <w:szCs w:val="16"/>
              </w:rPr>
              <w:t xml:space="preserve"> (</w:t>
            </w:r>
            <w:r>
              <w:rPr>
                <w:rFonts w:ascii="Arial" w:hAnsi="Arial" w:cs="Arial"/>
                <w:sz w:val="16"/>
                <w:szCs w:val="16"/>
              </w:rPr>
              <w:t>-</w:t>
            </w:r>
            <w:r w:rsidRPr="00143FD5">
              <w:rPr>
                <w:rFonts w:ascii="Arial" w:hAnsi="Arial" w:cs="Arial"/>
                <w:sz w:val="16"/>
                <w:szCs w:val="16"/>
              </w:rPr>
              <w:t xml:space="preserve">0.73 to </w:t>
            </w:r>
            <w:r>
              <w:rPr>
                <w:rFonts w:ascii="Arial" w:hAnsi="Arial" w:cs="Arial"/>
                <w:sz w:val="16"/>
                <w:szCs w:val="16"/>
              </w:rPr>
              <w:t>-</w:t>
            </w:r>
            <w:r w:rsidRPr="00143FD5">
              <w:rPr>
                <w:rFonts w:ascii="Arial" w:hAnsi="Arial" w:cs="Arial"/>
                <w:sz w:val="16"/>
                <w:szCs w:val="16"/>
              </w:rPr>
              <w:t>0.02)</w:t>
            </w:r>
          </w:p>
        </w:tc>
      </w:tr>
      <w:tr w:rsidR="00DB51A1" w:rsidRPr="00143FD5" w14:paraId="50EFAA6F" w14:textId="77777777" w:rsidTr="00DB51A1">
        <w:trPr>
          <w:cantSplit/>
        </w:trPr>
        <w:tc>
          <w:tcPr>
            <w:tcW w:w="0" w:type="auto"/>
            <w:tcBorders>
              <w:top w:val="single" w:sz="6" w:space="0" w:color="000000"/>
              <w:left w:val="nil"/>
              <w:bottom w:val="single" w:sz="6" w:space="0" w:color="000000"/>
              <w:right w:val="nil"/>
            </w:tcBorders>
            <w:vAlign w:val="center"/>
            <w:hideMark/>
          </w:tcPr>
          <w:p w14:paraId="6A391485" w14:textId="77777777" w:rsidR="00DB51A1" w:rsidRPr="00143FD5" w:rsidRDefault="00DB51A1" w:rsidP="002C76E7">
            <w:pPr>
              <w:jc w:val="center"/>
              <w:rPr>
                <w:rFonts w:ascii="Arial" w:hAnsi="Arial" w:cs="Arial"/>
                <w:sz w:val="16"/>
                <w:szCs w:val="16"/>
              </w:rPr>
            </w:pPr>
            <w:r w:rsidRPr="00143FD5">
              <w:rPr>
                <w:rStyle w:val="label"/>
                <w:rFonts w:ascii="Arial" w:hAnsi="Arial" w:cs="Arial"/>
                <w:sz w:val="16"/>
                <w:szCs w:val="16"/>
              </w:rPr>
              <w:t xml:space="preserve">REDUCTION OF </w:t>
            </w:r>
            <w:r>
              <w:rPr>
                <w:rStyle w:val="label"/>
                <w:rFonts w:ascii="Arial" w:hAnsi="Arial" w:cs="Arial"/>
                <w:sz w:val="16"/>
                <w:szCs w:val="16"/>
              </w:rPr>
              <w:t xml:space="preserve">ORAL </w:t>
            </w:r>
            <w:r w:rsidRPr="00143FD5">
              <w:rPr>
                <w:rStyle w:val="label"/>
                <w:rFonts w:ascii="Arial" w:hAnsi="Arial" w:cs="Arial"/>
                <w:sz w:val="16"/>
                <w:szCs w:val="16"/>
              </w:rPr>
              <w:t>CORTICOSTEROID USE</w:t>
            </w:r>
            <w:r w:rsidRPr="00143FD5">
              <w:rPr>
                <w:rFonts w:ascii="Arial" w:hAnsi="Arial" w:cs="Arial"/>
                <w:sz w:val="16"/>
                <w:szCs w:val="16"/>
              </w:rPr>
              <w:br/>
            </w:r>
            <w:r w:rsidRPr="00143FD5">
              <w:rPr>
                <w:rStyle w:val="label"/>
                <w:rFonts w:ascii="Arial" w:hAnsi="Arial" w:cs="Arial"/>
                <w:sz w:val="16"/>
                <w:szCs w:val="16"/>
              </w:rPr>
              <w:t>assessed with</w:t>
            </w:r>
            <w:r>
              <w:rPr>
                <w:rStyle w:val="label"/>
                <w:rFonts w:ascii="Arial" w:hAnsi="Arial" w:cs="Arial"/>
                <w:sz w:val="16"/>
                <w:szCs w:val="16"/>
              </w:rPr>
              <w:t xml:space="preserve"> mg/day decrease </w:t>
            </w:r>
          </w:p>
        </w:tc>
        <w:tc>
          <w:tcPr>
            <w:tcW w:w="0" w:type="auto"/>
            <w:tcBorders>
              <w:top w:val="single" w:sz="6" w:space="0" w:color="000000"/>
              <w:left w:val="nil"/>
              <w:bottom w:val="single" w:sz="6" w:space="0" w:color="000000"/>
              <w:right w:val="nil"/>
            </w:tcBorders>
            <w:vAlign w:val="center"/>
            <w:hideMark/>
          </w:tcPr>
          <w:p w14:paraId="2AD5215D" w14:textId="77777777" w:rsidR="00DB51A1" w:rsidRPr="00143FD5" w:rsidRDefault="00DB51A1" w:rsidP="002C76E7">
            <w:pPr>
              <w:jc w:val="center"/>
              <w:rPr>
                <w:rFonts w:ascii="Arial" w:hAnsi="Arial" w:cs="Arial"/>
                <w:sz w:val="16"/>
                <w:szCs w:val="16"/>
              </w:rPr>
            </w:pPr>
            <w:r w:rsidRPr="00143FD5">
              <w:rPr>
                <w:rFonts w:ascii="Arial" w:hAnsi="Arial" w:cs="Arial"/>
                <w:sz w:val="16"/>
                <w:szCs w:val="16"/>
              </w:rPr>
              <w:t>210</w:t>
            </w:r>
          </w:p>
          <w:p w14:paraId="4D6DA79A" w14:textId="77777777" w:rsidR="00DB51A1" w:rsidRDefault="00DB51A1" w:rsidP="002C76E7">
            <w:pPr>
              <w:jc w:val="center"/>
              <w:rPr>
                <w:rFonts w:ascii="Arial" w:hAnsi="Arial" w:cs="Arial"/>
                <w:sz w:val="16"/>
                <w:szCs w:val="16"/>
                <w:vertAlign w:val="superscript"/>
              </w:rPr>
            </w:pPr>
            <w:r w:rsidRPr="00143FD5">
              <w:rPr>
                <w:rFonts w:ascii="Arial" w:hAnsi="Arial" w:cs="Arial"/>
                <w:sz w:val="16"/>
                <w:szCs w:val="16"/>
              </w:rPr>
              <w:t xml:space="preserve">(1 RCT) </w:t>
            </w:r>
            <w:r w:rsidRPr="00B71CC8">
              <w:rPr>
                <w:rFonts w:ascii="Arial" w:hAnsi="Arial" w:cs="Arial"/>
                <w:sz w:val="16"/>
                <w:szCs w:val="16"/>
                <w:vertAlign w:val="superscript"/>
              </w:rPr>
              <w:t>28</w:t>
            </w:r>
          </w:p>
          <w:p w14:paraId="02C3AF58" w14:textId="77777777" w:rsidR="00DB51A1" w:rsidRPr="00143FD5" w:rsidRDefault="00DB51A1" w:rsidP="002C76E7">
            <w:pPr>
              <w:jc w:val="center"/>
              <w:rPr>
                <w:rFonts w:ascii="Arial" w:hAnsi="Arial" w:cs="Arial"/>
                <w:sz w:val="16"/>
                <w:szCs w:val="16"/>
              </w:rPr>
            </w:pPr>
            <w:r w:rsidRPr="00143FD5">
              <w:rPr>
                <w:rStyle w:val="label"/>
                <w:rFonts w:ascii="Arial" w:hAnsi="Arial" w:cs="Arial"/>
                <w:sz w:val="16"/>
                <w:szCs w:val="16"/>
              </w:rPr>
              <w:t>mean 24 weeks</w:t>
            </w:r>
          </w:p>
        </w:tc>
        <w:tc>
          <w:tcPr>
            <w:tcW w:w="0" w:type="auto"/>
            <w:tcBorders>
              <w:top w:val="single" w:sz="6" w:space="0" w:color="000000"/>
              <w:left w:val="nil"/>
              <w:bottom w:val="single" w:sz="6" w:space="0" w:color="000000"/>
              <w:right w:val="nil"/>
            </w:tcBorders>
            <w:vAlign w:val="center"/>
            <w:hideMark/>
          </w:tcPr>
          <w:p w14:paraId="282A61C4" w14:textId="77777777" w:rsidR="00DB51A1" w:rsidRPr="00143FD5" w:rsidRDefault="00DB51A1" w:rsidP="002C76E7">
            <w:pPr>
              <w:jc w:val="center"/>
              <w:rPr>
                <w:rFonts w:ascii="Arial" w:hAnsi="Arial" w:cs="Arial"/>
                <w:sz w:val="16"/>
                <w:szCs w:val="16"/>
              </w:rPr>
            </w:pPr>
            <w:r w:rsidRPr="00143FD5">
              <w:rPr>
                <w:rStyle w:val="quality-sign"/>
                <w:rFonts w:ascii="Cambria Math" w:hAnsi="Cambria Math" w:cs="Cambria Math"/>
                <w:sz w:val="16"/>
                <w:szCs w:val="16"/>
              </w:rPr>
              <w:t>⨁⨁⨁⨁</w:t>
            </w:r>
            <w:r w:rsidRPr="00143FD5">
              <w:rPr>
                <w:rFonts w:ascii="Arial" w:hAnsi="Arial" w:cs="Arial"/>
                <w:sz w:val="16"/>
                <w:szCs w:val="16"/>
              </w:rPr>
              <w:br/>
            </w:r>
            <w:r w:rsidRPr="00143FD5">
              <w:rPr>
                <w:rStyle w:val="quality-text"/>
                <w:rFonts w:ascii="Arial" w:hAnsi="Arial" w:cs="Arial"/>
                <w:sz w:val="16"/>
                <w:szCs w:val="16"/>
              </w:rPr>
              <w:t>HIGH</w:t>
            </w:r>
            <w:r w:rsidRPr="00143FD5">
              <w:rPr>
                <w:rFonts w:ascii="Arial" w:hAnsi="Arial" w:cs="Arial"/>
                <w:sz w:val="16"/>
                <w:szCs w:val="16"/>
              </w:rPr>
              <w:t xml:space="preserve"> </w:t>
            </w:r>
            <w:proofErr w:type="gramStart"/>
            <w:r w:rsidRPr="00143FD5">
              <w:rPr>
                <w:rFonts w:ascii="Arial" w:hAnsi="Arial" w:cs="Arial"/>
                <w:sz w:val="16"/>
                <w:szCs w:val="16"/>
                <w:vertAlign w:val="superscript"/>
              </w:rPr>
              <w:t>4</w:t>
            </w:r>
            <w:r w:rsidRPr="00143FD5">
              <w:rPr>
                <w:rStyle w:val="comma"/>
                <w:rFonts w:ascii="Arial" w:hAnsi="Arial" w:cs="Arial"/>
                <w:sz w:val="16"/>
                <w:szCs w:val="16"/>
                <w:vertAlign w:val="superscript"/>
              </w:rPr>
              <w:t>,</w:t>
            </w:r>
            <w:r w:rsidRPr="00143FD5">
              <w:rPr>
                <w:rFonts w:ascii="Arial" w:hAnsi="Arial" w:cs="Arial"/>
                <w:sz w:val="16"/>
                <w:szCs w:val="16"/>
                <w:vertAlign w:val="superscript"/>
              </w:rPr>
              <w:t>a</w:t>
            </w:r>
            <w:proofErr w:type="gramEnd"/>
          </w:p>
        </w:tc>
        <w:tc>
          <w:tcPr>
            <w:tcW w:w="0" w:type="auto"/>
            <w:tcBorders>
              <w:top w:val="single" w:sz="6" w:space="0" w:color="000000"/>
              <w:left w:val="nil"/>
              <w:bottom w:val="single" w:sz="6" w:space="0" w:color="000000"/>
              <w:right w:val="nil"/>
            </w:tcBorders>
            <w:vAlign w:val="center"/>
            <w:hideMark/>
          </w:tcPr>
          <w:p w14:paraId="7CF568C7" w14:textId="77777777" w:rsidR="00DB51A1" w:rsidRPr="00143FD5" w:rsidRDefault="00DB51A1" w:rsidP="002C76E7">
            <w:pPr>
              <w:jc w:val="center"/>
              <w:rPr>
                <w:rFonts w:ascii="Arial" w:hAnsi="Arial" w:cs="Arial"/>
                <w:sz w:val="16"/>
                <w:szCs w:val="16"/>
              </w:rPr>
            </w:pPr>
            <w:r w:rsidRPr="00143FD5">
              <w:rPr>
                <w:rStyle w:val="cell"/>
                <w:rFonts w:ascii="Arial" w:hAnsi="Arial" w:cs="Arial"/>
                <w:sz w:val="16"/>
                <w:szCs w:val="16"/>
              </w:rPr>
              <w:t>-</w:t>
            </w:r>
            <w:r w:rsidRPr="00143FD5">
              <w:rPr>
                <w:rFonts w:ascii="Arial" w:hAnsi="Arial" w:cs="Arial"/>
                <w:sz w:val="16"/>
                <w:szCs w:val="16"/>
              </w:rPr>
              <w:t xml:space="preserve"> </w:t>
            </w:r>
          </w:p>
        </w:tc>
        <w:tc>
          <w:tcPr>
            <w:tcW w:w="0" w:type="auto"/>
            <w:tcBorders>
              <w:top w:val="single" w:sz="6" w:space="0" w:color="000000"/>
              <w:left w:val="nil"/>
              <w:bottom w:val="single" w:sz="6" w:space="0" w:color="000000"/>
              <w:right w:val="nil"/>
            </w:tcBorders>
            <w:shd w:val="clear" w:color="auto" w:fill="EDEDED"/>
            <w:vAlign w:val="center"/>
            <w:hideMark/>
          </w:tcPr>
          <w:p w14:paraId="6DC1A38F" w14:textId="77777777" w:rsidR="00DB51A1" w:rsidRPr="00143FD5" w:rsidRDefault="00DB51A1" w:rsidP="002C76E7">
            <w:pPr>
              <w:jc w:val="center"/>
              <w:rPr>
                <w:rFonts w:ascii="Arial" w:hAnsi="Arial" w:cs="Arial"/>
                <w:sz w:val="16"/>
                <w:szCs w:val="16"/>
              </w:rPr>
            </w:pPr>
            <w:r w:rsidRPr="00143FD5">
              <w:rPr>
                <w:rStyle w:val="cell-value"/>
                <w:rFonts w:ascii="Arial" w:hAnsi="Arial" w:cs="Arial"/>
                <w:sz w:val="16"/>
                <w:szCs w:val="16"/>
              </w:rPr>
              <w:t>-</w:t>
            </w:r>
            <w:r w:rsidRPr="00143FD5">
              <w:rPr>
                <w:rFonts w:ascii="Arial" w:hAnsi="Arial" w:cs="Arial"/>
                <w:sz w:val="16"/>
                <w:szCs w:val="16"/>
              </w:rPr>
              <w:t xml:space="preserve"> </w:t>
            </w:r>
          </w:p>
        </w:tc>
        <w:tc>
          <w:tcPr>
            <w:tcW w:w="0" w:type="auto"/>
            <w:tcBorders>
              <w:top w:val="single" w:sz="6" w:space="0" w:color="000000"/>
              <w:left w:val="nil"/>
              <w:bottom w:val="single" w:sz="6" w:space="0" w:color="000000"/>
              <w:right w:val="nil"/>
            </w:tcBorders>
            <w:shd w:val="clear" w:color="auto" w:fill="EDEDED"/>
            <w:vAlign w:val="center"/>
            <w:hideMark/>
          </w:tcPr>
          <w:p w14:paraId="38AC9C29" w14:textId="7EE8414A" w:rsidR="00DB51A1" w:rsidRPr="00143FD5" w:rsidRDefault="00DB51A1" w:rsidP="002C76E7">
            <w:pPr>
              <w:jc w:val="center"/>
              <w:rPr>
                <w:rFonts w:ascii="Arial" w:hAnsi="Arial" w:cs="Arial"/>
                <w:sz w:val="16"/>
                <w:szCs w:val="16"/>
              </w:rPr>
            </w:pPr>
            <w:r w:rsidRPr="00143FD5">
              <w:rPr>
                <w:rStyle w:val="cell-value"/>
                <w:rFonts w:ascii="Arial" w:hAnsi="Arial" w:cs="Arial"/>
                <w:sz w:val="16"/>
                <w:szCs w:val="16"/>
              </w:rPr>
              <w:t xml:space="preserve">MD </w:t>
            </w:r>
            <w:r>
              <w:rPr>
                <w:rStyle w:val="cell-value"/>
                <w:rFonts w:ascii="Arial" w:hAnsi="Arial" w:cs="Arial"/>
                <w:sz w:val="16"/>
                <w:szCs w:val="16"/>
              </w:rPr>
              <w:t>-</w:t>
            </w:r>
            <w:r>
              <w:rPr>
                <w:rStyle w:val="cell-value"/>
              </w:rPr>
              <w:t xml:space="preserve"> </w:t>
            </w:r>
            <w:r w:rsidRPr="003429CD">
              <w:rPr>
                <w:rStyle w:val="cell-value"/>
                <w:rFonts w:ascii="Arial" w:hAnsi="Arial" w:cs="Arial"/>
                <w:b/>
                <w:sz w:val="16"/>
                <w:szCs w:val="16"/>
              </w:rPr>
              <w:t>28.2</w:t>
            </w:r>
            <w:r w:rsidRPr="00143FD5">
              <w:rPr>
                <w:rStyle w:val="cell-value"/>
                <w:rFonts w:ascii="Arial" w:hAnsi="Arial" w:cs="Arial"/>
                <w:b/>
                <w:bCs/>
                <w:sz w:val="16"/>
                <w:szCs w:val="16"/>
              </w:rPr>
              <w:t xml:space="preserve"> </w:t>
            </w:r>
            <w:r w:rsidRPr="00143FD5">
              <w:rPr>
                <w:rFonts w:ascii="Arial" w:hAnsi="Arial" w:cs="Arial"/>
                <w:sz w:val="16"/>
                <w:szCs w:val="16"/>
              </w:rPr>
              <w:br/>
            </w:r>
            <w:r w:rsidRPr="00143FD5">
              <w:rPr>
                <w:rStyle w:val="cell-value"/>
                <w:rFonts w:ascii="Arial" w:hAnsi="Arial" w:cs="Arial"/>
                <w:sz w:val="16"/>
                <w:szCs w:val="16"/>
              </w:rPr>
              <w:t>(</w:t>
            </w:r>
            <w:r>
              <w:rPr>
                <w:rStyle w:val="cell-value"/>
                <w:rFonts w:ascii="Arial" w:hAnsi="Arial" w:cs="Arial"/>
                <w:sz w:val="16"/>
                <w:szCs w:val="16"/>
              </w:rPr>
              <w:t>-40.7</w:t>
            </w:r>
            <w:r w:rsidRPr="00143FD5">
              <w:rPr>
                <w:rStyle w:val="cell-value"/>
                <w:rFonts w:ascii="Arial" w:hAnsi="Arial" w:cs="Arial"/>
                <w:sz w:val="16"/>
                <w:szCs w:val="16"/>
              </w:rPr>
              <w:t xml:space="preserve"> to </w:t>
            </w:r>
            <w:r>
              <w:rPr>
                <w:rStyle w:val="cell-value"/>
                <w:rFonts w:ascii="Arial" w:hAnsi="Arial" w:cs="Arial"/>
                <w:sz w:val="16"/>
                <w:szCs w:val="16"/>
              </w:rPr>
              <w:t>-15.7</w:t>
            </w:r>
            <w:r w:rsidRPr="00143FD5">
              <w:rPr>
                <w:rStyle w:val="cell-value"/>
                <w:rFonts w:ascii="Arial" w:hAnsi="Arial" w:cs="Arial"/>
                <w:sz w:val="16"/>
                <w:szCs w:val="16"/>
              </w:rPr>
              <w:t>)</w:t>
            </w:r>
            <w:r w:rsidRPr="00143FD5">
              <w:rPr>
                <w:rFonts w:ascii="Arial" w:hAnsi="Arial" w:cs="Arial"/>
                <w:sz w:val="16"/>
                <w:szCs w:val="16"/>
              </w:rPr>
              <w:t xml:space="preserve"> </w:t>
            </w:r>
          </w:p>
        </w:tc>
      </w:tr>
      <w:tr w:rsidR="00DB51A1" w:rsidRPr="00143FD5" w14:paraId="330146A0" w14:textId="77777777" w:rsidTr="00DB51A1">
        <w:trPr>
          <w:cantSplit/>
        </w:trPr>
        <w:tc>
          <w:tcPr>
            <w:tcW w:w="0" w:type="auto"/>
            <w:tcBorders>
              <w:top w:val="single" w:sz="6" w:space="0" w:color="000000"/>
              <w:left w:val="nil"/>
              <w:bottom w:val="single" w:sz="6" w:space="0" w:color="000000"/>
              <w:right w:val="nil"/>
            </w:tcBorders>
            <w:vAlign w:val="center"/>
            <w:hideMark/>
          </w:tcPr>
          <w:p w14:paraId="156A407D" w14:textId="77777777" w:rsidR="00DB51A1" w:rsidRPr="00143FD5" w:rsidRDefault="00DB51A1" w:rsidP="002C76E7">
            <w:pPr>
              <w:jc w:val="center"/>
              <w:rPr>
                <w:rStyle w:val="label"/>
                <w:rFonts w:ascii="Arial" w:hAnsi="Arial" w:cs="Arial"/>
                <w:sz w:val="16"/>
                <w:szCs w:val="16"/>
              </w:rPr>
            </w:pPr>
            <w:r w:rsidRPr="00143FD5">
              <w:rPr>
                <w:rStyle w:val="label"/>
                <w:rFonts w:ascii="Arial" w:hAnsi="Arial" w:cs="Arial"/>
                <w:sz w:val="16"/>
                <w:szCs w:val="16"/>
              </w:rPr>
              <w:t>Fraction of exhaled nitric oxide (FeNO)</w:t>
            </w:r>
          </w:p>
          <w:p w14:paraId="2838BEEC" w14:textId="77777777" w:rsidR="00DB51A1" w:rsidRPr="00143FD5" w:rsidRDefault="00DB51A1" w:rsidP="002C76E7">
            <w:pPr>
              <w:jc w:val="center"/>
              <w:rPr>
                <w:rStyle w:val="label"/>
                <w:rFonts w:ascii="Arial" w:hAnsi="Arial" w:cs="Arial"/>
                <w:sz w:val="16"/>
                <w:szCs w:val="16"/>
              </w:rPr>
            </w:pPr>
            <w:r w:rsidRPr="00143FD5">
              <w:rPr>
                <w:rStyle w:val="label"/>
                <w:rFonts w:ascii="Arial" w:hAnsi="Arial" w:cs="Arial"/>
                <w:sz w:val="16"/>
                <w:szCs w:val="16"/>
              </w:rPr>
              <w:t>assessed with</w:t>
            </w:r>
            <w:r>
              <w:rPr>
                <w:rStyle w:val="label"/>
                <w:rFonts w:ascii="Arial" w:hAnsi="Arial" w:cs="Arial"/>
                <w:sz w:val="16"/>
                <w:szCs w:val="16"/>
              </w:rPr>
              <w:t xml:space="preserve"> </w:t>
            </w:r>
            <w:r w:rsidRPr="00143FD5">
              <w:rPr>
                <w:rStyle w:val="label"/>
                <w:rFonts w:ascii="Arial" w:hAnsi="Arial" w:cs="Arial"/>
                <w:sz w:val="16"/>
                <w:szCs w:val="16"/>
              </w:rPr>
              <w:t>mean % change (ppb)</w:t>
            </w:r>
          </w:p>
          <w:p w14:paraId="24013077" w14:textId="77777777" w:rsidR="00DB51A1" w:rsidRPr="00143FD5" w:rsidRDefault="00DB51A1" w:rsidP="002C76E7">
            <w:pPr>
              <w:jc w:val="center"/>
              <w:rPr>
                <w:rFonts w:ascii="Arial" w:hAnsi="Arial" w:cs="Arial"/>
                <w:sz w:val="16"/>
                <w:szCs w:val="16"/>
              </w:rPr>
            </w:pPr>
          </w:p>
        </w:tc>
        <w:tc>
          <w:tcPr>
            <w:tcW w:w="0" w:type="auto"/>
            <w:tcBorders>
              <w:top w:val="single" w:sz="6" w:space="0" w:color="000000"/>
              <w:left w:val="nil"/>
              <w:bottom w:val="single" w:sz="6" w:space="0" w:color="000000"/>
              <w:right w:val="nil"/>
            </w:tcBorders>
            <w:vAlign w:val="center"/>
            <w:hideMark/>
          </w:tcPr>
          <w:p w14:paraId="5CACF8B4" w14:textId="77777777" w:rsidR="00DB51A1" w:rsidRPr="00143FD5" w:rsidRDefault="00DB51A1" w:rsidP="002C76E7">
            <w:pPr>
              <w:jc w:val="center"/>
              <w:rPr>
                <w:rStyle w:val="cell"/>
                <w:rFonts w:ascii="Arial" w:hAnsi="Arial" w:cs="Arial"/>
                <w:sz w:val="16"/>
                <w:szCs w:val="16"/>
              </w:rPr>
            </w:pPr>
            <w:r w:rsidRPr="00143FD5">
              <w:rPr>
                <w:rStyle w:val="cell"/>
                <w:rFonts w:ascii="Arial" w:hAnsi="Arial" w:cs="Arial"/>
                <w:sz w:val="16"/>
                <w:szCs w:val="16"/>
              </w:rPr>
              <w:t>2375</w:t>
            </w:r>
          </w:p>
          <w:p w14:paraId="72CE096C" w14:textId="77777777" w:rsidR="00DB51A1" w:rsidRDefault="00DB51A1" w:rsidP="002C76E7">
            <w:pPr>
              <w:jc w:val="center"/>
              <w:rPr>
                <w:rStyle w:val="cell"/>
                <w:rFonts w:ascii="Arial" w:hAnsi="Arial" w:cs="Arial"/>
                <w:sz w:val="16"/>
                <w:szCs w:val="16"/>
                <w:vertAlign w:val="superscript"/>
              </w:rPr>
            </w:pPr>
            <w:r w:rsidRPr="00143FD5">
              <w:rPr>
                <w:rStyle w:val="cell"/>
                <w:rFonts w:ascii="Arial" w:hAnsi="Arial" w:cs="Arial"/>
                <w:sz w:val="16"/>
                <w:szCs w:val="16"/>
              </w:rPr>
              <w:t>(2 RCTs)</w:t>
            </w:r>
            <w:r w:rsidRPr="00B71CC8">
              <w:rPr>
                <w:rStyle w:val="cell"/>
                <w:rFonts w:ascii="Arial" w:hAnsi="Arial" w:cs="Arial"/>
                <w:sz w:val="16"/>
                <w:szCs w:val="16"/>
                <w:vertAlign w:val="superscript"/>
              </w:rPr>
              <w:t>26,27</w:t>
            </w:r>
          </w:p>
          <w:p w14:paraId="654C73FC" w14:textId="77777777" w:rsidR="00DB51A1" w:rsidRPr="00143FD5" w:rsidRDefault="00DB51A1" w:rsidP="002C76E7">
            <w:pPr>
              <w:jc w:val="center"/>
              <w:rPr>
                <w:rFonts w:ascii="Arial" w:hAnsi="Arial" w:cs="Arial"/>
                <w:sz w:val="16"/>
                <w:szCs w:val="16"/>
              </w:rPr>
            </w:pPr>
            <w:r w:rsidRPr="00143FD5">
              <w:rPr>
                <w:rStyle w:val="label"/>
                <w:rFonts w:ascii="Arial" w:hAnsi="Arial" w:cs="Arial"/>
                <w:sz w:val="16"/>
                <w:szCs w:val="16"/>
              </w:rPr>
              <w:t>mean 24 weeks</w:t>
            </w:r>
          </w:p>
        </w:tc>
        <w:tc>
          <w:tcPr>
            <w:tcW w:w="0" w:type="auto"/>
            <w:tcBorders>
              <w:top w:val="single" w:sz="6" w:space="0" w:color="000000"/>
              <w:left w:val="nil"/>
              <w:bottom w:val="single" w:sz="6" w:space="0" w:color="000000"/>
              <w:right w:val="nil"/>
            </w:tcBorders>
            <w:vAlign w:val="center"/>
            <w:hideMark/>
          </w:tcPr>
          <w:p w14:paraId="410A7F36" w14:textId="77777777" w:rsidR="00DB51A1" w:rsidRPr="00143FD5" w:rsidRDefault="00DB51A1" w:rsidP="002C76E7">
            <w:pPr>
              <w:jc w:val="center"/>
              <w:rPr>
                <w:rFonts w:ascii="Arial" w:hAnsi="Arial" w:cs="Arial"/>
                <w:sz w:val="16"/>
                <w:szCs w:val="16"/>
              </w:rPr>
            </w:pPr>
            <w:r w:rsidRPr="00143FD5">
              <w:rPr>
                <w:rStyle w:val="quality-sign"/>
                <w:rFonts w:ascii="Cambria Math" w:hAnsi="Cambria Math" w:cs="Cambria Math"/>
                <w:sz w:val="16"/>
                <w:szCs w:val="16"/>
              </w:rPr>
              <w:t>⨁⨁⨁</w:t>
            </w:r>
            <w:r w:rsidRPr="00143FD5">
              <w:rPr>
                <w:rStyle w:val="quality-sign"/>
                <w:rFonts w:ascii="Segoe UI Symbol" w:eastAsia="MS Gothic" w:hAnsi="Segoe UI Symbol" w:cs="Segoe UI Symbol"/>
                <w:sz w:val="16"/>
                <w:szCs w:val="16"/>
              </w:rPr>
              <w:t>◯</w:t>
            </w:r>
            <w:r w:rsidRPr="00143FD5">
              <w:rPr>
                <w:rFonts w:ascii="Arial" w:hAnsi="Arial" w:cs="Arial"/>
                <w:sz w:val="16"/>
                <w:szCs w:val="16"/>
              </w:rPr>
              <w:br/>
            </w:r>
            <w:r w:rsidRPr="00143FD5">
              <w:rPr>
                <w:rStyle w:val="quality-text"/>
                <w:rFonts w:ascii="Arial" w:hAnsi="Arial" w:cs="Arial"/>
                <w:sz w:val="16"/>
                <w:szCs w:val="16"/>
              </w:rPr>
              <w:t>MODERATE</w:t>
            </w:r>
            <w:r w:rsidRPr="00143FD5">
              <w:rPr>
                <w:rFonts w:ascii="Arial" w:hAnsi="Arial" w:cs="Arial"/>
                <w:sz w:val="16"/>
                <w:szCs w:val="16"/>
              </w:rPr>
              <w:t xml:space="preserve"> </w:t>
            </w:r>
            <w:r w:rsidRPr="00143FD5">
              <w:rPr>
                <w:rFonts w:ascii="Arial" w:hAnsi="Arial" w:cs="Arial"/>
                <w:sz w:val="16"/>
                <w:szCs w:val="16"/>
                <w:vertAlign w:val="superscript"/>
              </w:rPr>
              <w:t>4</w:t>
            </w:r>
            <w:r w:rsidRPr="00143FD5">
              <w:rPr>
                <w:rStyle w:val="comma"/>
                <w:rFonts w:ascii="Arial" w:hAnsi="Arial" w:cs="Arial"/>
                <w:sz w:val="16"/>
                <w:szCs w:val="16"/>
                <w:vertAlign w:val="superscript"/>
              </w:rPr>
              <w:t>,5,</w:t>
            </w:r>
            <w:proofErr w:type="gramStart"/>
            <w:r w:rsidRPr="00143FD5">
              <w:rPr>
                <w:rStyle w:val="comma"/>
                <w:rFonts w:ascii="Arial" w:hAnsi="Arial" w:cs="Arial"/>
                <w:sz w:val="16"/>
                <w:szCs w:val="16"/>
                <w:vertAlign w:val="superscript"/>
              </w:rPr>
              <w:t>6,</w:t>
            </w:r>
            <w:r w:rsidRPr="00143FD5">
              <w:rPr>
                <w:rFonts w:ascii="Arial" w:hAnsi="Arial" w:cs="Arial"/>
                <w:sz w:val="16"/>
                <w:szCs w:val="16"/>
                <w:vertAlign w:val="superscript"/>
              </w:rPr>
              <w:t>a</w:t>
            </w:r>
            <w:proofErr w:type="gramEnd"/>
            <w:r w:rsidRPr="00143FD5">
              <w:rPr>
                <w:rFonts w:ascii="Arial" w:hAnsi="Arial" w:cs="Arial"/>
                <w:sz w:val="16"/>
                <w:szCs w:val="16"/>
                <w:vertAlign w:val="superscript"/>
              </w:rPr>
              <w:t>,h</w:t>
            </w:r>
          </w:p>
        </w:tc>
        <w:tc>
          <w:tcPr>
            <w:tcW w:w="0" w:type="auto"/>
            <w:tcBorders>
              <w:top w:val="single" w:sz="6" w:space="0" w:color="000000"/>
              <w:left w:val="nil"/>
              <w:bottom w:val="single" w:sz="6" w:space="0" w:color="000000"/>
              <w:right w:val="nil"/>
            </w:tcBorders>
            <w:vAlign w:val="center"/>
            <w:hideMark/>
          </w:tcPr>
          <w:p w14:paraId="4ABF0D56" w14:textId="77777777" w:rsidR="00DB51A1" w:rsidRPr="00143FD5" w:rsidRDefault="00DB51A1" w:rsidP="002C76E7">
            <w:pPr>
              <w:jc w:val="center"/>
              <w:rPr>
                <w:rFonts w:ascii="Arial" w:hAnsi="Arial" w:cs="Arial"/>
                <w:sz w:val="16"/>
                <w:szCs w:val="16"/>
              </w:rPr>
            </w:pPr>
            <w:r w:rsidRPr="00143FD5">
              <w:rPr>
                <w:rStyle w:val="cell"/>
                <w:rFonts w:ascii="Arial" w:hAnsi="Arial" w:cs="Arial"/>
                <w:sz w:val="16"/>
                <w:szCs w:val="16"/>
              </w:rPr>
              <w:t>-</w:t>
            </w:r>
            <w:r w:rsidRPr="00143FD5">
              <w:rPr>
                <w:rFonts w:ascii="Arial" w:hAnsi="Arial" w:cs="Arial"/>
                <w:sz w:val="16"/>
                <w:szCs w:val="16"/>
              </w:rPr>
              <w:t xml:space="preserve"> </w:t>
            </w:r>
          </w:p>
        </w:tc>
        <w:tc>
          <w:tcPr>
            <w:tcW w:w="0" w:type="auto"/>
            <w:tcBorders>
              <w:top w:val="single" w:sz="6" w:space="0" w:color="000000"/>
              <w:left w:val="nil"/>
              <w:bottom w:val="single" w:sz="6" w:space="0" w:color="000000"/>
              <w:right w:val="nil"/>
            </w:tcBorders>
            <w:shd w:val="clear" w:color="auto" w:fill="EDEDED"/>
            <w:vAlign w:val="center"/>
            <w:hideMark/>
          </w:tcPr>
          <w:p w14:paraId="1E6F8A77" w14:textId="77777777" w:rsidR="00DB51A1" w:rsidRPr="00143FD5" w:rsidRDefault="00DB51A1" w:rsidP="002C76E7">
            <w:pPr>
              <w:jc w:val="center"/>
              <w:rPr>
                <w:rFonts w:ascii="Arial" w:hAnsi="Arial" w:cs="Arial"/>
                <w:sz w:val="16"/>
                <w:szCs w:val="16"/>
              </w:rPr>
            </w:pPr>
            <w:r w:rsidRPr="00143FD5">
              <w:rPr>
                <w:rStyle w:val="cell"/>
                <w:rFonts w:ascii="Arial" w:hAnsi="Arial" w:cs="Arial"/>
                <w:sz w:val="16"/>
                <w:szCs w:val="16"/>
              </w:rPr>
              <w:t>-</w:t>
            </w:r>
            <w:r w:rsidRPr="00143FD5">
              <w:rPr>
                <w:rFonts w:ascii="Arial" w:hAnsi="Arial" w:cs="Arial"/>
                <w:sz w:val="16"/>
                <w:szCs w:val="16"/>
              </w:rPr>
              <w:t xml:space="preserve"> </w:t>
            </w:r>
          </w:p>
        </w:tc>
        <w:tc>
          <w:tcPr>
            <w:tcW w:w="0" w:type="auto"/>
            <w:tcBorders>
              <w:top w:val="single" w:sz="6" w:space="0" w:color="000000"/>
              <w:left w:val="nil"/>
              <w:bottom w:val="single" w:sz="6" w:space="0" w:color="000000"/>
              <w:right w:val="nil"/>
            </w:tcBorders>
            <w:shd w:val="clear" w:color="auto" w:fill="EDEDED"/>
            <w:vAlign w:val="center"/>
            <w:hideMark/>
          </w:tcPr>
          <w:p w14:paraId="381FB220" w14:textId="01BB4CB5" w:rsidR="00DB51A1" w:rsidRPr="00143FD5" w:rsidRDefault="00DB51A1" w:rsidP="002C76E7">
            <w:pPr>
              <w:jc w:val="center"/>
              <w:rPr>
                <w:rFonts w:ascii="Arial" w:hAnsi="Arial" w:cs="Arial"/>
                <w:sz w:val="16"/>
                <w:szCs w:val="16"/>
              </w:rPr>
            </w:pPr>
            <w:r w:rsidRPr="00143FD5">
              <w:rPr>
                <w:rFonts w:ascii="Arial" w:hAnsi="Arial" w:cs="Arial"/>
                <w:color w:val="000000"/>
                <w:sz w:val="16"/>
                <w:szCs w:val="16"/>
              </w:rPr>
              <w:t xml:space="preserve">MD </w:t>
            </w:r>
            <w:r>
              <w:rPr>
                <w:rFonts w:ascii="Arial" w:hAnsi="Arial" w:cs="Arial"/>
                <w:color w:val="000000"/>
                <w:sz w:val="16"/>
                <w:szCs w:val="16"/>
              </w:rPr>
              <w:t xml:space="preserve">- </w:t>
            </w:r>
            <w:r w:rsidRPr="00143FD5">
              <w:rPr>
                <w:rFonts w:ascii="Arial" w:hAnsi="Arial" w:cs="Arial"/>
                <w:b/>
                <w:color w:val="000000"/>
                <w:sz w:val="16"/>
                <w:szCs w:val="16"/>
              </w:rPr>
              <w:t xml:space="preserve">38.57 </w:t>
            </w:r>
            <w:r w:rsidRPr="00143FD5">
              <w:rPr>
                <w:rFonts w:ascii="Arial" w:hAnsi="Arial" w:cs="Arial"/>
                <w:color w:val="000000"/>
                <w:sz w:val="16"/>
                <w:szCs w:val="16"/>
              </w:rPr>
              <w:t>(</w:t>
            </w:r>
            <w:r>
              <w:rPr>
                <w:rFonts w:ascii="Arial" w:hAnsi="Arial" w:cs="Arial"/>
                <w:color w:val="000000"/>
                <w:sz w:val="16"/>
                <w:szCs w:val="16"/>
              </w:rPr>
              <w:t>-</w:t>
            </w:r>
            <w:r w:rsidRPr="00143FD5">
              <w:rPr>
                <w:rFonts w:ascii="Arial" w:hAnsi="Arial" w:cs="Arial"/>
                <w:color w:val="000000"/>
                <w:sz w:val="16"/>
                <w:szCs w:val="16"/>
              </w:rPr>
              <w:t xml:space="preserve">48.83 to </w:t>
            </w:r>
            <w:r>
              <w:rPr>
                <w:rFonts w:ascii="Arial" w:hAnsi="Arial" w:cs="Arial"/>
                <w:color w:val="000000"/>
                <w:sz w:val="16"/>
                <w:szCs w:val="16"/>
              </w:rPr>
              <w:t>-</w:t>
            </w:r>
            <w:r w:rsidRPr="00143FD5">
              <w:rPr>
                <w:rFonts w:ascii="Arial" w:hAnsi="Arial" w:cs="Arial"/>
                <w:color w:val="000000"/>
                <w:sz w:val="16"/>
                <w:szCs w:val="16"/>
              </w:rPr>
              <w:t>28.</w:t>
            </w:r>
            <w:proofErr w:type="gramStart"/>
            <w:r w:rsidRPr="00143FD5">
              <w:rPr>
                <w:rFonts w:ascii="Arial" w:hAnsi="Arial" w:cs="Arial"/>
                <w:color w:val="000000"/>
                <w:sz w:val="16"/>
                <w:szCs w:val="16"/>
              </w:rPr>
              <w:t>31)</w:t>
            </w:r>
            <w:r w:rsidRPr="00143FD5">
              <w:rPr>
                <w:rFonts w:ascii="Arial" w:hAnsi="Arial" w:cs="Arial"/>
                <w:color w:val="000000"/>
                <w:sz w:val="16"/>
                <w:szCs w:val="16"/>
                <w:vertAlign w:val="superscript"/>
              </w:rPr>
              <w:t>g</w:t>
            </w:r>
            <w:proofErr w:type="gramEnd"/>
          </w:p>
        </w:tc>
      </w:tr>
      <w:tr w:rsidR="00DB51A1" w:rsidRPr="00143FD5" w14:paraId="21DAFD36" w14:textId="77777777" w:rsidTr="00DB51A1">
        <w:trPr>
          <w:cantSplit/>
        </w:trPr>
        <w:tc>
          <w:tcPr>
            <w:tcW w:w="0" w:type="auto"/>
            <w:gridSpan w:val="6"/>
            <w:tcBorders>
              <w:top w:val="single" w:sz="6" w:space="0" w:color="000000"/>
              <w:left w:val="nil"/>
              <w:bottom w:val="single" w:sz="6" w:space="0" w:color="000000"/>
              <w:right w:val="nil"/>
            </w:tcBorders>
            <w:hideMark/>
          </w:tcPr>
          <w:p w14:paraId="52FF2929" w14:textId="77777777" w:rsidR="00DB51A1" w:rsidRPr="00143FD5" w:rsidRDefault="00DB51A1" w:rsidP="002C76E7">
            <w:pPr>
              <w:rPr>
                <w:rFonts w:ascii="Arial" w:hAnsi="Arial" w:cs="Arial"/>
                <w:sz w:val="16"/>
                <w:szCs w:val="16"/>
              </w:rPr>
            </w:pPr>
            <w:r w:rsidRPr="00143FD5">
              <w:rPr>
                <w:rFonts w:ascii="Arial" w:hAnsi="Arial" w:cs="Arial"/>
                <w:sz w:val="16"/>
                <w:szCs w:val="16"/>
              </w:rPr>
              <w:t>*</w:t>
            </w:r>
            <w:r w:rsidRPr="00143FD5">
              <w:rPr>
                <w:rFonts w:ascii="Arial" w:hAnsi="Arial" w:cs="Arial"/>
                <w:b/>
                <w:bCs/>
                <w:sz w:val="16"/>
                <w:szCs w:val="16"/>
              </w:rPr>
              <w:t>The risk in the intervention group</w:t>
            </w:r>
            <w:r w:rsidRPr="00143FD5">
              <w:rPr>
                <w:rFonts w:ascii="Arial" w:hAnsi="Arial" w:cs="Arial"/>
                <w:sz w:val="16"/>
                <w:szCs w:val="16"/>
              </w:rPr>
              <w:t xml:space="preserve"> (and its 95% confidence interval) is based on the assumed risk in the comparison group and the </w:t>
            </w:r>
            <w:r w:rsidRPr="00143FD5">
              <w:rPr>
                <w:rFonts w:ascii="Arial" w:hAnsi="Arial" w:cs="Arial"/>
                <w:b/>
                <w:bCs/>
                <w:sz w:val="16"/>
                <w:szCs w:val="16"/>
              </w:rPr>
              <w:t>relative effect</w:t>
            </w:r>
            <w:r w:rsidRPr="00143FD5">
              <w:rPr>
                <w:rFonts w:ascii="Arial" w:hAnsi="Arial" w:cs="Arial"/>
                <w:sz w:val="16"/>
                <w:szCs w:val="16"/>
              </w:rPr>
              <w:t xml:space="preserve"> of the intervention (and its 95% CI). </w:t>
            </w:r>
            <w:r w:rsidRPr="00143FD5">
              <w:rPr>
                <w:rFonts w:ascii="Arial" w:hAnsi="Arial" w:cs="Arial"/>
                <w:sz w:val="16"/>
                <w:szCs w:val="16"/>
              </w:rPr>
              <w:br/>
            </w:r>
            <w:r w:rsidRPr="00143FD5">
              <w:rPr>
                <w:rFonts w:ascii="Arial" w:hAnsi="Arial" w:cs="Arial"/>
                <w:b/>
                <w:bCs/>
                <w:sz w:val="16"/>
                <w:szCs w:val="16"/>
              </w:rPr>
              <w:t>CI:</w:t>
            </w:r>
            <w:r w:rsidRPr="00143FD5">
              <w:rPr>
                <w:rFonts w:ascii="Arial" w:hAnsi="Arial" w:cs="Arial"/>
                <w:sz w:val="16"/>
                <w:szCs w:val="16"/>
              </w:rPr>
              <w:t xml:space="preserve"> Confidence interval; </w:t>
            </w:r>
            <w:r w:rsidRPr="00143FD5">
              <w:rPr>
                <w:rFonts w:ascii="Arial" w:hAnsi="Arial" w:cs="Arial"/>
                <w:b/>
                <w:bCs/>
                <w:sz w:val="16"/>
                <w:szCs w:val="16"/>
              </w:rPr>
              <w:t>MD:</w:t>
            </w:r>
            <w:r w:rsidRPr="00143FD5">
              <w:rPr>
                <w:rFonts w:ascii="Arial" w:hAnsi="Arial" w:cs="Arial"/>
                <w:sz w:val="16"/>
                <w:szCs w:val="16"/>
              </w:rPr>
              <w:t xml:space="preserve"> Mean difference; </w:t>
            </w:r>
            <w:r w:rsidRPr="00143FD5">
              <w:rPr>
                <w:rFonts w:ascii="Arial" w:hAnsi="Arial" w:cs="Arial"/>
                <w:b/>
                <w:bCs/>
                <w:sz w:val="16"/>
                <w:szCs w:val="16"/>
              </w:rPr>
              <w:t>RR:</w:t>
            </w:r>
            <w:r w:rsidRPr="00143FD5">
              <w:rPr>
                <w:rFonts w:ascii="Arial" w:hAnsi="Arial" w:cs="Arial"/>
                <w:sz w:val="16"/>
                <w:szCs w:val="16"/>
              </w:rPr>
              <w:t xml:space="preserve"> Risk ratio </w:t>
            </w:r>
          </w:p>
        </w:tc>
      </w:tr>
      <w:tr w:rsidR="00DB51A1" w:rsidRPr="00143FD5" w14:paraId="0F9BCA50" w14:textId="77777777" w:rsidTr="00DB51A1">
        <w:trPr>
          <w:cantSplit/>
        </w:trPr>
        <w:tc>
          <w:tcPr>
            <w:tcW w:w="0" w:type="auto"/>
            <w:gridSpan w:val="6"/>
            <w:tcBorders>
              <w:top w:val="single" w:sz="6" w:space="0" w:color="000000"/>
              <w:left w:val="nil"/>
              <w:bottom w:val="single" w:sz="6" w:space="0" w:color="000000"/>
              <w:right w:val="nil"/>
            </w:tcBorders>
            <w:hideMark/>
          </w:tcPr>
          <w:p w14:paraId="6930C8FF" w14:textId="77777777" w:rsidR="00DB51A1" w:rsidRPr="00143FD5" w:rsidRDefault="00DB51A1" w:rsidP="002C76E7">
            <w:pPr>
              <w:rPr>
                <w:rFonts w:ascii="Arial" w:hAnsi="Arial" w:cs="Arial"/>
                <w:sz w:val="16"/>
                <w:szCs w:val="16"/>
              </w:rPr>
            </w:pPr>
            <w:r w:rsidRPr="00143FD5">
              <w:rPr>
                <w:rFonts w:ascii="Arial" w:hAnsi="Arial" w:cs="Arial"/>
                <w:b/>
                <w:bCs/>
                <w:sz w:val="16"/>
                <w:szCs w:val="16"/>
              </w:rPr>
              <w:t>GRADE Working Group grades of evidence</w:t>
            </w:r>
            <w:r w:rsidRPr="00143FD5">
              <w:rPr>
                <w:rFonts w:ascii="Arial" w:hAnsi="Arial" w:cs="Arial"/>
                <w:sz w:val="16"/>
                <w:szCs w:val="16"/>
              </w:rPr>
              <w:br/>
            </w:r>
            <w:r w:rsidRPr="00143FD5">
              <w:rPr>
                <w:rFonts w:ascii="Arial" w:hAnsi="Arial" w:cs="Arial"/>
                <w:b/>
                <w:bCs/>
                <w:sz w:val="16"/>
                <w:szCs w:val="16"/>
              </w:rPr>
              <w:t>High certainty:</w:t>
            </w:r>
            <w:r w:rsidRPr="00143FD5">
              <w:rPr>
                <w:rFonts w:ascii="Arial" w:hAnsi="Arial" w:cs="Arial"/>
                <w:sz w:val="16"/>
                <w:szCs w:val="16"/>
              </w:rPr>
              <w:t xml:space="preserve"> </w:t>
            </w:r>
            <w:r>
              <w:rPr>
                <w:rFonts w:ascii="Arial" w:hAnsi="Arial" w:cs="Arial"/>
                <w:sz w:val="16"/>
                <w:szCs w:val="16"/>
              </w:rPr>
              <w:t>High</w:t>
            </w:r>
            <w:r w:rsidRPr="00143FD5">
              <w:rPr>
                <w:rFonts w:ascii="Arial" w:hAnsi="Arial" w:cs="Arial"/>
                <w:sz w:val="16"/>
                <w:szCs w:val="16"/>
              </w:rPr>
              <w:t xml:space="preserve"> confiden</w:t>
            </w:r>
            <w:r>
              <w:rPr>
                <w:rFonts w:ascii="Arial" w:hAnsi="Arial" w:cs="Arial"/>
                <w:sz w:val="16"/>
                <w:szCs w:val="16"/>
              </w:rPr>
              <w:t>ce</w:t>
            </w:r>
            <w:r w:rsidRPr="00143FD5">
              <w:rPr>
                <w:rFonts w:ascii="Arial" w:hAnsi="Arial" w:cs="Arial"/>
                <w:sz w:val="16"/>
                <w:szCs w:val="16"/>
              </w:rPr>
              <w:t xml:space="preserve"> that the true effect lies close to that of the estimate of the effect</w:t>
            </w:r>
            <w:r w:rsidRPr="00143FD5">
              <w:rPr>
                <w:rFonts w:ascii="Arial" w:hAnsi="Arial" w:cs="Arial"/>
                <w:sz w:val="16"/>
                <w:szCs w:val="16"/>
              </w:rPr>
              <w:br/>
            </w:r>
            <w:r w:rsidRPr="00143FD5">
              <w:rPr>
                <w:rFonts w:ascii="Arial" w:hAnsi="Arial" w:cs="Arial"/>
                <w:b/>
                <w:bCs/>
                <w:sz w:val="16"/>
                <w:szCs w:val="16"/>
              </w:rPr>
              <w:t>Moderate certainty:</w:t>
            </w:r>
            <w:r w:rsidRPr="00143FD5">
              <w:rPr>
                <w:rFonts w:ascii="Arial" w:hAnsi="Arial" w:cs="Arial"/>
                <w:sz w:val="16"/>
                <w:szCs w:val="16"/>
              </w:rPr>
              <w:t xml:space="preserve"> </w:t>
            </w:r>
            <w:r>
              <w:rPr>
                <w:rFonts w:ascii="Arial" w:hAnsi="Arial" w:cs="Arial"/>
                <w:sz w:val="16"/>
                <w:szCs w:val="16"/>
              </w:rPr>
              <w:t>M</w:t>
            </w:r>
            <w:r w:rsidRPr="00143FD5">
              <w:rPr>
                <w:rFonts w:ascii="Arial" w:hAnsi="Arial" w:cs="Arial"/>
                <w:sz w:val="16"/>
                <w:szCs w:val="16"/>
              </w:rPr>
              <w:t>oderately confiden</w:t>
            </w:r>
            <w:r>
              <w:rPr>
                <w:rFonts w:ascii="Arial" w:hAnsi="Arial" w:cs="Arial"/>
                <w:sz w:val="16"/>
                <w:szCs w:val="16"/>
              </w:rPr>
              <w:t>ce</w:t>
            </w:r>
            <w:r w:rsidRPr="00143FD5">
              <w:rPr>
                <w:rFonts w:ascii="Arial" w:hAnsi="Arial" w:cs="Arial"/>
                <w:sz w:val="16"/>
                <w:szCs w:val="16"/>
              </w:rPr>
              <w:t xml:space="preserve"> in the effect estimate: </w:t>
            </w:r>
            <w:r>
              <w:rPr>
                <w:rFonts w:ascii="Arial" w:hAnsi="Arial" w:cs="Arial"/>
                <w:sz w:val="16"/>
                <w:szCs w:val="16"/>
              </w:rPr>
              <w:t>t</w:t>
            </w:r>
            <w:r w:rsidRPr="00143FD5">
              <w:rPr>
                <w:rFonts w:ascii="Arial" w:hAnsi="Arial" w:cs="Arial"/>
                <w:sz w:val="16"/>
                <w:szCs w:val="16"/>
              </w:rPr>
              <w:t>he true effect is likely to be close to the estimate of the effect, but there is a possibility that it is substantially different</w:t>
            </w:r>
            <w:r w:rsidRPr="00143FD5">
              <w:rPr>
                <w:rFonts w:ascii="Arial" w:hAnsi="Arial" w:cs="Arial"/>
                <w:sz w:val="16"/>
                <w:szCs w:val="16"/>
              </w:rPr>
              <w:br/>
            </w:r>
            <w:r w:rsidRPr="00143FD5">
              <w:rPr>
                <w:rFonts w:ascii="Arial" w:hAnsi="Arial" w:cs="Arial"/>
                <w:b/>
                <w:bCs/>
                <w:sz w:val="16"/>
                <w:szCs w:val="16"/>
              </w:rPr>
              <w:t>Low certainty:</w:t>
            </w:r>
            <w:r w:rsidRPr="00143FD5">
              <w:rPr>
                <w:rFonts w:ascii="Arial" w:hAnsi="Arial" w:cs="Arial"/>
                <w:sz w:val="16"/>
                <w:szCs w:val="16"/>
              </w:rPr>
              <w:t xml:space="preserve"> </w:t>
            </w:r>
            <w:r>
              <w:rPr>
                <w:rFonts w:ascii="Arial" w:hAnsi="Arial" w:cs="Arial"/>
                <w:sz w:val="16"/>
                <w:szCs w:val="16"/>
              </w:rPr>
              <w:t>L</w:t>
            </w:r>
            <w:r w:rsidRPr="00143FD5">
              <w:rPr>
                <w:rFonts w:ascii="Arial" w:hAnsi="Arial" w:cs="Arial"/>
                <w:sz w:val="16"/>
                <w:szCs w:val="16"/>
              </w:rPr>
              <w:t xml:space="preserve">imited confidence in the effect estimate </w:t>
            </w:r>
            <w:r>
              <w:rPr>
                <w:rFonts w:ascii="Arial" w:hAnsi="Arial" w:cs="Arial"/>
                <w:sz w:val="16"/>
                <w:szCs w:val="16"/>
              </w:rPr>
              <w:t>: t</w:t>
            </w:r>
            <w:r w:rsidRPr="00143FD5">
              <w:rPr>
                <w:rFonts w:ascii="Arial" w:hAnsi="Arial" w:cs="Arial"/>
                <w:sz w:val="16"/>
                <w:szCs w:val="16"/>
              </w:rPr>
              <w:t>he true effect may be substantially different from the estimate of the effect</w:t>
            </w:r>
            <w:r w:rsidRPr="00143FD5">
              <w:rPr>
                <w:rFonts w:ascii="Arial" w:hAnsi="Arial" w:cs="Arial"/>
                <w:sz w:val="16"/>
                <w:szCs w:val="16"/>
              </w:rPr>
              <w:br/>
            </w:r>
            <w:r w:rsidRPr="00143FD5">
              <w:rPr>
                <w:rFonts w:ascii="Arial" w:hAnsi="Arial" w:cs="Arial"/>
                <w:b/>
                <w:bCs/>
                <w:sz w:val="16"/>
                <w:szCs w:val="16"/>
              </w:rPr>
              <w:t>Very low certainty:</w:t>
            </w:r>
            <w:r w:rsidRPr="00143FD5">
              <w:rPr>
                <w:rFonts w:ascii="Arial" w:hAnsi="Arial" w:cs="Arial"/>
                <w:sz w:val="16"/>
                <w:szCs w:val="16"/>
              </w:rPr>
              <w:t xml:space="preserve"> </w:t>
            </w:r>
            <w:r>
              <w:rPr>
                <w:rFonts w:ascii="Arial" w:hAnsi="Arial" w:cs="Arial"/>
                <w:sz w:val="16"/>
                <w:szCs w:val="16"/>
              </w:rPr>
              <w:t>V</w:t>
            </w:r>
            <w:r w:rsidRPr="00143FD5">
              <w:rPr>
                <w:rFonts w:ascii="Arial" w:hAnsi="Arial" w:cs="Arial"/>
                <w:sz w:val="16"/>
                <w:szCs w:val="16"/>
              </w:rPr>
              <w:t xml:space="preserve">ery </w:t>
            </w:r>
            <w:r>
              <w:rPr>
                <w:rFonts w:ascii="Arial" w:hAnsi="Arial" w:cs="Arial"/>
                <w:sz w:val="16"/>
                <w:szCs w:val="16"/>
              </w:rPr>
              <w:t>limited</w:t>
            </w:r>
            <w:r w:rsidRPr="00143FD5">
              <w:rPr>
                <w:rFonts w:ascii="Arial" w:hAnsi="Arial" w:cs="Arial"/>
                <w:sz w:val="16"/>
                <w:szCs w:val="16"/>
              </w:rPr>
              <w:t xml:space="preserve"> confidence in the effect estimate: The true effect is likely to be substantially different from the estimate of effect </w:t>
            </w:r>
          </w:p>
        </w:tc>
      </w:tr>
    </w:tbl>
    <w:p w14:paraId="66AD1336" w14:textId="77777777" w:rsidR="00DB51A1" w:rsidRPr="00143FD5" w:rsidRDefault="00DB51A1" w:rsidP="00DB51A1">
      <w:pPr>
        <w:rPr>
          <w:rFonts w:ascii="Arial" w:hAnsi="Arial" w:cs="Arial"/>
          <w:b/>
          <w:sz w:val="16"/>
          <w:szCs w:val="16"/>
        </w:rPr>
      </w:pPr>
      <w:r w:rsidRPr="00143FD5">
        <w:rPr>
          <w:rFonts w:ascii="Arial" w:hAnsi="Arial" w:cs="Arial"/>
          <w:b/>
          <w:sz w:val="16"/>
          <w:szCs w:val="16"/>
        </w:rPr>
        <w:t>Explanations</w:t>
      </w:r>
    </w:p>
    <w:p w14:paraId="18C6E8A5" w14:textId="77777777" w:rsidR="00DB51A1" w:rsidRPr="00143FD5" w:rsidRDefault="00DB51A1" w:rsidP="00DB51A1">
      <w:pPr>
        <w:rPr>
          <w:rFonts w:ascii="Arial" w:hAnsi="Arial" w:cs="Arial"/>
          <w:sz w:val="16"/>
          <w:szCs w:val="16"/>
        </w:rPr>
      </w:pPr>
      <w:r w:rsidRPr="00143FD5">
        <w:rPr>
          <w:rFonts w:ascii="Arial" w:hAnsi="Arial" w:cs="Arial"/>
          <w:sz w:val="16"/>
          <w:szCs w:val="16"/>
        </w:rPr>
        <w:t>a. All three trials in our meta-analysis were industry-funded, all by the same company (Sanofi</w:t>
      </w:r>
      <w:r>
        <w:rPr>
          <w:rFonts w:ascii="Arial" w:hAnsi="Arial" w:cs="Arial"/>
          <w:sz w:val="16"/>
          <w:szCs w:val="16"/>
        </w:rPr>
        <w:t>-</w:t>
      </w:r>
      <w:r w:rsidRPr="00143FD5">
        <w:rPr>
          <w:rFonts w:ascii="Arial" w:hAnsi="Arial" w:cs="Arial"/>
          <w:sz w:val="16"/>
          <w:szCs w:val="16"/>
        </w:rPr>
        <w:t>Regeneron</w:t>
      </w:r>
      <w:r>
        <w:rPr>
          <w:rFonts w:ascii="Arial" w:hAnsi="Arial" w:cs="Arial"/>
          <w:sz w:val="16"/>
          <w:szCs w:val="16"/>
        </w:rPr>
        <w:t xml:space="preserve"> </w:t>
      </w:r>
      <w:r w:rsidRPr="00143FD5">
        <w:rPr>
          <w:rFonts w:ascii="Arial" w:hAnsi="Arial" w:cs="Arial"/>
          <w:sz w:val="16"/>
          <w:szCs w:val="16"/>
        </w:rPr>
        <w:t xml:space="preserve">Pharmaceuticals), and all showed positive results. No observational or industry-independent randomized trials were identified to </w:t>
      </w:r>
      <w:r>
        <w:rPr>
          <w:rFonts w:ascii="Arial" w:hAnsi="Arial" w:cs="Arial"/>
          <w:sz w:val="16"/>
          <w:szCs w:val="16"/>
        </w:rPr>
        <w:t>compare with</w:t>
      </w:r>
      <w:r w:rsidRPr="00143FD5">
        <w:rPr>
          <w:rFonts w:ascii="Arial" w:hAnsi="Arial" w:cs="Arial"/>
          <w:sz w:val="16"/>
          <w:szCs w:val="16"/>
        </w:rPr>
        <w:t xml:space="preserve"> the results </w:t>
      </w:r>
      <w:r>
        <w:rPr>
          <w:rFonts w:ascii="Arial" w:hAnsi="Arial" w:cs="Arial"/>
          <w:sz w:val="16"/>
          <w:szCs w:val="16"/>
        </w:rPr>
        <w:t>derived from</w:t>
      </w:r>
      <w:r w:rsidRPr="00143FD5">
        <w:rPr>
          <w:rFonts w:ascii="Arial" w:hAnsi="Arial" w:cs="Arial"/>
          <w:sz w:val="16"/>
          <w:szCs w:val="16"/>
        </w:rPr>
        <w:t xml:space="preserve"> the included RCTs. </w:t>
      </w:r>
    </w:p>
    <w:p w14:paraId="21D7B63E" w14:textId="77777777" w:rsidR="00DB51A1" w:rsidRPr="00143FD5" w:rsidRDefault="00DB51A1" w:rsidP="00DB51A1">
      <w:pPr>
        <w:rPr>
          <w:rFonts w:ascii="Arial" w:hAnsi="Arial" w:cs="Arial"/>
          <w:sz w:val="16"/>
          <w:szCs w:val="16"/>
        </w:rPr>
      </w:pPr>
      <w:r w:rsidRPr="00143FD5">
        <w:rPr>
          <w:rFonts w:ascii="Arial" w:hAnsi="Arial" w:cs="Arial"/>
          <w:sz w:val="16"/>
          <w:szCs w:val="16"/>
        </w:rPr>
        <w:t>b. Test</w:t>
      </w:r>
      <w:r>
        <w:rPr>
          <w:rFonts w:ascii="Arial" w:hAnsi="Arial" w:cs="Arial"/>
          <w:sz w:val="16"/>
          <w:szCs w:val="16"/>
        </w:rPr>
        <w:t>ing</w:t>
      </w:r>
      <w:r w:rsidRPr="00143FD5">
        <w:rPr>
          <w:rFonts w:ascii="Arial" w:hAnsi="Arial" w:cs="Arial"/>
          <w:sz w:val="16"/>
          <w:szCs w:val="16"/>
        </w:rPr>
        <w:t xml:space="preserve"> for subgroup differences indicated that there was no</w:t>
      </w:r>
      <w:r>
        <w:rPr>
          <w:rFonts w:ascii="Arial" w:hAnsi="Arial" w:cs="Arial"/>
          <w:sz w:val="16"/>
          <w:szCs w:val="16"/>
        </w:rPr>
        <w:t>t</w:t>
      </w:r>
      <w:r w:rsidRPr="00143FD5">
        <w:rPr>
          <w:rFonts w:ascii="Arial" w:hAnsi="Arial" w:cs="Arial"/>
          <w:sz w:val="16"/>
          <w:szCs w:val="16"/>
        </w:rPr>
        <w:t xml:space="preserve"> relevant subgroup effect by dupilumab dose</w:t>
      </w:r>
    </w:p>
    <w:p w14:paraId="6B773A1E" w14:textId="77777777" w:rsidR="00DB51A1" w:rsidRPr="00143FD5" w:rsidRDefault="00DB51A1" w:rsidP="00DB51A1">
      <w:pPr>
        <w:rPr>
          <w:rFonts w:ascii="Arial" w:hAnsi="Arial" w:cs="Arial"/>
          <w:sz w:val="16"/>
          <w:szCs w:val="16"/>
        </w:rPr>
      </w:pPr>
      <w:r w:rsidRPr="00143FD5">
        <w:rPr>
          <w:rFonts w:ascii="Arial" w:hAnsi="Arial" w:cs="Arial"/>
          <w:sz w:val="16"/>
          <w:szCs w:val="16"/>
        </w:rPr>
        <w:t>c. Downgraded because FEV1 is considered a surrogate outcome of asthma control of symptoms, with a variable correlation with asthma symptoms (</w:t>
      </w:r>
      <w:r>
        <w:rPr>
          <w:rFonts w:ascii="Arial" w:hAnsi="Arial" w:cs="Arial"/>
          <w:sz w:val="16"/>
          <w:szCs w:val="16"/>
        </w:rPr>
        <w:t>35</w:t>
      </w:r>
      <w:r w:rsidRPr="00143FD5">
        <w:rPr>
          <w:rFonts w:ascii="Arial" w:hAnsi="Arial" w:cs="Arial"/>
          <w:sz w:val="16"/>
          <w:szCs w:val="16"/>
        </w:rPr>
        <w:t>).</w:t>
      </w:r>
    </w:p>
    <w:p w14:paraId="57FD89AF" w14:textId="77777777" w:rsidR="00DB51A1" w:rsidRPr="00143FD5" w:rsidRDefault="00DB51A1" w:rsidP="00DB51A1">
      <w:pPr>
        <w:rPr>
          <w:rFonts w:ascii="Arial" w:hAnsi="Arial" w:cs="Arial"/>
          <w:sz w:val="16"/>
          <w:szCs w:val="16"/>
        </w:rPr>
      </w:pPr>
      <w:r w:rsidRPr="00143FD5">
        <w:rPr>
          <w:rFonts w:ascii="Arial" w:hAnsi="Arial" w:cs="Arial"/>
          <w:sz w:val="16"/>
          <w:szCs w:val="16"/>
        </w:rPr>
        <w:t>d. Minimal important difference (MID) of 0.23 L (</w:t>
      </w:r>
      <w:r>
        <w:rPr>
          <w:rFonts w:ascii="Arial" w:hAnsi="Arial" w:cs="Arial"/>
          <w:sz w:val="16"/>
          <w:szCs w:val="16"/>
        </w:rPr>
        <w:t>22</w:t>
      </w:r>
      <w:r w:rsidRPr="00143FD5">
        <w:rPr>
          <w:rFonts w:ascii="Arial" w:hAnsi="Arial" w:cs="Arial"/>
          <w:sz w:val="16"/>
          <w:szCs w:val="16"/>
        </w:rPr>
        <w:t>).</w:t>
      </w:r>
    </w:p>
    <w:p w14:paraId="3497D0EC" w14:textId="77777777" w:rsidR="00DB51A1" w:rsidRPr="00143FD5" w:rsidRDefault="00DB51A1" w:rsidP="00DB51A1">
      <w:pPr>
        <w:rPr>
          <w:rFonts w:ascii="Arial" w:hAnsi="Arial" w:cs="Arial"/>
          <w:sz w:val="16"/>
          <w:szCs w:val="16"/>
        </w:rPr>
      </w:pPr>
      <w:r w:rsidRPr="00143FD5">
        <w:rPr>
          <w:rFonts w:ascii="Arial" w:hAnsi="Arial" w:cs="Arial"/>
          <w:sz w:val="16"/>
          <w:szCs w:val="16"/>
        </w:rPr>
        <w:t>e. The MID of ACQ-5 is 0.5 points (</w:t>
      </w:r>
      <w:r>
        <w:rPr>
          <w:rFonts w:ascii="Arial" w:hAnsi="Arial" w:cs="Arial"/>
          <w:sz w:val="16"/>
          <w:szCs w:val="16"/>
        </w:rPr>
        <w:t>24</w:t>
      </w:r>
      <w:r w:rsidRPr="00143FD5">
        <w:rPr>
          <w:rFonts w:ascii="Arial" w:hAnsi="Arial" w:cs="Arial"/>
          <w:sz w:val="16"/>
          <w:szCs w:val="16"/>
        </w:rPr>
        <w:t>)</w:t>
      </w:r>
    </w:p>
    <w:p w14:paraId="3F36B91D" w14:textId="77777777" w:rsidR="00DB51A1" w:rsidRPr="00143FD5" w:rsidRDefault="00DB51A1" w:rsidP="00DB51A1">
      <w:pPr>
        <w:rPr>
          <w:rFonts w:ascii="Arial" w:hAnsi="Arial" w:cs="Arial"/>
          <w:sz w:val="16"/>
          <w:szCs w:val="16"/>
        </w:rPr>
      </w:pPr>
      <w:r w:rsidRPr="00143FD5">
        <w:rPr>
          <w:rFonts w:ascii="Arial" w:hAnsi="Arial" w:cs="Arial"/>
          <w:sz w:val="16"/>
          <w:szCs w:val="16"/>
        </w:rPr>
        <w:t>f. The MID of AQLQ is 0.5 points (</w:t>
      </w:r>
      <w:r>
        <w:rPr>
          <w:rFonts w:ascii="Arial" w:hAnsi="Arial" w:cs="Arial"/>
          <w:sz w:val="16"/>
          <w:szCs w:val="16"/>
        </w:rPr>
        <w:t>24</w:t>
      </w:r>
      <w:r w:rsidRPr="00143FD5">
        <w:rPr>
          <w:rFonts w:ascii="Arial" w:hAnsi="Arial" w:cs="Arial"/>
          <w:sz w:val="16"/>
          <w:szCs w:val="16"/>
        </w:rPr>
        <w:t>)</w:t>
      </w:r>
    </w:p>
    <w:p w14:paraId="31685D09" w14:textId="77777777" w:rsidR="00DB51A1" w:rsidRPr="00143FD5" w:rsidRDefault="00DB51A1" w:rsidP="00DB51A1">
      <w:pPr>
        <w:rPr>
          <w:rFonts w:ascii="Arial" w:hAnsi="Arial" w:cs="Arial"/>
          <w:sz w:val="16"/>
          <w:szCs w:val="16"/>
        </w:rPr>
      </w:pPr>
      <w:r w:rsidRPr="00143FD5">
        <w:rPr>
          <w:rFonts w:ascii="Arial" w:hAnsi="Arial" w:cs="Arial"/>
          <w:sz w:val="16"/>
          <w:szCs w:val="16"/>
        </w:rPr>
        <w:t xml:space="preserve">g. </w:t>
      </w:r>
      <w:r>
        <w:rPr>
          <w:rFonts w:ascii="Arial" w:hAnsi="Arial" w:cs="Arial"/>
          <w:sz w:val="16"/>
          <w:szCs w:val="16"/>
        </w:rPr>
        <w:t>The MID decrease</w:t>
      </w:r>
      <w:r w:rsidRPr="00143FD5">
        <w:rPr>
          <w:rFonts w:ascii="Arial" w:hAnsi="Arial" w:cs="Arial"/>
          <w:sz w:val="16"/>
          <w:szCs w:val="16"/>
        </w:rPr>
        <w:t xml:space="preserve"> of the FENO value is defined as a difference larger than 20% for values over 50ppb or more than 10ppb for values lower than 50ppb from one visit to the next (</w:t>
      </w:r>
      <w:r>
        <w:rPr>
          <w:rFonts w:ascii="Arial" w:hAnsi="Arial" w:cs="Arial"/>
          <w:color w:val="000000"/>
          <w:sz w:val="16"/>
          <w:szCs w:val="16"/>
        </w:rPr>
        <w:t>25</w:t>
      </w:r>
      <w:r w:rsidRPr="00143FD5">
        <w:rPr>
          <w:rFonts w:ascii="Arial" w:hAnsi="Arial" w:cs="Arial"/>
          <w:sz w:val="16"/>
          <w:szCs w:val="16"/>
        </w:rPr>
        <w:t>).</w:t>
      </w:r>
    </w:p>
    <w:p w14:paraId="0BC5F166" w14:textId="77777777" w:rsidR="00DB51A1" w:rsidRPr="00143FD5" w:rsidRDefault="00DB51A1" w:rsidP="00DB51A1">
      <w:pPr>
        <w:rPr>
          <w:rFonts w:ascii="Arial" w:hAnsi="Arial" w:cs="Arial"/>
          <w:sz w:val="16"/>
          <w:szCs w:val="16"/>
        </w:rPr>
      </w:pPr>
      <w:r w:rsidRPr="00143FD5">
        <w:rPr>
          <w:rFonts w:ascii="Arial" w:hAnsi="Arial" w:cs="Arial"/>
          <w:sz w:val="16"/>
          <w:szCs w:val="16"/>
        </w:rPr>
        <w:lastRenderedPageBreak/>
        <w:t>h. Downgraded because Fe</w:t>
      </w:r>
      <w:r>
        <w:rPr>
          <w:rFonts w:ascii="Arial" w:hAnsi="Arial" w:cs="Arial"/>
          <w:sz w:val="16"/>
          <w:szCs w:val="16"/>
        </w:rPr>
        <w:t>NO</w:t>
      </w:r>
      <w:r w:rsidRPr="00143FD5">
        <w:rPr>
          <w:rFonts w:ascii="Arial" w:hAnsi="Arial" w:cs="Arial"/>
          <w:sz w:val="16"/>
          <w:szCs w:val="16"/>
        </w:rPr>
        <w:t xml:space="preserve"> is not consistently considered a good surrogate of inflammation (</w:t>
      </w:r>
      <w:r>
        <w:rPr>
          <w:rFonts w:ascii="Arial" w:hAnsi="Arial" w:cs="Arial"/>
          <w:sz w:val="16"/>
          <w:szCs w:val="16"/>
        </w:rPr>
        <w:t>36,37</w:t>
      </w:r>
      <w:r w:rsidRPr="00143FD5">
        <w:rPr>
          <w:rFonts w:ascii="Arial" w:hAnsi="Arial" w:cs="Arial"/>
          <w:sz w:val="16"/>
          <w:szCs w:val="16"/>
        </w:rPr>
        <w:t>)</w:t>
      </w:r>
    </w:p>
    <w:p w14:paraId="43CA8256" w14:textId="77777777" w:rsidR="00DB51A1" w:rsidRPr="00143FD5" w:rsidRDefault="00DB51A1" w:rsidP="00DB51A1">
      <w:pPr>
        <w:rPr>
          <w:rFonts w:ascii="Arial" w:hAnsi="Arial" w:cs="Arial"/>
          <w:sz w:val="16"/>
          <w:szCs w:val="16"/>
        </w:rPr>
      </w:pPr>
      <w:r w:rsidRPr="00143FD5">
        <w:rPr>
          <w:rFonts w:ascii="Arial" w:hAnsi="Arial" w:cs="Arial"/>
          <w:sz w:val="16"/>
          <w:szCs w:val="16"/>
        </w:rPr>
        <w:t>i. For rescue medication use, the MID is a reduction by 0.81 puffs/day (</w:t>
      </w:r>
      <w:r>
        <w:rPr>
          <w:rFonts w:ascii="Arial" w:hAnsi="Arial" w:cs="Arial"/>
          <w:sz w:val="16"/>
          <w:szCs w:val="16"/>
        </w:rPr>
        <w:t>22</w:t>
      </w:r>
      <w:r w:rsidRPr="00143FD5">
        <w:rPr>
          <w:rFonts w:ascii="Arial" w:hAnsi="Arial" w:cs="Arial"/>
          <w:sz w:val="16"/>
          <w:szCs w:val="16"/>
        </w:rPr>
        <w:t>).</w:t>
      </w:r>
    </w:p>
    <w:p w14:paraId="4AF7047E" w14:textId="77777777" w:rsidR="00DB51A1" w:rsidRPr="00143FD5" w:rsidRDefault="00DB51A1" w:rsidP="00DB51A1">
      <w:pPr>
        <w:rPr>
          <w:rFonts w:ascii="Arial" w:hAnsi="Arial" w:cs="Arial"/>
          <w:sz w:val="16"/>
          <w:szCs w:val="16"/>
        </w:rPr>
      </w:pPr>
      <w:r w:rsidRPr="00143FD5">
        <w:rPr>
          <w:rFonts w:ascii="Arial" w:hAnsi="Arial" w:cs="Arial"/>
          <w:sz w:val="16"/>
          <w:szCs w:val="16"/>
        </w:rPr>
        <w:t>j. The effect may both be harmful or beneficial.</w:t>
      </w:r>
    </w:p>
    <w:p w14:paraId="01743B28" w14:textId="77777777" w:rsidR="00DB51A1" w:rsidRPr="00143FD5" w:rsidRDefault="00DB51A1" w:rsidP="00DB51A1">
      <w:pPr>
        <w:rPr>
          <w:rFonts w:ascii="Arial" w:hAnsi="Arial" w:cs="Arial"/>
          <w:sz w:val="16"/>
          <w:szCs w:val="16"/>
        </w:rPr>
      </w:pPr>
      <w:r w:rsidRPr="00143FD5">
        <w:rPr>
          <w:rFonts w:ascii="Arial" w:hAnsi="Arial" w:cs="Arial"/>
          <w:sz w:val="16"/>
          <w:szCs w:val="16"/>
        </w:rPr>
        <w:t>k. Few events reported in both intervention and control arm, and the effect may be both harmful and beneficial</w:t>
      </w:r>
    </w:p>
    <w:p w14:paraId="1E0BAC26" w14:textId="40D7FA75" w:rsidR="00DB51A1" w:rsidRPr="00D5426A" w:rsidRDefault="00DB51A1" w:rsidP="00596BE0">
      <w:pPr>
        <w:jc w:val="both"/>
        <w:rPr>
          <w:rFonts w:ascii="Arial" w:hAnsi="Arial" w:cs="Arial"/>
          <w:b/>
          <w:color w:val="000000" w:themeColor="text1"/>
          <w:sz w:val="20"/>
          <w:szCs w:val="20"/>
        </w:rPr>
      </w:pPr>
    </w:p>
    <w:p w14:paraId="2CB6B57D" w14:textId="23B0A883" w:rsidR="00DB51A1" w:rsidRPr="00D5426A" w:rsidRDefault="00DB51A1" w:rsidP="00D5426A">
      <w:pPr>
        <w:pStyle w:val="Heading2"/>
        <w:spacing w:after="120"/>
        <w:rPr>
          <w:rFonts w:ascii="Arial" w:hAnsi="Arial" w:cs="Arial"/>
          <w:b/>
          <w:color w:val="000000" w:themeColor="text1"/>
          <w:sz w:val="20"/>
          <w:szCs w:val="20"/>
        </w:rPr>
      </w:pPr>
      <w:r w:rsidRPr="00D5426A">
        <w:rPr>
          <w:rFonts w:ascii="Arial" w:hAnsi="Arial" w:cs="Arial"/>
          <w:b/>
          <w:color w:val="000000" w:themeColor="text1"/>
          <w:sz w:val="20"/>
          <w:szCs w:val="20"/>
        </w:rPr>
        <w:t xml:space="preserve">Table </w:t>
      </w:r>
      <w:r w:rsidR="00D5426A" w:rsidRPr="00D5426A">
        <w:rPr>
          <w:rFonts w:ascii="Arial" w:hAnsi="Arial" w:cs="Arial"/>
          <w:b/>
          <w:color w:val="000000" w:themeColor="text1"/>
          <w:sz w:val="20"/>
          <w:szCs w:val="20"/>
        </w:rPr>
        <w:t>S27</w:t>
      </w:r>
      <w:r w:rsidRPr="00D5426A">
        <w:rPr>
          <w:rFonts w:ascii="Arial" w:hAnsi="Arial" w:cs="Arial"/>
          <w:b/>
          <w:color w:val="000000" w:themeColor="text1"/>
          <w:sz w:val="20"/>
          <w:szCs w:val="20"/>
        </w:rPr>
        <w:t xml:space="preserve"> </w:t>
      </w:r>
      <w:r w:rsidR="00D5426A" w:rsidRPr="00D5426A">
        <w:rPr>
          <w:rFonts w:ascii="Arial" w:hAnsi="Arial" w:cs="Arial"/>
          <w:b/>
          <w:color w:val="000000" w:themeColor="text1"/>
          <w:sz w:val="20"/>
          <w:szCs w:val="20"/>
        </w:rPr>
        <w:t xml:space="preserve">Health economic analysis of </w:t>
      </w:r>
      <w:r w:rsidRPr="00D5426A">
        <w:rPr>
          <w:rFonts w:ascii="Arial" w:hAnsi="Arial" w:cs="Arial"/>
          <w:b/>
          <w:color w:val="000000" w:themeColor="text1"/>
          <w:sz w:val="20"/>
          <w:szCs w:val="20"/>
        </w:rPr>
        <w:t>Dupilumab in addition to standard therapy vs. standard therapy</w:t>
      </w:r>
      <w:r w:rsidR="00D5426A" w:rsidRPr="00D5426A">
        <w:rPr>
          <w:rFonts w:ascii="Arial" w:hAnsi="Arial" w:cs="Arial"/>
          <w:b/>
          <w:color w:val="000000" w:themeColor="text1"/>
          <w:sz w:val="20"/>
          <w:szCs w:val="20"/>
        </w:rPr>
        <w:t xml:space="preserve"> in severe </w:t>
      </w:r>
      <w:r w:rsidR="00111973">
        <w:rPr>
          <w:rFonts w:ascii="Arial" w:hAnsi="Arial" w:cs="Arial"/>
          <w:b/>
          <w:color w:val="000000" w:themeColor="text1"/>
          <w:sz w:val="20"/>
          <w:szCs w:val="20"/>
        </w:rPr>
        <w:t xml:space="preserve">T2 </w:t>
      </w:r>
      <w:r w:rsidR="00D5426A" w:rsidRPr="00D5426A">
        <w:rPr>
          <w:rFonts w:ascii="Arial" w:hAnsi="Arial" w:cs="Arial"/>
          <w:b/>
          <w:color w:val="000000" w:themeColor="text1"/>
          <w:sz w:val="20"/>
          <w:szCs w:val="20"/>
        </w:rPr>
        <w:t>asthma</w:t>
      </w:r>
    </w:p>
    <w:tbl>
      <w:tblPr>
        <w:tblW w:w="5000" w:type="pct"/>
        <w:jc w:val="center"/>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0A0" w:firstRow="1" w:lastRow="0" w:firstColumn="1" w:lastColumn="0" w:noHBand="0" w:noVBand="0"/>
      </w:tblPr>
      <w:tblGrid>
        <w:gridCol w:w="808"/>
        <w:gridCol w:w="961"/>
        <w:gridCol w:w="1130"/>
        <w:gridCol w:w="1218"/>
        <w:gridCol w:w="1143"/>
        <w:gridCol w:w="1049"/>
        <w:gridCol w:w="1052"/>
        <w:gridCol w:w="1617"/>
        <w:gridCol w:w="1789"/>
        <w:gridCol w:w="1598"/>
        <w:gridCol w:w="1057"/>
      </w:tblGrid>
      <w:tr w:rsidR="00DB51A1" w:rsidRPr="00D76DCB" w14:paraId="5E9BBE7F" w14:textId="77777777" w:rsidTr="002C76E7">
        <w:trPr>
          <w:cantSplit/>
          <w:trHeight w:val="222"/>
          <w:tblHeader/>
          <w:jc w:val="center"/>
        </w:trPr>
        <w:tc>
          <w:tcPr>
            <w:tcW w:w="2773" w:type="pct"/>
            <w:gridSpan w:val="7"/>
            <w:tcBorders>
              <w:top w:val="single" w:sz="6" w:space="0" w:color="000000"/>
              <w:bottom w:val="single" w:sz="6" w:space="0" w:color="000000"/>
              <w:right w:val="single" w:sz="6" w:space="0" w:color="000000"/>
            </w:tcBorders>
            <w:shd w:val="clear" w:color="auto" w:fill="DDDDDD"/>
          </w:tcPr>
          <w:p w14:paraId="785D3FFE" w14:textId="77777777" w:rsidR="00DB51A1" w:rsidRPr="00D76DCB" w:rsidRDefault="00DB51A1" w:rsidP="002C76E7">
            <w:pPr>
              <w:jc w:val="center"/>
              <w:rPr>
                <w:rFonts w:ascii="Arial" w:hAnsi="Arial" w:cs="Arial"/>
                <w:b/>
                <w:bCs/>
                <w:sz w:val="16"/>
                <w:szCs w:val="16"/>
              </w:rPr>
            </w:pPr>
            <w:r w:rsidRPr="00D76DCB">
              <w:rPr>
                <w:rFonts w:ascii="Arial" w:hAnsi="Arial" w:cs="Arial"/>
                <w:b/>
                <w:bCs/>
                <w:sz w:val="16"/>
                <w:szCs w:val="16"/>
              </w:rPr>
              <w:t>Quality assessment</w:t>
            </w:r>
          </w:p>
        </w:tc>
        <w:tc>
          <w:tcPr>
            <w:tcW w:w="1902" w:type="pct"/>
            <w:gridSpan w:val="3"/>
            <w:tcBorders>
              <w:top w:val="single" w:sz="6" w:space="0" w:color="000000"/>
              <w:left w:val="single" w:sz="6" w:space="0" w:color="000000"/>
              <w:bottom w:val="single" w:sz="6" w:space="0" w:color="000000"/>
              <w:right w:val="single" w:sz="6" w:space="0" w:color="000000"/>
            </w:tcBorders>
            <w:shd w:val="clear" w:color="auto" w:fill="DDDDDD"/>
          </w:tcPr>
          <w:p w14:paraId="2C6CED55" w14:textId="77777777" w:rsidR="00DB51A1" w:rsidRPr="00D76DCB" w:rsidRDefault="00DB51A1" w:rsidP="002C76E7">
            <w:pPr>
              <w:jc w:val="center"/>
              <w:rPr>
                <w:rFonts w:ascii="Arial" w:hAnsi="Arial" w:cs="Arial"/>
                <w:b/>
                <w:bCs/>
                <w:sz w:val="16"/>
                <w:szCs w:val="16"/>
              </w:rPr>
            </w:pPr>
            <w:r w:rsidRPr="00D76DCB">
              <w:rPr>
                <w:rFonts w:ascii="Arial" w:hAnsi="Arial" w:cs="Arial"/>
                <w:b/>
                <w:bCs/>
                <w:sz w:val="16"/>
                <w:szCs w:val="16"/>
              </w:rPr>
              <w:t>Summary of resources and costs</w:t>
            </w:r>
          </w:p>
        </w:tc>
        <w:tc>
          <w:tcPr>
            <w:tcW w:w="325" w:type="pct"/>
            <w:vMerge w:val="restart"/>
            <w:tcBorders>
              <w:top w:val="single" w:sz="6" w:space="0" w:color="000000"/>
              <w:left w:val="single" w:sz="6" w:space="0" w:color="000000"/>
            </w:tcBorders>
            <w:shd w:val="clear" w:color="auto" w:fill="DDDDDD"/>
          </w:tcPr>
          <w:p w14:paraId="69D9ABAB" w14:textId="77777777" w:rsidR="00DB51A1" w:rsidRPr="00D76DCB" w:rsidRDefault="00DB51A1" w:rsidP="002C76E7">
            <w:pPr>
              <w:jc w:val="center"/>
              <w:rPr>
                <w:rFonts w:ascii="Arial" w:hAnsi="Arial" w:cs="Arial"/>
                <w:b/>
                <w:bCs/>
                <w:sz w:val="16"/>
                <w:szCs w:val="16"/>
              </w:rPr>
            </w:pPr>
            <w:r w:rsidRPr="00D76DCB">
              <w:rPr>
                <w:rFonts w:ascii="Arial" w:hAnsi="Arial" w:cs="Arial"/>
                <w:b/>
                <w:bCs/>
                <w:sz w:val="16"/>
                <w:szCs w:val="16"/>
              </w:rPr>
              <w:t>Quality</w:t>
            </w:r>
          </w:p>
        </w:tc>
      </w:tr>
      <w:tr w:rsidR="00DB51A1" w:rsidRPr="00D76DCB" w14:paraId="2134A820" w14:textId="77777777" w:rsidTr="002C76E7">
        <w:trPr>
          <w:cantSplit/>
          <w:trHeight w:val="519"/>
          <w:tblHeader/>
          <w:jc w:val="center"/>
        </w:trPr>
        <w:tc>
          <w:tcPr>
            <w:tcW w:w="314" w:type="pct"/>
            <w:tcBorders>
              <w:top w:val="single" w:sz="6" w:space="0" w:color="000000"/>
              <w:bottom w:val="single" w:sz="6" w:space="0" w:color="000000"/>
              <w:right w:val="single" w:sz="6" w:space="0" w:color="000000"/>
            </w:tcBorders>
            <w:shd w:val="clear" w:color="auto" w:fill="DDDDDD"/>
          </w:tcPr>
          <w:p w14:paraId="17E80640" w14:textId="77777777" w:rsidR="00DB51A1" w:rsidRPr="00D76DCB" w:rsidRDefault="00DB51A1" w:rsidP="002C76E7">
            <w:pPr>
              <w:jc w:val="center"/>
              <w:rPr>
                <w:rFonts w:ascii="Arial" w:hAnsi="Arial" w:cs="Arial"/>
                <w:b/>
                <w:bCs/>
                <w:sz w:val="16"/>
                <w:szCs w:val="16"/>
              </w:rPr>
            </w:pPr>
            <w:r w:rsidRPr="00D76DCB">
              <w:rPr>
                <w:rFonts w:ascii="Arial" w:hAnsi="Arial" w:cs="Arial"/>
                <w:b/>
                <w:bCs/>
                <w:sz w:val="16"/>
                <w:szCs w:val="16"/>
              </w:rPr>
              <w:t>Nº. of studies</w:t>
            </w:r>
          </w:p>
        </w:tc>
        <w:tc>
          <w:tcPr>
            <w:tcW w:w="371" w:type="pct"/>
            <w:tcBorders>
              <w:top w:val="single" w:sz="6" w:space="0" w:color="000000"/>
              <w:left w:val="single" w:sz="6" w:space="0" w:color="000000"/>
              <w:bottom w:val="single" w:sz="6" w:space="0" w:color="000000"/>
              <w:right w:val="single" w:sz="6" w:space="0" w:color="000000"/>
            </w:tcBorders>
            <w:shd w:val="clear" w:color="auto" w:fill="DDDDDD"/>
          </w:tcPr>
          <w:p w14:paraId="3B447F3F" w14:textId="77777777" w:rsidR="00DB51A1" w:rsidRPr="00D76DCB" w:rsidRDefault="00DB51A1" w:rsidP="002C76E7">
            <w:pPr>
              <w:jc w:val="center"/>
              <w:rPr>
                <w:rFonts w:ascii="Arial" w:hAnsi="Arial" w:cs="Arial"/>
                <w:b/>
                <w:bCs/>
                <w:sz w:val="16"/>
                <w:szCs w:val="16"/>
              </w:rPr>
            </w:pPr>
            <w:r w:rsidRPr="00D76DCB">
              <w:rPr>
                <w:rFonts w:ascii="Arial" w:hAnsi="Arial" w:cs="Arial"/>
                <w:b/>
                <w:bCs/>
                <w:sz w:val="16"/>
                <w:szCs w:val="16"/>
              </w:rPr>
              <w:t>Study design</w:t>
            </w:r>
          </w:p>
        </w:tc>
        <w:tc>
          <w:tcPr>
            <w:tcW w:w="434" w:type="pct"/>
            <w:tcBorders>
              <w:top w:val="single" w:sz="6" w:space="0" w:color="000000"/>
              <w:left w:val="single" w:sz="6" w:space="0" w:color="000000"/>
              <w:bottom w:val="single" w:sz="6" w:space="0" w:color="000000"/>
              <w:right w:val="single" w:sz="6" w:space="0" w:color="000000"/>
            </w:tcBorders>
            <w:shd w:val="clear" w:color="auto" w:fill="DDDDDD"/>
          </w:tcPr>
          <w:p w14:paraId="4DD25DFE" w14:textId="77777777" w:rsidR="00DB51A1" w:rsidRPr="00D76DCB" w:rsidRDefault="00DB51A1" w:rsidP="002C76E7">
            <w:pPr>
              <w:jc w:val="center"/>
              <w:rPr>
                <w:rFonts w:ascii="Arial" w:hAnsi="Arial" w:cs="Arial"/>
                <w:b/>
                <w:bCs/>
                <w:sz w:val="16"/>
                <w:szCs w:val="16"/>
              </w:rPr>
            </w:pPr>
            <w:r w:rsidRPr="00D76DCB">
              <w:rPr>
                <w:rFonts w:ascii="Arial" w:hAnsi="Arial" w:cs="Arial"/>
                <w:b/>
                <w:bCs/>
                <w:sz w:val="16"/>
                <w:szCs w:val="16"/>
              </w:rPr>
              <w:t>Limitations</w:t>
            </w:r>
          </w:p>
        </w:tc>
        <w:tc>
          <w:tcPr>
            <w:tcW w:w="434" w:type="pct"/>
            <w:tcBorders>
              <w:top w:val="single" w:sz="6" w:space="0" w:color="000000"/>
              <w:left w:val="single" w:sz="6" w:space="0" w:color="000000"/>
              <w:bottom w:val="single" w:sz="6" w:space="0" w:color="000000"/>
              <w:right w:val="single" w:sz="6" w:space="0" w:color="000000"/>
            </w:tcBorders>
            <w:shd w:val="clear" w:color="auto" w:fill="DDDDDD"/>
          </w:tcPr>
          <w:p w14:paraId="1A6CA567" w14:textId="77777777" w:rsidR="00DB51A1" w:rsidRPr="00D76DCB" w:rsidRDefault="00DB51A1" w:rsidP="002C76E7">
            <w:pPr>
              <w:jc w:val="center"/>
              <w:rPr>
                <w:rFonts w:ascii="Arial" w:hAnsi="Arial" w:cs="Arial"/>
                <w:b/>
                <w:bCs/>
                <w:sz w:val="16"/>
                <w:szCs w:val="16"/>
              </w:rPr>
            </w:pPr>
            <w:r w:rsidRPr="00D76DCB">
              <w:rPr>
                <w:rFonts w:ascii="Arial" w:hAnsi="Arial" w:cs="Arial"/>
                <w:b/>
                <w:bCs/>
                <w:sz w:val="16"/>
                <w:szCs w:val="16"/>
              </w:rPr>
              <w:t>Inconsistency</w:t>
            </w:r>
          </w:p>
        </w:tc>
        <w:tc>
          <w:tcPr>
            <w:tcW w:w="439" w:type="pct"/>
            <w:tcBorders>
              <w:top w:val="single" w:sz="6" w:space="0" w:color="000000"/>
              <w:left w:val="single" w:sz="6" w:space="0" w:color="000000"/>
              <w:bottom w:val="single" w:sz="6" w:space="0" w:color="000000"/>
              <w:right w:val="single" w:sz="6" w:space="0" w:color="000000"/>
            </w:tcBorders>
            <w:shd w:val="clear" w:color="auto" w:fill="DDDDDD"/>
          </w:tcPr>
          <w:p w14:paraId="551228DF" w14:textId="77777777" w:rsidR="00DB51A1" w:rsidRPr="00D76DCB" w:rsidRDefault="00DB51A1" w:rsidP="002C76E7">
            <w:pPr>
              <w:jc w:val="center"/>
              <w:rPr>
                <w:rFonts w:ascii="Arial" w:hAnsi="Arial" w:cs="Arial"/>
                <w:b/>
                <w:bCs/>
                <w:sz w:val="16"/>
                <w:szCs w:val="16"/>
              </w:rPr>
            </w:pPr>
            <w:r w:rsidRPr="00D76DCB">
              <w:rPr>
                <w:rFonts w:ascii="Arial" w:hAnsi="Arial" w:cs="Arial"/>
                <w:b/>
                <w:bCs/>
                <w:sz w:val="16"/>
                <w:szCs w:val="16"/>
              </w:rPr>
              <w:t>Indirectness</w:t>
            </w:r>
          </w:p>
        </w:tc>
        <w:tc>
          <w:tcPr>
            <w:tcW w:w="376" w:type="pct"/>
            <w:tcBorders>
              <w:top w:val="single" w:sz="6" w:space="0" w:color="000000"/>
              <w:left w:val="single" w:sz="6" w:space="0" w:color="000000"/>
              <w:bottom w:val="single" w:sz="6" w:space="0" w:color="000000"/>
              <w:right w:val="single" w:sz="6" w:space="0" w:color="000000"/>
            </w:tcBorders>
            <w:shd w:val="clear" w:color="auto" w:fill="DDDDDD"/>
          </w:tcPr>
          <w:p w14:paraId="34B6E5A7" w14:textId="77777777" w:rsidR="00DB51A1" w:rsidRPr="00D76DCB" w:rsidRDefault="00DB51A1" w:rsidP="002C76E7">
            <w:pPr>
              <w:jc w:val="center"/>
              <w:rPr>
                <w:rFonts w:ascii="Arial" w:hAnsi="Arial" w:cs="Arial"/>
                <w:b/>
                <w:bCs/>
                <w:sz w:val="16"/>
                <w:szCs w:val="16"/>
              </w:rPr>
            </w:pPr>
            <w:r w:rsidRPr="00D76DCB">
              <w:rPr>
                <w:rFonts w:ascii="Arial" w:hAnsi="Arial" w:cs="Arial"/>
                <w:b/>
                <w:bCs/>
                <w:sz w:val="16"/>
                <w:szCs w:val="16"/>
              </w:rPr>
              <w:t>Imprecision</w:t>
            </w:r>
          </w:p>
        </w:tc>
        <w:tc>
          <w:tcPr>
            <w:tcW w:w="405" w:type="pct"/>
            <w:tcBorders>
              <w:top w:val="single" w:sz="6" w:space="0" w:color="000000"/>
              <w:left w:val="single" w:sz="6" w:space="0" w:color="000000"/>
              <w:bottom w:val="single" w:sz="6" w:space="0" w:color="000000"/>
              <w:right w:val="single" w:sz="6" w:space="0" w:color="000000"/>
            </w:tcBorders>
            <w:shd w:val="clear" w:color="auto" w:fill="DDDDDD"/>
          </w:tcPr>
          <w:p w14:paraId="67950E0F" w14:textId="77777777" w:rsidR="00DB51A1" w:rsidRPr="00D76DCB" w:rsidRDefault="00DB51A1" w:rsidP="002C76E7">
            <w:pPr>
              <w:jc w:val="center"/>
              <w:rPr>
                <w:rFonts w:ascii="Arial" w:hAnsi="Arial" w:cs="Arial"/>
                <w:b/>
                <w:bCs/>
                <w:sz w:val="16"/>
                <w:szCs w:val="16"/>
              </w:rPr>
            </w:pPr>
            <w:r w:rsidRPr="00D76DCB">
              <w:rPr>
                <w:rFonts w:ascii="Arial" w:hAnsi="Arial" w:cs="Arial"/>
                <w:b/>
                <w:bCs/>
                <w:sz w:val="16"/>
                <w:szCs w:val="16"/>
              </w:rPr>
              <w:t>Publication bias</w:t>
            </w:r>
          </w:p>
        </w:tc>
        <w:tc>
          <w:tcPr>
            <w:tcW w:w="615" w:type="pct"/>
            <w:tcBorders>
              <w:top w:val="single" w:sz="6" w:space="0" w:color="000000"/>
              <w:left w:val="single" w:sz="6" w:space="0" w:color="000000"/>
              <w:bottom w:val="single" w:sz="6" w:space="0" w:color="000000"/>
              <w:right w:val="single" w:sz="6" w:space="0" w:color="000000"/>
            </w:tcBorders>
            <w:shd w:val="clear" w:color="auto" w:fill="DDDDDD"/>
          </w:tcPr>
          <w:p w14:paraId="5C493FD9" w14:textId="77777777" w:rsidR="00DB51A1" w:rsidRPr="00D76DCB" w:rsidRDefault="00DB51A1" w:rsidP="002C76E7">
            <w:pPr>
              <w:jc w:val="center"/>
              <w:rPr>
                <w:rFonts w:ascii="Arial" w:hAnsi="Arial" w:cs="Arial"/>
                <w:b/>
                <w:bCs/>
                <w:sz w:val="16"/>
                <w:szCs w:val="16"/>
              </w:rPr>
            </w:pPr>
            <w:r w:rsidRPr="00D76DCB">
              <w:rPr>
                <w:rFonts w:ascii="Arial" w:hAnsi="Arial" w:cs="Arial"/>
                <w:b/>
                <w:bCs/>
                <w:sz w:val="16"/>
                <w:szCs w:val="16"/>
              </w:rPr>
              <w:t>Incremental cost per patient*</w:t>
            </w:r>
          </w:p>
        </w:tc>
        <w:tc>
          <w:tcPr>
            <w:tcW w:w="679" w:type="pct"/>
            <w:tcBorders>
              <w:top w:val="single" w:sz="6" w:space="0" w:color="000000"/>
              <w:left w:val="single" w:sz="6" w:space="0" w:color="000000"/>
              <w:bottom w:val="single" w:sz="6" w:space="0" w:color="000000"/>
              <w:right w:val="single" w:sz="6" w:space="0" w:color="000000"/>
            </w:tcBorders>
            <w:shd w:val="clear" w:color="auto" w:fill="DDDDDD"/>
          </w:tcPr>
          <w:p w14:paraId="01233EFA" w14:textId="77777777" w:rsidR="00DB51A1" w:rsidRPr="00D76DCB" w:rsidRDefault="00DB51A1" w:rsidP="002C76E7">
            <w:pPr>
              <w:jc w:val="center"/>
              <w:rPr>
                <w:rFonts w:ascii="Arial" w:hAnsi="Arial" w:cs="Arial"/>
                <w:b/>
                <w:bCs/>
                <w:sz w:val="16"/>
                <w:szCs w:val="16"/>
              </w:rPr>
            </w:pPr>
            <w:r w:rsidRPr="00D76DCB">
              <w:rPr>
                <w:rFonts w:ascii="Arial" w:hAnsi="Arial" w:cs="Arial"/>
                <w:b/>
                <w:bCs/>
                <w:sz w:val="16"/>
                <w:szCs w:val="16"/>
              </w:rPr>
              <w:t>Incremental effect per patient*</w:t>
            </w:r>
          </w:p>
        </w:tc>
        <w:tc>
          <w:tcPr>
            <w:tcW w:w="608" w:type="pct"/>
            <w:tcBorders>
              <w:top w:val="single" w:sz="6" w:space="0" w:color="000000"/>
              <w:left w:val="single" w:sz="6" w:space="0" w:color="000000"/>
              <w:bottom w:val="single" w:sz="6" w:space="0" w:color="000000"/>
              <w:right w:val="single" w:sz="6" w:space="0" w:color="000000"/>
            </w:tcBorders>
            <w:shd w:val="clear" w:color="auto" w:fill="DDDDDD"/>
          </w:tcPr>
          <w:p w14:paraId="4033B9D0" w14:textId="77777777" w:rsidR="00DB51A1" w:rsidRPr="00D76DCB" w:rsidRDefault="00DB51A1" w:rsidP="002C76E7">
            <w:pPr>
              <w:jc w:val="center"/>
              <w:rPr>
                <w:rFonts w:ascii="Arial" w:hAnsi="Arial" w:cs="Arial"/>
                <w:b/>
                <w:bCs/>
                <w:sz w:val="16"/>
                <w:szCs w:val="16"/>
              </w:rPr>
            </w:pPr>
            <w:r w:rsidRPr="00D76DCB">
              <w:rPr>
                <w:rFonts w:ascii="Arial" w:hAnsi="Arial" w:cs="Arial"/>
                <w:b/>
                <w:bCs/>
                <w:sz w:val="16"/>
                <w:szCs w:val="16"/>
              </w:rPr>
              <w:t xml:space="preserve">ICER </w:t>
            </w:r>
          </w:p>
        </w:tc>
        <w:tc>
          <w:tcPr>
            <w:tcW w:w="325" w:type="pct"/>
            <w:vMerge/>
            <w:tcBorders>
              <w:left w:val="single" w:sz="6" w:space="0" w:color="000000"/>
              <w:bottom w:val="single" w:sz="6" w:space="0" w:color="000000"/>
            </w:tcBorders>
            <w:shd w:val="clear" w:color="auto" w:fill="DDDDDD"/>
          </w:tcPr>
          <w:p w14:paraId="1B6C34DC" w14:textId="77777777" w:rsidR="00DB51A1" w:rsidRPr="00D76DCB" w:rsidRDefault="00DB51A1" w:rsidP="002C76E7">
            <w:pPr>
              <w:jc w:val="center"/>
              <w:rPr>
                <w:rFonts w:ascii="Arial" w:hAnsi="Arial" w:cs="Arial"/>
                <w:b/>
                <w:bCs/>
                <w:sz w:val="16"/>
                <w:szCs w:val="16"/>
              </w:rPr>
            </w:pPr>
          </w:p>
        </w:tc>
      </w:tr>
      <w:tr w:rsidR="00DB51A1" w:rsidRPr="00D76DCB" w14:paraId="57D5F1E1" w14:textId="77777777" w:rsidTr="002C76E7">
        <w:trPr>
          <w:cantSplit/>
          <w:trHeight w:val="238"/>
          <w:jc w:val="center"/>
        </w:trPr>
        <w:tc>
          <w:tcPr>
            <w:tcW w:w="5000" w:type="pct"/>
            <w:gridSpan w:val="11"/>
            <w:tcBorders>
              <w:top w:val="single" w:sz="6" w:space="0" w:color="000000"/>
              <w:bottom w:val="single" w:sz="6" w:space="0" w:color="000000"/>
            </w:tcBorders>
            <w:shd w:val="clear" w:color="auto" w:fill="EDEDED"/>
          </w:tcPr>
          <w:p w14:paraId="7C22A30C" w14:textId="77777777" w:rsidR="00DB51A1" w:rsidRPr="00D76DCB" w:rsidRDefault="00DB51A1" w:rsidP="002C76E7">
            <w:pPr>
              <w:rPr>
                <w:rFonts w:ascii="Arial" w:hAnsi="Arial" w:cs="Arial"/>
                <w:sz w:val="16"/>
                <w:szCs w:val="16"/>
              </w:rPr>
            </w:pPr>
            <w:r w:rsidRPr="00D76DCB">
              <w:rPr>
                <w:rStyle w:val="label"/>
                <w:rFonts w:ascii="Arial" w:hAnsi="Arial" w:cs="Arial"/>
                <w:sz w:val="16"/>
                <w:szCs w:val="16"/>
              </w:rPr>
              <w:t xml:space="preserve">ICER per </w:t>
            </w:r>
            <w:r w:rsidRPr="00D76DCB">
              <w:rPr>
                <w:rFonts w:ascii="Arial" w:hAnsi="Arial" w:cs="Arial"/>
                <w:color w:val="1A1718"/>
                <w:sz w:val="16"/>
                <w:szCs w:val="16"/>
                <w:lang w:eastAsia="en-GB"/>
              </w:rPr>
              <w:t xml:space="preserve">QALY (high quality </w:t>
            </w:r>
            <w:proofErr w:type="gramStart"/>
            <w:r w:rsidRPr="00D76DCB">
              <w:rPr>
                <w:rFonts w:ascii="Arial" w:hAnsi="Arial" w:cs="Arial"/>
                <w:color w:val="1A1718"/>
                <w:sz w:val="16"/>
                <w:szCs w:val="16"/>
                <w:lang w:eastAsia="en-GB"/>
              </w:rPr>
              <w:t>study  -</w:t>
            </w:r>
            <w:proofErr w:type="gramEnd"/>
            <w:r w:rsidRPr="00D76DCB">
              <w:rPr>
                <w:rFonts w:ascii="Arial" w:hAnsi="Arial" w:cs="Arial"/>
                <w:color w:val="1A1718"/>
                <w:sz w:val="16"/>
                <w:szCs w:val="16"/>
                <w:lang w:eastAsia="en-GB"/>
              </w:rPr>
              <w:t xml:space="preserve"> not funded by Industry)</w:t>
            </w:r>
          </w:p>
        </w:tc>
      </w:tr>
      <w:tr w:rsidR="00DB51A1" w:rsidRPr="00D76DCB" w14:paraId="5F097FED" w14:textId="77777777" w:rsidTr="002C76E7">
        <w:trPr>
          <w:cantSplit/>
          <w:trHeight w:val="408"/>
          <w:jc w:val="center"/>
        </w:trPr>
        <w:tc>
          <w:tcPr>
            <w:tcW w:w="314" w:type="pct"/>
            <w:tcBorders>
              <w:bottom w:val="single" w:sz="6" w:space="0" w:color="000000"/>
              <w:right w:val="single" w:sz="6" w:space="0" w:color="000000"/>
            </w:tcBorders>
          </w:tcPr>
          <w:p w14:paraId="45AD1B95" w14:textId="77777777" w:rsidR="00DB51A1" w:rsidRPr="00D76DCB" w:rsidRDefault="00DB51A1" w:rsidP="002C76E7">
            <w:pPr>
              <w:jc w:val="center"/>
              <w:rPr>
                <w:rFonts w:ascii="Arial" w:hAnsi="Arial" w:cs="Arial"/>
                <w:sz w:val="16"/>
                <w:szCs w:val="16"/>
              </w:rPr>
            </w:pPr>
            <w:r w:rsidRPr="00D76DCB">
              <w:rPr>
                <w:rFonts w:ascii="Arial" w:hAnsi="Arial" w:cs="Arial"/>
                <w:sz w:val="16"/>
                <w:szCs w:val="16"/>
              </w:rPr>
              <w:t>1</w:t>
            </w:r>
          </w:p>
        </w:tc>
        <w:tc>
          <w:tcPr>
            <w:tcW w:w="371" w:type="pct"/>
            <w:tcBorders>
              <w:left w:val="single" w:sz="6" w:space="0" w:color="000000"/>
              <w:bottom w:val="single" w:sz="6" w:space="0" w:color="000000"/>
              <w:right w:val="single" w:sz="6" w:space="0" w:color="000000"/>
            </w:tcBorders>
          </w:tcPr>
          <w:p w14:paraId="1D07EA9D" w14:textId="77777777" w:rsidR="00DB51A1" w:rsidRPr="00D76DCB" w:rsidRDefault="00DB51A1" w:rsidP="002C76E7">
            <w:pPr>
              <w:jc w:val="center"/>
              <w:rPr>
                <w:rFonts w:ascii="Arial" w:hAnsi="Arial" w:cs="Arial"/>
                <w:sz w:val="16"/>
                <w:szCs w:val="16"/>
              </w:rPr>
            </w:pPr>
            <w:r w:rsidRPr="00D76DCB">
              <w:rPr>
                <w:rFonts w:ascii="Arial" w:hAnsi="Arial" w:cs="Arial"/>
                <w:sz w:val="16"/>
                <w:szCs w:val="16"/>
              </w:rPr>
              <w:t>Cost-utility,</w:t>
            </w:r>
          </w:p>
          <w:p w14:paraId="53C04773" w14:textId="77777777" w:rsidR="00DB51A1" w:rsidRPr="00D76DCB" w:rsidRDefault="00DB51A1" w:rsidP="002C76E7">
            <w:pPr>
              <w:jc w:val="center"/>
              <w:rPr>
                <w:rFonts w:ascii="Arial" w:hAnsi="Arial" w:cs="Arial"/>
                <w:sz w:val="16"/>
                <w:szCs w:val="16"/>
              </w:rPr>
            </w:pPr>
            <w:r w:rsidRPr="00D76DCB">
              <w:rPr>
                <w:rFonts w:ascii="Arial" w:hAnsi="Arial" w:cs="Arial"/>
                <w:sz w:val="16"/>
                <w:szCs w:val="16"/>
              </w:rPr>
              <w:t>Markov model</w:t>
            </w:r>
          </w:p>
        </w:tc>
        <w:tc>
          <w:tcPr>
            <w:tcW w:w="434" w:type="pct"/>
            <w:tcBorders>
              <w:left w:val="single" w:sz="6" w:space="0" w:color="000000"/>
              <w:bottom w:val="single" w:sz="6" w:space="0" w:color="000000"/>
              <w:right w:val="single" w:sz="6" w:space="0" w:color="000000"/>
            </w:tcBorders>
          </w:tcPr>
          <w:p w14:paraId="1281EC62" w14:textId="77777777" w:rsidR="00DB51A1" w:rsidRPr="00D76DCB" w:rsidRDefault="00DB51A1" w:rsidP="002C76E7">
            <w:pPr>
              <w:jc w:val="center"/>
              <w:rPr>
                <w:rFonts w:ascii="Arial" w:hAnsi="Arial" w:cs="Arial"/>
                <w:sz w:val="16"/>
                <w:szCs w:val="16"/>
              </w:rPr>
            </w:pPr>
            <w:r w:rsidRPr="00D76DCB">
              <w:rPr>
                <w:rFonts w:ascii="Arial" w:hAnsi="Arial" w:cs="Arial"/>
                <w:sz w:val="16"/>
                <w:szCs w:val="16"/>
              </w:rPr>
              <w:t>Not serious</w:t>
            </w:r>
            <w:r w:rsidRPr="00D76DCB">
              <w:rPr>
                <w:rFonts w:ascii="Arial" w:hAnsi="Arial" w:cs="Arial"/>
                <w:sz w:val="16"/>
                <w:szCs w:val="16"/>
                <w:vertAlign w:val="superscript"/>
              </w:rPr>
              <w:t>1</w:t>
            </w:r>
          </w:p>
        </w:tc>
        <w:tc>
          <w:tcPr>
            <w:tcW w:w="434" w:type="pct"/>
            <w:tcBorders>
              <w:left w:val="single" w:sz="6" w:space="0" w:color="000000"/>
              <w:bottom w:val="single" w:sz="6" w:space="0" w:color="000000"/>
              <w:right w:val="single" w:sz="6" w:space="0" w:color="000000"/>
            </w:tcBorders>
          </w:tcPr>
          <w:p w14:paraId="1D562AC5" w14:textId="77777777" w:rsidR="00DB51A1" w:rsidRPr="00D76DCB" w:rsidRDefault="00DB51A1" w:rsidP="002C76E7">
            <w:pPr>
              <w:jc w:val="center"/>
              <w:rPr>
                <w:rFonts w:ascii="Arial" w:hAnsi="Arial" w:cs="Arial"/>
                <w:sz w:val="16"/>
                <w:szCs w:val="16"/>
              </w:rPr>
            </w:pPr>
            <w:r w:rsidRPr="00D76DCB">
              <w:rPr>
                <w:rFonts w:ascii="Arial" w:hAnsi="Arial" w:cs="Arial"/>
                <w:sz w:val="16"/>
                <w:szCs w:val="16"/>
              </w:rPr>
              <w:t>Not serious</w:t>
            </w:r>
          </w:p>
        </w:tc>
        <w:tc>
          <w:tcPr>
            <w:tcW w:w="439" w:type="pct"/>
            <w:tcBorders>
              <w:left w:val="single" w:sz="6" w:space="0" w:color="000000"/>
              <w:bottom w:val="single" w:sz="6" w:space="0" w:color="000000"/>
              <w:right w:val="single" w:sz="6" w:space="0" w:color="000000"/>
            </w:tcBorders>
          </w:tcPr>
          <w:p w14:paraId="0DB37FC4" w14:textId="77777777" w:rsidR="00DB51A1" w:rsidRPr="00D76DCB" w:rsidRDefault="00DB51A1" w:rsidP="002C76E7">
            <w:pPr>
              <w:jc w:val="center"/>
              <w:rPr>
                <w:rFonts w:ascii="Arial" w:hAnsi="Arial" w:cs="Arial"/>
                <w:sz w:val="16"/>
                <w:szCs w:val="16"/>
              </w:rPr>
            </w:pPr>
            <w:r w:rsidRPr="00D76DCB">
              <w:rPr>
                <w:rFonts w:ascii="Arial" w:hAnsi="Arial" w:cs="Arial"/>
                <w:sz w:val="16"/>
                <w:szCs w:val="16"/>
              </w:rPr>
              <w:t>Serious</w:t>
            </w:r>
            <w:r w:rsidRPr="00D76DCB">
              <w:rPr>
                <w:rFonts w:ascii="Arial" w:hAnsi="Arial" w:cs="Arial"/>
                <w:sz w:val="16"/>
                <w:szCs w:val="16"/>
                <w:vertAlign w:val="superscript"/>
              </w:rPr>
              <w:t>2</w:t>
            </w:r>
          </w:p>
        </w:tc>
        <w:tc>
          <w:tcPr>
            <w:tcW w:w="376" w:type="pct"/>
            <w:tcBorders>
              <w:left w:val="single" w:sz="6" w:space="0" w:color="000000"/>
              <w:bottom w:val="single" w:sz="6" w:space="0" w:color="000000"/>
              <w:right w:val="single" w:sz="6" w:space="0" w:color="000000"/>
            </w:tcBorders>
          </w:tcPr>
          <w:p w14:paraId="3A393E85" w14:textId="77777777" w:rsidR="00DB51A1" w:rsidRPr="00D76DCB" w:rsidRDefault="00DB51A1" w:rsidP="002C76E7">
            <w:pPr>
              <w:jc w:val="center"/>
              <w:rPr>
                <w:rFonts w:ascii="Arial" w:hAnsi="Arial" w:cs="Arial"/>
                <w:sz w:val="16"/>
                <w:szCs w:val="16"/>
              </w:rPr>
            </w:pPr>
            <w:r w:rsidRPr="00D76DCB">
              <w:rPr>
                <w:rFonts w:ascii="Arial" w:hAnsi="Arial" w:cs="Arial"/>
                <w:sz w:val="16"/>
                <w:szCs w:val="16"/>
              </w:rPr>
              <w:t>Serious</w:t>
            </w:r>
            <w:r w:rsidRPr="00D76DCB">
              <w:rPr>
                <w:rFonts w:ascii="Arial" w:hAnsi="Arial" w:cs="Arial"/>
                <w:sz w:val="16"/>
                <w:szCs w:val="16"/>
                <w:vertAlign w:val="superscript"/>
              </w:rPr>
              <w:t>3</w:t>
            </w:r>
          </w:p>
        </w:tc>
        <w:tc>
          <w:tcPr>
            <w:tcW w:w="405" w:type="pct"/>
            <w:tcBorders>
              <w:left w:val="single" w:sz="6" w:space="0" w:color="000000"/>
              <w:bottom w:val="single" w:sz="6" w:space="0" w:color="000000"/>
              <w:right w:val="single" w:sz="6" w:space="0" w:color="000000"/>
            </w:tcBorders>
          </w:tcPr>
          <w:p w14:paraId="4120569F" w14:textId="77777777" w:rsidR="00DB51A1" w:rsidRPr="00D76DCB" w:rsidRDefault="00DB51A1" w:rsidP="002C76E7">
            <w:pPr>
              <w:jc w:val="center"/>
              <w:rPr>
                <w:rFonts w:ascii="Arial" w:hAnsi="Arial" w:cs="Arial"/>
                <w:sz w:val="16"/>
                <w:szCs w:val="16"/>
              </w:rPr>
            </w:pPr>
            <w:r w:rsidRPr="00D76DCB">
              <w:rPr>
                <w:rFonts w:ascii="Arial" w:hAnsi="Arial" w:cs="Arial"/>
                <w:sz w:val="16"/>
                <w:szCs w:val="16"/>
              </w:rPr>
              <w:t>Not serious</w:t>
            </w:r>
          </w:p>
        </w:tc>
        <w:tc>
          <w:tcPr>
            <w:tcW w:w="615" w:type="pct"/>
            <w:tcBorders>
              <w:left w:val="single" w:sz="6" w:space="0" w:color="000000"/>
              <w:bottom w:val="single" w:sz="6" w:space="0" w:color="000000"/>
              <w:right w:val="single" w:sz="6" w:space="0" w:color="000000"/>
            </w:tcBorders>
          </w:tcPr>
          <w:p w14:paraId="10A7F798" w14:textId="77777777" w:rsidR="00DB51A1" w:rsidRPr="00D76DCB" w:rsidRDefault="00DB51A1" w:rsidP="002C76E7">
            <w:pPr>
              <w:pStyle w:val="Default"/>
              <w:jc w:val="center"/>
              <w:rPr>
                <w:rFonts w:ascii="Arial" w:hAnsi="Arial" w:cs="Arial"/>
                <w:sz w:val="16"/>
                <w:szCs w:val="16"/>
                <w:lang w:val="en-GB"/>
              </w:rPr>
            </w:pPr>
            <w:r w:rsidRPr="00D76DCB">
              <w:rPr>
                <w:rFonts w:ascii="Arial" w:hAnsi="Arial" w:cs="Arial"/>
                <w:sz w:val="16"/>
                <w:szCs w:val="16"/>
                <w:lang w:val="en-GB"/>
              </w:rPr>
              <w:t>704,000 $</w:t>
            </w:r>
          </w:p>
          <w:p w14:paraId="16D22FEE" w14:textId="77777777" w:rsidR="00DB51A1" w:rsidRPr="00D76DCB" w:rsidRDefault="00DB51A1" w:rsidP="002C76E7">
            <w:pPr>
              <w:pStyle w:val="Default"/>
              <w:jc w:val="center"/>
              <w:rPr>
                <w:rFonts w:ascii="Arial" w:hAnsi="Arial" w:cs="Arial"/>
                <w:sz w:val="16"/>
                <w:szCs w:val="16"/>
                <w:lang w:val="en-GB"/>
              </w:rPr>
            </w:pPr>
            <w:r w:rsidRPr="00D76DCB">
              <w:rPr>
                <w:rFonts w:ascii="Arial" w:hAnsi="Arial" w:cs="Arial"/>
                <w:sz w:val="16"/>
                <w:szCs w:val="16"/>
                <w:lang w:val="en-GB"/>
              </w:rPr>
              <w:t>(lifetime horizon)</w:t>
            </w:r>
          </w:p>
        </w:tc>
        <w:tc>
          <w:tcPr>
            <w:tcW w:w="679" w:type="pct"/>
            <w:tcBorders>
              <w:top w:val="single" w:sz="6" w:space="0" w:color="000000"/>
              <w:left w:val="single" w:sz="6" w:space="0" w:color="000000"/>
              <w:bottom w:val="single" w:sz="6" w:space="0" w:color="000000"/>
              <w:right w:val="single" w:sz="6" w:space="0" w:color="000000"/>
            </w:tcBorders>
          </w:tcPr>
          <w:p w14:paraId="1885694C" w14:textId="77777777" w:rsidR="00DB51A1" w:rsidRPr="00D76DCB" w:rsidRDefault="00DB51A1" w:rsidP="002C76E7">
            <w:pPr>
              <w:pStyle w:val="Default"/>
              <w:jc w:val="center"/>
              <w:rPr>
                <w:rFonts w:ascii="Arial" w:hAnsi="Arial" w:cs="Arial"/>
                <w:sz w:val="16"/>
                <w:szCs w:val="16"/>
                <w:lang w:val="en-GB"/>
              </w:rPr>
            </w:pPr>
            <w:r w:rsidRPr="00D76DCB">
              <w:rPr>
                <w:rFonts w:ascii="Arial" w:hAnsi="Arial" w:cs="Arial"/>
                <w:sz w:val="16"/>
                <w:szCs w:val="16"/>
                <w:lang w:val="en-GB"/>
              </w:rPr>
              <w:t>1.51 QALYs</w:t>
            </w:r>
          </w:p>
          <w:p w14:paraId="5125460D" w14:textId="77777777" w:rsidR="00DB51A1" w:rsidRPr="00D76DCB" w:rsidRDefault="00DB51A1" w:rsidP="002C76E7">
            <w:pPr>
              <w:pStyle w:val="Default"/>
              <w:jc w:val="center"/>
              <w:rPr>
                <w:rFonts w:ascii="Arial" w:hAnsi="Arial" w:cs="Arial"/>
                <w:sz w:val="16"/>
                <w:szCs w:val="16"/>
                <w:lang w:val="en-GB"/>
              </w:rPr>
            </w:pPr>
            <w:r w:rsidRPr="00D76DCB">
              <w:rPr>
                <w:rFonts w:ascii="Arial" w:hAnsi="Arial" w:cs="Arial"/>
                <w:sz w:val="16"/>
                <w:szCs w:val="16"/>
                <w:lang w:val="en-GB"/>
              </w:rPr>
              <w:t>(lifetime horizon)</w:t>
            </w:r>
          </w:p>
          <w:p w14:paraId="1DFD3877" w14:textId="77777777" w:rsidR="00DB51A1" w:rsidRPr="00D76DCB" w:rsidRDefault="00DB51A1" w:rsidP="002C76E7">
            <w:pPr>
              <w:pStyle w:val="Default"/>
              <w:jc w:val="center"/>
              <w:rPr>
                <w:rFonts w:ascii="Arial" w:hAnsi="Arial" w:cs="Arial"/>
                <w:sz w:val="16"/>
                <w:szCs w:val="16"/>
                <w:lang w:val="en-GB"/>
              </w:rPr>
            </w:pPr>
          </w:p>
        </w:tc>
        <w:tc>
          <w:tcPr>
            <w:tcW w:w="608" w:type="pct"/>
            <w:tcBorders>
              <w:top w:val="single" w:sz="6" w:space="0" w:color="000000"/>
              <w:left w:val="single" w:sz="6" w:space="0" w:color="000000"/>
              <w:bottom w:val="single" w:sz="6" w:space="0" w:color="000000"/>
              <w:right w:val="single" w:sz="6" w:space="0" w:color="000000"/>
            </w:tcBorders>
          </w:tcPr>
          <w:p w14:paraId="166BFB9C" w14:textId="128CDBEA" w:rsidR="00DB51A1" w:rsidRPr="00D76DCB" w:rsidRDefault="00DB51A1" w:rsidP="002C76E7">
            <w:pPr>
              <w:pStyle w:val="Default"/>
              <w:jc w:val="center"/>
              <w:rPr>
                <w:rFonts w:ascii="Arial" w:hAnsi="Arial" w:cs="Arial"/>
                <w:sz w:val="16"/>
                <w:szCs w:val="16"/>
                <w:lang w:val="en-GB"/>
              </w:rPr>
            </w:pPr>
            <w:r w:rsidRPr="00D76DCB">
              <w:rPr>
                <w:rFonts w:ascii="Arial" w:hAnsi="Arial" w:cs="Arial"/>
                <w:sz w:val="16"/>
                <w:szCs w:val="16"/>
                <w:lang w:val="en-GB"/>
              </w:rPr>
              <w:t>464,000 $ / QALY</w:t>
            </w:r>
            <w:r w:rsidR="00383491" w:rsidRPr="00FD3FC4">
              <w:rPr>
                <w:rFonts w:ascii="Arial" w:hAnsi="Arial" w:cs="Arial"/>
                <w:sz w:val="16"/>
                <w:szCs w:val="16"/>
                <w:vertAlign w:val="superscript"/>
                <w:lang w:val="en-GB"/>
              </w:rPr>
              <w:t>4</w:t>
            </w:r>
          </w:p>
        </w:tc>
        <w:tc>
          <w:tcPr>
            <w:tcW w:w="325" w:type="pct"/>
            <w:tcBorders>
              <w:left w:val="single" w:sz="6" w:space="0" w:color="000000"/>
              <w:bottom w:val="single" w:sz="6" w:space="0" w:color="000000"/>
            </w:tcBorders>
          </w:tcPr>
          <w:p w14:paraId="47A042FF" w14:textId="77777777" w:rsidR="00DB51A1" w:rsidRPr="00D76DCB" w:rsidRDefault="00DB51A1" w:rsidP="002C76E7">
            <w:pPr>
              <w:jc w:val="center"/>
              <w:rPr>
                <w:rStyle w:val="quality-sign"/>
                <w:rFonts w:ascii="Arial" w:hAnsi="Arial" w:cs="Arial"/>
                <w:sz w:val="16"/>
                <w:szCs w:val="16"/>
              </w:rPr>
            </w:pPr>
            <w:r w:rsidRPr="00D76DCB">
              <w:rPr>
                <w:rStyle w:val="quality-sign"/>
                <w:rFonts w:ascii="Cambria Math" w:hAnsi="Cambria Math" w:cs="Cambria Math"/>
                <w:sz w:val="16"/>
                <w:szCs w:val="16"/>
              </w:rPr>
              <w:t>⨁⨁⨁</w:t>
            </w:r>
            <w:r w:rsidRPr="00D76DCB">
              <w:rPr>
                <w:rStyle w:val="quality-sign"/>
                <w:rFonts w:ascii="Segoe UI Symbol" w:eastAsia="ヒラギノ角ゴシック W3" w:hAnsi="Segoe UI Symbol" w:cs="Segoe UI Symbol"/>
                <w:sz w:val="16"/>
                <w:szCs w:val="16"/>
              </w:rPr>
              <w:t>◯</w:t>
            </w:r>
          </w:p>
          <w:p w14:paraId="6A371ABC" w14:textId="77777777" w:rsidR="00DB51A1" w:rsidRPr="00D76DCB" w:rsidRDefault="00DB51A1" w:rsidP="002C76E7">
            <w:pPr>
              <w:jc w:val="center"/>
              <w:rPr>
                <w:rStyle w:val="quality-sign"/>
                <w:rFonts w:ascii="Arial" w:hAnsi="Arial" w:cs="Arial"/>
                <w:sz w:val="16"/>
                <w:szCs w:val="16"/>
              </w:rPr>
            </w:pPr>
            <w:r w:rsidRPr="00D76DCB">
              <w:rPr>
                <w:rStyle w:val="quality-sign"/>
                <w:rFonts w:ascii="Arial" w:hAnsi="Arial" w:cs="Arial"/>
                <w:sz w:val="16"/>
                <w:szCs w:val="16"/>
              </w:rPr>
              <w:t xml:space="preserve">MODERATE </w:t>
            </w:r>
          </w:p>
        </w:tc>
      </w:tr>
    </w:tbl>
    <w:p w14:paraId="0A7D9AF1" w14:textId="77777777" w:rsidR="00DB51A1" w:rsidRPr="00D76DCB" w:rsidRDefault="00DB51A1" w:rsidP="00DB51A1">
      <w:pPr>
        <w:rPr>
          <w:rFonts w:ascii="Arial" w:hAnsi="Arial" w:cs="Arial"/>
          <w:sz w:val="16"/>
          <w:szCs w:val="16"/>
        </w:rPr>
      </w:pPr>
      <w:r w:rsidRPr="00D76DCB">
        <w:rPr>
          <w:rFonts w:ascii="Arial" w:hAnsi="Arial" w:cs="Arial"/>
          <w:sz w:val="16"/>
          <w:szCs w:val="16"/>
        </w:rPr>
        <w:t xml:space="preserve">*Incremental cost and effect due to the addition of Dupilumab. </w:t>
      </w:r>
    </w:p>
    <w:p w14:paraId="0FADBBFD" w14:textId="77777777" w:rsidR="00DB51A1" w:rsidRPr="00D76DCB" w:rsidRDefault="00DB51A1" w:rsidP="00DB51A1">
      <w:pPr>
        <w:rPr>
          <w:rFonts w:ascii="Arial" w:hAnsi="Arial" w:cs="Arial"/>
          <w:sz w:val="16"/>
          <w:szCs w:val="16"/>
        </w:rPr>
      </w:pPr>
      <w:r w:rsidRPr="00D76DCB">
        <w:rPr>
          <w:rFonts w:ascii="Arial" w:hAnsi="Arial" w:cs="Arial"/>
          <w:sz w:val="16"/>
          <w:szCs w:val="16"/>
        </w:rPr>
        <w:t>ICER: Incremental cost-effectiveness ratio. QALY: Quality adjusted life years. $: US Dollar</w:t>
      </w:r>
      <w:r w:rsidRPr="00D76DCB">
        <w:rPr>
          <w:rFonts w:ascii="Arial" w:hAnsi="Arial" w:cs="Arial"/>
          <w:color w:val="000000"/>
          <w:sz w:val="16"/>
          <w:szCs w:val="16"/>
          <w:lang w:eastAsia="en-GB"/>
        </w:rPr>
        <w:t>.</w:t>
      </w:r>
    </w:p>
    <w:p w14:paraId="17118160" w14:textId="77777777" w:rsidR="00DB51A1" w:rsidRPr="00D76DCB" w:rsidRDefault="00DB51A1" w:rsidP="00DB51A1">
      <w:pPr>
        <w:pStyle w:val="ListParagraph"/>
        <w:numPr>
          <w:ilvl w:val="0"/>
          <w:numId w:val="15"/>
        </w:numPr>
        <w:spacing w:after="200" w:line="276" w:lineRule="auto"/>
        <w:rPr>
          <w:rFonts w:ascii="Arial" w:hAnsi="Arial" w:cs="Arial"/>
          <w:sz w:val="16"/>
          <w:szCs w:val="16"/>
        </w:rPr>
      </w:pPr>
      <w:r w:rsidRPr="00D76DCB">
        <w:rPr>
          <w:rFonts w:ascii="Arial" w:hAnsi="Arial" w:cs="Arial"/>
          <w:sz w:val="16"/>
          <w:szCs w:val="16"/>
        </w:rPr>
        <w:t xml:space="preserve">Markov model study with low risk of bias (CHEC score 13 or higher). </w:t>
      </w:r>
    </w:p>
    <w:p w14:paraId="159CF6A7" w14:textId="77777777" w:rsidR="00DB51A1" w:rsidRPr="00D76DCB" w:rsidRDefault="00DB51A1" w:rsidP="00DB51A1">
      <w:pPr>
        <w:pStyle w:val="ListParagraph"/>
        <w:numPr>
          <w:ilvl w:val="0"/>
          <w:numId w:val="15"/>
        </w:numPr>
        <w:spacing w:after="200" w:line="276" w:lineRule="auto"/>
        <w:rPr>
          <w:rFonts w:ascii="Arial" w:hAnsi="Arial" w:cs="Arial"/>
          <w:sz w:val="16"/>
          <w:szCs w:val="16"/>
        </w:rPr>
      </w:pPr>
      <w:r w:rsidRPr="00D76DCB">
        <w:rPr>
          <w:rFonts w:ascii="Arial" w:hAnsi="Arial" w:cs="Arial"/>
          <w:sz w:val="16"/>
          <w:szCs w:val="16"/>
        </w:rPr>
        <w:t>One single study performed in the USA. The results may not be applicable to other countries.</w:t>
      </w:r>
    </w:p>
    <w:p w14:paraId="41AF0FAD" w14:textId="6C6E5884" w:rsidR="00DB51A1" w:rsidRDefault="00DB51A1" w:rsidP="00DB51A1">
      <w:pPr>
        <w:pStyle w:val="ListParagraph"/>
        <w:numPr>
          <w:ilvl w:val="0"/>
          <w:numId w:val="15"/>
        </w:numPr>
        <w:spacing w:after="200" w:line="276" w:lineRule="auto"/>
        <w:rPr>
          <w:rFonts w:ascii="Arial" w:hAnsi="Arial" w:cs="Arial"/>
          <w:sz w:val="16"/>
          <w:szCs w:val="16"/>
        </w:rPr>
      </w:pPr>
      <w:r w:rsidRPr="00D76DCB">
        <w:rPr>
          <w:rFonts w:ascii="Arial" w:hAnsi="Arial" w:cs="Arial"/>
          <w:sz w:val="16"/>
          <w:szCs w:val="16"/>
        </w:rPr>
        <w:t>The deterministic sensitivity analysis showed large variations in the ICER value from 300,000 $ to 1,000,000 $ (0.85 to 0.81 utilities gained, respectively). Furthermore, at a threshold of 50,000, the probability for Dupilumab to be cost-effective was 0%.</w:t>
      </w:r>
    </w:p>
    <w:p w14:paraId="123B9341" w14:textId="77777777" w:rsidR="00383491" w:rsidRDefault="00383491" w:rsidP="00383491">
      <w:pPr>
        <w:pStyle w:val="ListParagraph"/>
        <w:numPr>
          <w:ilvl w:val="0"/>
          <w:numId w:val="15"/>
        </w:numPr>
        <w:rPr>
          <w:sz w:val="18"/>
          <w:szCs w:val="18"/>
        </w:rPr>
      </w:pPr>
      <w:r w:rsidRPr="007E0994">
        <w:rPr>
          <w:sz w:val="18"/>
          <w:szCs w:val="18"/>
        </w:rPr>
        <w:t>The incremental cost-effectiveness ratio drops substantially from ~400k/ QALY to ~200k/QALY when the responder definition is factored into the cost-effectiveness model.</w:t>
      </w:r>
    </w:p>
    <w:p w14:paraId="6046ABD9" w14:textId="77777777" w:rsidR="00383491" w:rsidRPr="00D76DCB" w:rsidRDefault="00383491" w:rsidP="00FD3FC4">
      <w:pPr>
        <w:pStyle w:val="ListParagraph"/>
        <w:spacing w:after="200" w:line="276" w:lineRule="auto"/>
        <w:rPr>
          <w:rFonts w:ascii="Arial" w:hAnsi="Arial" w:cs="Arial"/>
          <w:sz w:val="16"/>
          <w:szCs w:val="16"/>
        </w:rPr>
      </w:pPr>
    </w:p>
    <w:p w14:paraId="4159941E" w14:textId="02E8DA09" w:rsidR="00B93F8C" w:rsidRPr="00BC0EB8" w:rsidRDefault="00B93F8C" w:rsidP="00B93F8C">
      <w:pPr>
        <w:rPr>
          <w:b/>
          <w:sz w:val="20"/>
          <w:szCs w:val="20"/>
        </w:rPr>
      </w:pPr>
      <w:r w:rsidRPr="00B93F8C">
        <w:rPr>
          <w:b/>
          <w:bCs/>
          <w:color w:val="000000"/>
          <w:sz w:val="20"/>
          <w:szCs w:val="20"/>
          <w:lang w:val="en"/>
        </w:rPr>
        <w:t>Table S</w:t>
      </w:r>
      <w:r w:rsidR="00D5426A">
        <w:rPr>
          <w:b/>
          <w:bCs/>
          <w:color w:val="000000"/>
          <w:sz w:val="20"/>
          <w:szCs w:val="20"/>
          <w:lang w:val="en"/>
        </w:rPr>
        <w:t>28</w:t>
      </w:r>
      <w:r w:rsidRPr="00B93F8C">
        <w:rPr>
          <w:b/>
          <w:bCs/>
          <w:color w:val="000000"/>
          <w:sz w:val="20"/>
          <w:szCs w:val="20"/>
          <w:lang w:val="en"/>
        </w:rPr>
        <w:t xml:space="preserve"> </w:t>
      </w:r>
      <w:r w:rsidRPr="00D5426A">
        <w:rPr>
          <w:b/>
          <w:sz w:val="20"/>
          <w:szCs w:val="20"/>
        </w:rPr>
        <w:t xml:space="preserve">Evidence to decision table supporting recommendations for dupilumab for severe </w:t>
      </w:r>
      <w:r w:rsidR="00111973">
        <w:rPr>
          <w:b/>
          <w:sz w:val="20"/>
          <w:szCs w:val="20"/>
        </w:rPr>
        <w:t xml:space="preserve">T2 </w:t>
      </w:r>
      <w:r w:rsidRPr="00D5426A">
        <w:rPr>
          <w:b/>
          <w:sz w:val="20"/>
          <w:szCs w:val="20"/>
        </w:rPr>
        <w:t>asthma in adults (exacerbations and OCS reduction)</w:t>
      </w:r>
    </w:p>
    <w:tbl>
      <w:tblPr>
        <w:tblW w:w="0" w:type="auto"/>
        <w:tblCellMar>
          <w:left w:w="0" w:type="dxa"/>
          <w:right w:w="0" w:type="dxa"/>
        </w:tblCellMar>
        <w:tblLook w:val="04A0" w:firstRow="1" w:lastRow="0" w:firstColumn="1" w:lastColumn="0" w:noHBand="0" w:noVBand="1"/>
      </w:tblPr>
      <w:tblGrid>
        <w:gridCol w:w="1768"/>
        <w:gridCol w:w="1199"/>
        <w:gridCol w:w="1276"/>
        <w:gridCol w:w="1843"/>
        <w:gridCol w:w="1559"/>
        <w:gridCol w:w="1276"/>
        <w:gridCol w:w="1092"/>
        <w:gridCol w:w="1701"/>
      </w:tblGrid>
      <w:tr w:rsidR="00B93F8C" w:rsidRPr="00F07060" w14:paraId="369E7F83" w14:textId="77777777" w:rsidTr="00D5426A">
        <w:trPr>
          <w:trHeight w:val="19"/>
        </w:trPr>
        <w:tc>
          <w:tcPr>
            <w:tcW w:w="1768" w:type="dxa"/>
            <w:tcBorders>
              <w:top w:val="single" w:sz="8" w:space="0" w:color="FFFFFF"/>
              <w:left w:val="single" w:sz="8" w:space="0" w:color="FFFFFF"/>
              <w:bottom w:val="single" w:sz="24" w:space="0" w:color="FFFFFF"/>
              <w:right w:val="single" w:sz="8" w:space="0" w:color="FFFFFF"/>
            </w:tcBorders>
            <w:shd w:val="clear" w:color="auto" w:fill="5B9BD5"/>
            <w:tcMar>
              <w:top w:w="74" w:type="dxa"/>
              <w:left w:w="74" w:type="dxa"/>
              <w:bottom w:w="74" w:type="dxa"/>
              <w:right w:w="74" w:type="dxa"/>
            </w:tcMar>
            <w:vAlign w:val="center"/>
            <w:hideMark/>
          </w:tcPr>
          <w:p w14:paraId="24941DE7" w14:textId="77777777" w:rsidR="00B93F8C" w:rsidRPr="00F07060" w:rsidRDefault="00B93F8C" w:rsidP="002C76E7">
            <w:pPr>
              <w:rPr>
                <w:b/>
                <w:bCs/>
                <w:color w:val="000000"/>
                <w:sz w:val="16"/>
                <w:szCs w:val="16"/>
              </w:rPr>
            </w:pPr>
          </w:p>
        </w:tc>
        <w:tc>
          <w:tcPr>
            <w:tcW w:w="9946" w:type="dxa"/>
            <w:gridSpan w:val="7"/>
            <w:tcBorders>
              <w:top w:val="single" w:sz="8" w:space="0" w:color="FFFFFF"/>
              <w:left w:val="single" w:sz="8" w:space="0" w:color="FFFFFF"/>
              <w:bottom w:val="single" w:sz="24" w:space="0" w:color="FFFFFF"/>
              <w:right w:val="single" w:sz="8" w:space="0" w:color="FFFFFF"/>
            </w:tcBorders>
            <w:shd w:val="clear" w:color="auto" w:fill="5B9BD5"/>
            <w:tcMar>
              <w:top w:w="74" w:type="dxa"/>
              <w:left w:w="74" w:type="dxa"/>
              <w:bottom w:w="74" w:type="dxa"/>
              <w:right w:w="74" w:type="dxa"/>
            </w:tcMar>
            <w:vAlign w:val="center"/>
            <w:hideMark/>
          </w:tcPr>
          <w:p w14:paraId="614BDE5D" w14:textId="77777777" w:rsidR="00B93F8C" w:rsidRPr="00F07060" w:rsidRDefault="00B93F8C" w:rsidP="002C76E7">
            <w:pPr>
              <w:rPr>
                <w:b/>
                <w:bCs/>
                <w:color w:val="000000"/>
                <w:sz w:val="16"/>
                <w:szCs w:val="16"/>
              </w:rPr>
            </w:pPr>
            <w:r w:rsidRPr="00F07060">
              <w:rPr>
                <w:b/>
                <w:bCs/>
                <w:color w:val="000000"/>
                <w:sz w:val="16"/>
                <w:szCs w:val="16"/>
              </w:rPr>
              <w:t>Judgement</w:t>
            </w:r>
          </w:p>
        </w:tc>
      </w:tr>
      <w:tr w:rsidR="00D5426A" w:rsidRPr="00F07060" w14:paraId="05222DA7" w14:textId="77777777" w:rsidTr="00D5426A">
        <w:trPr>
          <w:trHeight w:val="19"/>
        </w:trPr>
        <w:tc>
          <w:tcPr>
            <w:tcW w:w="1768" w:type="dxa"/>
            <w:tcBorders>
              <w:top w:val="single" w:sz="24"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798E8360" w14:textId="77777777" w:rsidR="00B93F8C" w:rsidRPr="00F07060" w:rsidRDefault="00B93F8C" w:rsidP="002C76E7">
            <w:pPr>
              <w:rPr>
                <w:b/>
                <w:bCs/>
                <w:color w:val="000000"/>
                <w:sz w:val="16"/>
                <w:szCs w:val="16"/>
              </w:rPr>
            </w:pPr>
            <w:r w:rsidRPr="00F07060">
              <w:rPr>
                <w:b/>
                <w:bCs/>
                <w:color w:val="000000"/>
                <w:sz w:val="16"/>
                <w:szCs w:val="16"/>
              </w:rPr>
              <w:t>Problem (importance)</w:t>
            </w:r>
          </w:p>
        </w:tc>
        <w:tc>
          <w:tcPr>
            <w:tcW w:w="1199"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B530251" w14:textId="77777777" w:rsidR="00B93F8C" w:rsidRPr="00F07060" w:rsidRDefault="00B93F8C" w:rsidP="002C76E7">
            <w:pPr>
              <w:rPr>
                <w:b/>
                <w:bCs/>
                <w:color w:val="000000"/>
                <w:sz w:val="16"/>
                <w:szCs w:val="16"/>
              </w:rPr>
            </w:pPr>
            <w:r w:rsidRPr="00F07060">
              <w:rPr>
                <w:b/>
                <w:bCs/>
                <w:color w:val="000000"/>
                <w:sz w:val="16"/>
                <w:szCs w:val="16"/>
              </w:rPr>
              <w:t>No</w:t>
            </w:r>
          </w:p>
        </w:tc>
        <w:tc>
          <w:tcPr>
            <w:tcW w:w="1276"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A8CD4C9" w14:textId="77777777" w:rsidR="00B93F8C" w:rsidRPr="00F07060" w:rsidRDefault="00B93F8C" w:rsidP="002C76E7">
            <w:pPr>
              <w:rPr>
                <w:b/>
                <w:bCs/>
                <w:color w:val="000000"/>
                <w:sz w:val="16"/>
                <w:szCs w:val="16"/>
              </w:rPr>
            </w:pPr>
            <w:r w:rsidRPr="00F07060">
              <w:rPr>
                <w:b/>
                <w:bCs/>
                <w:color w:val="000000"/>
                <w:sz w:val="16"/>
                <w:szCs w:val="16"/>
              </w:rPr>
              <w:t>Probably no</w:t>
            </w:r>
          </w:p>
        </w:tc>
        <w:tc>
          <w:tcPr>
            <w:tcW w:w="1843"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7CC0A7F" w14:textId="77777777" w:rsidR="00B93F8C" w:rsidRPr="00F07060" w:rsidRDefault="00B93F8C" w:rsidP="002C76E7">
            <w:pPr>
              <w:rPr>
                <w:b/>
                <w:bCs/>
                <w:color w:val="000000"/>
                <w:sz w:val="16"/>
                <w:szCs w:val="16"/>
              </w:rPr>
            </w:pPr>
            <w:r w:rsidRPr="00F07060">
              <w:rPr>
                <w:b/>
                <w:bCs/>
                <w:color w:val="000000"/>
                <w:sz w:val="16"/>
                <w:szCs w:val="16"/>
              </w:rPr>
              <w:t>Probably yes</w:t>
            </w:r>
          </w:p>
        </w:tc>
        <w:tc>
          <w:tcPr>
            <w:tcW w:w="1559" w:type="dxa"/>
            <w:tcBorders>
              <w:top w:val="single" w:sz="24"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29BB7E0F" w14:textId="77777777" w:rsidR="00B93F8C" w:rsidRPr="00F07060" w:rsidRDefault="00B93F8C" w:rsidP="002C76E7">
            <w:pPr>
              <w:rPr>
                <w:b/>
                <w:bCs/>
                <w:color w:val="000000"/>
                <w:sz w:val="16"/>
                <w:szCs w:val="16"/>
              </w:rPr>
            </w:pPr>
            <w:r w:rsidRPr="00F07060">
              <w:rPr>
                <w:b/>
                <w:bCs/>
                <w:color w:val="000000"/>
                <w:sz w:val="16"/>
                <w:szCs w:val="16"/>
              </w:rPr>
              <w:t>Yes</w:t>
            </w:r>
          </w:p>
        </w:tc>
        <w:tc>
          <w:tcPr>
            <w:tcW w:w="1276"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8DFC9B6" w14:textId="77777777" w:rsidR="00B93F8C" w:rsidRPr="00F07060" w:rsidRDefault="00B93F8C" w:rsidP="002C76E7">
            <w:pPr>
              <w:rPr>
                <w:b/>
                <w:bCs/>
                <w:color w:val="000000"/>
                <w:sz w:val="16"/>
                <w:szCs w:val="16"/>
              </w:rPr>
            </w:pPr>
          </w:p>
        </w:tc>
        <w:tc>
          <w:tcPr>
            <w:tcW w:w="1092"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C4A10CD" w14:textId="77777777" w:rsidR="00B93F8C" w:rsidRPr="00F07060" w:rsidRDefault="00B93F8C" w:rsidP="002C76E7">
            <w:pPr>
              <w:rPr>
                <w:b/>
                <w:bCs/>
                <w:color w:val="000000"/>
                <w:sz w:val="16"/>
                <w:szCs w:val="16"/>
              </w:rPr>
            </w:pPr>
            <w:r w:rsidRPr="00F07060">
              <w:rPr>
                <w:b/>
                <w:bCs/>
                <w:color w:val="000000"/>
                <w:sz w:val="16"/>
                <w:szCs w:val="16"/>
              </w:rPr>
              <w:t>Varies</w:t>
            </w:r>
          </w:p>
        </w:tc>
        <w:tc>
          <w:tcPr>
            <w:tcW w:w="1701"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0735F77" w14:textId="77777777" w:rsidR="00B93F8C" w:rsidRPr="00F07060" w:rsidRDefault="00B93F8C" w:rsidP="002C76E7">
            <w:pPr>
              <w:rPr>
                <w:b/>
                <w:bCs/>
                <w:color w:val="000000"/>
                <w:sz w:val="16"/>
                <w:szCs w:val="16"/>
              </w:rPr>
            </w:pPr>
            <w:r w:rsidRPr="00F07060">
              <w:rPr>
                <w:b/>
                <w:bCs/>
                <w:color w:val="000000"/>
                <w:sz w:val="16"/>
                <w:szCs w:val="16"/>
              </w:rPr>
              <w:t>Don't know</w:t>
            </w:r>
          </w:p>
        </w:tc>
      </w:tr>
      <w:tr w:rsidR="00D5426A" w:rsidRPr="00F07060" w14:paraId="2A6FBE6C" w14:textId="77777777" w:rsidTr="00D5426A">
        <w:trPr>
          <w:trHeight w:val="19"/>
        </w:trPr>
        <w:tc>
          <w:tcPr>
            <w:tcW w:w="1768"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0B3E15D8" w14:textId="77777777" w:rsidR="00B93F8C" w:rsidRPr="00F07060" w:rsidRDefault="00B93F8C" w:rsidP="002C76E7">
            <w:pPr>
              <w:rPr>
                <w:b/>
                <w:bCs/>
                <w:color w:val="000000"/>
                <w:sz w:val="16"/>
                <w:szCs w:val="16"/>
              </w:rPr>
            </w:pPr>
            <w:r w:rsidRPr="00F07060">
              <w:rPr>
                <w:b/>
                <w:bCs/>
                <w:color w:val="000000"/>
                <w:sz w:val="16"/>
                <w:szCs w:val="16"/>
              </w:rPr>
              <w:t>Desirable Effects</w:t>
            </w:r>
          </w:p>
        </w:tc>
        <w:tc>
          <w:tcPr>
            <w:tcW w:w="1199"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7D8BF75" w14:textId="77777777" w:rsidR="00B93F8C" w:rsidRPr="00F07060" w:rsidRDefault="00B93F8C" w:rsidP="002C76E7">
            <w:pPr>
              <w:rPr>
                <w:b/>
                <w:bCs/>
                <w:color w:val="000000"/>
                <w:sz w:val="16"/>
                <w:szCs w:val="16"/>
              </w:rPr>
            </w:pPr>
            <w:r w:rsidRPr="00F07060">
              <w:rPr>
                <w:b/>
                <w:bCs/>
                <w:color w:val="000000"/>
                <w:sz w:val="16"/>
                <w:szCs w:val="16"/>
              </w:rPr>
              <w:t>Trivial</w:t>
            </w:r>
          </w:p>
        </w:tc>
        <w:tc>
          <w:tcPr>
            <w:tcW w:w="12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135C9FE" w14:textId="77777777" w:rsidR="00B93F8C" w:rsidRPr="00F07060" w:rsidRDefault="00B93F8C" w:rsidP="002C76E7">
            <w:pPr>
              <w:rPr>
                <w:b/>
                <w:bCs/>
                <w:color w:val="000000"/>
                <w:sz w:val="16"/>
                <w:szCs w:val="16"/>
              </w:rPr>
            </w:pPr>
            <w:r w:rsidRPr="00F07060">
              <w:rPr>
                <w:b/>
                <w:bCs/>
                <w:color w:val="000000"/>
                <w:sz w:val="16"/>
                <w:szCs w:val="16"/>
              </w:rPr>
              <w:t>Small</w:t>
            </w:r>
          </w:p>
        </w:tc>
        <w:tc>
          <w:tcPr>
            <w:tcW w:w="1843"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792CAA0" w14:textId="77777777" w:rsidR="00B93F8C" w:rsidRPr="00F07060" w:rsidRDefault="00B93F8C" w:rsidP="002C76E7">
            <w:pPr>
              <w:rPr>
                <w:b/>
                <w:bCs/>
                <w:color w:val="000000"/>
                <w:sz w:val="16"/>
                <w:szCs w:val="16"/>
              </w:rPr>
            </w:pPr>
            <w:r w:rsidRPr="00F07060">
              <w:rPr>
                <w:b/>
                <w:bCs/>
                <w:color w:val="000000"/>
                <w:sz w:val="16"/>
                <w:szCs w:val="16"/>
              </w:rPr>
              <w:t>Moderate</w:t>
            </w:r>
          </w:p>
        </w:tc>
        <w:tc>
          <w:tcPr>
            <w:tcW w:w="1559"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25741C31" w14:textId="77777777" w:rsidR="00B93F8C" w:rsidRPr="00F07060" w:rsidRDefault="00B93F8C" w:rsidP="002C76E7">
            <w:pPr>
              <w:rPr>
                <w:b/>
                <w:bCs/>
                <w:color w:val="000000"/>
                <w:sz w:val="16"/>
                <w:szCs w:val="16"/>
              </w:rPr>
            </w:pPr>
            <w:r w:rsidRPr="00F07060">
              <w:rPr>
                <w:b/>
                <w:bCs/>
                <w:color w:val="000000"/>
                <w:sz w:val="16"/>
                <w:szCs w:val="16"/>
              </w:rPr>
              <w:t>Large</w:t>
            </w:r>
          </w:p>
        </w:tc>
        <w:tc>
          <w:tcPr>
            <w:tcW w:w="12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26A4E64" w14:textId="77777777" w:rsidR="00B93F8C" w:rsidRPr="00F07060" w:rsidRDefault="00B93F8C" w:rsidP="002C76E7">
            <w:pPr>
              <w:rPr>
                <w:b/>
                <w:bCs/>
                <w:color w:val="000000"/>
                <w:sz w:val="16"/>
                <w:szCs w:val="16"/>
              </w:rPr>
            </w:pPr>
          </w:p>
        </w:tc>
        <w:tc>
          <w:tcPr>
            <w:tcW w:w="1092"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34E3891" w14:textId="77777777" w:rsidR="00B93F8C" w:rsidRPr="00F07060" w:rsidRDefault="00B93F8C" w:rsidP="002C76E7">
            <w:pPr>
              <w:rPr>
                <w:b/>
                <w:bCs/>
                <w:color w:val="000000"/>
                <w:sz w:val="16"/>
                <w:szCs w:val="16"/>
              </w:rPr>
            </w:pPr>
            <w:r w:rsidRPr="00F07060">
              <w:rPr>
                <w:b/>
                <w:bCs/>
                <w:color w:val="000000"/>
                <w:sz w:val="16"/>
                <w:szCs w:val="16"/>
              </w:rPr>
              <w:t>Varies</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ADCFA01" w14:textId="77777777" w:rsidR="00B93F8C" w:rsidRPr="00F07060" w:rsidRDefault="00B93F8C" w:rsidP="002C76E7">
            <w:pPr>
              <w:rPr>
                <w:b/>
                <w:bCs/>
                <w:color w:val="000000"/>
                <w:sz w:val="16"/>
                <w:szCs w:val="16"/>
              </w:rPr>
            </w:pPr>
            <w:r w:rsidRPr="00F07060">
              <w:rPr>
                <w:b/>
                <w:bCs/>
                <w:color w:val="000000"/>
                <w:sz w:val="16"/>
                <w:szCs w:val="16"/>
              </w:rPr>
              <w:t>Don't know</w:t>
            </w:r>
          </w:p>
        </w:tc>
      </w:tr>
      <w:tr w:rsidR="00D5426A" w:rsidRPr="00F07060" w14:paraId="1417FA90" w14:textId="77777777" w:rsidTr="00D5426A">
        <w:trPr>
          <w:trHeight w:val="36"/>
        </w:trPr>
        <w:tc>
          <w:tcPr>
            <w:tcW w:w="1768"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1BE908B5" w14:textId="77777777" w:rsidR="00B93F8C" w:rsidRPr="00F07060" w:rsidRDefault="00B93F8C" w:rsidP="002C76E7">
            <w:pPr>
              <w:rPr>
                <w:b/>
                <w:bCs/>
                <w:color w:val="000000"/>
                <w:sz w:val="16"/>
                <w:szCs w:val="16"/>
              </w:rPr>
            </w:pPr>
            <w:r w:rsidRPr="00F07060">
              <w:rPr>
                <w:b/>
                <w:bCs/>
                <w:color w:val="000000"/>
                <w:sz w:val="16"/>
                <w:szCs w:val="16"/>
              </w:rPr>
              <w:t>Undesirable Effects</w:t>
            </w:r>
          </w:p>
        </w:tc>
        <w:tc>
          <w:tcPr>
            <w:tcW w:w="1199"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5FFC891" w14:textId="77777777" w:rsidR="00B93F8C" w:rsidRPr="00F07060" w:rsidRDefault="00B93F8C" w:rsidP="002C76E7">
            <w:pPr>
              <w:rPr>
                <w:b/>
                <w:bCs/>
                <w:color w:val="000000"/>
                <w:sz w:val="16"/>
                <w:szCs w:val="16"/>
              </w:rPr>
            </w:pPr>
            <w:r w:rsidRPr="00F07060">
              <w:rPr>
                <w:b/>
                <w:bCs/>
                <w:color w:val="000000"/>
                <w:sz w:val="16"/>
                <w:szCs w:val="16"/>
              </w:rPr>
              <w:t>Large</w:t>
            </w:r>
          </w:p>
        </w:tc>
        <w:tc>
          <w:tcPr>
            <w:tcW w:w="127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0BE4116" w14:textId="77777777" w:rsidR="00B93F8C" w:rsidRPr="00F07060" w:rsidRDefault="00B93F8C" w:rsidP="002C76E7">
            <w:pPr>
              <w:rPr>
                <w:b/>
                <w:bCs/>
                <w:color w:val="000000"/>
                <w:sz w:val="16"/>
                <w:szCs w:val="16"/>
              </w:rPr>
            </w:pPr>
            <w:r w:rsidRPr="00F07060">
              <w:rPr>
                <w:b/>
                <w:bCs/>
                <w:color w:val="000000"/>
                <w:sz w:val="16"/>
                <w:szCs w:val="16"/>
              </w:rPr>
              <w:t>Moderate</w:t>
            </w:r>
          </w:p>
        </w:tc>
        <w:tc>
          <w:tcPr>
            <w:tcW w:w="1843"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2DD3BDBD" w14:textId="77777777" w:rsidR="00B93F8C" w:rsidRPr="00F07060" w:rsidRDefault="00B93F8C" w:rsidP="002C76E7">
            <w:pPr>
              <w:rPr>
                <w:b/>
                <w:bCs/>
                <w:color w:val="000000"/>
                <w:sz w:val="16"/>
                <w:szCs w:val="16"/>
              </w:rPr>
            </w:pPr>
            <w:r w:rsidRPr="00F07060">
              <w:rPr>
                <w:b/>
                <w:bCs/>
                <w:color w:val="000000"/>
                <w:sz w:val="16"/>
                <w:szCs w:val="16"/>
              </w:rPr>
              <w:t>Small</w:t>
            </w:r>
          </w:p>
        </w:tc>
        <w:tc>
          <w:tcPr>
            <w:tcW w:w="1559"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F22BFD9" w14:textId="77777777" w:rsidR="00B93F8C" w:rsidRPr="00F07060" w:rsidRDefault="00B93F8C" w:rsidP="002C76E7">
            <w:pPr>
              <w:rPr>
                <w:b/>
                <w:bCs/>
                <w:color w:val="000000"/>
                <w:sz w:val="16"/>
                <w:szCs w:val="16"/>
              </w:rPr>
            </w:pPr>
            <w:r w:rsidRPr="00F07060">
              <w:rPr>
                <w:b/>
                <w:bCs/>
                <w:color w:val="000000"/>
                <w:sz w:val="16"/>
                <w:szCs w:val="16"/>
              </w:rPr>
              <w:t>Trivial</w:t>
            </w:r>
          </w:p>
        </w:tc>
        <w:tc>
          <w:tcPr>
            <w:tcW w:w="127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326A68C" w14:textId="77777777" w:rsidR="00B93F8C" w:rsidRPr="00F07060" w:rsidRDefault="00B93F8C" w:rsidP="002C76E7">
            <w:pPr>
              <w:rPr>
                <w:b/>
                <w:bCs/>
                <w:color w:val="000000"/>
                <w:sz w:val="16"/>
                <w:szCs w:val="16"/>
              </w:rPr>
            </w:pPr>
          </w:p>
        </w:tc>
        <w:tc>
          <w:tcPr>
            <w:tcW w:w="1092"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CD023F9" w14:textId="77777777" w:rsidR="00B93F8C" w:rsidRPr="00F07060" w:rsidRDefault="00B93F8C" w:rsidP="002C76E7">
            <w:pPr>
              <w:rPr>
                <w:b/>
                <w:bCs/>
                <w:color w:val="000000"/>
                <w:sz w:val="16"/>
                <w:szCs w:val="16"/>
              </w:rPr>
            </w:pPr>
            <w:r w:rsidRPr="00F07060">
              <w:rPr>
                <w:b/>
                <w:bCs/>
                <w:color w:val="000000"/>
                <w:sz w:val="16"/>
                <w:szCs w:val="16"/>
              </w:rPr>
              <w:t>Varies</w:t>
            </w: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800DC80" w14:textId="77777777" w:rsidR="00B93F8C" w:rsidRPr="00F07060" w:rsidRDefault="00B93F8C" w:rsidP="002C76E7">
            <w:pPr>
              <w:rPr>
                <w:b/>
                <w:bCs/>
                <w:color w:val="000000"/>
                <w:sz w:val="16"/>
                <w:szCs w:val="16"/>
              </w:rPr>
            </w:pPr>
            <w:r w:rsidRPr="00F07060">
              <w:rPr>
                <w:b/>
                <w:bCs/>
                <w:color w:val="000000"/>
                <w:sz w:val="16"/>
                <w:szCs w:val="16"/>
              </w:rPr>
              <w:t>Don't know</w:t>
            </w:r>
          </w:p>
        </w:tc>
      </w:tr>
      <w:tr w:rsidR="00D5426A" w:rsidRPr="00F07060" w14:paraId="0466455B" w14:textId="77777777" w:rsidTr="00D5426A">
        <w:trPr>
          <w:trHeight w:val="111"/>
        </w:trPr>
        <w:tc>
          <w:tcPr>
            <w:tcW w:w="1768"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76F4148A" w14:textId="77777777" w:rsidR="00B93F8C" w:rsidRPr="00F07060" w:rsidRDefault="00B93F8C" w:rsidP="002C76E7">
            <w:pPr>
              <w:rPr>
                <w:b/>
                <w:bCs/>
                <w:color w:val="000000"/>
                <w:sz w:val="16"/>
                <w:szCs w:val="16"/>
              </w:rPr>
            </w:pPr>
            <w:r w:rsidRPr="00F07060">
              <w:rPr>
                <w:b/>
                <w:bCs/>
                <w:color w:val="000000"/>
                <w:sz w:val="16"/>
                <w:szCs w:val="16"/>
              </w:rPr>
              <w:t>Certainty of evidence</w:t>
            </w:r>
          </w:p>
        </w:tc>
        <w:tc>
          <w:tcPr>
            <w:tcW w:w="1199"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CC4F51C" w14:textId="77777777" w:rsidR="00B93F8C" w:rsidRPr="00F07060" w:rsidRDefault="00B93F8C" w:rsidP="002C76E7">
            <w:pPr>
              <w:rPr>
                <w:b/>
                <w:bCs/>
                <w:color w:val="000000"/>
                <w:sz w:val="16"/>
                <w:szCs w:val="16"/>
              </w:rPr>
            </w:pPr>
            <w:r w:rsidRPr="00F07060">
              <w:rPr>
                <w:b/>
                <w:bCs/>
                <w:color w:val="000000"/>
                <w:sz w:val="16"/>
                <w:szCs w:val="16"/>
              </w:rPr>
              <w:t>Very low</w:t>
            </w:r>
          </w:p>
        </w:tc>
        <w:tc>
          <w:tcPr>
            <w:tcW w:w="12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AFBFA20" w14:textId="77777777" w:rsidR="00B93F8C" w:rsidRPr="00F07060" w:rsidRDefault="00B93F8C" w:rsidP="002C76E7">
            <w:pPr>
              <w:rPr>
                <w:b/>
                <w:bCs/>
                <w:color w:val="000000"/>
                <w:sz w:val="16"/>
                <w:szCs w:val="16"/>
              </w:rPr>
            </w:pPr>
            <w:r w:rsidRPr="00F07060">
              <w:rPr>
                <w:b/>
                <w:bCs/>
                <w:color w:val="000000"/>
                <w:sz w:val="16"/>
                <w:szCs w:val="16"/>
              </w:rPr>
              <w:t>Low</w:t>
            </w:r>
          </w:p>
        </w:tc>
        <w:tc>
          <w:tcPr>
            <w:tcW w:w="184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4" w:type="dxa"/>
              <w:left w:w="74" w:type="dxa"/>
              <w:bottom w:w="74" w:type="dxa"/>
              <w:right w:w="74" w:type="dxa"/>
            </w:tcMar>
            <w:vAlign w:val="center"/>
            <w:hideMark/>
          </w:tcPr>
          <w:p w14:paraId="2FB79E5A" w14:textId="77777777" w:rsidR="00B93F8C" w:rsidRPr="00F07060" w:rsidRDefault="00B93F8C" w:rsidP="002C76E7">
            <w:pPr>
              <w:rPr>
                <w:b/>
                <w:bCs/>
                <w:color w:val="000000"/>
                <w:sz w:val="16"/>
                <w:szCs w:val="16"/>
              </w:rPr>
            </w:pPr>
            <w:r w:rsidRPr="00F07060">
              <w:rPr>
                <w:b/>
                <w:bCs/>
                <w:color w:val="000000"/>
                <w:sz w:val="16"/>
                <w:szCs w:val="16"/>
              </w:rPr>
              <w:t>Moderate</w:t>
            </w:r>
          </w:p>
        </w:tc>
        <w:tc>
          <w:tcPr>
            <w:tcW w:w="1559"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3242BEEF" w14:textId="77777777" w:rsidR="00B93F8C" w:rsidRPr="00F07060" w:rsidRDefault="00B93F8C" w:rsidP="002C76E7">
            <w:pPr>
              <w:rPr>
                <w:b/>
                <w:bCs/>
                <w:color w:val="000000"/>
                <w:sz w:val="16"/>
                <w:szCs w:val="16"/>
              </w:rPr>
            </w:pPr>
            <w:r w:rsidRPr="00F07060">
              <w:rPr>
                <w:b/>
                <w:bCs/>
                <w:color w:val="000000"/>
                <w:sz w:val="16"/>
                <w:szCs w:val="16"/>
              </w:rPr>
              <w:t>High</w:t>
            </w:r>
          </w:p>
        </w:tc>
        <w:tc>
          <w:tcPr>
            <w:tcW w:w="12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5A3A14E" w14:textId="77777777" w:rsidR="00B93F8C" w:rsidRPr="00F07060" w:rsidRDefault="00B93F8C" w:rsidP="002C76E7">
            <w:pPr>
              <w:rPr>
                <w:b/>
                <w:bCs/>
                <w:color w:val="000000"/>
                <w:sz w:val="16"/>
                <w:szCs w:val="16"/>
              </w:rPr>
            </w:pPr>
          </w:p>
        </w:tc>
        <w:tc>
          <w:tcPr>
            <w:tcW w:w="1092"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16FF5F1" w14:textId="77777777" w:rsidR="00B93F8C" w:rsidRPr="00F07060" w:rsidRDefault="00B93F8C" w:rsidP="002C76E7">
            <w:pPr>
              <w:rPr>
                <w:b/>
                <w:bCs/>
                <w:color w:val="000000"/>
                <w:sz w:val="16"/>
                <w:szCs w:val="16"/>
              </w:rPr>
            </w:pP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F3AF8C4" w14:textId="77777777" w:rsidR="00B93F8C" w:rsidRPr="00F07060" w:rsidRDefault="00B93F8C" w:rsidP="002C76E7">
            <w:pPr>
              <w:rPr>
                <w:b/>
                <w:bCs/>
                <w:color w:val="000000"/>
                <w:sz w:val="16"/>
                <w:szCs w:val="16"/>
              </w:rPr>
            </w:pPr>
            <w:r w:rsidRPr="00F07060">
              <w:rPr>
                <w:b/>
                <w:bCs/>
                <w:color w:val="000000"/>
                <w:sz w:val="16"/>
                <w:szCs w:val="16"/>
              </w:rPr>
              <w:t>No included studies</w:t>
            </w:r>
          </w:p>
        </w:tc>
      </w:tr>
      <w:tr w:rsidR="00D5426A" w:rsidRPr="00F07060" w14:paraId="70FAD4E1" w14:textId="77777777" w:rsidTr="00D5426A">
        <w:trPr>
          <w:trHeight w:val="966"/>
        </w:trPr>
        <w:tc>
          <w:tcPr>
            <w:tcW w:w="1768"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627F78D7" w14:textId="77777777" w:rsidR="00B93F8C" w:rsidRPr="00F07060" w:rsidRDefault="00B93F8C" w:rsidP="002C76E7">
            <w:pPr>
              <w:rPr>
                <w:b/>
                <w:bCs/>
                <w:color w:val="000000"/>
                <w:sz w:val="16"/>
                <w:szCs w:val="16"/>
              </w:rPr>
            </w:pPr>
            <w:r w:rsidRPr="00F07060">
              <w:rPr>
                <w:b/>
                <w:bCs/>
                <w:color w:val="000000"/>
                <w:sz w:val="16"/>
                <w:szCs w:val="16"/>
              </w:rPr>
              <w:t>Values</w:t>
            </w:r>
          </w:p>
        </w:tc>
        <w:tc>
          <w:tcPr>
            <w:tcW w:w="1199"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F4BC691" w14:textId="77777777" w:rsidR="00B93F8C" w:rsidRPr="00F07060" w:rsidRDefault="00B93F8C" w:rsidP="002C76E7">
            <w:pPr>
              <w:rPr>
                <w:b/>
                <w:bCs/>
                <w:color w:val="000000"/>
                <w:sz w:val="16"/>
                <w:szCs w:val="16"/>
              </w:rPr>
            </w:pPr>
            <w:r w:rsidRPr="00F07060">
              <w:rPr>
                <w:b/>
                <w:bCs/>
                <w:color w:val="000000"/>
                <w:sz w:val="16"/>
                <w:szCs w:val="16"/>
              </w:rPr>
              <w:t>Important uncertainty or variability</w:t>
            </w:r>
          </w:p>
        </w:tc>
        <w:tc>
          <w:tcPr>
            <w:tcW w:w="127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90D892F" w14:textId="77777777" w:rsidR="00B93F8C" w:rsidRPr="00F07060" w:rsidRDefault="00B93F8C" w:rsidP="002C76E7">
            <w:pPr>
              <w:rPr>
                <w:b/>
                <w:bCs/>
                <w:color w:val="000000"/>
                <w:sz w:val="16"/>
                <w:szCs w:val="16"/>
              </w:rPr>
            </w:pPr>
            <w:r w:rsidRPr="00F07060">
              <w:rPr>
                <w:b/>
                <w:bCs/>
                <w:color w:val="000000"/>
                <w:sz w:val="16"/>
                <w:szCs w:val="16"/>
              </w:rPr>
              <w:t>Possibly important uncertainty or variability</w:t>
            </w:r>
          </w:p>
        </w:tc>
        <w:tc>
          <w:tcPr>
            <w:tcW w:w="1843"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754A81E" w14:textId="77777777" w:rsidR="00B93F8C" w:rsidRPr="00F07060" w:rsidRDefault="00B93F8C" w:rsidP="002C76E7">
            <w:pPr>
              <w:rPr>
                <w:b/>
                <w:bCs/>
                <w:color w:val="000000"/>
                <w:sz w:val="16"/>
                <w:szCs w:val="16"/>
              </w:rPr>
            </w:pPr>
            <w:r w:rsidRPr="00F07060">
              <w:rPr>
                <w:b/>
                <w:bCs/>
                <w:color w:val="000000"/>
                <w:sz w:val="16"/>
                <w:szCs w:val="16"/>
              </w:rPr>
              <w:t>Probably no important uncertainty or variability</w:t>
            </w:r>
          </w:p>
        </w:tc>
        <w:tc>
          <w:tcPr>
            <w:tcW w:w="1559"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55C24AC8" w14:textId="77777777" w:rsidR="00B93F8C" w:rsidRPr="00F07060" w:rsidRDefault="00B93F8C" w:rsidP="002C76E7">
            <w:pPr>
              <w:rPr>
                <w:b/>
                <w:bCs/>
                <w:color w:val="000000"/>
                <w:sz w:val="16"/>
                <w:szCs w:val="16"/>
              </w:rPr>
            </w:pPr>
            <w:r w:rsidRPr="00F07060">
              <w:rPr>
                <w:b/>
                <w:bCs/>
                <w:color w:val="000000"/>
                <w:sz w:val="16"/>
                <w:szCs w:val="16"/>
              </w:rPr>
              <w:t>no important uncertainty or variability</w:t>
            </w:r>
          </w:p>
        </w:tc>
        <w:tc>
          <w:tcPr>
            <w:tcW w:w="127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9BBCA3A" w14:textId="77777777" w:rsidR="00B93F8C" w:rsidRPr="00F07060" w:rsidRDefault="00B93F8C" w:rsidP="002C76E7">
            <w:pPr>
              <w:rPr>
                <w:b/>
                <w:bCs/>
                <w:color w:val="000000"/>
                <w:sz w:val="16"/>
                <w:szCs w:val="16"/>
              </w:rPr>
            </w:pPr>
          </w:p>
        </w:tc>
        <w:tc>
          <w:tcPr>
            <w:tcW w:w="1092"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449D84E" w14:textId="77777777" w:rsidR="00B93F8C" w:rsidRPr="00F07060" w:rsidRDefault="00B93F8C" w:rsidP="002C76E7">
            <w:pPr>
              <w:rPr>
                <w:b/>
                <w:bCs/>
                <w:color w:val="000000"/>
                <w:sz w:val="16"/>
                <w:szCs w:val="16"/>
              </w:rPr>
            </w:pP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FFBFBE2" w14:textId="77777777" w:rsidR="00B93F8C" w:rsidRPr="00F07060" w:rsidRDefault="00B93F8C" w:rsidP="002C76E7">
            <w:pPr>
              <w:rPr>
                <w:b/>
                <w:bCs/>
                <w:color w:val="000000"/>
                <w:sz w:val="16"/>
                <w:szCs w:val="16"/>
              </w:rPr>
            </w:pPr>
          </w:p>
        </w:tc>
      </w:tr>
      <w:tr w:rsidR="00D5426A" w:rsidRPr="00F07060" w14:paraId="2B97FF1C" w14:textId="77777777" w:rsidTr="00D5426A">
        <w:trPr>
          <w:trHeight w:val="332"/>
        </w:trPr>
        <w:tc>
          <w:tcPr>
            <w:tcW w:w="1768"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61C5BC63" w14:textId="77777777" w:rsidR="00B93F8C" w:rsidRPr="00F07060" w:rsidRDefault="00B93F8C" w:rsidP="002C76E7">
            <w:pPr>
              <w:rPr>
                <w:b/>
                <w:bCs/>
                <w:color w:val="000000"/>
                <w:sz w:val="16"/>
                <w:szCs w:val="16"/>
              </w:rPr>
            </w:pPr>
            <w:r w:rsidRPr="00F07060">
              <w:rPr>
                <w:b/>
                <w:bCs/>
                <w:color w:val="000000"/>
                <w:sz w:val="16"/>
                <w:szCs w:val="16"/>
              </w:rPr>
              <w:lastRenderedPageBreak/>
              <w:t>Balance of effects</w:t>
            </w:r>
          </w:p>
        </w:tc>
        <w:tc>
          <w:tcPr>
            <w:tcW w:w="1199"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9D91D85" w14:textId="77777777" w:rsidR="00B93F8C" w:rsidRPr="00F07060" w:rsidRDefault="00B93F8C" w:rsidP="002C76E7">
            <w:pPr>
              <w:rPr>
                <w:b/>
                <w:bCs/>
                <w:color w:val="000000"/>
                <w:sz w:val="16"/>
                <w:szCs w:val="16"/>
              </w:rPr>
            </w:pPr>
            <w:r w:rsidRPr="00F07060">
              <w:rPr>
                <w:b/>
                <w:bCs/>
                <w:color w:val="000000"/>
                <w:sz w:val="16"/>
                <w:szCs w:val="16"/>
              </w:rPr>
              <w:t>Favors the comparison</w:t>
            </w:r>
          </w:p>
        </w:tc>
        <w:tc>
          <w:tcPr>
            <w:tcW w:w="12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94E6550" w14:textId="77777777" w:rsidR="00B93F8C" w:rsidRPr="00F07060" w:rsidRDefault="00B93F8C" w:rsidP="002C76E7">
            <w:pPr>
              <w:rPr>
                <w:b/>
                <w:bCs/>
                <w:color w:val="000000"/>
                <w:sz w:val="16"/>
                <w:szCs w:val="16"/>
              </w:rPr>
            </w:pPr>
            <w:r w:rsidRPr="00F07060">
              <w:rPr>
                <w:b/>
                <w:bCs/>
                <w:color w:val="000000"/>
                <w:sz w:val="16"/>
                <w:szCs w:val="16"/>
              </w:rPr>
              <w:t>Probably favors the comparison</w:t>
            </w:r>
          </w:p>
        </w:tc>
        <w:tc>
          <w:tcPr>
            <w:tcW w:w="1843"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F917A69" w14:textId="77777777" w:rsidR="00B93F8C" w:rsidRPr="00F07060" w:rsidRDefault="00B93F8C" w:rsidP="002C76E7">
            <w:pPr>
              <w:rPr>
                <w:b/>
                <w:bCs/>
                <w:color w:val="000000"/>
                <w:sz w:val="16"/>
                <w:szCs w:val="16"/>
              </w:rPr>
            </w:pPr>
            <w:r w:rsidRPr="00F07060">
              <w:rPr>
                <w:b/>
                <w:bCs/>
                <w:color w:val="000000"/>
                <w:sz w:val="16"/>
                <w:szCs w:val="16"/>
              </w:rPr>
              <w:t>Does not favor either the intervention or the comparison</w:t>
            </w:r>
          </w:p>
        </w:tc>
        <w:tc>
          <w:tcPr>
            <w:tcW w:w="1559"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B1211DE" w14:textId="77777777" w:rsidR="00B93F8C" w:rsidRPr="00F07060" w:rsidRDefault="00B93F8C" w:rsidP="002C76E7">
            <w:pPr>
              <w:rPr>
                <w:b/>
                <w:bCs/>
                <w:color w:val="000000"/>
                <w:sz w:val="16"/>
                <w:szCs w:val="16"/>
              </w:rPr>
            </w:pPr>
            <w:r w:rsidRPr="00F07060">
              <w:rPr>
                <w:b/>
                <w:bCs/>
                <w:color w:val="000000"/>
                <w:sz w:val="16"/>
                <w:szCs w:val="16"/>
              </w:rPr>
              <w:t>Probably favors the intervention</w:t>
            </w:r>
          </w:p>
        </w:tc>
        <w:tc>
          <w:tcPr>
            <w:tcW w:w="1276"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3F445813" w14:textId="77777777" w:rsidR="00B93F8C" w:rsidRPr="00F07060" w:rsidRDefault="00B93F8C" w:rsidP="002C76E7">
            <w:pPr>
              <w:rPr>
                <w:b/>
                <w:bCs/>
                <w:color w:val="000000"/>
                <w:sz w:val="16"/>
                <w:szCs w:val="16"/>
              </w:rPr>
            </w:pPr>
            <w:r w:rsidRPr="00F07060">
              <w:rPr>
                <w:b/>
                <w:bCs/>
                <w:color w:val="000000"/>
                <w:sz w:val="16"/>
                <w:szCs w:val="16"/>
              </w:rPr>
              <w:t>Favors the intervention</w:t>
            </w:r>
          </w:p>
        </w:tc>
        <w:tc>
          <w:tcPr>
            <w:tcW w:w="1092"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BF3B65B" w14:textId="77777777" w:rsidR="00B93F8C" w:rsidRPr="00F07060" w:rsidRDefault="00B93F8C" w:rsidP="002C76E7">
            <w:pPr>
              <w:rPr>
                <w:b/>
                <w:bCs/>
                <w:color w:val="000000"/>
                <w:sz w:val="16"/>
                <w:szCs w:val="16"/>
              </w:rPr>
            </w:pPr>
            <w:r w:rsidRPr="00F07060">
              <w:rPr>
                <w:b/>
                <w:bCs/>
                <w:color w:val="000000"/>
                <w:sz w:val="16"/>
                <w:szCs w:val="16"/>
              </w:rPr>
              <w:t>Varies</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FA798A7" w14:textId="77777777" w:rsidR="00B93F8C" w:rsidRPr="00F07060" w:rsidRDefault="00B93F8C" w:rsidP="002C76E7">
            <w:pPr>
              <w:rPr>
                <w:b/>
                <w:bCs/>
                <w:color w:val="000000"/>
                <w:sz w:val="16"/>
                <w:szCs w:val="16"/>
              </w:rPr>
            </w:pPr>
            <w:r w:rsidRPr="00F07060">
              <w:rPr>
                <w:b/>
                <w:bCs/>
                <w:color w:val="000000"/>
                <w:sz w:val="16"/>
                <w:szCs w:val="16"/>
              </w:rPr>
              <w:t>Don't know</w:t>
            </w:r>
          </w:p>
        </w:tc>
      </w:tr>
      <w:tr w:rsidR="00D5426A" w:rsidRPr="00F07060" w14:paraId="179A20C3" w14:textId="77777777" w:rsidTr="00D5426A">
        <w:trPr>
          <w:trHeight w:val="180"/>
        </w:trPr>
        <w:tc>
          <w:tcPr>
            <w:tcW w:w="1768"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012290BE" w14:textId="77777777" w:rsidR="00B93F8C" w:rsidRPr="00F07060" w:rsidRDefault="00B93F8C" w:rsidP="002C76E7">
            <w:pPr>
              <w:rPr>
                <w:b/>
                <w:bCs/>
                <w:color w:val="000000"/>
                <w:sz w:val="16"/>
                <w:szCs w:val="16"/>
              </w:rPr>
            </w:pPr>
            <w:r w:rsidRPr="00F07060">
              <w:rPr>
                <w:b/>
                <w:bCs/>
                <w:color w:val="000000"/>
                <w:sz w:val="16"/>
                <w:szCs w:val="16"/>
              </w:rPr>
              <w:t>Resources required</w:t>
            </w:r>
          </w:p>
        </w:tc>
        <w:tc>
          <w:tcPr>
            <w:tcW w:w="1199"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6178C03" w14:textId="77777777" w:rsidR="00B93F8C" w:rsidRPr="00F07060" w:rsidRDefault="00B93F8C" w:rsidP="002C76E7">
            <w:pPr>
              <w:rPr>
                <w:b/>
                <w:bCs/>
                <w:color w:val="000000"/>
                <w:sz w:val="16"/>
                <w:szCs w:val="16"/>
              </w:rPr>
            </w:pPr>
            <w:r w:rsidRPr="00F07060">
              <w:rPr>
                <w:b/>
                <w:bCs/>
                <w:color w:val="000000"/>
                <w:sz w:val="16"/>
                <w:szCs w:val="16"/>
              </w:rPr>
              <w:t>Large costs</w:t>
            </w:r>
          </w:p>
        </w:tc>
        <w:tc>
          <w:tcPr>
            <w:tcW w:w="127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0631166" w14:textId="77777777" w:rsidR="00B93F8C" w:rsidRPr="00F07060" w:rsidRDefault="00B93F8C" w:rsidP="002C76E7">
            <w:pPr>
              <w:rPr>
                <w:b/>
                <w:bCs/>
                <w:color w:val="000000"/>
                <w:sz w:val="16"/>
                <w:szCs w:val="16"/>
              </w:rPr>
            </w:pPr>
            <w:r w:rsidRPr="00F07060">
              <w:rPr>
                <w:b/>
                <w:bCs/>
                <w:color w:val="000000"/>
                <w:sz w:val="16"/>
                <w:szCs w:val="16"/>
              </w:rPr>
              <w:t>Moderate costs</w:t>
            </w:r>
          </w:p>
        </w:tc>
        <w:tc>
          <w:tcPr>
            <w:tcW w:w="1843"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39F783F" w14:textId="77777777" w:rsidR="00B93F8C" w:rsidRPr="00F07060" w:rsidRDefault="00B93F8C" w:rsidP="002C76E7">
            <w:pPr>
              <w:rPr>
                <w:b/>
                <w:bCs/>
                <w:color w:val="000000"/>
                <w:sz w:val="16"/>
                <w:szCs w:val="16"/>
              </w:rPr>
            </w:pPr>
            <w:r w:rsidRPr="00F07060">
              <w:rPr>
                <w:b/>
                <w:bCs/>
                <w:color w:val="000000"/>
                <w:sz w:val="16"/>
                <w:szCs w:val="16"/>
              </w:rPr>
              <w:t>Negligible costs and savings</w:t>
            </w:r>
          </w:p>
        </w:tc>
        <w:tc>
          <w:tcPr>
            <w:tcW w:w="1559"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7D4C042" w14:textId="77777777" w:rsidR="00B93F8C" w:rsidRPr="00F07060" w:rsidRDefault="00B93F8C" w:rsidP="002C76E7">
            <w:pPr>
              <w:rPr>
                <w:b/>
                <w:bCs/>
                <w:color w:val="000000"/>
                <w:sz w:val="16"/>
                <w:szCs w:val="16"/>
              </w:rPr>
            </w:pPr>
            <w:r w:rsidRPr="00F07060">
              <w:rPr>
                <w:b/>
                <w:bCs/>
                <w:color w:val="000000"/>
                <w:sz w:val="16"/>
                <w:szCs w:val="16"/>
              </w:rPr>
              <w:t>Moderate savings</w:t>
            </w:r>
          </w:p>
        </w:tc>
        <w:tc>
          <w:tcPr>
            <w:tcW w:w="127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7E086BB" w14:textId="77777777" w:rsidR="00B93F8C" w:rsidRPr="00F07060" w:rsidRDefault="00B93F8C" w:rsidP="002C76E7">
            <w:pPr>
              <w:rPr>
                <w:b/>
                <w:bCs/>
                <w:color w:val="000000"/>
                <w:sz w:val="16"/>
                <w:szCs w:val="16"/>
              </w:rPr>
            </w:pPr>
            <w:r w:rsidRPr="00F07060">
              <w:rPr>
                <w:b/>
                <w:bCs/>
                <w:color w:val="000000"/>
                <w:sz w:val="16"/>
                <w:szCs w:val="16"/>
              </w:rPr>
              <w:t>Large savings</w:t>
            </w:r>
          </w:p>
        </w:tc>
        <w:tc>
          <w:tcPr>
            <w:tcW w:w="1092"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7B9D9D34" w14:textId="77777777" w:rsidR="00B93F8C" w:rsidRPr="00F07060" w:rsidRDefault="00B93F8C" w:rsidP="002C76E7">
            <w:pPr>
              <w:rPr>
                <w:b/>
                <w:bCs/>
                <w:color w:val="000000"/>
                <w:sz w:val="16"/>
                <w:szCs w:val="16"/>
              </w:rPr>
            </w:pPr>
            <w:r w:rsidRPr="00F07060">
              <w:rPr>
                <w:b/>
                <w:bCs/>
                <w:color w:val="000000"/>
                <w:sz w:val="16"/>
                <w:szCs w:val="16"/>
              </w:rPr>
              <w:t>Varies</w:t>
            </w: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8A4DC08" w14:textId="77777777" w:rsidR="00B93F8C" w:rsidRPr="00F07060" w:rsidRDefault="00B93F8C" w:rsidP="002C76E7">
            <w:pPr>
              <w:rPr>
                <w:b/>
                <w:bCs/>
                <w:color w:val="000000"/>
                <w:sz w:val="16"/>
                <w:szCs w:val="16"/>
              </w:rPr>
            </w:pPr>
            <w:r w:rsidRPr="00F07060">
              <w:rPr>
                <w:b/>
                <w:bCs/>
                <w:color w:val="000000"/>
                <w:sz w:val="16"/>
                <w:szCs w:val="16"/>
              </w:rPr>
              <w:t>Don't know</w:t>
            </w:r>
          </w:p>
        </w:tc>
      </w:tr>
      <w:tr w:rsidR="00D5426A" w:rsidRPr="00F07060" w14:paraId="39908F2D" w14:textId="77777777" w:rsidTr="00D5426A">
        <w:trPr>
          <w:trHeight w:val="19"/>
        </w:trPr>
        <w:tc>
          <w:tcPr>
            <w:tcW w:w="1768"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0EE78400" w14:textId="77777777" w:rsidR="00B93F8C" w:rsidRPr="00F07060" w:rsidRDefault="00B93F8C" w:rsidP="002C76E7">
            <w:pPr>
              <w:rPr>
                <w:b/>
                <w:bCs/>
                <w:color w:val="000000"/>
                <w:sz w:val="16"/>
                <w:szCs w:val="16"/>
              </w:rPr>
            </w:pPr>
            <w:r w:rsidRPr="00F07060">
              <w:rPr>
                <w:b/>
                <w:bCs/>
                <w:color w:val="000000"/>
                <w:sz w:val="16"/>
                <w:szCs w:val="16"/>
              </w:rPr>
              <w:t>Certainty of evidence of required resources</w:t>
            </w:r>
          </w:p>
        </w:tc>
        <w:tc>
          <w:tcPr>
            <w:tcW w:w="1199"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2BFBF73" w14:textId="77777777" w:rsidR="00B93F8C" w:rsidRPr="00F07060" w:rsidRDefault="00B93F8C" w:rsidP="002C76E7">
            <w:pPr>
              <w:rPr>
                <w:b/>
                <w:bCs/>
                <w:color w:val="000000"/>
                <w:sz w:val="16"/>
                <w:szCs w:val="16"/>
              </w:rPr>
            </w:pPr>
            <w:r w:rsidRPr="00F07060">
              <w:rPr>
                <w:b/>
                <w:bCs/>
                <w:color w:val="000000"/>
                <w:sz w:val="16"/>
                <w:szCs w:val="16"/>
              </w:rPr>
              <w:t>Very low</w:t>
            </w:r>
          </w:p>
        </w:tc>
        <w:tc>
          <w:tcPr>
            <w:tcW w:w="12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1209B9B" w14:textId="77777777" w:rsidR="00B93F8C" w:rsidRPr="00F07060" w:rsidRDefault="00B93F8C" w:rsidP="002C76E7">
            <w:pPr>
              <w:rPr>
                <w:b/>
                <w:bCs/>
                <w:color w:val="000000"/>
                <w:sz w:val="16"/>
                <w:szCs w:val="16"/>
              </w:rPr>
            </w:pPr>
            <w:r w:rsidRPr="00F07060">
              <w:rPr>
                <w:b/>
                <w:bCs/>
                <w:color w:val="000000"/>
                <w:sz w:val="16"/>
                <w:szCs w:val="16"/>
              </w:rPr>
              <w:t>Low</w:t>
            </w:r>
          </w:p>
        </w:tc>
        <w:tc>
          <w:tcPr>
            <w:tcW w:w="1843"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AFE7AAE" w14:textId="77777777" w:rsidR="00B93F8C" w:rsidRPr="00F07060" w:rsidRDefault="00B93F8C" w:rsidP="002C76E7">
            <w:pPr>
              <w:rPr>
                <w:b/>
                <w:bCs/>
                <w:color w:val="000000"/>
                <w:sz w:val="16"/>
                <w:szCs w:val="16"/>
              </w:rPr>
            </w:pPr>
            <w:r w:rsidRPr="00F07060">
              <w:rPr>
                <w:b/>
                <w:bCs/>
                <w:color w:val="000000"/>
                <w:sz w:val="16"/>
                <w:szCs w:val="16"/>
              </w:rPr>
              <w:t>Moderate</w:t>
            </w:r>
          </w:p>
        </w:tc>
        <w:tc>
          <w:tcPr>
            <w:tcW w:w="1559"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FB511F1" w14:textId="77777777" w:rsidR="00B93F8C" w:rsidRPr="00F07060" w:rsidRDefault="00B93F8C" w:rsidP="002C76E7">
            <w:pPr>
              <w:rPr>
                <w:b/>
                <w:bCs/>
                <w:color w:val="000000"/>
                <w:sz w:val="16"/>
                <w:szCs w:val="16"/>
              </w:rPr>
            </w:pPr>
            <w:r w:rsidRPr="00F07060">
              <w:rPr>
                <w:b/>
                <w:bCs/>
                <w:color w:val="000000"/>
                <w:sz w:val="16"/>
                <w:szCs w:val="16"/>
              </w:rPr>
              <w:t>High</w:t>
            </w:r>
          </w:p>
        </w:tc>
        <w:tc>
          <w:tcPr>
            <w:tcW w:w="12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07E3540" w14:textId="77777777" w:rsidR="00B93F8C" w:rsidRPr="00F07060" w:rsidRDefault="00B93F8C" w:rsidP="002C76E7">
            <w:pPr>
              <w:rPr>
                <w:b/>
                <w:bCs/>
                <w:color w:val="000000"/>
                <w:sz w:val="16"/>
                <w:szCs w:val="16"/>
              </w:rPr>
            </w:pPr>
          </w:p>
        </w:tc>
        <w:tc>
          <w:tcPr>
            <w:tcW w:w="1092"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4CDA4E7" w14:textId="77777777" w:rsidR="00B93F8C" w:rsidRPr="00F07060" w:rsidRDefault="00B93F8C" w:rsidP="002C76E7">
            <w:pPr>
              <w:rPr>
                <w:b/>
                <w:bCs/>
                <w:color w:val="000000"/>
                <w:sz w:val="16"/>
                <w:szCs w:val="16"/>
              </w:rPr>
            </w:pPr>
          </w:p>
        </w:tc>
        <w:tc>
          <w:tcPr>
            <w:tcW w:w="1701"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203C04CA" w14:textId="30CE824E" w:rsidR="00B93F8C" w:rsidRPr="00F07060" w:rsidRDefault="00B93F8C" w:rsidP="002C76E7">
            <w:pPr>
              <w:rPr>
                <w:b/>
                <w:bCs/>
                <w:color w:val="000000"/>
                <w:sz w:val="16"/>
                <w:szCs w:val="16"/>
              </w:rPr>
            </w:pPr>
            <w:r w:rsidRPr="00F07060">
              <w:rPr>
                <w:b/>
                <w:bCs/>
                <w:color w:val="000000"/>
                <w:sz w:val="16"/>
                <w:szCs w:val="16"/>
              </w:rPr>
              <w:t xml:space="preserve">No </w:t>
            </w:r>
            <w:r w:rsidR="00D5426A" w:rsidRPr="00F07060">
              <w:rPr>
                <w:b/>
                <w:bCs/>
                <w:color w:val="000000"/>
                <w:sz w:val="16"/>
                <w:szCs w:val="16"/>
              </w:rPr>
              <w:t xml:space="preserve">studies </w:t>
            </w:r>
            <w:r w:rsidRPr="00F07060">
              <w:rPr>
                <w:b/>
                <w:bCs/>
                <w:color w:val="000000"/>
                <w:sz w:val="16"/>
                <w:szCs w:val="16"/>
              </w:rPr>
              <w:t xml:space="preserve">included </w:t>
            </w:r>
          </w:p>
        </w:tc>
      </w:tr>
      <w:tr w:rsidR="00D5426A" w:rsidRPr="00F07060" w14:paraId="4370F0E6" w14:textId="77777777" w:rsidTr="00D5426A">
        <w:trPr>
          <w:trHeight w:val="19"/>
        </w:trPr>
        <w:tc>
          <w:tcPr>
            <w:tcW w:w="1768"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79D18A5C" w14:textId="77777777" w:rsidR="00B93F8C" w:rsidRPr="00F07060" w:rsidRDefault="00B93F8C" w:rsidP="002C76E7">
            <w:pPr>
              <w:rPr>
                <w:b/>
                <w:bCs/>
                <w:color w:val="000000"/>
                <w:sz w:val="16"/>
                <w:szCs w:val="16"/>
              </w:rPr>
            </w:pPr>
            <w:r w:rsidRPr="00F07060">
              <w:rPr>
                <w:b/>
                <w:bCs/>
                <w:color w:val="000000"/>
                <w:sz w:val="16"/>
                <w:szCs w:val="16"/>
              </w:rPr>
              <w:t>Cost effectiveness</w:t>
            </w:r>
          </w:p>
        </w:tc>
        <w:tc>
          <w:tcPr>
            <w:tcW w:w="1199"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6B5E387" w14:textId="77777777" w:rsidR="00B93F8C" w:rsidRPr="00F07060" w:rsidRDefault="00B93F8C" w:rsidP="002C76E7">
            <w:pPr>
              <w:rPr>
                <w:b/>
                <w:bCs/>
                <w:color w:val="000000"/>
                <w:sz w:val="16"/>
                <w:szCs w:val="16"/>
              </w:rPr>
            </w:pPr>
            <w:r w:rsidRPr="00F07060">
              <w:rPr>
                <w:b/>
                <w:bCs/>
                <w:color w:val="000000"/>
                <w:sz w:val="16"/>
                <w:szCs w:val="16"/>
              </w:rPr>
              <w:t>Favors the comparison</w:t>
            </w:r>
          </w:p>
        </w:tc>
        <w:tc>
          <w:tcPr>
            <w:tcW w:w="127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AE6B8D7" w14:textId="77777777" w:rsidR="00B93F8C" w:rsidRPr="00F07060" w:rsidRDefault="00B93F8C" w:rsidP="002C76E7">
            <w:pPr>
              <w:rPr>
                <w:b/>
                <w:bCs/>
                <w:color w:val="000000"/>
                <w:sz w:val="16"/>
                <w:szCs w:val="16"/>
              </w:rPr>
            </w:pPr>
            <w:r w:rsidRPr="00F07060">
              <w:rPr>
                <w:b/>
                <w:bCs/>
                <w:color w:val="000000"/>
                <w:sz w:val="16"/>
                <w:szCs w:val="16"/>
              </w:rPr>
              <w:t>Probably favors the comparison</w:t>
            </w:r>
          </w:p>
        </w:tc>
        <w:tc>
          <w:tcPr>
            <w:tcW w:w="1843"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04DE141" w14:textId="77777777" w:rsidR="00B93F8C" w:rsidRPr="00F07060" w:rsidRDefault="00B93F8C" w:rsidP="002C76E7">
            <w:pPr>
              <w:rPr>
                <w:b/>
                <w:bCs/>
                <w:color w:val="000000"/>
                <w:sz w:val="16"/>
                <w:szCs w:val="16"/>
              </w:rPr>
            </w:pPr>
            <w:r w:rsidRPr="00F07060">
              <w:rPr>
                <w:b/>
                <w:bCs/>
                <w:color w:val="000000"/>
                <w:sz w:val="16"/>
                <w:szCs w:val="16"/>
              </w:rPr>
              <w:t>Does not favor either the intervention or the comparison</w:t>
            </w:r>
          </w:p>
        </w:tc>
        <w:tc>
          <w:tcPr>
            <w:tcW w:w="1559" w:type="dxa"/>
            <w:tcBorders>
              <w:top w:val="single" w:sz="8" w:space="0" w:color="FFFFFF"/>
              <w:left w:val="single" w:sz="8" w:space="0" w:color="FFFFFF"/>
              <w:bottom w:val="single" w:sz="8" w:space="0" w:color="FFFFFF"/>
              <w:right w:val="single" w:sz="8" w:space="0" w:color="FFFFFF"/>
            </w:tcBorders>
            <w:shd w:val="clear" w:color="auto" w:fill="D6DCE5"/>
            <w:tcMar>
              <w:top w:w="74" w:type="dxa"/>
              <w:left w:w="74" w:type="dxa"/>
              <w:bottom w:w="74" w:type="dxa"/>
              <w:right w:w="74" w:type="dxa"/>
            </w:tcMar>
            <w:vAlign w:val="center"/>
            <w:hideMark/>
          </w:tcPr>
          <w:p w14:paraId="06C74997" w14:textId="77777777" w:rsidR="00B93F8C" w:rsidRPr="00F07060" w:rsidRDefault="00B93F8C" w:rsidP="002C76E7">
            <w:pPr>
              <w:rPr>
                <w:b/>
                <w:bCs/>
                <w:color w:val="000000"/>
                <w:sz w:val="16"/>
                <w:szCs w:val="16"/>
              </w:rPr>
            </w:pPr>
            <w:r w:rsidRPr="00F07060">
              <w:rPr>
                <w:b/>
                <w:bCs/>
                <w:color w:val="000000"/>
                <w:sz w:val="16"/>
                <w:szCs w:val="16"/>
              </w:rPr>
              <w:t>Probably favors the intervention</w:t>
            </w:r>
          </w:p>
        </w:tc>
        <w:tc>
          <w:tcPr>
            <w:tcW w:w="127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65EEA91" w14:textId="77777777" w:rsidR="00B93F8C" w:rsidRPr="00F07060" w:rsidRDefault="00B93F8C" w:rsidP="002C76E7">
            <w:pPr>
              <w:rPr>
                <w:b/>
                <w:bCs/>
                <w:color w:val="000000"/>
                <w:sz w:val="16"/>
                <w:szCs w:val="16"/>
              </w:rPr>
            </w:pPr>
            <w:r w:rsidRPr="00F07060">
              <w:rPr>
                <w:b/>
                <w:bCs/>
                <w:color w:val="000000"/>
                <w:sz w:val="16"/>
                <w:szCs w:val="16"/>
              </w:rPr>
              <w:t>Favors the intervention</w:t>
            </w:r>
          </w:p>
        </w:tc>
        <w:tc>
          <w:tcPr>
            <w:tcW w:w="1092"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25985CF" w14:textId="77777777" w:rsidR="00B93F8C" w:rsidRPr="00F07060" w:rsidRDefault="00B93F8C" w:rsidP="002C76E7">
            <w:pPr>
              <w:rPr>
                <w:b/>
                <w:bCs/>
                <w:color w:val="000000"/>
                <w:sz w:val="16"/>
                <w:szCs w:val="16"/>
              </w:rPr>
            </w:pPr>
            <w:r w:rsidRPr="00F07060">
              <w:rPr>
                <w:b/>
                <w:bCs/>
                <w:color w:val="000000"/>
                <w:sz w:val="16"/>
                <w:szCs w:val="16"/>
              </w:rPr>
              <w:t>Varies</w:t>
            </w:r>
          </w:p>
        </w:tc>
        <w:tc>
          <w:tcPr>
            <w:tcW w:w="1701"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5F6F1477" w14:textId="2CA9493B" w:rsidR="00B93F8C" w:rsidRPr="00F07060" w:rsidRDefault="00B93F8C" w:rsidP="002C76E7">
            <w:pPr>
              <w:rPr>
                <w:b/>
                <w:bCs/>
                <w:color w:val="000000"/>
                <w:sz w:val="16"/>
                <w:szCs w:val="16"/>
              </w:rPr>
            </w:pPr>
            <w:r w:rsidRPr="00F07060">
              <w:rPr>
                <w:b/>
                <w:bCs/>
                <w:color w:val="000000"/>
                <w:sz w:val="16"/>
                <w:szCs w:val="16"/>
              </w:rPr>
              <w:t xml:space="preserve">No </w:t>
            </w:r>
            <w:r w:rsidR="00D5426A" w:rsidRPr="00F07060">
              <w:rPr>
                <w:b/>
                <w:bCs/>
                <w:color w:val="000000"/>
                <w:sz w:val="16"/>
                <w:szCs w:val="16"/>
              </w:rPr>
              <w:t xml:space="preserve">studies </w:t>
            </w:r>
            <w:r w:rsidRPr="00F07060">
              <w:rPr>
                <w:b/>
                <w:bCs/>
                <w:color w:val="000000"/>
                <w:sz w:val="16"/>
                <w:szCs w:val="16"/>
              </w:rPr>
              <w:t xml:space="preserve">included </w:t>
            </w:r>
          </w:p>
        </w:tc>
      </w:tr>
      <w:tr w:rsidR="00D5426A" w:rsidRPr="00F07060" w14:paraId="6143DAE1" w14:textId="77777777" w:rsidTr="00D5426A">
        <w:trPr>
          <w:trHeight w:val="441"/>
        </w:trPr>
        <w:tc>
          <w:tcPr>
            <w:tcW w:w="1768"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5ED66EF6" w14:textId="77777777" w:rsidR="00B93F8C" w:rsidRPr="00F07060" w:rsidRDefault="00B93F8C" w:rsidP="002C76E7">
            <w:pPr>
              <w:rPr>
                <w:b/>
                <w:bCs/>
                <w:color w:val="000000"/>
                <w:sz w:val="16"/>
                <w:szCs w:val="16"/>
              </w:rPr>
            </w:pPr>
            <w:r w:rsidRPr="00F07060">
              <w:rPr>
                <w:b/>
                <w:bCs/>
                <w:color w:val="000000"/>
                <w:sz w:val="16"/>
                <w:szCs w:val="16"/>
              </w:rPr>
              <w:t>Equity</w:t>
            </w:r>
          </w:p>
        </w:tc>
        <w:tc>
          <w:tcPr>
            <w:tcW w:w="1199"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36BB12D" w14:textId="77777777" w:rsidR="00B93F8C" w:rsidRPr="00F07060" w:rsidRDefault="00B93F8C" w:rsidP="002C76E7">
            <w:pPr>
              <w:rPr>
                <w:b/>
                <w:bCs/>
                <w:color w:val="000000"/>
                <w:sz w:val="16"/>
                <w:szCs w:val="16"/>
              </w:rPr>
            </w:pPr>
            <w:r w:rsidRPr="00F07060">
              <w:rPr>
                <w:b/>
                <w:bCs/>
                <w:color w:val="000000"/>
                <w:sz w:val="16"/>
                <w:szCs w:val="16"/>
              </w:rPr>
              <w:t>Reduced</w:t>
            </w:r>
          </w:p>
        </w:tc>
        <w:tc>
          <w:tcPr>
            <w:tcW w:w="12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578F513" w14:textId="77777777" w:rsidR="00B93F8C" w:rsidRPr="00F07060" w:rsidRDefault="00B93F8C" w:rsidP="002C76E7">
            <w:pPr>
              <w:rPr>
                <w:b/>
                <w:bCs/>
                <w:color w:val="000000"/>
                <w:sz w:val="16"/>
                <w:szCs w:val="16"/>
              </w:rPr>
            </w:pPr>
            <w:r w:rsidRPr="00F07060">
              <w:rPr>
                <w:b/>
                <w:bCs/>
                <w:color w:val="000000"/>
                <w:sz w:val="16"/>
                <w:szCs w:val="16"/>
              </w:rPr>
              <w:t>Probably reduced</w:t>
            </w:r>
          </w:p>
        </w:tc>
        <w:tc>
          <w:tcPr>
            <w:tcW w:w="1843"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C5E98B0" w14:textId="77777777" w:rsidR="00B93F8C" w:rsidRPr="00F07060" w:rsidRDefault="00B93F8C" w:rsidP="002C76E7">
            <w:pPr>
              <w:rPr>
                <w:b/>
                <w:bCs/>
                <w:color w:val="000000"/>
                <w:sz w:val="16"/>
                <w:szCs w:val="16"/>
              </w:rPr>
            </w:pPr>
            <w:r w:rsidRPr="00F07060">
              <w:rPr>
                <w:b/>
                <w:bCs/>
                <w:color w:val="000000"/>
                <w:sz w:val="16"/>
                <w:szCs w:val="16"/>
              </w:rPr>
              <w:t>Probably no impact</w:t>
            </w:r>
          </w:p>
        </w:tc>
        <w:tc>
          <w:tcPr>
            <w:tcW w:w="1559"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414A062" w14:textId="77777777" w:rsidR="00B93F8C" w:rsidRPr="00F07060" w:rsidRDefault="00B93F8C" w:rsidP="002C76E7">
            <w:pPr>
              <w:rPr>
                <w:b/>
                <w:bCs/>
                <w:color w:val="000000"/>
                <w:sz w:val="16"/>
                <w:szCs w:val="16"/>
              </w:rPr>
            </w:pPr>
            <w:r w:rsidRPr="00F07060">
              <w:rPr>
                <w:b/>
                <w:bCs/>
                <w:color w:val="000000"/>
                <w:sz w:val="16"/>
                <w:szCs w:val="16"/>
              </w:rPr>
              <w:t>Probably increased</w:t>
            </w:r>
          </w:p>
        </w:tc>
        <w:tc>
          <w:tcPr>
            <w:tcW w:w="12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659A09A" w14:textId="77777777" w:rsidR="00B93F8C" w:rsidRPr="00F07060" w:rsidRDefault="00B93F8C" w:rsidP="002C76E7">
            <w:pPr>
              <w:rPr>
                <w:b/>
                <w:bCs/>
                <w:color w:val="000000"/>
                <w:sz w:val="16"/>
                <w:szCs w:val="16"/>
              </w:rPr>
            </w:pPr>
            <w:r w:rsidRPr="00F07060">
              <w:rPr>
                <w:b/>
                <w:bCs/>
                <w:color w:val="000000"/>
                <w:sz w:val="16"/>
                <w:szCs w:val="16"/>
              </w:rPr>
              <w:t>Increased</w:t>
            </w:r>
          </w:p>
        </w:tc>
        <w:tc>
          <w:tcPr>
            <w:tcW w:w="1092"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772F4FC" w14:textId="77777777" w:rsidR="00B93F8C" w:rsidRPr="00F07060" w:rsidRDefault="00B93F8C" w:rsidP="002C76E7">
            <w:pPr>
              <w:rPr>
                <w:b/>
                <w:bCs/>
                <w:color w:val="000000"/>
                <w:sz w:val="16"/>
                <w:szCs w:val="16"/>
              </w:rPr>
            </w:pPr>
            <w:r w:rsidRPr="00F07060">
              <w:rPr>
                <w:b/>
                <w:bCs/>
                <w:color w:val="000000"/>
                <w:sz w:val="16"/>
                <w:szCs w:val="16"/>
              </w:rPr>
              <w:t>Varies</w:t>
            </w:r>
          </w:p>
        </w:tc>
        <w:tc>
          <w:tcPr>
            <w:tcW w:w="1701"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002D3481" w14:textId="77777777" w:rsidR="00B93F8C" w:rsidRPr="00F07060" w:rsidRDefault="00B93F8C" w:rsidP="002C76E7">
            <w:pPr>
              <w:rPr>
                <w:b/>
                <w:bCs/>
                <w:color w:val="000000"/>
                <w:sz w:val="16"/>
                <w:szCs w:val="16"/>
              </w:rPr>
            </w:pPr>
            <w:r w:rsidRPr="00F07060">
              <w:rPr>
                <w:b/>
                <w:bCs/>
                <w:color w:val="000000"/>
                <w:sz w:val="16"/>
                <w:szCs w:val="16"/>
              </w:rPr>
              <w:t>Don't know</w:t>
            </w:r>
          </w:p>
        </w:tc>
      </w:tr>
      <w:tr w:rsidR="00D5426A" w:rsidRPr="00F07060" w14:paraId="3D5DB08F" w14:textId="77777777" w:rsidTr="00D5426A">
        <w:trPr>
          <w:trHeight w:val="19"/>
        </w:trPr>
        <w:tc>
          <w:tcPr>
            <w:tcW w:w="1768"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0330D56A" w14:textId="77777777" w:rsidR="00B93F8C" w:rsidRPr="00F07060" w:rsidRDefault="00B93F8C" w:rsidP="002C76E7">
            <w:pPr>
              <w:rPr>
                <w:b/>
                <w:bCs/>
                <w:color w:val="000000"/>
                <w:sz w:val="16"/>
                <w:szCs w:val="16"/>
              </w:rPr>
            </w:pPr>
            <w:r w:rsidRPr="00F07060">
              <w:rPr>
                <w:b/>
                <w:bCs/>
                <w:color w:val="000000"/>
                <w:sz w:val="16"/>
                <w:szCs w:val="16"/>
              </w:rPr>
              <w:t>Acceptability</w:t>
            </w:r>
          </w:p>
        </w:tc>
        <w:tc>
          <w:tcPr>
            <w:tcW w:w="1199"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378060C" w14:textId="77777777" w:rsidR="00B93F8C" w:rsidRPr="00F07060" w:rsidRDefault="00B93F8C" w:rsidP="002C76E7">
            <w:pPr>
              <w:rPr>
                <w:b/>
                <w:bCs/>
                <w:color w:val="000000"/>
                <w:sz w:val="16"/>
                <w:szCs w:val="16"/>
              </w:rPr>
            </w:pPr>
            <w:r w:rsidRPr="00F07060">
              <w:rPr>
                <w:b/>
                <w:bCs/>
                <w:color w:val="000000"/>
                <w:sz w:val="16"/>
                <w:szCs w:val="16"/>
              </w:rPr>
              <w:t>No</w:t>
            </w:r>
          </w:p>
        </w:tc>
        <w:tc>
          <w:tcPr>
            <w:tcW w:w="127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E8CB93A" w14:textId="77777777" w:rsidR="00B93F8C" w:rsidRPr="00F07060" w:rsidRDefault="00B93F8C" w:rsidP="002C76E7">
            <w:pPr>
              <w:rPr>
                <w:b/>
                <w:bCs/>
                <w:color w:val="000000"/>
                <w:sz w:val="16"/>
                <w:szCs w:val="16"/>
              </w:rPr>
            </w:pPr>
            <w:r w:rsidRPr="00F07060">
              <w:rPr>
                <w:b/>
                <w:bCs/>
                <w:color w:val="000000"/>
                <w:sz w:val="16"/>
                <w:szCs w:val="16"/>
              </w:rPr>
              <w:t>Probably no</w:t>
            </w:r>
          </w:p>
        </w:tc>
        <w:tc>
          <w:tcPr>
            <w:tcW w:w="1843"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67AABFBF" w14:textId="77777777" w:rsidR="00B93F8C" w:rsidRPr="00F07060" w:rsidRDefault="00B93F8C" w:rsidP="002C76E7">
            <w:pPr>
              <w:rPr>
                <w:b/>
                <w:bCs/>
                <w:color w:val="000000"/>
                <w:sz w:val="16"/>
                <w:szCs w:val="16"/>
              </w:rPr>
            </w:pPr>
            <w:r w:rsidRPr="00F07060">
              <w:rPr>
                <w:b/>
                <w:bCs/>
                <w:color w:val="000000"/>
                <w:sz w:val="16"/>
                <w:szCs w:val="16"/>
              </w:rPr>
              <w:t>Probably yes</w:t>
            </w:r>
          </w:p>
        </w:tc>
        <w:tc>
          <w:tcPr>
            <w:tcW w:w="1559"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C8B039A" w14:textId="77777777" w:rsidR="00B93F8C" w:rsidRPr="00F07060" w:rsidRDefault="00B93F8C" w:rsidP="002C76E7">
            <w:pPr>
              <w:rPr>
                <w:b/>
                <w:bCs/>
                <w:color w:val="000000"/>
                <w:sz w:val="16"/>
                <w:szCs w:val="16"/>
              </w:rPr>
            </w:pPr>
            <w:r w:rsidRPr="00F07060">
              <w:rPr>
                <w:b/>
                <w:bCs/>
                <w:color w:val="000000"/>
                <w:sz w:val="16"/>
                <w:szCs w:val="16"/>
              </w:rPr>
              <w:t>Yes</w:t>
            </w:r>
          </w:p>
        </w:tc>
        <w:tc>
          <w:tcPr>
            <w:tcW w:w="127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C15FAD2" w14:textId="77777777" w:rsidR="00B93F8C" w:rsidRPr="00F07060" w:rsidRDefault="00B93F8C" w:rsidP="002C76E7">
            <w:pPr>
              <w:rPr>
                <w:b/>
                <w:bCs/>
                <w:color w:val="000000"/>
                <w:sz w:val="16"/>
                <w:szCs w:val="16"/>
              </w:rPr>
            </w:pPr>
          </w:p>
        </w:tc>
        <w:tc>
          <w:tcPr>
            <w:tcW w:w="1092"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24415E5" w14:textId="77777777" w:rsidR="00B93F8C" w:rsidRPr="00F07060" w:rsidRDefault="00B93F8C" w:rsidP="002C76E7">
            <w:pPr>
              <w:rPr>
                <w:b/>
                <w:bCs/>
                <w:color w:val="000000"/>
                <w:sz w:val="16"/>
                <w:szCs w:val="16"/>
              </w:rPr>
            </w:pPr>
            <w:r w:rsidRPr="00F07060">
              <w:rPr>
                <w:b/>
                <w:bCs/>
                <w:color w:val="000000"/>
                <w:sz w:val="16"/>
                <w:szCs w:val="16"/>
              </w:rPr>
              <w:t>Varies</w:t>
            </w: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908B03B" w14:textId="77777777" w:rsidR="00B93F8C" w:rsidRPr="00F07060" w:rsidRDefault="00B93F8C" w:rsidP="002C76E7">
            <w:pPr>
              <w:rPr>
                <w:b/>
                <w:bCs/>
                <w:color w:val="000000"/>
                <w:sz w:val="16"/>
                <w:szCs w:val="16"/>
              </w:rPr>
            </w:pPr>
            <w:r w:rsidRPr="00F07060">
              <w:rPr>
                <w:b/>
                <w:bCs/>
                <w:color w:val="000000"/>
                <w:sz w:val="16"/>
                <w:szCs w:val="16"/>
              </w:rPr>
              <w:t>Don't know</w:t>
            </w:r>
          </w:p>
        </w:tc>
      </w:tr>
      <w:tr w:rsidR="00D5426A" w:rsidRPr="00F07060" w14:paraId="484094EA" w14:textId="77777777" w:rsidTr="00D5426A">
        <w:trPr>
          <w:trHeight w:val="19"/>
        </w:trPr>
        <w:tc>
          <w:tcPr>
            <w:tcW w:w="1768"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4E4B31B8" w14:textId="77777777" w:rsidR="00B93F8C" w:rsidRPr="00F07060" w:rsidRDefault="00B93F8C" w:rsidP="002C76E7">
            <w:pPr>
              <w:rPr>
                <w:b/>
                <w:bCs/>
                <w:color w:val="000000"/>
                <w:sz w:val="16"/>
                <w:szCs w:val="16"/>
              </w:rPr>
            </w:pPr>
            <w:r w:rsidRPr="00F07060">
              <w:rPr>
                <w:b/>
                <w:bCs/>
                <w:color w:val="000000"/>
                <w:sz w:val="16"/>
                <w:szCs w:val="16"/>
              </w:rPr>
              <w:t>Feasibility</w:t>
            </w:r>
          </w:p>
        </w:tc>
        <w:tc>
          <w:tcPr>
            <w:tcW w:w="1199"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5BF3C88" w14:textId="77777777" w:rsidR="00B93F8C" w:rsidRPr="00F07060" w:rsidRDefault="00B93F8C" w:rsidP="002C76E7">
            <w:pPr>
              <w:rPr>
                <w:b/>
                <w:bCs/>
                <w:color w:val="000000"/>
                <w:sz w:val="16"/>
                <w:szCs w:val="16"/>
              </w:rPr>
            </w:pPr>
            <w:r w:rsidRPr="00F07060">
              <w:rPr>
                <w:b/>
                <w:bCs/>
                <w:color w:val="000000"/>
                <w:sz w:val="16"/>
                <w:szCs w:val="16"/>
              </w:rPr>
              <w:t>No</w:t>
            </w:r>
          </w:p>
        </w:tc>
        <w:tc>
          <w:tcPr>
            <w:tcW w:w="12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481FB56" w14:textId="77777777" w:rsidR="00B93F8C" w:rsidRPr="00F07060" w:rsidRDefault="00B93F8C" w:rsidP="002C76E7">
            <w:pPr>
              <w:rPr>
                <w:b/>
                <w:bCs/>
                <w:color w:val="000000"/>
                <w:sz w:val="16"/>
                <w:szCs w:val="16"/>
              </w:rPr>
            </w:pPr>
            <w:r w:rsidRPr="00F07060">
              <w:rPr>
                <w:b/>
                <w:bCs/>
                <w:color w:val="000000"/>
                <w:sz w:val="16"/>
                <w:szCs w:val="16"/>
              </w:rPr>
              <w:t>Probably no</w:t>
            </w:r>
          </w:p>
        </w:tc>
        <w:tc>
          <w:tcPr>
            <w:tcW w:w="1843"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0993C220" w14:textId="77777777" w:rsidR="00B93F8C" w:rsidRPr="00F07060" w:rsidRDefault="00B93F8C" w:rsidP="002C76E7">
            <w:pPr>
              <w:rPr>
                <w:b/>
                <w:bCs/>
                <w:color w:val="000000"/>
                <w:sz w:val="16"/>
                <w:szCs w:val="16"/>
              </w:rPr>
            </w:pPr>
            <w:r w:rsidRPr="00F07060">
              <w:rPr>
                <w:b/>
                <w:bCs/>
                <w:color w:val="000000"/>
                <w:sz w:val="16"/>
                <w:szCs w:val="16"/>
              </w:rPr>
              <w:t>Probably yes</w:t>
            </w:r>
          </w:p>
        </w:tc>
        <w:tc>
          <w:tcPr>
            <w:tcW w:w="1559"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48AFBBA" w14:textId="77777777" w:rsidR="00B93F8C" w:rsidRPr="00F07060" w:rsidRDefault="00B93F8C" w:rsidP="002C76E7">
            <w:pPr>
              <w:rPr>
                <w:b/>
                <w:bCs/>
                <w:color w:val="000000"/>
                <w:sz w:val="16"/>
                <w:szCs w:val="16"/>
              </w:rPr>
            </w:pPr>
            <w:r w:rsidRPr="00F07060">
              <w:rPr>
                <w:b/>
                <w:bCs/>
                <w:color w:val="000000"/>
                <w:sz w:val="16"/>
                <w:szCs w:val="16"/>
              </w:rPr>
              <w:t>Yes</w:t>
            </w:r>
          </w:p>
        </w:tc>
        <w:tc>
          <w:tcPr>
            <w:tcW w:w="12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2E7C797" w14:textId="77777777" w:rsidR="00B93F8C" w:rsidRPr="00F07060" w:rsidRDefault="00B93F8C" w:rsidP="002C76E7">
            <w:pPr>
              <w:rPr>
                <w:b/>
                <w:bCs/>
                <w:color w:val="000000"/>
                <w:sz w:val="16"/>
                <w:szCs w:val="16"/>
              </w:rPr>
            </w:pPr>
          </w:p>
        </w:tc>
        <w:tc>
          <w:tcPr>
            <w:tcW w:w="1092"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0E0CE75" w14:textId="77777777" w:rsidR="00B93F8C" w:rsidRPr="00F07060" w:rsidRDefault="00B93F8C" w:rsidP="002C76E7">
            <w:pPr>
              <w:rPr>
                <w:b/>
                <w:bCs/>
                <w:color w:val="000000"/>
                <w:sz w:val="16"/>
                <w:szCs w:val="16"/>
              </w:rPr>
            </w:pPr>
            <w:r w:rsidRPr="00F07060">
              <w:rPr>
                <w:b/>
                <w:bCs/>
                <w:color w:val="000000"/>
                <w:sz w:val="16"/>
                <w:szCs w:val="16"/>
              </w:rPr>
              <w:t>Varies</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B5D6034" w14:textId="77777777" w:rsidR="00B93F8C" w:rsidRPr="00F07060" w:rsidRDefault="00B93F8C" w:rsidP="002C76E7">
            <w:pPr>
              <w:rPr>
                <w:b/>
                <w:bCs/>
                <w:color w:val="000000"/>
                <w:sz w:val="16"/>
                <w:szCs w:val="16"/>
              </w:rPr>
            </w:pPr>
            <w:r w:rsidRPr="00F07060">
              <w:rPr>
                <w:b/>
                <w:bCs/>
                <w:color w:val="000000"/>
                <w:sz w:val="16"/>
                <w:szCs w:val="16"/>
              </w:rPr>
              <w:t>Don't know</w:t>
            </w:r>
          </w:p>
        </w:tc>
      </w:tr>
    </w:tbl>
    <w:p w14:paraId="709DAFBE" w14:textId="77777777" w:rsidR="00B93F8C" w:rsidRPr="00B93F8C" w:rsidRDefault="00B93F8C" w:rsidP="00B93F8C">
      <w:pPr>
        <w:pStyle w:val="ListParagraph"/>
        <w:rPr>
          <w:b/>
          <w:bCs/>
          <w:color w:val="000000"/>
          <w:sz w:val="20"/>
          <w:szCs w:val="20"/>
          <w:lang w:val="en"/>
        </w:rPr>
      </w:pPr>
    </w:p>
    <w:p w14:paraId="07ED0118" w14:textId="7EE06DFF" w:rsidR="00B93F8C" w:rsidRPr="00BC0EB8" w:rsidRDefault="00B93F8C" w:rsidP="00BC0EB8">
      <w:pPr>
        <w:rPr>
          <w:b/>
          <w:sz w:val="20"/>
          <w:szCs w:val="20"/>
        </w:rPr>
      </w:pPr>
      <w:r w:rsidRPr="00B93F8C">
        <w:rPr>
          <w:b/>
          <w:bCs/>
          <w:color w:val="000000"/>
          <w:sz w:val="20"/>
          <w:szCs w:val="20"/>
          <w:lang w:val="en"/>
        </w:rPr>
        <w:t>Table S</w:t>
      </w:r>
      <w:r w:rsidR="00D5426A">
        <w:rPr>
          <w:b/>
          <w:bCs/>
          <w:color w:val="000000"/>
          <w:sz w:val="20"/>
          <w:szCs w:val="20"/>
          <w:lang w:val="en"/>
        </w:rPr>
        <w:t>29</w:t>
      </w:r>
      <w:r w:rsidRPr="00B93F8C">
        <w:rPr>
          <w:b/>
          <w:bCs/>
          <w:color w:val="000000"/>
          <w:sz w:val="20"/>
          <w:szCs w:val="20"/>
          <w:lang w:val="en"/>
        </w:rPr>
        <w:t xml:space="preserve"> </w:t>
      </w:r>
      <w:r w:rsidRPr="00D5426A">
        <w:rPr>
          <w:b/>
          <w:sz w:val="20"/>
          <w:szCs w:val="20"/>
        </w:rPr>
        <w:t xml:space="preserve">Evidence to decision table supporting recommendations for dupilumab for severe </w:t>
      </w:r>
      <w:r w:rsidR="0000755C">
        <w:rPr>
          <w:b/>
          <w:sz w:val="20"/>
          <w:szCs w:val="20"/>
        </w:rPr>
        <w:t xml:space="preserve">T2 </w:t>
      </w:r>
      <w:r w:rsidRPr="00D5426A">
        <w:rPr>
          <w:b/>
          <w:sz w:val="20"/>
          <w:szCs w:val="20"/>
        </w:rPr>
        <w:t xml:space="preserve">asthma (asthma control, </w:t>
      </w:r>
      <w:proofErr w:type="gramStart"/>
      <w:r w:rsidRPr="00D5426A">
        <w:rPr>
          <w:b/>
          <w:sz w:val="20"/>
          <w:szCs w:val="20"/>
        </w:rPr>
        <w:t>QoL,rescue</w:t>
      </w:r>
      <w:proofErr w:type="gramEnd"/>
      <w:r w:rsidRPr="00D5426A">
        <w:rPr>
          <w:b/>
          <w:sz w:val="20"/>
          <w:szCs w:val="20"/>
        </w:rPr>
        <w:t xml:space="preserve"> medication reduction)</w:t>
      </w:r>
    </w:p>
    <w:tbl>
      <w:tblPr>
        <w:tblW w:w="0" w:type="auto"/>
        <w:tblCellMar>
          <w:left w:w="0" w:type="dxa"/>
          <w:right w:w="0" w:type="dxa"/>
        </w:tblCellMar>
        <w:tblLook w:val="04A0" w:firstRow="1" w:lastRow="0" w:firstColumn="1" w:lastColumn="0" w:noHBand="0" w:noVBand="1"/>
      </w:tblPr>
      <w:tblGrid>
        <w:gridCol w:w="2684"/>
        <w:gridCol w:w="1134"/>
        <w:gridCol w:w="1448"/>
        <w:gridCol w:w="1701"/>
        <w:gridCol w:w="1387"/>
        <w:gridCol w:w="984"/>
        <w:gridCol w:w="1498"/>
        <w:gridCol w:w="1590"/>
      </w:tblGrid>
      <w:tr w:rsidR="00B93F8C" w:rsidRPr="00F07060" w14:paraId="35E65D13" w14:textId="77777777" w:rsidTr="00D5426A">
        <w:trPr>
          <w:trHeight w:val="49"/>
        </w:trPr>
        <w:tc>
          <w:tcPr>
            <w:tcW w:w="2684" w:type="dxa"/>
            <w:tcBorders>
              <w:top w:val="single" w:sz="8" w:space="0" w:color="FFFFFF"/>
              <w:left w:val="single" w:sz="8" w:space="0" w:color="FFFFFF"/>
              <w:bottom w:val="single" w:sz="24" w:space="0" w:color="FFFFFF"/>
              <w:right w:val="single" w:sz="8" w:space="0" w:color="FFFFFF"/>
            </w:tcBorders>
            <w:shd w:val="clear" w:color="auto" w:fill="5B9BD5"/>
            <w:tcMar>
              <w:top w:w="74" w:type="dxa"/>
              <w:left w:w="74" w:type="dxa"/>
              <w:bottom w:w="74" w:type="dxa"/>
              <w:right w:w="74" w:type="dxa"/>
            </w:tcMar>
            <w:vAlign w:val="center"/>
            <w:hideMark/>
          </w:tcPr>
          <w:p w14:paraId="2A4FB017" w14:textId="77777777" w:rsidR="00B93F8C" w:rsidRPr="00F07060" w:rsidRDefault="00B93F8C" w:rsidP="002C76E7">
            <w:pPr>
              <w:rPr>
                <w:b/>
                <w:bCs/>
                <w:color w:val="000000"/>
                <w:sz w:val="16"/>
                <w:szCs w:val="16"/>
              </w:rPr>
            </w:pPr>
          </w:p>
        </w:tc>
        <w:tc>
          <w:tcPr>
            <w:tcW w:w="9742" w:type="dxa"/>
            <w:gridSpan w:val="7"/>
            <w:tcBorders>
              <w:top w:val="single" w:sz="8" w:space="0" w:color="FFFFFF"/>
              <w:left w:val="single" w:sz="8" w:space="0" w:color="FFFFFF"/>
              <w:bottom w:val="single" w:sz="24" w:space="0" w:color="FFFFFF"/>
              <w:right w:val="single" w:sz="8" w:space="0" w:color="FFFFFF"/>
            </w:tcBorders>
            <w:shd w:val="clear" w:color="auto" w:fill="5B9BD5"/>
            <w:tcMar>
              <w:top w:w="74" w:type="dxa"/>
              <w:left w:w="74" w:type="dxa"/>
              <w:bottom w:w="74" w:type="dxa"/>
              <w:right w:w="74" w:type="dxa"/>
            </w:tcMar>
            <w:vAlign w:val="center"/>
            <w:hideMark/>
          </w:tcPr>
          <w:p w14:paraId="4E2328F0" w14:textId="77777777" w:rsidR="00B93F8C" w:rsidRPr="00F07060" w:rsidRDefault="00B93F8C" w:rsidP="002C76E7">
            <w:pPr>
              <w:rPr>
                <w:b/>
                <w:bCs/>
                <w:color w:val="000000"/>
                <w:sz w:val="16"/>
                <w:szCs w:val="16"/>
              </w:rPr>
            </w:pPr>
            <w:r w:rsidRPr="00F07060">
              <w:rPr>
                <w:b/>
                <w:bCs/>
                <w:color w:val="000000"/>
                <w:sz w:val="16"/>
                <w:szCs w:val="16"/>
              </w:rPr>
              <w:t>Judgement</w:t>
            </w:r>
          </w:p>
        </w:tc>
      </w:tr>
      <w:tr w:rsidR="00B93F8C" w:rsidRPr="00F07060" w14:paraId="410033D2" w14:textId="77777777" w:rsidTr="00D5426A">
        <w:trPr>
          <w:trHeight w:val="241"/>
        </w:trPr>
        <w:tc>
          <w:tcPr>
            <w:tcW w:w="2684" w:type="dxa"/>
            <w:tcBorders>
              <w:top w:val="single" w:sz="24"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618D6C3B" w14:textId="77777777" w:rsidR="00B93F8C" w:rsidRPr="00F07060" w:rsidRDefault="00B93F8C" w:rsidP="002C76E7">
            <w:pPr>
              <w:rPr>
                <w:b/>
                <w:bCs/>
                <w:color w:val="000000"/>
                <w:sz w:val="16"/>
                <w:szCs w:val="16"/>
              </w:rPr>
            </w:pPr>
            <w:r w:rsidRPr="00F07060">
              <w:rPr>
                <w:b/>
                <w:bCs/>
                <w:color w:val="000000"/>
                <w:sz w:val="16"/>
                <w:szCs w:val="16"/>
              </w:rPr>
              <w:t>Problem (importance)</w:t>
            </w:r>
          </w:p>
        </w:tc>
        <w:tc>
          <w:tcPr>
            <w:tcW w:w="1134"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97DF478" w14:textId="77777777" w:rsidR="00B93F8C" w:rsidRPr="00F07060" w:rsidRDefault="00B93F8C" w:rsidP="002C76E7">
            <w:pPr>
              <w:rPr>
                <w:b/>
                <w:bCs/>
                <w:color w:val="000000"/>
                <w:sz w:val="16"/>
                <w:szCs w:val="16"/>
              </w:rPr>
            </w:pPr>
            <w:r w:rsidRPr="00F07060">
              <w:rPr>
                <w:b/>
                <w:bCs/>
                <w:color w:val="000000"/>
                <w:sz w:val="16"/>
                <w:szCs w:val="16"/>
              </w:rPr>
              <w:t>No</w:t>
            </w:r>
          </w:p>
        </w:tc>
        <w:tc>
          <w:tcPr>
            <w:tcW w:w="1448"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0185BB0" w14:textId="77777777" w:rsidR="00B93F8C" w:rsidRPr="00F07060" w:rsidRDefault="00B93F8C" w:rsidP="002C76E7">
            <w:pPr>
              <w:rPr>
                <w:b/>
                <w:bCs/>
                <w:color w:val="000000"/>
                <w:sz w:val="16"/>
                <w:szCs w:val="16"/>
              </w:rPr>
            </w:pPr>
            <w:r w:rsidRPr="00F07060">
              <w:rPr>
                <w:b/>
                <w:bCs/>
                <w:color w:val="000000"/>
                <w:sz w:val="16"/>
                <w:szCs w:val="16"/>
              </w:rPr>
              <w:t>Probably no</w:t>
            </w:r>
          </w:p>
        </w:tc>
        <w:tc>
          <w:tcPr>
            <w:tcW w:w="1701"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1823C58" w14:textId="77777777" w:rsidR="00B93F8C" w:rsidRPr="00F07060" w:rsidRDefault="00B93F8C" w:rsidP="002C76E7">
            <w:pPr>
              <w:rPr>
                <w:b/>
                <w:bCs/>
                <w:color w:val="000000"/>
                <w:sz w:val="16"/>
                <w:szCs w:val="16"/>
              </w:rPr>
            </w:pPr>
            <w:r w:rsidRPr="00F07060">
              <w:rPr>
                <w:b/>
                <w:bCs/>
                <w:color w:val="000000"/>
                <w:sz w:val="16"/>
                <w:szCs w:val="16"/>
              </w:rPr>
              <w:t>Probably yes</w:t>
            </w:r>
          </w:p>
        </w:tc>
        <w:tc>
          <w:tcPr>
            <w:tcW w:w="1387" w:type="dxa"/>
            <w:tcBorders>
              <w:top w:val="single" w:sz="24"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7C51A16E" w14:textId="77777777" w:rsidR="00B93F8C" w:rsidRPr="00F07060" w:rsidRDefault="00B93F8C" w:rsidP="002C76E7">
            <w:pPr>
              <w:rPr>
                <w:b/>
                <w:bCs/>
                <w:color w:val="000000"/>
                <w:sz w:val="16"/>
                <w:szCs w:val="16"/>
              </w:rPr>
            </w:pPr>
            <w:r w:rsidRPr="00F07060">
              <w:rPr>
                <w:b/>
                <w:bCs/>
                <w:color w:val="000000"/>
                <w:sz w:val="16"/>
                <w:szCs w:val="16"/>
              </w:rPr>
              <w:t>Yes</w:t>
            </w:r>
          </w:p>
        </w:tc>
        <w:tc>
          <w:tcPr>
            <w:tcW w:w="984"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2AAF245" w14:textId="77777777" w:rsidR="00B93F8C" w:rsidRPr="00F07060" w:rsidRDefault="00B93F8C" w:rsidP="002C76E7">
            <w:pPr>
              <w:rPr>
                <w:b/>
                <w:bCs/>
                <w:color w:val="000000"/>
                <w:sz w:val="16"/>
                <w:szCs w:val="16"/>
              </w:rPr>
            </w:pPr>
          </w:p>
        </w:tc>
        <w:tc>
          <w:tcPr>
            <w:tcW w:w="1498"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31D2971" w14:textId="77777777" w:rsidR="00B93F8C" w:rsidRPr="00F07060" w:rsidRDefault="00B93F8C" w:rsidP="002C76E7">
            <w:pPr>
              <w:rPr>
                <w:b/>
                <w:bCs/>
                <w:color w:val="000000"/>
                <w:sz w:val="16"/>
                <w:szCs w:val="16"/>
              </w:rPr>
            </w:pPr>
            <w:r w:rsidRPr="00F07060">
              <w:rPr>
                <w:b/>
                <w:bCs/>
                <w:color w:val="000000"/>
                <w:sz w:val="16"/>
                <w:szCs w:val="16"/>
              </w:rPr>
              <w:t>Varies</w:t>
            </w:r>
          </w:p>
        </w:tc>
        <w:tc>
          <w:tcPr>
            <w:tcW w:w="1590"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0CBAEDE" w14:textId="77777777" w:rsidR="00B93F8C" w:rsidRPr="00F07060" w:rsidRDefault="00B93F8C" w:rsidP="002C76E7">
            <w:pPr>
              <w:rPr>
                <w:b/>
                <w:bCs/>
                <w:color w:val="000000"/>
                <w:sz w:val="16"/>
                <w:szCs w:val="16"/>
              </w:rPr>
            </w:pPr>
            <w:r w:rsidRPr="00F07060">
              <w:rPr>
                <w:b/>
                <w:bCs/>
                <w:color w:val="000000"/>
                <w:sz w:val="16"/>
                <w:szCs w:val="16"/>
              </w:rPr>
              <w:t>Don't know</w:t>
            </w:r>
          </w:p>
        </w:tc>
      </w:tr>
      <w:tr w:rsidR="00B93F8C" w:rsidRPr="00F07060" w14:paraId="5F388E6E" w14:textId="77777777" w:rsidTr="00D5426A">
        <w:trPr>
          <w:trHeight w:val="19"/>
        </w:trPr>
        <w:tc>
          <w:tcPr>
            <w:tcW w:w="2684"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3FD0C978" w14:textId="77777777" w:rsidR="00B93F8C" w:rsidRPr="00F07060" w:rsidRDefault="00B93F8C" w:rsidP="002C76E7">
            <w:pPr>
              <w:rPr>
                <w:b/>
                <w:bCs/>
                <w:color w:val="000000"/>
                <w:sz w:val="16"/>
                <w:szCs w:val="16"/>
              </w:rPr>
            </w:pPr>
            <w:r w:rsidRPr="00F07060">
              <w:rPr>
                <w:b/>
                <w:bCs/>
                <w:color w:val="000000"/>
                <w:sz w:val="16"/>
                <w:szCs w:val="16"/>
              </w:rPr>
              <w:t>Desirable Effects</w:t>
            </w:r>
          </w:p>
        </w:tc>
        <w:tc>
          <w:tcPr>
            <w:tcW w:w="113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7CDD3B0" w14:textId="77777777" w:rsidR="00B93F8C" w:rsidRPr="00F07060" w:rsidRDefault="00B93F8C" w:rsidP="002C76E7">
            <w:pPr>
              <w:rPr>
                <w:b/>
                <w:bCs/>
                <w:color w:val="000000"/>
                <w:sz w:val="16"/>
                <w:szCs w:val="16"/>
              </w:rPr>
            </w:pPr>
            <w:r w:rsidRPr="00F07060">
              <w:rPr>
                <w:b/>
                <w:bCs/>
                <w:color w:val="000000"/>
                <w:sz w:val="16"/>
                <w:szCs w:val="16"/>
              </w:rPr>
              <w:t>Trivial</w:t>
            </w:r>
          </w:p>
        </w:tc>
        <w:tc>
          <w:tcPr>
            <w:tcW w:w="1448"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E3EF1A3" w14:textId="77777777" w:rsidR="00B93F8C" w:rsidRPr="00F07060" w:rsidRDefault="00B93F8C" w:rsidP="002C76E7">
            <w:pPr>
              <w:rPr>
                <w:b/>
                <w:bCs/>
                <w:color w:val="000000"/>
                <w:sz w:val="16"/>
                <w:szCs w:val="16"/>
              </w:rPr>
            </w:pPr>
            <w:r w:rsidRPr="00F07060">
              <w:rPr>
                <w:b/>
                <w:bCs/>
                <w:color w:val="000000"/>
                <w:sz w:val="16"/>
                <w:szCs w:val="16"/>
              </w:rPr>
              <w:t>Small</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FC8C6DF" w14:textId="77777777" w:rsidR="00B93F8C" w:rsidRPr="00F07060" w:rsidRDefault="00B93F8C" w:rsidP="002C76E7">
            <w:pPr>
              <w:rPr>
                <w:b/>
                <w:bCs/>
                <w:color w:val="000000"/>
                <w:sz w:val="16"/>
                <w:szCs w:val="16"/>
              </w:rPr>
            </w:pPr>
            <w:r w:rsidRPr="00F07060">
              <w:rPr>
                <w:b/>
                <w:bCs/>
                <w:color w:val="000000"/>
                <w:sz w:val="16"/>
                <w:szCs w:val="16"/>
              </w:rPr>
              <w:t>Moderate</w:t>
            </w:r>
          </w:p>
        </w:tc>
        <w:tc>
          <w:tcPr>
            <w:tcW w:w="1387"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24820585" w14:textId="77777777" w:rsidR="00B93F8C" w:rsidRPr="00F07060" w:rsidRDefault="00B93F8C" w:rsidP="002C76E7">
            <w:pPr>
              <w:rPr>
                <w:b/>
                <w:bCs/>
                <w:color w:val="000000"/>
                <w:sz w:val="16"/>
                <w:szCs w:val="16"/>
              </w:rPr>
            </w:pPr>
            <w:r w:rsidRPr="00F07060">
              <w:rPr>
                <w:b/>
                <w:bCs/>
                <w:color w:val="000000"/>
                <w:sz w:val="16"/>
                <w:szCs w:val="16"/>
              </w:rPr>
              <w:t>Large</w:t>
            </w:r>
          </w:p>
        </w:tc>
        <w:tc>
          <w:tcPr>
            <w:tcW w:w="98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B1A951C" w14:textId="77777777" w:rsidR="00B93F8C" w:rsidRPr="00F07060" w:rsidRDefault="00B93F8C" w:rsidP="002C76E7">
            <w:pPr>
              <w:rPr>
                <w:b/>
                <w:bCs/>
                <w:color w:val="000000"/>
                <w:sz w:val="16"/>
                <w:szCs w:val="16"/>
              </w:rPr>
            </w:pPr>
          </w:p>
        </w:tc>
        <w:tc>
          <w:tcPr>
            <w:tcW w:w="1498"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5D72C30" w14:textId="77777777" w:rsidR="00B93F8C" w:rsidRPr="00F07060" w:rsidRDefault="00B93F8C" w:rsidP="002C76E7">
            <w:pPr>
              <w:rPr>
                <w:b/>
                <w:bCs/>
                <w:color w:val="000000"/>
                <w:sz w:val="16"/>
                <w:szCs w:val="16"/>
              </w:rPr>
            </w:pPr>
            <w:r w:rsidRPr="00F07060">
              <w:rPr>
                <w:b/>
                <w:bCs/>
                <w:color w:val="000000"/>
                <w:sz w:val="16"/>
                <w:szCs w:val="16"/>
              </w:rPr>
              <w:t>Varies</w:t>
            </w:r>
          </w:p>
        </w:tc>
        <w:tc>
          <w:tcPr>
            <w:tcW w:w="1590"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AC6FF30" w14:textId="77777777" w:rsidR="00B93F8C" w:rsidRPr="00F07060" w:rsidRDefault="00B93F8C" w:rsidP="002C76E7">
            <w:pPr>
              <w:rPr>
                <w:b/>
                <w:bCs/>
                <w:color w:val="000000"/>
                <w:sz w:val="16"/>
                <w:szCs w:val="16"/>
              </w:rPr>
            </w:pPr>
            <w:r w:rsidRPr="00F07060">
              <w:rPr>
                <w:b/>
                <w:bCs/>
                <w:color w:val="000000"/>
                <w:sz w:val="16"/>
                <w:szCs w:val="16"/>
              </w:rPr>
              <w:t>Don't know</w:t>
            </w:r>
          </w:p>
        </w:tc>
      </w:tr>
      <w:tr w:rsidR="00B93F8C" w:rsidRPr="00F07060" w14:paraId="377AA1D1" w14:textId="77777777" w:rsidTr="00D5426A">
        <w:trPr>
          <w:trHeight w:val="37"/>
        </w:trPr>
        <w:tc>
          <w:tcPr>
            <w:tcW w:w="2684"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17BD026E" w14:textId="77777777" w:rsidR="00B93F8C" w:rsidRPr="00F07060" w:rsidRDefault="00B93F8C" w:rsidP="002C76E7">
            <w:pPr>
              <w:rPr>
                <w:b/>
                <w:bCs/>
                <w:color w:val="000000"/>
                <w:sz w:val="16"/>
                <w:szCs w:val="16"/>
              </w:rPr>
            </w:pPr>
            <w:r w:rsidRPr="00F07060">
              <w:rPr>
                <w:b/>
                <w:bCs/>
                <w:color w:val="000000"/>
                <w:sz w:val="16"/>
                <w:szCs w:val="16"/>
              </w:rPr>
              <w:t>Undesirable Effects</w:t>
            </w:r>
          </w:p>
        </w:tc>
        <w:tc>
          <w:tcPr>
            <w:tcW w:w="113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9130216" w14:textId="77777777" w:rsidR="00B93F8C" w:rsidRPr="00F07060" w:rsidRDefault="00B93F8C" w:rsidP="002C76E7">
            <w:pPr>
              <w:rPr>
                <w:b/>
                <w:bCs/>
                <w:color w:val="000000"/>
                <w:sz w:val="16"/>
                <w:szCs w:val="16"/>
              </w:rPr>
            </w:pPr>
            <w:r w:rsidRPr="00F07060">
              <w:rPr>
                <w:b/>
                <w:bCs/>
                <w:color w:val="000000"/>
                <w:sz w:val="16"/>
                <w:szCs w:val="16"/>
              </w:rPr>
              <w:t>Large</w:t>
            </w:r>
          </w:p>
        </w:tc>
        <w:tc>
          <w:tcPr>
            <w:tcW w:w="1448"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943F4CF" w14:textId="77777777" w:rsidR="00B93F8C" w:rsidRPr="00F07060" w:rsidRDefault="00B93F8C" w:rsidP="002C76E7">
            <w:pPr>
              <w:rPr>
                <w:b/>
                <w:bCs/>
                <w:color w:val="000000"/>
                <w:sz w:val="16"/>
                <w:szCs w:val="16"/>
              </w:rPr>
            </w:pPr>
            <w:r w:rsidRPr="00F07060">
              <w:rPr>
                <w:b/>
                <w:bCs/>
                <w:color w:val="000000"/>
                <w:sz w:val="16"/>
                <w:szCs w:val="16"/>
              </w:rPr>
              <w:t>Moderate</w:t>
            </w:r>
          </w:p>
        </w:tc>
        <w:tc>
          <w:tcPr>
            <w:tcW w:w="1701"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3F139BD7" w14:textId="77777777" w:rsidR="00B93F8C" w:rsidRPr="00F07060" w:rsidRDefault="00B93F8C" w:rsidP="002C76E7">
            <w:pPr>
              <w:rPr>
                <w:b/>
                <w:bCs/>
                <w:color w:val="000000"/>
                <w:sz w:val="16"/>
                <w:szCs w:val="16"/>
              </w:rPr>
            </w:pPr>
            <w:r w:rsidRPr="00F07060">
              <w:rPr>
                <w:b/>
                <w:bCs/>
                <w:color w:val="000000"/>
                <w:sz w:val="16"/>
                <w:szCs w:val="16"/>
              </w:rPr>
              <w:t>Small</w:t>
            </w:r>
          </w:p>
        </w:tc>
        <w:tc>
          <w:tcPr>
            <w:tcW w:w="1387"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E4E5DA5" w14:textId="77777777" w:rsidR="00B93F8C" w:rsidRPr="00F07060" w:rsidRDefault="00B93F8C" w:rsidP="002C76E7">
            <w:pPr>
              <w:rPr>
                <w:b/>
                <w:bCs/>
                <w:color w:val="000000"/>
                <w:sz w:val="16"/>
                <w:szCs w:val="16"/>
              </w:rPr>
            </w:pPr>
            <w:r w:rsidRPr="00F07060">
              <w:rPr>
                <w:b/>
                <w:bCs/>
                <w:color w:val="000000"/>
                <w:sz w:val="16"/>
                <w:szCs w:val="16"/>
              </w:rPr>
              <w:t>Trivial</w:t>
            </w:r>
          </w:p>
        </w:tc>
        <w:tc>
          <w:tcPr>
            <w:tcW w:w="98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F6B7B47" w14:textId="77777777" w:rsidR="00B93F8C" w:rsidRPr="00F07060" w:rsidRDefault="00B93F8C" w:rsidP="002C76E7">
            <w:pPr>
              <w:rPr>
                <w:b/>
                <w:bCs/>
                <w:color w:val="000000"/>
                <w:sz w:val="16"/>
                <w:szCs w:val="16"/>
              </w:rPr>
            </w:pPr>
          </w:p>
        </w:tc>
        <w:tc>
          <w:tcPr>
            <w:tcW w:w="1498"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96521D7" w14:textId="77777777" w:rsidR="00B93F8C" w:rsidRPr="00F07060" w:rsidRDefault="00B93F8C" w:rsidP="002C76E7">
            <w:pPr>
              <w:rPr>
                <w:b/>
                <w:bCs/>
                <w:color w:val="000000"/>
                <w:sz w:val="16"/>
                <w:szCs w:val="16"/>
              </w:rPr>
            </w:pPr>
            <w:r w:rsidRPr="00F07060">
              <w:rPr>
                <w:b/>
                <w:bCs/>
                <w:color w:val="000000"/>
                <w:sz w:val="16"/>
                <w:szCs w:val="16"/>
              </w:rPr>
              <w:t>Varies</w:t>
            </w:r>
          </w:p>
        </w:tc>
        <w:tc>
          <w:tcPr>
            <w:tcW w:w="1590"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7D02725" w14:textId="77777777" w:rsidR="00B93F8C" w:rsidRPr="00F07060" w:rsidRDefault="00B93F8C" w:rsidP="002C76E7">
            <w:pPr>
              <w:rPr>
                <w:b/>
                <w:bCs/>
                <w:color w:val="000000"/>
                <w:sz w:val="16"/>
                <w:szCs w:val="16"/>
              </w:rPr>
            </w:pPr>
            <w:r w:rsidRPr="00F07060">
              <w:rPr>
                <w:b/>
                <w:bCs/>
                <w:color w:val="000000"/>
                <w:sz w:val="16"/>
                <w:szCs w:val="16"/>
              </w:rPr>
              <w:t>Don't know</w:t>
            </w:r>
          </w:p>
        </w:tc>
      </w:tr>
      <w:tr w:rsidR="00B93F8C" w:rsidRPr="00F07060" w14:paraId="4AF8DDF8" w14:textId="77777777" w:rsidTr="00D5426A">
        <w:trPr>
          <w:trHeight w:val="19"/>
        </w:trPr>
        <w:tc>
          <w:tcPr>
            <w:tcW w:w="2684"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769E8D90" w14:textId="77777777" w:rsidR="00B93F8C" w:rsidRPr="00F07060" w:rsidRDefault="00B93F8C" w:rsidP="002C76E7">
            <w:pPr>
              <w:rPr>
                <w:b/>
                <w:bCs/>
                <w:color w:val="000000"/>
                <w:sz w:val="16"/>
                <w:szCs w:val="16"/>
              </w:rPr>
            </w:pPr>
            <w:r w:rsidRPr="00F07060">
              <w:rPr>
                <w:b/>
                <w:bCs/>
                <w:color w:val="000000"/>
                <w:sz w:val="16"/>
                <w:szCs w:val="16"/>
              </w:rPr>
              <w:t>Certainty of evidence</w:t>
            </w:r>
          </w:p>
        </w:tc>
        <w:tc>
          <w:tcPr>
            <w:tcW w:w="113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BA9C7D2" w14:textId="77777777" w:rsidR="00B93F8C" w:rsidRPr="00F07060" w:rsidRDefault="00B93F8C" w:rsidP="002C76E7">
            <w:pPr>
              <w:rPr>
                <w:b/>
                <w:bCs/>
                <w:color w:val="000000"/>
                <w:sz w:val="16"/>
                <w:szCs w:val="16"/>
              </w:rPr>
            </w:pPr>
            <w:r w:rsidRPr="00F07060">
              <w:rPr>
                <w:b/>
                <w:bCs/>
                <w:color w:val="000000"/>
                <w:sz w:val="16"/>
                <w:szCs w:val="16"/>
              </w:rPr>
              <w:t>Very low</w:t>
            </w:r>
          </w:p>
        </w:tc>
        <w:tc>
          <w:tcPr>
            <w:tcW w:w="1448"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B639C86" w14:textId="77777777" w:rsidR="00B93F8C" w:rsidRPr="00F07060" w:rsidRDefault="00B93F8C" w:rsidP="002C76E7">
            <w:pPr>
              <w:rPr>
                <w:b/>
                <w:bCs/>
                <w:color w:val="000000"/>
                <w:sz w:val="16"/>
                <w:szCs w:val="16"/>
              </w:rPr>
            </w:pPr>
            <w:r w:rsidRPr="00F07060">
              <w:rPr>
                <w:b/>
                <w:bCs/>
                <w:color w:val="000000"/>
                <w:sz w:val="16"/>
                <w:szCs w:val="16"/>
              </w:rPr>
              <w:t>Low</w:t>
            </w:r>
          </w:p>
        </w:tc>
        <w:tc>
          <w:tcPr>
            <w:tcW w:w="170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4" w:type="dxa"/>
              <w:left w:w="74" w:type="dxa"/>
              <w:bottom w:w="74" w:type="dxa"/>
              <w:right w:w="74" w:type="dxa"/>
            </w:tcMar>
            <w:vAlign w:val="center"/>
            <w:hideMark/>
          </w:tcPr>
          <w:p w14:paraId="3778CDB2" w14:textId="77777777" w:rsidR="00B93F8C" w:rsidRPr="00F07060" w:rsidRDefault="00B93F8C" w:rsidP="002C76E7">
            <w:pPr>
              <w:rPr>
                <w:b/>
                <w:bCs/>
                <w:color w:val="000000"/>
                <w:sz w:val="16"/>
                <w:szCs w:val="16"/>
              </w:rPr>
            </w:pPr>
            <w:r w:rsidRPr="00F07060">
              <w:rPr>
                <w:b/>
                <w:bCs/>
                <w:color w:val="000000"/>
                <w:sz w:val="16"/>
                <w:szCs w:val="16"/>
              </w:rPr>
              <w:t>Moderate</w:t>
            </w:r>
          </w:p>
        </w:tc>
        <w:tc>
          <w:tcPr>
            <w:tcW w:w="1387"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3077F9CF" w14:textId="77777777" w:rsidR="00B93F8C" w:rsidRPr="00F07060" w:rsidRDefault="00B93F8C" w:rsidP="002C76E7">
            <w:pPr>
              <w:rPr>
                <w:b/>
                <w:bCs/>
                <w:color w:val="000000"/>
                <w:sz w:val="16"/>
                <w:szCs w:val="16"/>
              </w:rPr>
            </w:pPr>
            <w:r w:rsidRPr="00F07060">
              <w:rPr>
                <w:b/>
                <w:bCs/>
                <w:color w:val="000000"/>
                <w:sz w:val="16"/>
                <w:szCs w:val="16"/>
              </w:rPr>
              <w:t>High</w:t>
            </w:r>
          </w:p>
        </w:tc>
        <w:tc>
          <w:tcPr>
            <w:tcW w:w="98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5B7535E" w14:textId="77777777" w:rsidR="00B93F8C" w:rsidRPr="00F07060" w:rsidRDefault="00B93F8C" w:rsidP="002C76E7">
            <w:pPr>
              <w:rPr>
                <w:b/>
                <w:bCs/>
                <w:color w:val="000000"/>
                <w:sz w:val="16"/>
                <w:szCs w:val="16"/>
              </w:rPr>
            </w:pPr>
          </w:p>
        </w:tc>
        <w:tc>
          <w:tcPr>
            <w:tcW w:w="1498"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505F677" w14:textId="77777777" w:rsidR="00B93F8C" w:rsidRPr="00F07060" w:rsidRDefault="00B93F8C" w:rsidP="002C76E7">
            <w:pPr>
              <w:rPr>
                <w:b/>
                <w:bCs/>
                <w:color w:val="000000"/>
                <w:sz w:val="16"/>
                <w:szCs w:val="16"/>
              </w:rPr>
            </w:pPr>
          </w:p>
        </w:tc>
        <w:tc>
          <w:tcPr>
            <w:tcW w:w="1590"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0CD31B6" w14:textId="77777777" w:rsidR="00B93F8C" w:rsidRPr="00F07060" w:rsidRDefault="00B93F8C" w:rsidP="002C76E7">
            <w:pPr>
              <w:rPr>
                <w:b/>
                <w:bCs/>
                <w:color w:val="000000"/>
                <w:sz w:val="16"/>
                <w:szCs w:val="16"/>
              </w:rPr>
            </w:pPr>
            <w:r w:rsidRPr="00F07060">
              <w:rPr>
                <w:b/>
                <w:bCs/>
                <w:color w:val="000000"/>
                <w:sz w:val="16"/>
                <w:szCs w:val="16"/>
              </w:rPr>
              <w:t>No included studies</w:t>
            </w:r>
          </w:p>
        </w:tc>
      </w:tr>
      <w:tr w:rsidR="00B93F8C" w:rsidRPr="00F07060" w14:paraId="0C8E7877" w14:textId="77777777" w:rsidTr="00D5426A">
        <w:trPr>
          <w:trHeight w:val="47"/>
        </w:trPr>
        <w:tc>
          <w:tcPr>
            <w:tcW w:w="2684"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48685E8A" w14:textId="77777777" w:rsidR="00B93F8C" w:rsidRPr="00F07060" w:rsidRDefault="00B93F8C" w:rsidP="002C76E7">
            <w:pPr>
              <w:rPr>
                <w:b/>
                <w:bCs/>
                <w:color w:val="000000"/>
                <w:sz w:val="16"/>
                <w:szCs w:val="16"/>
              </w:rPr>
            </w:pPr>
            <w:r w:rsidRPr="00F07060">
              <w:rPr>
                <w:b/>
                <w:bCs/>
                <w:color w:val="000000"/>
                <w:sz w:val="16"/>
                <w:szCs w:val="16"/>
              </w:rPr>
              <w:t>Values</w:t>
            </w:r>
          </w:p>
        </w:tc>
        <w:tc>
          <w:tcPr>
            <w:tcW w:w="113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6FFC01A" w14:textId="77777777" w:rsidR="00B93F8C" w:rsidRPr="00F07060" w:rsidRDefault="00B93F8C" w:rsidP="002C76E7">
            <w:pPr>
              <w:rPr>
                <w:b/>
                <w:bCs/>
                <w:color w:val="000000"/>
                <w:sz w:val="16"/>
                <w:szCs w:val="16"/>
              </w:rPr>
            </w:pPr>
            <w:r w:rsidRPr="00F07060">
              <w:rPr>
                <w:b/>
                <w:bCs/>
                <w:color w:val="000000"/>
                <w:sz w:val="16"/>
                <w:szCs w:val="16"/>
              </w:rPr>
              <w:t>Important uncertainty or variability</w:t>
            </w:r>
          </w:p>
        </w:tc>
        <w:tc>
          <w:tcPr>
            <w:tcW w:w="1448"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C799BD4" w14:textId="77777777" w:rsidR="00B93F8C" w:rsidRPr="00F07060" w:rsidRDefault="00B93F8C" w:rsidP="002C76E7">
            <w:pPr>
              <w:rPr>
                <w:b/>
                <w:bCs/>
                <w:color w:val="000000"/>
                <w:sz w:val="16"/>
                <w:szCs w:val="16"/>
              </w:rPr>
            </w:pPr>
            <w:r w:rsidRPr="00F07060">
              <w:rPr>
                <w:b/>
                <w:bCs/>
                <w:color w:val="000000"/>
                <w:sz w:val="16"/>
                <w:szCs w:val="16"/>
              </w:rPr>
              <w:t>Possibly important uncertainty or variability</w:t>
            </w: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05C13EB" w14:textId="77777777" w:rsidR="00B93F8C" w:rsidRPr="00F07060" w:rsidRDefault="00B93F8C" w:rsidP="002C76E7">
            <w:pPr>
              <w:rPr>
                <w:b/>
                <w:bCs/>
                <w:color w:val="000000"/>
                <w:sz w:val="16"/>
                <w:szCs w:val="16"/>
              </w:rPr>
            </w:pPr>
            <w:r w:rsidRPr="00F07060">
              <w:rPr>
                <w:b/>
                <w:bCs/>
                <w:color w:val="000000"/>
                <w:sz w:val="16"/>
                <w:szCs w:val="16"/>
              </w:rPr>
              <w:t>Probably no important uncertainty or variability</w:t>
            </w:r>
          </w:p>
        </w:tc>
        <w:tc>
          <w:tcPr>
            <w:tcW w:w="1387"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4774FA9C" w14:textId="77777777" w:rsidR="00B93F8C" w:rsidRPr="00F07060" w:rsidRDefault="00B93F8C" w:rsidP="002C76E7">
            <w:pPr>
              <w:rPr>
                <w:b/>
                <w:bCs/>
                <w:color w:val="000000"/>
                <w:sz w:val="16"/>
                <w:szCs w:val="16"/>
              </w:rPr>
            </w:pPr>
            <w:r w:rsidRPr="00F07060">
              <w:rPr>
                <w:b/>
                <w:bCs/>
                <w:color w:val="000000"/>
                <w:sz w:val="16"/>
                <w:szCs w:val="16"/>
              </w:rPr>
              <w:t>no important uncertainty or variability</w:t>
            </w:r>
          </w:p>
        </w:tc>
        <w:tc>
          <w:tcPr>
            <w:tcW w:w="98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DBEFD26" w14:textId="77777777" w:rsidR="00B93F8C" w:rsidRPr="00F07060" w:rsidRDefault="00B93F8C" w:rsidP="002C76E7">
            <w:pPr>
              <w:rPr>
                <w:b/>
                <w:bCs/>
                <w:color w:val="000000"/>
                <w:sz w:val="16"/>
                <w:szCs w:val="16"/>
              </w:rPr>
            </w:pPr>
          </w:p>
        </w:tc>
        <w:tc>
          <w:tcPr>
            <w:tcW w:w="1498"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30289C6" w14:textId="77777777" w:rsidR="00B93F8C" w:rsidRPr="00F07060" w:rsidRDefault="00B93F8C" w:rsidP="002C76E7">
            <w:pPr>
              <w:rPr>
                <w:b/>
                <w:bCs/>
                <w:color w:val="000000"/>
                <w:sz w:val="16"/>
                <w:szCs w:val="16"/>
              </w:rPr>
            </w:pPr>
          </w:p>
        </w:tc>
        <w:tc>
          <w:tcPr>
            <w:tcW w:w="1590"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36C4B38" w14:textId="77777777" w:rsidR="00B93F8C" w:rsidRPr="00F07060" w:rsidRDefault="00B93F8C" w:rsidP="002C76E7">
            <w:pPr>
              <w:rPr>
                <w:b/>
                <w:bCs/>
                <w:color w:val="000000"/>
                <w:sz w:val="16"/>
                <w:szCs w:val="16"/>
              </w:rPr>
            </w:pPr>
          </w:p>
        </w:tc>
      </w:tr>
      <w:tr w:rsidR="00B93F8C" w:rsidRPr="00F07060" w14:paraId="52330AAC" w14:textId="77777777" w:rsidTr="00D5426A">
        <w:trPr>
          <w:trHeight w:val="455"/>
        </w:trPr>
        <w:tc>
          <w:tcPr>
            <w:tcW w:w="2684"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50B02DE5" w14:textId="77777777" w:rsidR="00B93F8C" w:rsidRPr="00F07060" w:rsidRDefault="00B93F8C" w:rsidP="002C76E7">
            <w:pPr>
              <w:rPr>
                <w:b/>
                <w:bCs/>
                <w:color w:val="000000"/>
                <w:sz w:val="16"/>
                <w:szCs w:val="16"/>
              </w:rPr>
            </w:pPr>
            <w:r w:rsidRPr="00F07060">
              <w:rPr>
                <w:b/>
                <w:bCs/>
                <w:color w:val="000000"/>
                <w:sz w:val="16"/>
                <w:szCs w:val="16"/>
              </w:rPr>
              <w:t>Balance of effects</w:t>
            </w:r>
          </w:p>
        </w:tc>
        <w:tc>
          <w:tcPr>
            <w:tcW w:w="113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1DD7AAB" w14:textId="77777777" w:rsidR="00B93F8C" w:rsidRPr="00F07060" w:rsidRDefault="00B93F8C" w:rsidP="002C76E7">
            <w:pPr>
              <w:rPr>
                <w:b/>
                <w:bCs/>
                <w:color w:val="000000"/>
                <w:sz w:val="16"/>
                <w:szCs w:val="16"/>
              </w:rPr>
            </w:pPr>
            <w:r w:rsidRPr="00F07060">
              <w:rPr>
                <w:b/>
                <w:bCs/>
                <w:color w:val="000000"/>
                <w:sz w:val="16"/>
                <w:szCs w:val="16"/>
              </w:rPr>
              <w:t>Favors the comparison</w:t>
            </w:r>
          </w:p>
        </w:tc>
        <w:tc>
          <w:tcPr>
            <w:tcW w:w="1448"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8B7A8BE" w14:textId="77777777" w:rsidR="00B93F8C" w:rsidRPr="00F07060" w:rsidRDefault="00B93F8C" w:rsidP="002C76E7">
            <w:pPr>
              <w:rPr>
                <w:b/>
                <w:bCs/>
                <w:color w:val="000000"/>
                <w:sz w:val="16"/>
                <w:szCs w:val="16"/>
              </w:rPr>
            </w:pPr>
            <w:r w:rsidRPr="00F07060">
              <w:rPr>
                <w:b/>
                <w:bCs/>
                <w:color w:val="000000"/>
                <w:sz w:val="16"/>
                <w:szCs w:val="16"/>
              </w:rPr>
              <w:t>Probably favors the comparison</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8D16AD3" w14:textId="77777777" w:rsidR="00B93F8C" w:rsidRPr="00F07060" w:rsidRDefault="00B93F8C" w:rsidP="002C76E7">
            <w:pPr>
              <w:rPr>
                <w:b/>
                <w:bCs/>
                <w:color w:val="000000"/>
                <w:sz w:val="16"/>
                <w:szCs w:val="16"/>
              </w:rPr>
            </w:pPr>
            <w:r w:rsidRPr="00F07060">
              <w:rPr>
                <w:b/>
                <w:bCs/>
                <w:color w:val="000000"/>
                <w:sz w:val="16"/>
                <w:szCs w:val="16"/>
              </w:rPr>
              <w:t>Does not favor either the intervention or the comparison</w:t>
            </w:r>
          </w:p>
        </w:tc>
        <w:tc>
          <w:tcPr>
            <w:tcW w:w="1387"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54FBE669" w14:textId="77777777" w:rsidR="00B93F8C" w:rsidRPr="00F07060" w:rsidRDefault="00B93F8C" w:rsidP="002C76E7">
            <w:pPr>
              <w:rPr>
                <w:b/>
                <w:bCs/>
                <w:color w:val="000000"/>
                <w:sz w:val="16"/>
                <w:szCs w:val="16"/>
              </w:rPr>
            </w:pPr>
            <w:r w:rsidRPr="00F07060">
              <w:rPr>
                <w:b/>
                <w:bCs/>
                <w:color w:val="000000"/>
                <w:sz w:val="16"/>
                <w:szCs w:val="16"/>
              </w:rPr>
              <w:t>Probably favors the intervention</w:t>
            </w:r>
          </w:p>
        </w:tc>
        <w:tc>
          <w:tcPr>
            <w:tcW w:w="984"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4" w:type="dxa"/>
              <w:left w:w="74" w:type="dxa"/>
              <w:bottom w:w="74" w:type="dxa"/>
              <w:right w:w="74" w:type="dxa"/>
            </w:tcMar>
            <w:vAlign w:val="center"/>
            <w:hideMark/>
          </w:tcPr>
          <w:p w14:paraId="5EC3281A" w14:textId="77777777" w:rsidR="00B93F8C" w:rsidRPr="00F07060" w:rsidRDefault="00B93F8C" w:rsidP="002C76E7">
            <w:pPr>
              <w:rPr>
                <w:b/>
                <w:bCs/>
                <w:color w:val="000000"/>
                <w:sz w:val="16"/>
                <w:szCs w:val="16"/>
              </w:rPr>
            </w:pPr>
            <w:r w:rsidRPr="00F07060">
              <w:rPr>
                <w:b/>
                <w:bCs/>
                <w:color w:val="000000"/>
                <w:sz w:val="16"/>
                <w:szCs w:val="16"/>
              </w:rPr>
              <w:t>Favors the intervention</w:t>
            </w:r>
          </w:p>
        </w:tc>
        <w:tc>
          <w:tcPr>
            <w:tcW w:w="1498"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FE6651A" w14:textId="77777777" w:rsidR="00B93F8C" w:rsidRPr="00F07060" w:rsidRDefault="00B93F8C" w:rsidP="002C76E7">
            <w:pPr>
              <w:rPr>
                <w:b/>
                <w:bCs/>
                <w:color w:val="000000"/>
                <w:sz w:val="16"/>
                <w:szCs w:val="16"/>
              </w:rPr>
            </w:pPr>
            <w:r w:rsidRPr="00F07060">
              <w:rPr>
                <w:b/>
                <w:bCs/>
                <w:color w:val="000000"/>
                <w:sz w:val="16"/>
                <w:szCs w:val="16"/>
              </w:rPr>
              <w:t>Varies</w:t>
            </w:r>
          </w:p>
        </w:tc>
        <w:tc>
          <w:tcPr>
            <w:tcW w:w="1590"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4C199B8" w14:textId="77777777" w:rsidR="00B93F8C" w:rsidRPr="00F07060" w:rsidRDefault="00B93F8C" w:rsidP="002C76E7">
            <w:pPr>
              <w:rPr>
                <w:b/>
                <w:bCs/>
                <w:color w:val="000000"/>
                <w:sz w:val="16"/>
                <w:szCs w:val="16"/>
              </w:rPr>
            </w:pPr>
            <w:r w:rsidRPr="00F07060">
              <w:rPr>
                <w:b/>
                <w:bCs/>
                <w:color w:val="000000"/>
                <w:sz w:val="16"/>
                <w:szCs w:val="16"/>
              </w:rPr>
              <w:t>Don't know</w:t>
            </w:r>
          </w:p>
        </w:tc>
      </w:tr>
      <w:tr w:rsidR="00B93F8C" w:rsidRPr="00F07060" w14:paraId="19009354" w14:textId="77777777" w:rsidTr="00D5426A">
        <w:trPr>
          <w:trHeight w:val="198"/>
        </w:trPr>
        <w:tc>
          <w:tcPr>
            <w:tcW w:w="2684"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0B2D58BB" w14:textId="77777777" w:rsidR="00B93F8C" w:rsidRPr="00F07060" w:rsidRDefault="00B93F8C" w:rsidP="002C76E7">
            <w:pPr>
              <w:rPr>
                <w:b/>
                <w:bCs/>
                <w:color w:val="000000"/>
                <w:sz w:val="16"/>
                <w:szCs w:val="16"/>
              </w:rPr>
            </w:pPr>
            <w:r w:rsidRPr="00F07060">
              <w:rPr>
                <w:b/>
                <w:bCs/>
                <w:color w:val="000000"/>
                <w:sz w:val="16"/>
                <w:szCs w:val="16"/>
              </w:rPr>
              <w:t>Resources required</w:t>
            </w:r>
          </w:p>
        </w:tc>
        <w:tc>
          <w:tcPr>
            <w:tcW w:w="113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5B1B527" w14:textId="77777777" w:rsidR="00B93F8C" w:rsidRPr="00F07060" w:rsidRDefault="00B93F8C" w:rsidP="002C76E7">
            <w:pPr>
              <w:rPr>
                <w:b/>
                <w:bCs/>
                <w:color w:val="000000"/>
                <w:sz w:val="16"/>
                <w:szCs w:val="16"/>
              </w:rPr>
            </w:pPr>
            <w:r w:rsidRPr="00F07060">
              <w:rPr>
                <w:b/>
                <w:bCs/>
                <w:color w:val="000000"/>
                <w:sz w:val="16"/>
                <w:szCs w:val="16"/>
              </w:rPr>
              <w:t>Large costs</w:t>
            </w:r>
          </w:p>
        </w:tc>
        <w:tc>
          <w:tcPr>
            <w:tcW w:w="1448"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D7F9459" w14:textId="77777777" w:rsidR="00B93F8C" w:rsidRPr="00F07060" w:rsidRDefault="00B93F8C" w:rsidP="002C76E7">
            <w:pPr>
              <w:rPr>
                <w:b/>
                <w:bCs/>
                <w:color w:val="000000"/>
                <w:sz w:val="16"/>
                <w:szCs w:val="16"/>
              </w:rPr>
            </w:pPr>
            <w:r w:rsidRPr="00F07060">
              <w:rPr>
                <w:b/>
                <w:bCs/>
                <w:color w:val="000000"/>
                <w:sz w:val="16"/>
                <w:szCs w:val="16"/>
              </w:rPr>
              <w:t>Moderate costs</w:t>
            </w: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26B0BD9" w14:textId="77777777" w:rsidR="00B93F8C" w:rsidRPr="00F07060" w:rsidRDefault="00B93F8C" w:rsidP="002C76E7">
            <w:pPr>
              <w:rPr>
                <w:b/>
                <w:bCs/>
                <w:color w:val="000000"/>
                <w:sz w:val="16"/>
                <w:szCs w:val="16"/>
              </w:rPr>
            </w:pPr>
            <w:r w:rsidRPr="00F07060">
              <w:rPr>
                <w:b/>
                <w:bCs/>
                <w:color w:val="000000"/>
                <w:sz w:val="16"/>
                <w:szCs w:val="16"/>
              </w:rPr>
              <w:t>Negligible costs and savings</w:t>
            </w:r>
          </w:p>
        </w:tc>
        <w:tc>
          <w:tcPr>
            <w:tcW w:w="1387"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FB264DD" w14:textId="77777777" w:rsidR="00B93F8C" w:rsidRPr="00F07060" w:rsidRDefault="00B93F8C" w:rsidP="002C76E7">
            <w:pPr>
              <w:rPr>
                <w:b/>
                <w:bCs/>
                <w:color w:val="000000"/>
                <w:sz w:val="16"/>
                <w:szCs w:val="16"/>
              </w:rPr>
            </w:pPr>
            <w:r w:rsidRPr="00F07060">
              <w:rPr>
                <w:b/>
                <w:bCs/>
                <w:color w:val="000000"/>
                <w:sz w:val="16"/>
                <w:szCs w:val="16"/>
              </w:rPr>
              <w:t>Moderate savings</w:t>
            </w:r>
          </w:p>
        </w:tc>
        <w:tc>
          <w:tcPr>
            <w:tcW w:w="98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9D454BE" w14:textId="77777777" w:rsidR="00B93F8C" w:rsidRPr="00F07060" w:rsidRDefault="00B93F8C" w:rsidP="002C76E7">
            <w:pPr>
              <w:rPr>
                <w:b/>
                <w:bCs/>
                <w:color w:val="000000"/>
                <w:sz w:val="16"/>
                <w:szCs w:val="16"/>
              </w:rPr>
            </w:pPr>
            <w:r w:rsidRPr="00F07060">
              <w:rPr>
                <w:b/>
                <w:bCs/>
                <w:color w:val="000000"/>
                <w:sz w:val="16"/>
                <w:szCs w:val="16"/>
              </w:rPr>
              <w:t>Large savings</w:t>
            </w:r>
          </w:p>
        </w:tc>
        <w:tc>
          <w:tcPr>
            <w:tcW w:w="1498"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51C3CA93" w14:textId="77777777" w:rsidR="00B93F8C" w:rsidRPr="00F07060" w:rsidRDefault="00B93F8C" w:rsidP="002C76E7">
            <w:pPr>
              <w:rPr>
                <w:b/>
                <w:bCs/>
                <w:color w:val="000000"/>
                <w:sz w:val="16"/>
                <w:szCs w:val="16"/>
              </w:rPr>
            </w:pPr>
            <w:r w:rsidRPr="00F07060">
              <w:rPr>
                <w:b/>
                <w:bCs/>
                <w:color w:val="000000"/>
                <w:sz w:val="16"/>
                <w:szCs w:val="16"/>
              </w:rPr>
              <w:t>Varies</w:t>
            </w:r>
          </w:p>
        </w:tc>
        <w:tc>
          <w:tcPr>
            <w:tcW w:w="1590"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F3F432A" w14:textId="77777777" w:rsidR="00B93F8C" w:rsidRPr="00F07060" w:rsidRDefault="00B93F8C" w:rsidP="002C76E7">
            <w:pPr>
              <w:rPr>
                <w:b/>
                <w:bCs/>
                <w:color w:val="000000"/>
                <w:sz w:val="16"/>
                <w:szCs w:val="16"/>
              </w:rPr>
            </w:pPr>
            <w:r w:rsidRPr="00F07060">
              <w:rPr>
                <w:b/>
                <w:bCs/>
                <w:color w:val="000000"/>
                <w:sz w:val="16"/>
                <w:szCs w:val="16"/>
              </w:rPr>
              <w:t>Don't know</w:t>
            </w:r>
          </w:p>
        </w:tc>
      </w:tr>
      <w:tr w:rsidR="00B93F8C" w:rsidRPr="00F07060" w14:paraId="22D2E613" w14:textId="77777777" w:rsidTr="00D5426A">
        <w:trPr>
          <w:trHeight w:val="19"/>
        </w:trPr>
        <w:tc>
          <w:tcPr>
            <w:tcW w:w="2684"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4620B4AA" w14:textId="77777777" w:rsidR="00B93F8C" w:rsidRPr="00F07060" w:rsidRDefault="00B93F8C" w:rsidP="002C76E7">
            <w:pPr>
              <w:rPr>
                <w:b/>
                <w:bCs/>
                <w:color w:val="000000"/>
                <w:sz w:val="16"/>
                <w:szCs w:val="16"/>
              </w:rPr>
            </w:pPr>
            <w:r w:rsidRPr="00F07060">
              <w:rPr>
                <w:b/>
                <w:bCs/>
                <w:color w:val="000000"/>
                <w:sz w:val="16"/>
                <w:szCs w:val="16"/>
              </w:rPr>
              <w:t>Certainty of evidence of required resources</w:t>
            </w:r>
          </w:p>
        </w:tc>
        <w:tc>
          <w:tcPr>
            <w:tcW w:w="113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FBFAB9B" w14:textId="77777777" w:rsidR="00B93F8C" w:rsidRPr="00F07060" w:rsidRDefault="00B93F8C" w:rsidP="002C76E7">
            <w:pPr>
              <w:rPr>
                <w:b/>
                <w:bCs/>
                <w:color w:val="000000"/>
                <w:sz w:val="16"/>
                <w:szCs w:val="16"/>
              </w:rPr>
            </w:pPr>
            <w:r w:rsidRPr="00F07060">
              <w:rPr>
                <w:b/>
                <w:bCs/>
                <w:color w:val="000000"/>
                <w:sz w:val="16"/>
                <w:szCs w:val="16"/>
              </w:rPr>
              <w:t>Very low</w:t>
            </w:r>
          </w:p>
        </w:tc>
        <w:tc>
          <w:tcPr>
            <w:tcW w:w="1448"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7274EF3" w14:textId="77777777" w:rsidR="00B93F8C" w:rsidRPr="00F07060" w:rsidRDefault="00B93F8C" w:rsidP="002C76E7">
            <w:pPr>
              <w:rPr>
                <w:b/>
                <w:bCs/>
                <w:color w:val="000000"/>
                <w:sz w:val="16"/>
                <w:szCs w:val="16"/>
              </w:rPr>
            </w:pPr>
            <w:r w:rsidRPr="00F07060">
              <w:rPr>
                <w:b/>
                <w:bCs/>
                <w:color w:val="000000"/>
                <w:sz w:val="16"/>
                <w:szCs w:val="16"/>
              </w:rPr>
              <w:t>Low</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A0C7AA6" w14:textId="77777777" w:rsidR="00B93F8C" w:rsidRPr="00F07060" w:rsidRDefault="00B93F8C" w:rsidP="002C76E7">
            <w:pPr>
              <w:rPr>
                <w:b/>
                <w:bCs/>
                <w:color w:val="000000"/>
                <w:sz w:val="16"/>
                <w:szCs w:val="16"/>
              </w:rPr>
            </w:pPr>
            <w:r w:rsidRPr="00F07060">
              <w:rPr>
                <w:b/>
                <w:bCs/>
                <w:color w:val="000000"/>
                <w:sz w:val="16"/>
                <w:szCs w:val="16"/>
              </w:rPr>
              <w:t>Moderate</w:t>
            </w:r>
          </w:p>
        </w:tc>
        <w:tc>
          <w:tcPr>
            <w:tcW w:w="1387"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BC9F8E3" w14:textId="77777777" w:rsidR="00B93F8C" w:rsidRPr="00F07060" w:rsidRDefault="00B93F8C" w:rsidP="002C76E7">
            <w:pPr>
              <w:rPr>
                <w:b/>
                <w:bCs/>
                <w:color w:val="000000"/>
                <w:sz w:val="16"/>
                <w:szCs w:val="16"/>
              </w:rPr>
            </w:pPr>
            <w:r w:rsidRPr="00F07060">
              <w:rPr>
                <w:b/>
                <w:bCs/>
                <w:color w:val="000000"/>
                <w:sz w:val="16"/>
                <w:szCs w:val="16"/>
              </w:rPr>
              <w:t>High</w:t>
            </w:r>
          </w:p>
        </w:tc>
        <w:tc>
          <w:tcPr>
            <w:tcW w:w="98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E5DFA59" w14:textId="77777777" w:rsidR="00B93F8C" w:rsidRPr="00F07060" w:rsidRDefault="00B93F8C" w:rsidP="002C76E7">
            <w:pPr>
              <w:rPr>
                <w:b/>
                <w:bCs/>
                <w:color w:val="000000"/>
                <w:sz w:val="16"/>
                <w:szCs w:val="16"/>
              </w:rPr>
            </w:pPr>
          </w:p>
        </w:tc>
        <w:tc>
          <w:tcPr>
            <w:tcW w:w="1498"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65A1907" w14:textId="77777777" w:rsidR="00B93F8C" w:rsidRPr="00F07060" w:rsidRDefault="00B93F8C" w:rsidP="002C76E7">
            <w:pPr>
              <w:rPr>
                <w:b/>
                <w:bCs/>
                <w:color w:val="000000"/>
                <w:sz w:val="16"/>
                <w:szCs w:val="16"/>
              </w:rPr>
            </w:pPr>
          </w:p>
        </w:tc>
        <w:tc>
          <w:tcPr>
            <w:tcW w:w="1590"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497EDC36" w14:textId="77777777" w:rsidR="00B93F8C" w:rsidRPr="00F07060" w:rsidRDefault="00B93F8C" w:rsidP="002C76E7">
            <w:pPr>
              <w:rPr>
                <w:b/>
                <w:bCs/>
                <w:color w:val="000000"/>
                <w:sz w:val="16"/>
                <w:szCs w:val="16"/>
              </w:rPr>
            </w:pPr>
            <w:r w:rsidRPr="00F07060">
              <w:rPr>
                <w:b/>
                <w:bCs/>
                <w:color w:val="000000"/>
                <w:sz w:val="16"/>
                <w:szCs w:val="16"/>
              </w:rPr>
              <w:t>No included studies</w:t>
            </w:r>
          </w:p>
        </w:tc>
      </w:tr>
      <w:tr w:rsidR="00B93F8C" w:rsidRPr="00F07060" w14:paraId="2718A96D" w14:textId="77777777" w:rsidTr="00D5426A">
        <w:trPr>
          <w:trHeight w:val="340"/>
        </w:trPr>
        <w:tc>
          <w:tcPr>
            <w:tcW w:w="2684"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0FD1344E" w14:textId="77777777" w:rsidR="00B93F8C" w:rsidRPr="00F07060" w:rsidRDefault="00B93F8C" w:rsidP="002C76E7">
            <w:pPr>
              <w:rPr>
                <w:b/>
                <w:bCs/>
                <w:color w:val="000000"/>
                <w:sz w:val="16"/>
                <w:szCs w:val="16"/>
              </w:rPr>
            </w:pPr>
            <w:r w:rsidRPr="00F07060">
              <w:rPr>
                <w:b/>
                <w:bCs/>
                <w:color w:val="000000"/>
                <w:sz w:val="16"/>
                <w:szCs w:val="16"/>
              </w:rPr>
              <w:lastRenderedPageBreak/>
              <w:t>Cost effectiveness</w:t>
            </w:r>
          </w:p>
        </w:tc>
        <w:tc>
          <w:tcPr>
            <w:tcW w:w="113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7D06029" w14:textId="77777777" w:rsidR="00B93F8C" w:rsidRPr="00F07060" w:rsidRDefault="00B93F8C" w:rsidP="002C76E7">
            <w:pPr>
              <w:rPr>
                <w:b/>
                <w:bCs/>
                <w:color w:val="000000"/>
                <w:sz w:val="16"/>
                <w:szCs w:val="16"/>
              </w:rPr>
            </w:pPr>
            <w:r w:rsidRPr="00F07060">
              <w:rPr>
                <w:b/>
                <w:bCs/>
                <w:color w:val="000000"/>
                <w:sz w:val="16"/>
                <w:szCs w:val="16"/>
              </w:rPr>
              <w:t>Favors the comparison</w:t>
            </w:r>
          </w:p>
        </w:tc>
        <w:tc>
          <w:tcPr>
            <w:tcW w:w="1448"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005FE34" w14:textId="77777777" w:rsidR="00B93F8C" w:rsidRPr="00F07060" w:rsidRDefault="00B93F8C" w:rsidP="002C76E7">
            <w:pPr>
              <w:rPr>
                <w:b/>
                <w:bCs/>
                <w:color w:val="000000"/>
                <w:sz w:val="16"/>
                <w:szCs w:val="16"/>
              </w:rPr>
            </w:pPr>
            <w:r w:rsidRPr="00F07060">
              <w:rPr>
                <w:b/>
                <w:bCs/>
                <w:color w:val="000000"/>
                <w:sz w:val="16"/>
                <w:szCs w:val="16"/>
              </w:rPr>
              <w:t>Probably favors the comparison</w:t>
            </w: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0F5EDA7" w14:textId="77777777" w:rsidR="00B93F8C" w:rsidRPr="00F07060" w:rsidRDefault="00B93F8C" w:rsidP="002C76E7">
            <w:pPr>
              <w:rPr>
                <w:b/>
                <w:bCs/>
                <w:color w:val="000000"/>
                <w:sz w:val="16"/>
                <w:szCs w:val="16"/>
              </w:rPr>
            </w:pPr>
            <w:r w:rsidRPr="00F07060">
              <w:rPr>
                <w:b/>
                <w:bCs/>
                <w:color w:val="000000"/>
                <w:sz w:val="16"/>
                <w:szCs w:val="16"/>
              </w:rPr>
              <w:t>Does not favor either the intervention or the comparison</w:t>
            </w:r>
          </w:p>
        </w:tc>
        <w:tc>
          <w:tcPr>
            <w:tcW w:w="1387" w:type="dxa"/>
            <w:tcBorders>
              <w:top w:val="single" w:sz="8" w:space="0" w:color="FFFFFF"/>
              <w:left w:val="single" w:sz="8" w:space="0" w:color="FFFFFF"/>
              <w:bottom w:val="single" w:sz="8" w:space="0" w:color="FFFFFF"/>
              <w:right w:val="single" w:sz="8" w:space="0" w:color="FFFFFF"/>
            </w:tcBorders>
            <w:shd w:val="clear" w:color="auto" w:fill="D6DCE5"/>
            <w:tcMar>
              <w:top w:w="74" w:type="dxa"/>
              <w:left w:w="74" w:type="dxa"/>
              <w:bottom w:w="74" w:type="dxa"/>
              <w:right w:w="74" w:type="dxa"/>
            </w:tcMar>
            <w:vAlign w:val="center"/>
            <w:hideMark/>
          </w:tcPr>
          <w:p w14:paraId="35AAF490" w14:textId="77777777" w:rsidR="00B93F8C" w:rsidRPr="00F07060" w:rsidRDefault="00B93F8C" w:rsidP="002C76E7">
            <w:pPr>
              <w:rPr>
                <w:b/>
                <w:bCs/>
                <w:color w:val="000000"/>
                <w:sz w:val="16"/>
                <w:szCs w:val="16"/>
              </w:rPr>
            </w:pPr>
            <w:r w:rsidRPr="00F07060">
              <w:rPr>
                <w:b/>
                <w:bCs/>
                <w:color w:val="000000"/>
                <w:sz w:val="16"/>
                <w:szCs w:val="16"/>
              </w:rPr>
              <w:t>Probably favors the intervention</w:t>
            </w:r>
          </w:p>
        </w:tc>
        <w:tc>
          <w:tcPr>
            <w:tcW w:w="98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A750A6E" w14:textId="77777777" w:rsidR="00B93F8C" w:rsidRPr="00F07060" w:rsidRDefault="00B93F8C" w:rsidP="002C76E7">
            <w:pPr>
              <w:rPr>
                <w:b/>
                <w:bCs/>
                <w:color w:val="000000"/>
                <w:sz w:val="16"/>
                <w:szCs w:val="16"/>
              </w:rPr>
            </w:pPr>
            <w:r w:rsidRPr="00F07060">
              <w:rPr>
                <w:b/>
                <w:bCs/>
                <w:color w:val="000000"/>
                <w:sz w:val="16"/>
                <w:szCs w:val="16"/>
              </w:rPr>
              <w:t>Favors the intervention</w:t>
            </w:r>
          </w:p>
        </w:tc>
        <w:tc>
          <w:tcPr>
            <w:tcW w:w="1498"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71E2128" w14:textId="77777777" w:rsidR="00B93F8C" w:rsidRPr="00F07060" w:rsidRDefault="00B93F8C" w:rsidP="002C76E7">
            <w:pPr>
              <w:rPr>
                <w:b/>
                <w:bCs/>
                <w:color w:val="000000"/>
                <w:sz w:val="16"/>
                <w:szCs w:val="16"/>
              </w:rPr>
            </w:pPr>
            <w:r w:rsidRPr="00F07060">
              <w:rPr>
                <w:b/>
                <w:bCs/>
                <w:color w:val="000000"/>
                <w:sz w:val="16"/>
                <w:szCs w:val="16"/>
              </w:rPr>
              <w:t>Varies</w:t>
            </w:r>
          </w:p>
        </w:tc>
        <w:tc>
          <w:tcPr>
            <w:tcW w:w="1590"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59EAFDD5" w14:textId="77777777" w:rsidR="00B93F8C" w:rsidRPr="00F07060" w:rsidRDefault="00B93F8C" w:rsidP="002C76E7">
            <w:pPr>
              <w:rPr>
                <w:b/>
                <w:bCs/>
                <w:color w:val="000000"/>
                <w:sz w:val="16"/>
                <w:szCs w:val="16"/>
              </w:rPr>
            </w:pPr>
            <w:r w:rsidRPr="00F07060">
              <w:rPr>
                <w:b/>
                <w:bCs/>
                <w:color w:val="000000"/>
                <w:sz w:val="16"/>
                <w:szCs w:val="16"/>
              </w:rPr>
              <w:t>No included studies</w:t>
            </w:r>
          </w:p>
        </w:tc>
      </w:tr>
      <w:tr w:rsidR="00B93F8C" w:rsidRPr="00F07060" w14:paraId="127857B2" w14:textId="77777777" w:rsidTr="00D5426A">
        <w:trPr>
          <w:trHeight w:val="441"/>
        </w:trPr>
        <w:tc>
          <w:tcPr>
            <w:tcW w:w="2684"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7828744A" w14:textId="77777777" w:rsidR="00B93F8C" w:rsidRPr="00F07060" w:rsidRDefault="00B93F8C" w:rsidP="002C76E7">
            <w:pPr>
              <w:rPr>
                <w:b/>
                <w:bCs/>
                <w:color w:val="000000"/>
                <w:sz w:val="16"/>
                <w:szCs w:val="16"/>
              </w:rPr>
            </w:pPr>
            <w:r w:rsidRPr="00F07060">
              <w:rPr>
                <w:b/>
                <w:bCs/>
                <w:color w:val="000000"/>
                <w:sz w:val="16"/>
                <w:szCs w:val="16"/>
              </w:rPr>
              <w:t>Equity</w:t>
            </w:r>
          </w:p>
        </w:tc>
        <w:tc>
          <w:tcPr>
            <w:tcW w:w="113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30235D7" w14:textId="77777777" w:rsidR="00B93F8C" w:rsidRPr="00F07060" w:rsidRDefault="00B93F8C" w:rsidP="002C76E7">
            <w:pPr>
              <w:rPr>
                <w:b/>
                <w:bCs/>
                <w:color w:val="000000"/>
                <w:sz w:val="16"/>
                <w:szCs w:val="16"/>
              </w:rPr>
            </w:pPr>
            <w:r w:rsidRPr="00F07060">
              <w:rPr>
                <w:b/>
                <w:bCs/>
                <w:color w:val="000000"/>
                <w:sz w:val="16"/>
                <w:szCs w:val="16"/>
              </w:rPr>
              <w:t>Reduced</w:t>
            </w:r>
          </w:p>
        </w:tc>
        <w:tc>
          <w:tcPr>
            <w:tcW w:w="1448"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6D855CB" w14:textId="77777777" w:rsidR="00B93F8C" w:rsidRPr="00F07060" w:rsidRDefault="00B93F8C" w:rsidP="002C76E7">
            <w:pPr>
              <w:rPr>
                <w:b/>
                <w:bCs/>
                <w:color w:val="000000"/>
                <w:sz w:val="16"/>
                <w:szCs w:val="16"/>
              </w:rPr>
            </w:pPr>
            <w:r w:rsidRPr="00F07060">
              <w:rPr>
                <w:b/>
                <w:bCs/>
                <w:color w:val="000000"/>
                <w:sz w:val="16"/>
                <w:szCs w:val="16"/>
              </w:rPr>
              <w:t>Probably reduced</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4601AAB" w14:textId="77777777" w:rsidR="00B93F8C" w:rsidRPr="00F07060" w:rsidRDefault="00B93F8C" w:rsidP="002C76E7">
            <w:pPr>
              <w:rPr>
                <w:b/>
                <w:bCs/>
                <w:color w:val="000000"/>
                <w:sz w:val="16"/>
                <w:szCs w:val="16"/>
              </w:rPr>
            </w:pPr>
            <w:r w:rsidRPr="00F07060">
              <w:rPr>
                <w:b/>
                <w:bCs/>
                <w:color w:val="000000"/>
                <w:sz w:val="16"/>
                <w:szCs w:val="16"/>
              </w:rPr>
              <w:t>Probably no impact</w:t>
            </w:r>
          </w:p>
        </w:tc>
        <w:tc>
          <w:tcPr>
            <w:tcW w:w="1387"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5EC0EBB" w14:textId="77777777" w:rsidR="00B93F8C" w:rsidRPr="00F07060" w:rsidRDefault="00B93F8C" w:rsidP="002C76E7">
            <w:pPr>
              <w:rPr>
                <w:b/>
                <w:bCs/>
                <w:color w:val="000000"/>
                <w:sz w:val="16"/>
                <w:szCs w:val="16"/>
              </w:rPr>
            </w:pPr>
            <w:r w:rsidRPr="00F07060">
              <w:rPr>
                <w:b/>
                <w:bCs/>
                <w:color w:val="000000"/>
                <w:sz w:val="16"/>
                <w:szCs w:val="16"/>
              </w:rPr>
              <w:t>Probably increased</w:t>
            </w:r>
          </w:p>
        </w:tc>
        <w:tc>
          <w:tcPr>
            <w:tcW w:w="98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BFDD21B" w14:textId="77777777" w:rsidR="00B93F8C" w:rsidRPr="00F07060" w:rsidRDefault="00B93F8C" w:rsidP="002C76E7">
            <w:pPr>
              <w:rPr>
                <w:b/>
                <w:bCs/>
                <w:color w:val="000000"/>
                <w:sz w:val="16"/>
                <w:szCs w:val="16"/>
              </w:rPr>
            </w:pPr>
            <w:r w:rsidRPr="00F07060">
              <w:rPr>
                <w:b/>
                <w:bCs/>
                <w:color w:val="000000"/>
                <w:sz w:val="16"/>
                <w:szCs w:val="16"/>
              </w:rPr>
              <w:t>Increased</w:t>
            </w:r>
          </w:p>
        </w:tc>
        <w:tc>
          <w:tcPr>
            <w:tcW w:w="1498"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3723C2A" w14:textId="77777777" w:rsidR="00B93F8C" w:rsidRPr="00F07060" w:rsidRDefault="00B93F8C" w:rsidP="002C76E7">
            <w:pPr>
              <w:rPr>
                <w:b/>
                <w:bCs/>
                <w:color w:val="000000"/>
                <w:sz w:val="16"/>
                <w:szCs w:val="16"/>
              </w:rPr>
            </w:pPr>
            <w:r w:rsidRPr="00F07060">
              <w:rPr>
                <w:b/>
                <w:bCs/>
                <w:color w:val="000000"/>
                <w:sz w:val="16"/>
                <w:szCs w:val="16"/>
              </w:rPr>
              <w:t>Varies</w:t>
            </w:r>
          </w:p>
        </w:tc>
        <w:tc>
          <w:tcPr>
            <w:tcW w:w="1590"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507ACF87" w14:textId="77777777" w:rsidR="00B93F8C" w:rsidRPr="00F07060" w:rsidRDefault="00B93F8C" w:rsidP="002C76E7">
            <w:pPr>
              <w:rPr>
                <w:b/>
                <w:bCs/>
                <w:color w:val="000000"/>
                <w:sz w:val="16"/>
                <w:szCs w:val="16"/>
              </w:rPr>
            </w:pPr>
            <w:r w:rsidRPr="00F07060">
              <w:rPr>
                <w:b/>
                <w:bCs/>
                <w:color w:val="000000"/>
                <w:sz w:val="16"/>
                <w:szCs w:val="16"/>
              </w:rPr>
              <w:t>Don't know</w:t>
            </w:r>
          </w:p>
        </w:tc>
      </w:tr>
      <w:tr w:rsidR="00B93F8C" w:rsidRPr="00F07060" w14:paraId="7DE7267C" w14:textId="77777777" w:rsidTr="00D5426A">
        <w:trPr>
          <w:trHeight w:val="19"/>
        </w:trPr>
        <w:tc>
          <w:tcPr>
            <w:tcW w:w="2684"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2DC8FF7D" w14:textId="77777777" w:rsidR="00B93F8C" w:rsidRPr="00F07060" w:rsidRDefault="00B93F8C" w:rsidP="002C76E7">
            <w:pPr>
              <w:rPr>
                <w:b/>
                <w:bCs/>
                <w:color w:val="000000"/>
                <w:sz w:val="16"/>
                <w:szCs w:val="16"/>
              </w:rPr>
            </w:pPr>
            <w:r w:rsidRPr="00F07060">
              <w:rPr>
                <w:b/>
                <w:bCs/>
                <w:color w:val="000000"/>
                <w:sz w:val="16"/>
                <w:szCs w:val="16"/>
              </w:rPr>
              <w:t>Acceptability</w:t>
            </w:r>
          </w:p>
        </w:tc>
        <w:tc>
          <w:tcPr>
            <w:tcW w:w="113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2FE1E41" w14:textId="77777777" w:rsidR="00B93F8C" w:rsidRPr="00F07060" w:rsidRDefault="00B93F8C" w:rsidP="002C76E7">
            <w:pPr>
              <w:rPr>
                <w:b/>
                <w:bCs/>
                <w:color w:val="000000"/>
                <w:sz w:val="16"/>
                <w:szCs w:val="16"/>
              </w:rPr>
            </w:pPr>
            <w:r w:rsidRPr="00F07060">
              <w:rPr>
                <w:b/>
                <w:bCs/>
                <w:color w:val="000000"/>
                <w:sz w:val="16"/>
                <w:szCs w:val="16"/>
              </w:rPr>
              <w:t>No</w:t>
            </w:r>
          </w:p>
        </w:tc>
        <w:tc>
          <w:tcPr>
            <w:tcW w:w="1448"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9DB4DCC" w14:textId="77777777" w:rsidR="00B93F8C" w:rsidRPr="00F07060" w:rsidRDefault="00B93F8C" w:rsidP="002C76E7">
            <w:pPr>
              <w:rPr>
                <w:b/>
                <w:bCs/>
                <w:color w:val="000000"/>
                <w:sz w:val="16"/>
                <w:szCs w:val="16"/>
              </w:rPr>
            </w:pPr>
            <w:r w:rsidRPr="00F07060">
              <w:rPr>
                <w:b/>
                <w:bCs/>
                <w:color w:val="000000"/>
                <w:sz w:val="16"/>
                <w:szCs w:val="16"/>
              </w:rPr>
              <w:t>Probably no</w:t>
            </w:r>
          </w:p>
        </w:tc>
        <w:tc>
          <w:tcPr>
            <w:tcW w:w="1701"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2D446F11" w14:textId="77777777" w:rsidR="00B93F8C" w:rsidRPr="00F07060" w:rsidRDefault="00B93F8C" w:rsidP="002C76E7">
            <w:pPr>
              <w:rPr>
                <w:b/>
                <w:bCs/>
                <w:color w:val="000000"/>
                <w:sz w:val="16"/>
                <w:szCs w:val="16"/>
              </w:rPr>
            </w:pPr>
            <w:r w:rsidRPr="00F07060">
              <w:rPr>
                <w:b/>
                <w:bCs/>
                <w:color w:val="000000"/>
                <w:sz w:val="16"/>
                <w:szCs w:val="16"/>
              </w:rPr>
              <w:t>Probably yes</w:t>
            </w:r>
          </w:p>
        </w:tc>
        <w:tc>
          <w:tcPr>
            <w:tcW w:w="1387"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5659E7E" w14:textId="77777777" w:rsidR="00B93F8C" w:rsidRPr="00F07060" w:rsidRDefault="00B93F8C" w:rsidP="002C76E7">
            <w:pPr>
              <w:rPr>
                <w:b/>
                <w:bCs/>
                <w:color w:val="000000"/>
                <w:sz w:val="16"/>
                <w:szCs w:val="16"/>
              </w:rPr>
            </w:pPr>
            <w:r w:rsidRPr="00F07060">
              <w:rPr>
                <w:b/>
                <w:bCs/>
                <w:color w:val="000000"/>
                <w:sz w:val="16"/>
                <w:szCs w:val="16"/>
              </w:rPr>
              <w:t>Yes</w:t>
            </w:r>
          </w:p>
        </w:tc>
        <w:tc>
          <w:tcPr>
            <w:tcW w:w="98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67E0DE9" w14:textId="77777777" w:rsidR="00B93F8C" w:rsidRPr="00F07060" w:rsidRDefault="00B93F8C" w:rsidP="002C76E7">
            <w:pPr>
              <w:rPr>
                <w:b/>
                <w:bCs/>
                <w:color w:val="000000"/>
                <w:sz w:val="16"/>
                <w:szCs w:val="16"/>
              </w:rPr>
            </w:pPr>
          </w:p>
        </w:tc>
        <w:tc>
          <w:tcPr>
            <w:tcW w:w="1498"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CE857B7" w14:textId="77777777" w:rsidR="00B93F8C" w:rsidRPr="00F07060" w:rsidRDefault="00B93F8C" w:rsidP="002C76E7">
            <w:pPr>
              <w:rPr>
                <w:b/>
                <w:bCs/>
                <w:color w:val="000000"/>
                <w:sz w:val="16"/>
                <w:szCs w:val="16"/>
              </w:rPr>
            </w:pPr>
            <w:r w:rsidRPr="00F07060">
              <w:rPr>
                <w:b/>
                <w:bCs/>
                <w:color w:val="000000"/>
                <w:sz w:val="16"/>
                <w:szCs w:val="16"/>
              </w:rPr>
              <w:t>Varies</w:t>
            </w:r>
          </w:p>
        </w:tc>
        <w:tc>
          <w:tcPr>
            <w:tcW w:w="1590"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87A10E5" w14:textId="77777777" w:rsidR="00B93F8C" w:rsidRPr="00F07060" w:rsidRDefault="00B93F8C" w:rsidP="002C76E7">
            <w:pPr>
              <w:rPr>
                <w:b/>
                <w:bCs/>
                <w:color w:val="000000"/>
                <w:sz w:val="16"/>
                <w:szCs w:val="16"/>
              </w:rPr>
            </w:pPr>
            <w:r w:rsidRPr="00F07060">
              <w:rPr>
                <w:b/>
                <w:bCs/>
                <w:color w:val="000000"/>
                <w:sz w:val="16"/>
                <w:szCs w:val="16"/>
              </w:rPr>
              <w:t>Don't know</w:t>
            </w:r>
          </w:p>
        </w:tc>
      </w:tr>
      <w:tr w:rsidR="00B93F8C" w:rsidRPr="00F07060" w14:paraId="3BE21487" w14:textId="77777777" w:rsidTr="00D5426A">
        <w:trPr>
          <w:trHeight w:val="19"/>
        </w:trPr>
        <w:tc>
          <w:tcPr>
            <w:tcW w:w="2684"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27BC68A5" w14:textId="77777777" w:rsidR="00B93F8C" w:rsidRPr="00F07060" w:rsidRDefault="00B93F8C" w:rsidP="002C76E7">
            <w:pPr>
              <w:rPr>
                <w:b/>
                <w:bCs/>
                <w:color w:val="000000"/>
                <w:sz w:val="16"/>
                <w:szCs w:val="16"/>
              </w:rPr>
            </w:pPr>
            <w:r w:rsidRPr="00F07060">
              <w:rPr>
                <w:b/>
                <w:bCs/>
                <w:color w:val="000000"/>
                <w:sz w:val="16"/>
                <w:szCs w:val="16"/>
              </w:rPr>
              <w:t>Feasibility</w:t>
            </w:r>
          </w:p>
        </w:tc>
        <w:tc>
          <w:tcPr>
            <w:tcW w:w="113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20756B0" w14:textId="77777777" w:rsidR="00B93F8C" w:rsidRPr="00F07060" w:rsidRDefault="00B93F8C" w:rsidP="002C76E7">
            <w:pPr>
              <w:rPr>
                <w:b/>
                <w:bCs/>
                <w:color w:val="000000"/>
                <w:sz w:val="16"/>
                <w:szCs w:val="16"/>
              </w:rPr>
            </w:pPr>
            <w:r w:rsidRPr="00F07060">
              <w:rPr>
                <w:b/>
                <w:bCs/>
                <w:color w:val="000000"/>
                <w:sz w:val="16"/>
                <w:szCs w:val="16"/>
              </w:rPr>
              <w:t>No</w:t>
            </w:r>
          </w:p>
        </w:tc>
        <w:tc>
          <w:tcPr>
            <w:tcW w:w="1448"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E95621F" w14:textId="77777777" w:rsidR="00B93F8C" w:rsidRPr="00F07060" w:rsidRDefault="00B93F8C" w:rsidP="002C76E7">
            <w:pPr>
              <w:rPr>
                <w:b/>
                <w:bCs/>
                <w:color w:val="000000"/>
                <w:sz w:val="16"/>
                <w:szCs w:val="16"/>
              </w:rPr>
            </w:pPr>
            <w:r w:rsidRPr="00F07060">
              <w:rPr>
                <w:b/>
                <w:bCs/>
                <w:color w:val="000000"/>
                <w:sz w:val="16"/>
                <w:szCs w:val="16"/>
              </w:rPr>
              <w:t>Probably no</w:t>
            </w:r>
          </w:p>
        </w:tc>
        <w:tc>
          <w:tcPr>
            <w:tcW w:w="1701"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73E22457" w14:textId="77777777" w:rsidR="00B93F8C" w:rsidRPr="00F07060" w:rsidRDefault="00B93F8C" w:rsidP="002C76E7">
            <w:pPr>
              <w:rPr>
                <w:b/>
                <w:bCs/>
                <w:color w:val="000000"/>
                <w:sz w:val="16"/>
                <w:szCs w:val="16"/>
              </w:rPr>
            </w:pPr>
            <w:r w:rsidRPr="00F07060">
              <w:rPr>
                <w:b/>
                <w:bCs/>
                <w:color w:val="000000"/>
                <w:sz w:val="16"/>
                <w:szCs w:val="16"/>
              </w:rPr>
              <w:t>Probably yes</w:t>
            </w:r>
          </w:p>
        </w:tc>
        <w:tc>
          <w:tcPr>
            <w:tcW w:w="1387"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5990FB9" w14:textId="77777777" w:rsidR="00B93F8C" w:rsidRPr="00F07060" w:rsidRDefault="00B93F8C" w:rsidP="002C76E7">
            <w:pPr>
              <w:rPr>
                <w:b/>
                <w:bCs/>
                <w:color w:val="000000"/>
                <w:sz w:val="16"/>
                <w:szCs w:val="16"/>
              </w:rPr>
            </w:pPr>
            <w:r w:rsidRPr="00F07060">
              <w:rPr>
                <w:b/>
                <w:bCs/>
                <w:color w:val="000000"/>
                <w:sz w:val="16"/>
                <w:szCs w:val="16"/>
              </w:rPr>
              <w:t>Yes</w:t>
            </w:r>
          </w:p>
        </w:tc>
        <w:tc>
          <w:tcPr>
            <w:tcW w:w="98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BFCF843" w14:textId="77777777" w:rsidR="00B93F8C" w:rsidRPr="00F07060" w:rsidRDefault="00B93F8C" w:rsidP="002C76E7">
            <w:pPr>
              <w:rPr>
                <w:b/>
                <w:bCs/>
                <w:color w:val="000000"/>
                <w:sz w:val="16"/>
                <w:szCs w:val="16"/>
              </w:rPr>
            </w:pPr>
          </w:p>
        </w:tc>
        <w:tc>
          <w:tcPr>
            <w:tcW w:w="1498"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2CCE3D4" w14:textId="77777777" w:rsidR="00B93F8C" w:rsidRPr="00F07060" w:rsidRDefault="00B93F8C" w:rsidP="002C76E7">
            <w:pPr>
              <w:rPr>
                <w:b/>
                <w:bCs/>
                <w:color w:val="000000"/>
                <w:sz w:val="16"/>
                <w:szCs w:val="16"/>
              </w:rPr>
            </w:pPr>
            <w:r w:rsidRPr="00F07060">
              <w:rPr>
                <w:b/>
                <w:bCs/>
                <w:color w:val="000000"/>
                <w:sz w:val="16"/>
                <w:szCs w:val="16"/>
              </w:rPr>
              <w:t>Varies</w:t>
            </w:r>
          </w:p>
        </w:tc>
        <w:tc>
          <w:tcPr>
            <w:tcW w:w="1590"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94D0C6B" w14:textId="77777777" w:rsidR="00B93F8C" w:rsidRPr="00F07060" w:rsidRDefault="00B93F8C" w:rsidP="002C76E7">
            <w:pPr>
              <w:rPr>
                <w:b/>
                <w:bCs/>
                <w:color w:val="000000"/>
                <w:sz w:val="16"/>
                <w:szCs w:val="16"/>
              </w:rPr>
            </w:pPr>
            <w:r w:rsidRPr="00F07060">
              <w:rPr>
                <w:b/>
                <w:bCs/>
                <w:color w:val="000000"/>
                <w:sz w:val="16"/>
                <w:szCs w:val="16"/>
              </w:rPr>
              <w:t>Don't know</w:t>
            </w:r>
          </w:p>
        </w:tc>
      </w:tr>
    </w:tbl>
    <w:p w14:paraId="2EF6462F" w14:textId="38EF5743" w:rsidR="00B93F8C" w:rsidRDefault="00B93F8C" w:rsidP="00B93F8C">
      <w:pPr>
        <w:rPr>
          <w:b/>
          <w:bCs/>
          <w:color w:val="000000"/>
          <w:sz w:val="20"/>
          <w:szCs w:val="20"/>
          <w:lang w:val="en"/>
        </w:rPr>
      </w:pPr>
    </w:p>
    <w:p w14:paraId="79C8D5ED" w14:textId="1F5D1238" w:rsidR="00B93F8C" w:rsidRPr="00BC0EB8" w:rsidRDefault="00B93F8C" w:rsidP="00BC0EB8">
      <w:pPr>
        <w:rPr>
          <w:b/>
          <w:sz w:val="20"/>
          <w:szCs w:val="20"/>
        </w:rPr>
      </w:pPr>
      <w:r w:rsidRPr="00B93F8C">
        <w:rPr>
          <w:b/>
          <w:bCs/>
          <w:color w:val="000000"/>
          <w:sz w:val="20"/>
          <w:szCs w:val="20"/>
          <w:lang w:val="en"/>
        </w:rPr>
        <w:t>Table S</w:t>
      </w:r>
      <w:r w:rsidR="00B07FB1">
        <w:rPr>
          <w:b/>
          <w:bCs/>
          <w:color w:val="000000"/>
          <w:sz w:val="20"/>
          <w:szCs w:val="20"/>
          <w:lang w:val="en"/>
        </w:rPr>
        <w:t>30</w:t>
      </w:r>
      <w:r w:rsidRPr="00B93F8C">
        <w:rPr>
          <w:b/>
          <w:bCs/>
          <w:color w:val="000000"/>
          <w:sz w:val="20"/>
          <w:szCs w:val="20"/>
          <w:lang w:val="en"/>
        </w:rPr>
        <w:t xml:space="preserve"> </w:t>
      </w:r>
      <w:r w:rsidRPr="00B07FB1">
        <w:rPr>
          <w:b/>
          <w:sz w:val="20"/>
          <w:szCs w:val="20"/>
        </w:rPr>
        <w:t xml:space="preserve">Evidence to decision table supporting recommendations for dupilumab for severe </w:t>
      </w:r>
      <w:r w:rsidR="0000755C">
        <w:rPr>
          <w:b/>
          <w:sz w:val="20"/>
          <w:szCs w:val="20"/>
        </w:rPr>
        <w:t xml:space="preserve">T2 </w:t>
      </w:r>
      <w:r w:rsidRPr="00B07FB1">
        <w:rPr>
          <w:b/>
          <w:sz w:val="20"/>
          <w:szCs w:val="20"/>
        </w:rPr>
        <w:t>asthma (lung function)</w:t>
      </w:r>
    </w:p>
    <w:tbl>
      <w:tblPr>
        <w:tblW w:w="0" w:type="auto"/>
        <w:tblCellMar>
          <w:left w:w="0" w:type="dxa"/>
          <w:right w:w="0" w:type="dxa"/>
        </w:tblCellMar>
        <w:tblLook w:val="04A0" w:firstRow="1" w:lastRow="0" w:firstColumn="1" w:lastColumn="0" w:noHBand="0" w:noVBand="1"/>
      </w:tblPr>
      <w:tblGrid>
        <w:gridCol w:w="2400"/>
        <w:gridCol w:w="1701"/>
        <w:gridCol w:w="1590"/>
        <w:gridCol w:w="1985"/>
        <w:gridCol w:w="2268"/>
        <w:gridCol w:w="984"/>
        <w:gridCol w:w="758"/>
        <w:gridCol w:w="1487"/>
      </w:tblGrid>
      <w:tr w:rsidR="00B93F8C" w:rsidRPr="00F07060" w14:paraId="1CD8A9EE" w14:textId="77777777" w:rsidTr="00B07FB1">
        <w:trPr>
          <w:trHeight w:val="19"/>
        </w:trPr>
        <w:tc>
          <w:tcPr>
            <w:tcW w:w="2400" w:type="dxa"/>
            <w:tcBorders>
              <w:top w:val="single" w:sz="8" w:space="0" w:color="FFFFFF"/>
              <w:left w:val="single" w:sz="8" w:space="0" w:color="FFFFFF"/>
              <w:bottom w:val="single" w:sz="24" w:space="0" w:color="FFFFFF"/>
              <w:right w:val="single" w:sz="8" w:space="0" w:color="FFFFFF"/>
            </w:tcBorders>
            <w:shd w:val="clear" w:color="auto" w:fill="5B9BD5"/>
            <w:tcMar>
              <w:top w:w="74" w:type="dxa"/>
              <w:left w:w="74" w:type="dxa"/>
              <w:bottom w:w="74" w:type="dxa"/>
              <w:right w:w="74" w:type="dxa"/>
            </w:tcMar>
            <w:vAlign w:val="center"/>
            <w:hideMark/>
          </w:tcPr>
          <w:p w14:paraId="28C3F124" w14:textId="77777777" w:rsidR="00B93F8C" w:rsidRPr="00F07060" w:rsidRDefault="00B93F8C" w:rsidP="002C76E7">
            <w:pPr>
              <w:rPr>
                <w:b/>
                <w:bCs/>
                <w:color w:val="000000"/>
                <w:sz w:val="16"/>
                <w:szCs w:val="16"/>
              </w:rPr>
            </w:pPr>
          </w:p>
        </w:tc>
        <w:tc>
          <w:tcPr>
            <w:tcW w:w="10773" w:type="dxa"/>
            <w:gridSpan w:val="7"/>
            <w:tcBorders>
              <w:top w:val="single" w:sz="8" w:space="0" w:color="FFFFFF"/>
              <w:left w:val="single" w:sz="8" w:space="0" w:color="FFFFFF"/>
              <w:bottom w:val="single" w:sz="24" w:space="0" w:color="FFFFFF"/>
              <w:right w:val="single" w:sz="8" w:space="0" w:color="FFFFFF"/>
            </w:tcBorders>
            <w:shd w:val="clear" w:color="auto" w:fill="5B9BD5"/>
            <w:tcMar>
              <w:top w:w="74" w:type="dxa"/>
              <w:left w:w="74" w:type="dxa"/>
              <w:bottom w:w="74" w:type="dxa"/>
              <w:right w:w="74" w:type="dxa"/>
            </w:tcMar>
            <w:vAlign w:val="center"/>
            <w:hideMark/>
          </w:tcPr>
          <w:p w14:paraId="0006B84A" w14:textId="77777777" w:rsidR="00B93F8C" w:rsidRPr="00F07060" w:rsidRDefault="00B93F8C" w:rsidP="002C76E7">
            <w:pPr>
              <w:rPr>
                <w:b/>
                <w:bCs/>
                <w:color w:val="000000"/>
                <w:sz w:val="16"/>
                <w:szCs w:val="16"/>
              </w:rPr>
            </w:pPr>
            <w:r w:rsidRPr="00F07060">
              <w:rPr>
                <w:b/>
                <w:bCs/>
                <w:color w:val="000000"/>
                <w:sz w:val="16"/>
                <w:szCs w:val="16"/>
              </w:rPr>
              <w:t>Judgement</w:t>
            </w:r>
          </w:p>
        </w:tc>
      </w:tr>
      <w:tr w:rsidR="00B93F8C" w:rsidRPr="00F07060" w14:paraId="256927D3" w14:textId="77777777" w:rsidTr="00B07FB1">
        <w:trPr>
          <w:trHeight w:val="91"/>
        </w:trPr>
        <w:tc>
          <w:tcPr>
            <w:tcW w:w="2400" w:type="dxa"/>
            <w:tcBorders>
              <w:top w:val="single" w:sz="24"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3EFBC809" w14:textId="77777777" w:rsidR="00B93F8C" w:rsidRPr="00F07060" w:rsidRDefault="00B93F8C" w:rsidP="002C76E7">
            <w:pPr>
              <w:rPr>
                <w:b/>
                <w:bCs/>
                <w:color w:val="000000"/>
                <w:sz w:val="16"/>
                <w:szCs w:val="16"/>
              </w:rPr>
            </w:pPr>
            <w:r w:rsidRPr="00F07060">
              <w:rPr>
                <w:b/>
                <w:bCs/>
                <w:color w:val="000000"/>
                <w:sz w:val="16"/>
                <w:szCs w:val="16"/>
              </w:rPr>
              <w:t>Problem (importance)</w:t>
            </w:r>
          </w:p>
        </w:tc>
        <w:tc>
          <w:tcPr>
            <w:tcW w:w="1701"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C35C7B3" w14:textId="77777777" w:rsidR="00B93F8C" w:rsidRPr="00F07060" w:rsidRDefault="00B93F8C" w:rsidP="002C76E7">
            <w:pPr>
              <w:rPr>
                <w:b/>
                <w:bCs/>
                <w:color w:val="000000"/>
                <w:sz w:val="16"/>
                <w:szCs w:val="16"/>
              </w:rPr>
            </w:pPr>
            <w:r w:rsidRPr="00F07060">
              <w:rPr>
                <w:b/>
                <w:bCs/>
                <w:color w:val="000000"/>
                <w:sz w:val="16"/>
                <w:szCs w:val="16"/>
              </w:rPr>
              <w:t>No</w:t>
            </w:r>
          </w:p>
        </w:tc>
        <w:tc>
          <w:tcPr>
            <w:tcW w:w="1590"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63B1458" w14:textId="77777777" w:rsidR="00B93F8C" w:rsidRPr="00F07060" w:rsidRDefault="00B93F8C" w:rsidP="002C76E7">
            <w:pPr>
              <w:rPr>
                <w:b/>
                <w:bCs/>
                <w:color w:val="000000"/>
                <w:sz w:val="16"/>
                <w:szCs w:val="16"/>
              </w:rPr>
            </w:pPr>
            <w:r w:rsidRPr="00F07060">
              <w:rPr>
                <w:b/>
                <w:bCs/>
                <w:color w:val="000000"/>
                <w:sz w:val="16"/>
                <w:szCs w:val="16"/>
              </w:rPr>
              <w:t>Probably no</w:t>
            </w:r>
          </w:p>
        </w:tc>
        <w:tc>
          <w:tcPr>
            <w:tcW w:w="1985"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388202C" w14:textId="77777777" w:rsidR="00B93F8C" w:rsidRPr="00F07060" w:rsidRDefault="00B93F8C" w:rsidP="002C76E7">
            <w:pPr>
              <w:rPr>
                <w:b/>
                <w:bCs/>
                <w:color w:val="000000"/>
                <w:sz w:val="16"/>
                <w:szCs w:val="16"/>
              </w:rPr>
            </w:pPr>
            <w:r w:rsidRPr="00F07060">
              <w:rPr>
                <w:b/>
                <w:bCs/>
                <w:color w:val="000000"/>
                <w:sz w:val="16"/>
                <w:szCs w:val="16"/>
              </w:rPr>
              <w:t>Probably yes</w:t>
            </w:r>
          </w:p>
        </w:tc>
        <w:tc>
          <w:tcPr>
            <w:tcW w:w="2268" w:type="dxa"/>
            <w:tcBorders>
              <w:top w:val="single" w:sz="24"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48473EA1" w14:textId="77777777" w:rsidR="00B93F8C" w:rsidRPr="00F07060" w:rsidRDefault="00B93F8C" w:rsidP="002C76E7">
            <w:pPr>
              <w:rPr>
                <w:b/>
                <w:bCs/>
                <w:color w:val="000000"/>
                <w:sz w:val="16"/>
                <w:szCs w:val="16"/>
              </w:rPr>
            </w:pPr>
            <w:r w:rsidRPr="00F07060">
              <w:rPr>
                <w:b/>
                <w:bCs/>
                <w:color w:val="000000"/>
                <w:sz w:val="16"/>
                <w:szCs w:val="16"/>
              </w:rPr>
              <w:t>Yes</w:t>
            </w:r>
          </w:p>
        </w:tc>
        <w:tc>
          <w:tcPr>
            <w:tcW w:w="984"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03A900F" w14:textId="77777777" w:rsidR="00B93F8C" w:rsidRPr="00F07060" w:rsidRDefault="00B93F8C" w:rsidP="002C76E7">
            <w:pPr>
              <w:rPr>
                <w:b/>
                <w:bCs/>
                <w:color w:val="000000"/>
                <w:sz w:val="16"/>
                <w:szCs w:val="16"/>
              </w:rPr>
            </w:pPr>
          </w:p>
        </w:tc>
        <w:tc>
          <w:tcPr>
            <w:tcW w:w="758"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1B58D08" w14:textId="77777777" w:rsidR="00B93F8C" w:rsidRPr="00F07060" w:rsidRDefault="00B93F8C" w:rsidP="002C76E7">
            <w:pPr>
              <w:rPr>
                <w:b/>
                <w:bCs/>
                <w:color w:val="000000"/>
                <w:sz w:val="16"/>
                <w:szCs w:val="16"/>
              </w:rPr>
            </w:pPr>
            <w:r w:rsidRPr="00F07060">
              <w:rPr>
                <w:b/>
                <w:bCs/>
                <w:color w:val="000000"/>
                <w:sz w:val="16"/>
                <w:szCs w:val="16"/>
              </w:rPr>
              <w:t>Varies</w:t>
            </w:r>
          </w:p>
        </w:tc>
        <w:tc>
          <w:tcPr>
            <w:tcW w:w="1487"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CF02FDD" w14:textId="77777777" w:rsidR="00B93F8C" w:rsidRPr="00F07060" w:rsidRDefault="00B93F8C" w:rsidP="002C76E7">
            <w:pPr>
              <w:rPr>
                <w:b/>
                <w:bCs/>
                <w:color w:val="000000"/>
                <w:sz w:val="16"/>
                <w:szCs w:val="16"/>
              </w:rPr>
            </w:pPr>
            <w:r w:rsidRPr="00F07060">
              <w:rPr>
                <w:b/>
                <w:bCs/>
                <w:color w:val="000000"/>
                <w:sz w:val="16"/>
                <w:szCs w:val="16"/>
              </w:rPr>
              <w:t>Don't know</w:t>
            </w:r>
          </w:p>
        </w:tc>
      </w:tr>
      <w:tr w:rsidR="00B93F8C" w:rsidRPr="00F07060" w14:paraId="19F478FB" w14:textId="77777777" w:rsidTr="00B07FB1">
        <w:trPr>
          <w:trHeight w:val="19"/>
        </w:trPr>
        <w:tc>
          <w:tcPr>
            <w:tcW w:w="2400"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4E298AEA" w14:textId="77777777" w:rsidR="00B93F8C" w:rsidRPr="00F07060" w:rsidRDefault="00B93F8C" w:rsidP="002C76E7">
            <w:pPr>
              <w:rPr>
                <w:b/>
                <w:bCs/>
                <w:color w:val="000000"/>
                <w:sz w:val="16"/>
                <w:szCs w:val="16"/>
              </w:rPr>
            </w:pPr>
            <w:r w:rsidRPr="00F07060">
              <w:rPr>
                <w:b/>
                <w:bCs/>
                <w:color w:val="000000"/>
                <w:sz w:val="16"/>
                <w:szCs w:val="16"/>
              </w:rPr>
              <w:t>Desirable Effects</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AC314DE" w14:textId="77777777" w:rsidR="00B93F8C" w:rsidRPr="00F07060" w:rsidRDefault="00B93F8C" w:rsidP="002C76E7">
            <w:pPr>
              <w:rPr>
                <w:b/>
                <w:bCs/>
                <w:color w:val="000000"/>
                <w:sz w:val="16"/>
                <w:szCs w:val="16"/>
              </w:rPr>
            </w:pPr>
            <w:r w:rsidRPr="00F07060">
              <w:rPr>
                <w:b/>
                <w:bCs/>
                <w:color w:val="000000"/>
                <w:sz w:val="16"/>
                <w:szCs w:val="16"/>
              </w:rPr>
              <w:t>Trivial</w:t>
            </w:r>
          </w:p>
        </w:tc>
        <w:tc>
          <w:tcPr>
            <w:tcW w:w="1590"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90444AB" w14:textId="77777777" w:rsidR="00B93F8C" w:rsidRPr="00F07060" w:rsidRDefault="00B93F8C" w:rsidP="002C76E7">
            <w:pPr>
              <w:rPr>
                <w:b/>
                <w:bCs/>
                <w:color w:val="000000"/>
                <w:sz w:val="16"/>
                <w:szCs w:val="16"/>
              </w:rPr>
            </w:pPr>
            <w:r w:rsidRPr="00F07060">
              <w:rPr>
                <w:b/>
                <w:bCs/>
                <w:color w:val="000000"/>
                <w:sz w:val="16"/>
                <w:szCs w:val="16"/>
              </w:rPr>
              <w:t>Small</w:t>
            </w:r>
          </w:p>
        </w:tc>
        <w:tc>
          <w:tcPr>
            <w:tcW w:w="198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3CB1A8E" w14:textId="77777777" w:rsidR="00B93F8C" w:rsidRPr="00F07060" w:rsidRDefault="00B93F8C" w:rsidP="002C76E7">
            <w:pPr>
              <w:rPr>
                <w:b/>
                <w:bCs/>
                <w:color w:val="000000"/>
                <w:sz w:val="16"/>
                <w:szCs w:val="16"/>
              </w:rPr>
            </w:pPr>
            <w:r w:rsidRPr="00F07060">
              <w:rPr>
                <w:b/>
                <w:bCs/>
                <w:color w:val="000000"/>
                <w:sz w:val="16"/>
                <w:szCs w:val="16"/>
              </w:rPr>
              <w:t>Moderate</w:t>
            </w:r>
          </w:p>
        </w:tc>
        <w:tc>
          <w:tcPr>
            <w:tcW w:w="2268"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31C68989" w14:textId="77777777" w:rsidR="00B93F8C" w:rsidRPr="00F07060" w:rsidRDefault="00B93F8C" w:rsidP="002C76E7">
            <w:pPr>
              <w:rPr>
                <w:b/>
                <w:bCs/>
                <w:color w:val="000000"/>
                <w:sz w:val="16"/>
                <w:szCs w:val="16"/>
              </w:rPr>
            </w:pPr>
            <w:r w:rsidRPr="00F07060">
              <w:rPr>
                <w:b/>
                <w:bCs/>
                <w:color w:val="000000"/>
                <w:sz w:val="16"/>
                <w:szCs w:val="16"/>
              </w:rPr>
              <w:t>Large</w:t>
            </w:r>
          </w:p>
        </w:tc>
        <w:tc>
          <w:tcPr>
            <w:tcW w:w="98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8971F58" w14:textId="77777777" w:rsidR="00B93F8C" w:rsidRPr="00F07060" w:rsidRDefault="00B93F8C" w:rsidP="002C76E7">
            <w:pPr>
              <w:rPr>
                <w:b/>
                <w:bCs/>
                <w:color w:val="000000"/>
                <w:sz w:val="16"/>
                <w:szCs w:val="16"/>
              </w:rPr>
            </w:pPr>
          </w:p>
        </w:tc>
        <w:tc>
          <w:tcPr>
            <w:tcW w:w="758"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89A2CE3" w14:textId="77777777" w:rsidR="00B93F8C" w:rsidRPr="00F07060" w:rsidRDefault="00B93F8C" w:rsidP="002C76E7">
            <w:pPr>
              <w:rPr>
                <w:b/>
                <w:bCs/>
                <w:color w:val="000000"/>
                <w:sz w:val="16"/>
                <w:szCs w:val="16"/>
              </w:rPr>
            </w:pPr>
            <w:r w:rsidRPr="00F07060">
              <w:rPr>
                <w:b/>
                <w:bCs/>
                <w:color w:val="000000"/>
                <w:sz w:val="16"/>
                <w:szCs w:val="16"/>
              </w:rPr>
              <w:t>Varies</w:t>
            </w:r>
          </w:p>
        </w:tc>
        <w:tc>
          <w:tcPr>
            <w:tcW w:w="1487"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DB8E9F6" w14:textId="77777777" w:rsidR="00B93F8C" w:rsidRPr="00F07060" w:rsidRDefault="00B93F8C" w:rsidP="002C76E7">
            <w:pPr>
              <w:rPr>
                <w:b/>
                <w:bCs/>
                <w:color w:val="000000"/>
                <w:sz w:val="16"/>
                <w:szCs w:val="16"/>
              </w:rPr>
            </w:pPr>
            <w:r w:rsidRPr="00F07060">
              <w:rPr>
                <w:b/>
                <w:bCs/>
                <w:color w:val="000000"/>
                <w:sz w:val="16"/>
                <w:szCs w:val="16"/>
              </w:rPr>
              <w:t>Don't know</w:t>
            </w:r>
          </w:p>
        </w:tc>
      </w:tr>
      <w:tr w:rsidR="00B93F8C" w:rsidRPr="00F07060" w14:paraId="25E8A01E" w14:textId="77777777" w:rsidTr="00B07FB1">
        <w:trPr>
          <w:trHeight w:val="19"/>
        </w:trPr>
        <w:tc>
          <w:tcPr>
            <w:tcW w:w="2400"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52D1FD44" w14:textId="77777777" w:rsidR="00B93F8C" w:rsidRPr="00F07060" w:rsidRDefault="00B93F8C" w:rsidP="002C76E7">
            <w:pPr>
              <w:rPr>
                <w:b/>
                <w:bCs/>
                <w:color w:val="000000"/>
                <w:sz w:val="16"/>
                <w:szCs w:val="16"/>
              </w:rPr>
            </w:pPr>
            <w:r w:rsidRPr="00F07060">
              <w:rPr>
                <w:b/>
                <w:bCs/>
                <w:color w:val="000000"/>
                <w:sz w:val="16"/>
                <w:szCs w:val="16"/>
              </w:rPr>
              <w:t>Undesirable Effects</w:t>
            </w: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CEDE980" w14:textId="77777777" w:rsidR="00B93F8C" w:rsidRPr="00F07060" w:rsidRDefault="00B93F8C" w:rsidP="002C76E7">
            <w:pPr>
              <w:rPr>
                <w:b/>
                <w:bCs/>
                <w:color w:val="000000"/>
                <w:sz w:val="16"/>
                <w:szCs w:val="16"/>
              </w:rPr>
            </w:pPr>
            <w:r w:rsidRPr="00F07060">
              <w:rPr>
                <w:b/>
                <w:bCs/>
                <w:color w:val="000000"/>
                <w:sz w:val="16"/>
                <w:szCs w:val="16"/>
              </w:rPr>
              <w:t>Large</w:t>
            </w:r>
          </w:p>
        </w:tc>
        <w:tc>
          <w:tcPr>
            <w:tcW w:w="1590"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E23BE80" w14:textId="77777777" w:rsidR="00B93F8C" w:rsidRPr="00F07060" w:rsidRDefault="00B93F8C" w:rsidP="002C76E7">
            <w:pPr>
              <w:rPr>
                <w:b/>
                <w:bCs/>
                <w:color w:val="000000"/>
                <w:sz w:val="16"/>
                <w:szCs w:val="16"/>
              </w:rPr>
            </w:pPr>
            <w:r w:rsidRPr="00F07060">
              <w:rPr>
                <w:b/>
                <w:bCs/>
                <w:color w:val="000000"/>
                <w:sz w:val="16"/>
                <w:szCs w:val="16"/>
              </w:rPr>
              <w:t>Moderate</w:t>
            </w:r>
          </w:p>
        </w:tc>
        <w:tc>
          <w:tcPr>
            <w:tcW w:w="1985"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2C4FF6AA" w14:textId="77777777" w:rsidR="00B93F8C" w:rsidRPr="00F07060" w:rsidRDefault="00B93F8C" w:rsidP="002C76E7">
            <w:pPr>
              <w:rPr>
                <w:b/>
                <w:bCs/>
                <w:color w:val="000000"/>
                <w:sz w:val="16"/>
                <w:szCs w:val="16"/>
              </w:rPr>
            </w:pPr>
            <w:r w:rsidRPr="00F07060">
              <w:rPr>
                <w:b/>
                <w:bCs/>
                <w:color w:val="000000"/>
                <w:sz w:val="16"/>
                <w:szCs w:val="16"/>
              </w:rPr>
              <w:t>Small</w:t>
            </w:r>
          </w:p>
        </w:tc>
        <w:tc>
          <w:tcPr>
            <w:tcW w:w="2268"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2B69A26" w14:textId="77777777" w:rsidR="00B93F8C" w:rsidRPr="00F07060" w:rsidRDefault="00B93F8C" w:rsidP="002C76E7">
            <w:pPr>
              <w:rPr>
                <w:b/>
                <w:bCs/>
                <w:color w:val="000000"/>
                <w:sz w:val="16"/>
                <w:szCs w:val="16"/>
              </w:rPr>
            </w:pPr>
            <w:r w:rsidRPr="00F07060">
              <w:rPr>
                <w:b/>
                <w:bCs/>
                <w:color w:val="000000"/>
                <w:sz w:val="16"/>
                <w:szCs w:val="16"/>
              </w:rPr>
              <w:t>Trivial</w:t>
            </w:r>
          </w:p>
        </w:tc>
        <w:tc>
          <w:tcPr>
            <w:tcW w:w="98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24454BD" w14:textId="77777777" w:rsidR="00B93F8C" w:rsidRPr="00F07060" w:rsidRDefault="00B93F8C" w:rsidP="002C76E7">
            <w:pPr>
              <w:rPr>
                <w:b/>
                <w:bCs/>
                <w:color w:val="000000"/>
                <w:sz w:val="16"/>
                <w:szCs w:val="16"/>
              </w:rPr>
            </w:pPr>
          </w:p>
        </w:tc>
        <w:tc>
          <w:tcPr>
            <w:tcW w:w="758"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2737B3A" w14:textId="77777777" w:rsidR="00B93F8C" w:rsidRPr="00F07060" w:rsidRDefault="00B93F8C" w:rsidP="002C76E7">
            <w:pPr>
              <w:rPr>
                <w:b/>
                <w:bCs/>
                <w:color w:val="000000"/>
                <w:sz w:val="16"/>
                <w:szCs w:val="16"/>
              </w:rPr>
            </w:pPr>
            <w:r w:rsidRPr="00F07060">
              <w:rPr>
                <w:b/>
                <w:bCs/>
                <w:color w:val="000000"/>
                <w:sz w:val="16"/>
                <w:szCs w:val="16"/>
              </w:rPr>
              <w:t>Varies</w:t>
            </w:r>
          </w:p>
        </w:tc>
        <w:tc>
          <w:tcPr>
            <w:tcW w:w="1487"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34B2C1F" w14:textId="77777777" w:rsidR="00B93F8C" w:rsidRPr="00F07060" w:rsidRDefault="00B93F8C" w:rsidP="002C76E7">
            <w:pPr>
              <w:rPr>
                <w:b/>
                <w:bCs/>
                <w:color w:val="000000"/>
                <w:sz w:val="16"/>
                <w:szCs w:val="16"/>
              </w:rPr>
            </w:pPr>
            <w:r w:rsidRPr="00F07060">
              <w:rPr>
                <w:b/>
                <w:bCs/>
                <w:color w:val="000000"/>
                <w:sz w:val="16"/>
                <w:szCs w:val="16"/>
              </w:rPr>
              <w:t>Don't know</w:t>
            </w:r>
          </w:p>
        </w:tc>
      </w:tr>
      <w:tr w:rsidR="00B93F8C" w:rsidRPr="00F07060" w14:paraId="6BD95905" w14:textId="77777777" w:rsidTr="00B07FB1">
        <w:trPr>
          <w:trHeight w:val="19"/>
        </w:trPr>
        <w:tc>
          <w:tcPr>
            <w:tcW w:w="2400"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6853664E" w14:textId="77777777" w:rsidR="00B93F8C" w:rsidRPr="00F07060" w:rsidRDefault="00B93F8C" w:rsidP="002C76E7">
            <w:pPr>
              <w:rPr>
                <w:b/>
                <w:bCs/>
                <w:color w:val="000000"/>
                <w:sz w:val="16"/>
                <w:szCs w:val="16"/>
              </w:rPr>
            </w:pPr>
            <w:r w:rsidRPr="00F07060">
              <w:rPr>
                <w:b/>
                <w:bCs/>
                <w:color w:val="000000"/>
                <w:sz w:val="16"/>
                <w:szCs w:val="16"/>
              </w:rPr>
              <w:t>Certainty of evidence</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2889C25" w14:textId="77777777" w:rsidR="00B93F8C" w:rsidRPr="00F07060" w:rsidRDefault="00B93F8C" w:rsidP="002C76E7">
            <w:pPr>
              <w:rPr>
                <w:b/>
                <w:bCs/>
                <w:color w:val="000000"/>
                <w:sz w:val="16"/>
                <w:szCs w:val="16"/>
              </w:rPr>
            </w:pPr>
            <w:r w:rsidRPr="00F07060">
              <w:rPr>
                <w:b/>
                <w:bCs/>
                <w:color w:val="000000"/>
                <w:sz w:val="16"/>
                <w:szCs w:val="16"/>
              </w:rPr>
              <w:t>Very low</w:t>
            </w:r>
          </w:p>
        </w:tc>
        <w:tc>
          <w:tcPr>
            <w:tcW w:w="1590"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DDB212B" w14:textId="77777777" w:rsidR="00B93F8C" w:rsidRPr="00F07060" w:rsidRDefault="00B93F8C" w:rsidP="002C76E7">
            <w:pPr>
              <w:rPr>
                <w:b/>
                <w:bCs/>
                <w:color w:val="000000"/>
                <w:sz w:val="16"/>
                <w:szCs w:val="16"/>
              </w:rPr>
            </w:pPr>
            <w:r w:rsidRPr="00F07060">
              <w:rPr>
                <w:b/>
                <w:bCs/>
                <w:color w:val="000000"/>
                <w:sz w:val="16"/>
                <w:szCs w:val="16"/>
              </w:rPr>
              <w:t>Low</w:t>
            </w:r>
          </w:p>
        </w:tc>
        <w:tc>
          <w:tcPr>
            <w:tcW w:w="1985"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4A942D69" w14:textId="77777777" w:rsidR="00B93F8C" w:rsidRPr="00F07060" w:rsidRDefault="00B93F8C" w:rsidP="002C76E7">
            <w:pPr>
              <w:rPr>
                <w:b/>
                <w:bCs/>
                <w:color w:val="000000"/>
                <w:sz w:val="16"/>
                <w:szCs w:val="16"/>
              </w:rPr>
            </w:pPr>
            <w:r w:rsidRPr="00F07060">
              <w:rPr>
                <w:b/>
                <w:bCs/>
                <w:color w:val="000000"/>
                <w:sz w:val="16"/>
                <w:szCs w:val="16"/>
              </w:rPr>
              <w:t>Moderate</w:t>
            </w:r>
          </w:p>
        </w:tc>
        <w:tc>
          <w:tcPr>
            <w:tcW w:w="226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4" w:type="dxa"/>
              <w:left w:w="74" w:type="dxa"/>
              <w:bottom w:w="74" w:type="dxa"/>
              <w:right w:w="74" w:type="dxa"/>
            </w:tcMar>
            <w:vAlign w:val="center"/>
            <w:hideMark/>
          </w:tcPr>
          <w:p w14:paraId="319EF73A" w14:textId="77777777" w:rsidR="00B93F8C" w:rsidRPr="00F07060" w:rsidRDefault="00B93F8C" w:rsidP="002C76E7">
            <w:pPr>
              <w:rPr>
                <w:b/>
                <w:bCs/>
                <w:color w:val="000000"/>
                <w:sz w:val="16"/>
                <w:szCs w:val="16"/>
              </w:rPr>
            </w:pPr>
            <w:r w:rsidRPr="00F07060">
              <w:rPr>
                <w:b/>
                <w:bCs/>
                <w:color w:val="000000"/>
                <w:sz w:val="16"/>
                <w:szCs w:val="16"/>
              </w:rPr>
              <w:t>High</w:t>
            </w:r>
          </w:p>
        </w:tc>
        <w:tc>
          <w:tcPr>
            <w:tcW w:w="98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A7F3CFE" w14:textId="77777777" w:rsidR="00B93F8C" w:rsidRPr="00F07060" w:rsidRDefault="00B93F8C" w:rsidP="002C76E7">
            <w:pPr>
              <w:rPr>
                <w:b/>
                <w:bCs/>
                <w:color w:val="000000"/>
                <w:sz w:val="16"/>
                <w:szCs w:val="16"/>
              </w:rPr>
            </w:pPr>
          </w:p>
        </w:tc>
        <w:tc>
          <w:tcPr>
            <w:tcW w:w="758"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E53BCB5" w14:textId="77777777" w:rsidR="00B93F8C" w:rsidRPr="00F07060" w:rsidRDefault="00B93F8C" w:rsidP="002C76E7">
            <w:pPr>
              <w:rPr>
                <w:b/>
                <w:bCs/>
                <w:color w:val="000000"/>
                <w:sz w:val="16"/>
                <w:szCs w:val="16"/>
              </w:rPr>
            </w:pPr>
          </w:p>
        </w:tc>
        <w:tc>
          <w:tcPr>
            <w:tcW w:w="1487"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D7B3CD4" w14:textId="68470E6A" w:rsidR="00B93F8C" w:rsidRPr="00F07060" w:rsidRDefault="00B93F8C" w:rsidP="002C76E7">
            <w:pPr>
              <w:rPr>
                <w:b/>
                <w:bCs/>
                <w:color w:val="000000"/>
                <w:sz w:val="16"/>
                <w:szCs w:val="16"/>
              </w:rPr>
            </w:pPr>
            <w:r w:rsidRPr="00F07060">
              <w:rPr>
                <w:b/>
                <w:bCs/>
                <w:color w:val="000000"/>
                <w:sz w:val="16"/>
                <w:szCs w:val="16"/>
              </w:rPr>
              <w:t xml:space="preserve">No </w:t>
            </w:r>
            <w:r w:rsidR="00B07FB1" w:rsidRPr="00F07060">
              <w:rPr>
                <w:b/>
                <w:bCs/>
                <w:color w:val="000000"/>
                <w:sz w:val="16"/>
                <w:szCs w:val="16"/>
              </w:rPr>
              <w:t xml:space="preserve">studies </w:t>
            </w:r>
            <w:r w:rsidRPr="00F07060">
              <w:rPr>
                <w:b/>
                <w:bCs/>
                <w:color w:val="000000"/>
                <w:sz w:val="16"/>
                <w:szCs w:val="16"/>
              </w:rPr>
              <w:t xml:space="preserve">included </w:t>
            </w:r>
          </w:p>
        </w:tc>
      </w:tr>
      <w:tr w:rsidR="00B93F8C" w:rsidRPr="00F07060" w14:paraId="09EF969E" w14:textId="77777777" w:rsidTr="00B07FB1">
        <w:trPr>
          <w:trHeight w:val="56"/>
        </w:trPr>
        <w:tc>
          <w:tcPr>
            <w:tcW w:w="2400"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0C390403" w14:textId="77777777" w:rsidR="00B93F8C" w:rsidRPr="00F07060" w:rsidRDefault="00B93F8C" w:rsidP="002C76E7">
            <w:pPr>
              <w:rPr>
                <w:b/>
                <w:bCs/>
                <w:color w:val="000000"/>
                <w:sz w:val="16"/>
                <w:szCs w:val="16"/>
              </w:rPr>
            </w:pPr>
            <w:r w:rsidRPr="00F07060">
              <w:rPr>
                <w:b/>
                <w:bCs/>
                <w:color w:val="000000"/>
                <w:sz w:val="16"/>
                <w:szCs w:val="16"/>
              </w:rPr>
              <w:t>Values</w:t>
            </w: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25BAFD9" w14:textId="77777777" w:rsidR="00B93F8C" w:rsidRPr="00F07060" w:rsidRDefault="00B93F8C" w:rsidP="002C76E7">
            <w:pPr>
              <w:rPr>
                <w:b/>
                <w:bCs/>
                <w:color w:val="000000"/>
                <w:sz w:val="16"/>
                <w:szCs w:val="16"/>
              </w:rPr>
            </w:pPr>
            <w:r w:rsidRPr="00F07060">
              <w:rPr>
                <w:b/>
                <w:bCs/>
                <w:color w:val="000000"/>
                <w:sz w:val="16"/>
                <w:szCs w:val="16"/>
              </w:rPr>
              <w:t>Important uncertainty or variability</w:t>
            </w:r>
          </w:p>
        </w:tc>
        <w:tc>
          <w:tcPr>
            <w:tcW w:w="1590"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275D99F" w14:textId="77777777" w:rsidR="00B93F8C" w:rsidRPr="00F07060" w:rsidRDefault="00B93F8C" w:rsidP="002C76E7">
            <w:pPr>
              <w:rPr>
                <w:b/>
                <w:bCs/>
                <w:color w:val="000000"/>
                <w:sz w:val="16"/>
                <w:szCs w:val="16"/>
              </w:rPr>
            </w:pPr>
            <w:r w:rsidRPr="00F07060">
              <w:rPr>
                <w:b/>
                <w:bCs/>
                <w:color w:val="000000"/>
                <w:sz w:val="16"/>
                <w:szCs w:val="16"/>
              </w:rPr>
              <w:t>Possibly important uncertainty or variability</w:t>
            </w:r>
          </w:p>
        </w:tc>
        <w:tc>
          <w:tcPr>
            <w:tcW w:w="1985"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E2A6EAC" w14:textId="77777777" w:rsidR="00B93F8C" w:rsidRPr="00F07060" w:rsidRDefault="00B93F8C" w:rsidP="002C76E7">
            <w:pPr>
              <w:rPr>
                <w:b/>
                <w:bCs/>
                <w:color w:val="000000"/>
                <w:sz w:val="16"/>
                <w:szCs w:val="16"/>
              </w:rPr>
            </w:pPr>
            <w:r w:rsidRPr="00F07060">
              <w:rPr>
                <w:b/>
                <w:bCs/>
                <w:color w:val="000000"/>
                <w:sz w:val="16"/>
                <w:szCs w:val="16"/>
              </w:rPr>
              <w:t>Probably no important uncertainty or variability</w:t>
            </w:r>
          </w:p>
        </w:tc>
        <w:tc>
          <w:tcPr>
            <w:tcW w:w="2268"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4CE49905" w14:textId="77777777" w:rsidR="00B93F8C" w:rsidRPr="00F07060" w:rsidRDefault="00B93F8C" w:rsidP="002C76E7">
            <w:pPr>
              <w:rPr>
                <w:b/>
                <w:bCs/>
                <w:color w:val="000000"/>
                <w:sz w:val="16"/>
                <w:szCs w:val="16"/>
              </w:rPr>
            </w:pPr>
            <w:r w:rsidRPr="00F07060">
              <w:rPr>
                <w:b/>
                <w:bCs/>
                <w:color w:val="000000"/>
                <w:sz w:val="16"/>
                <w:szCs w:val="16"/>
              </w:rPr>
              <w:t>no important uncertainty or variability</w:t>
            </w:r>
          </w:p>
        </w:tc>
        <w:tc>
          <w:tcPr>
            <w:tcW w:w="98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8CF3B2A" w14:textId="77777777" w:rsidR="00B93F8C" w:rsidRPr="00F07060" w:rsidRDefault="00B93F8C" w:rsidP="002C76E7">
            <w:pPr>
              <w:rPr>
                <w:b/>
                <w:bCs/>
                <w:color w:val="000000"/>
                <w:sz w:val="16"/>
                <w:szCs w:val="16"/>
              </w:rPr>
            </w:pPr>
          </w:p>
        </w:tc>
        <w:tc>
          <w:tcPr>
            <w:tcW w:w="758"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11DBF1B" w14:textId="77777777" w:rsidR="00B93F8C" w:rsidRPr="00F07060" w:rsidRDefault="00B93F8C" w:rsidP="002C76E7">
            <w:pPr>
              <w:rPr>
                <w:b/>
                <w:bCs/>
                <w:color w:val="000000"/>
                <w:sz w:val="16"/>
                <w:szCs w:val="16"/>
              </w:rPr>
            </w:pPr>
          </w:p>
        </w:tc>
        <w:tc>
          <w:tcPr>
            <w:tcW w:w="1487"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D394A99" w14:textId="77777777" w:rsidR="00B93F8C" w:rsidRPr="00F07060" w:rsidRDefault="00B93F8C" w:rsidP="002C76E7">
            <w:pPr>
              <w:rPr>
                <w:b/>
                <w:bCs/>
                <w:color w:val="000000"/>
                <w:sz w:val="16"/>
                <w:szCs w:val="16"/>
              </w:rPr>
            </w:pPr>
          </w:p>
        </w:tc>
      </w:tr>
      <w:tr w:rsidR="00B93F8C" w:rsidRPr="00F07060" w14:paraId="5944F5FD" w14:textId="77777777" w:rsidTr="00B07FB1">
        <w:trPr>
          <w:trHeight w:val="19"/>
        </w:trPr>
        <w:tc>
          <w:tcPr>
            <w:tcW w:w="2400"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4771E65E" w14:textId="77777777" w:rsidR="00B93F8C" w:rsidRPr="00F07060" w:rsidRDefault="00B93F8C" w:rsidP="002C76E7">
            <w:pPr>
              <w:rPr>
                <w:b/>
                <w:bCs/>
                <w:color w:val="000000"/>
                <w:sz w:val="16"/>
                <w:szCs w:val="16"/>
              </w:rPr>
            </w:pPr>
            <w:r w:rsidRPr="00F07060">
              <w:rPr>
                <w:b/>
                <w:bCs/>
                <w:color w:val="000000"/>
                <w:sz w:val="16"/>
                <w:szCs w:val="16"/>
              </w:rPr>
              <w:t>Balance of effects</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79F7C1C" w14:textId="77777777" w:rsidR="00B93F8C" w:rsidRPr="00F07060" w:rsidRDefault="00B93F8C" w:rsidP="002C76E7">
            <w:pPr>
              <w:rPr>
                <w:b/>
                <w:bCs/>
                <w:color w:val="000000"/>
                <w:sz w:val="16"/>
                <w:szCs w:val="16"/>
              </w:rPr>
            </w:pPr>
            <w:r w:rsidRPr="00F07060">
              <w:rPr>
                <w:b/>
                <w:bCs/>
                <w:color w:val="000000"/>
                <w:sz w:val="16"/>
                <w:szCs w:val="16"/>
              </w:rPr>
              <w:t>Favors the comparison</w:t>
            </w:r>
          </w:p>
        </w:tc>
        <w:tc>
          <w:tcPr>
            <w:tcW w:w="1590"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C6947D1" w14:textId="77777777" w:rsidR="00B93F8C" w:rsidRPr="00F07060" w:rsidRDefault="00B93F8C" w:rsidP="002C76E7">
            <w:pPr>
              <w:rPr>
                <w:b/>
                <w:bCs/>
                <w:color w:val="000000"/>
                <w:sz w:val="16"/>
                <w:szCs w:val="16"/>
              </w:rPr>
            </w:pPr>
            <w:r w:rsidRPr="00F07060">
              <w:rPr>
                <w:b/>
                <w:bCs/>
                <w:color w:val="000000"/>
                <w:sz w:val="16"/>
                <w:szCs w:val="16"/>
              </w:rPr>
              <w:t>Probably favors the comparison</w:t>
            </w:r>
          </w:p>
        </w:tc>
        <w:tc>
          <w:tcPr>
            <w:tcW w:w="198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DF4EA54" w14:textId="77777777" w:rsidR="00B93F8C" w:rsidRPr="00F07060" w:rsidRDefault="00B93F8C" w:rsidP="002C76E7">
            <w:pPr>
              <w:rPr>
                <w:b/>
                <w:bCs/>
                <w:color w:val="000000"/>
                <w:sz w:val="16"/>
                <w:szCs w:val="16"/>
              </w:rPr>
            </w:pPr>
            <w:r w:rsidRPr="00F07060">
              <w:rPr>
                <w:b/>
                <w:bCs/>
                <w:color w:val="000000"/>
                <w:sz w:val="16"/>
                <w:szCs w:val="16"/>
              </w:rPr>
              <w:t>Does not favor either the intervention or the comparison</w:t>
            </w:r>
          </w:p>
        </w:tc>
        <w:tc>
          <w:tcPr>
            <w:tcW w:w="2268"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27CE6458" w14:textId="77777777" w:rsidR="00B93F8C" w:rsidRPr="00F07060" w:rsidRDefault="00B93F8C" w:rsidP="002C76E7">
            <w:pPr>
              <w:rPr>
                <w:b/>
                <w:bCs/>
                <w:color w:val="000000"/>
                <w:sz w:val="16"/>
                <w:szCs w:val="16"/>
              </w:rPr>
            </w:pPr>
            <w:r w:rsidRPr="00F07060">
              <w:rPr>
                <w:b/>
                <w:bCs/>
                <w:color w:val="000000"/>
                <w:sz w:val="16"/>
                <w:szCs w:val="16"/>
              </w:rPr>
              <w:t>Probably favors the intervention</w:t>
            </w:r>
          </w:p>
        </w:tc>
        <w:tc>
          <w:tcPr>
            <w:tcW w:w="984"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4" w:type="dxa"/>
              <w:left w:w="74" w:type="dxa"/>
              <w:bottom w:w="74" w:type="dxa"/>
              <w:right w:w="74" w:type="dxa"/>
            </w:tcMar>
            <w:vAlign w:val="center"/>
            <w:hideMark/>
          </w:tcPr>
          <w:p w14:paraId="33EC56EA" w14:textId="77777777" w:rsidR="00B93F8C" w:rsidRPr="00F07060" w:rsidRDefault="00B93F8C" w:rsidP="002C76E7">
            <w:pPr>
              <w:rPr>
                <w:b/>
                <w:bCs/>
                <w:color w:val="000000"/>
                <w:sz w:val="16"/>
                <w:szCs w:val="16"/>
              </w:rPr>
            </w:pPr>
            <w:r w:rsidRPr="00F07060">
              <w:rPr>
                <w:b/>
                <w:bCs/>
                <w:color w:val="000000"/>
                <w:sz w:val="16"/>
                <w:szCs w:val="16"/>
              </w:rPr>
              <w:t>Favors the intervention</w:t>
            </w:r>
          </w:p>
        </w:tc>
        <w:tc>
          <w:tcPr>
            <w:tcW w:w="758"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CCF2BC6" w14:textId="77777777" w:rsidR="00B93F8C" w:rsidRPr="00F07060" w:rsidRDefault="00B93F8C" w:rsidP="002C76E7">
            <w:pPr>
              <w:rPr>
                <w:b/>
                <w:bCs/>
                <w:color w:val="000000"/>
                <w:sz w:val="16"/>
                <w:szCs w:val="16"/>
              </w:rPr>
            </w:pPr>
            <w:r w:rsidRPr="00F07060">
              <w:rPr>
                <w:b/>
                <w:bCs/>
                <w:color w:val="000000"/>
                <w:sz w:val="16"/>
                <w:szCs w:val="16"/>
              </w:rPr>
              <w:t>Varies</w:t>
            </w:r>
          </w:p>
        </w:tc>
        <w:tc>
          <w:tcPr>
            <w:tcW w:w="1487"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2CEF977" w14:textId="77777777" w:rsidR="00B93F8C" w:rsidRPr="00F07060" w:rsidRDefault="00B93F8C" w:rsidP="002C76E7">
            <w:pPr>
              <w:rPr>
                <w:b/>
                <w:bCs/>
                <w:color w:val="000000"/>
                <w:sz w:val="16"/>
                <w:szCs w:val="16"/>
              </w:rPr>
            </w:pPr>
            <w:r w:rsidRPr="00F07060">
              <w:rPr>
                <w:b/>
                <w:bCs/>
                <w:color w:val="000000"/>
                <w:sz w:val="16"/>
                <w:szCs w:val="16"/>
              </w:rPr>
              <w:t>Don't know</w:t>
            </w:r>
          </w:p>
        </w:tc>
      </w:tr>
      <w:tr w:rsidR="00B93F8C" w:rsidRPr="00F07060" w14:paraId="4D55C88E" w14:textId="77777777" w:rsidTr="00B07FB1">
        <w:trPr>
          <w:trHeight w:val="19"/>
        </w:trPr>
        <w:tc>
          <w:tcPr>
            <w:tcW w:w="2400"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459DC7C0" w14:textId="77777777" w:rsidR="00B93F8C" w:rsidRPr="00F07060" w:rsidRDefault="00B93F8C" w:rsidP="002C76E7">
            <w:pPr>
              <w:rPr>
                <w:b/>
                <w:bCs/>
                <w:color w:val="000000"/>
                <w:sz w:val="16"/>
                <w:szCs w:val="16"/>
              </w:rPr>
            </w:pPr>
            <w:r w:rsidRPr="00F07060">
              <w:rPr>
                <w:b/>
                <w:bCs/>
                <w:color w:val="000000"/>
                <w:sz w:val="16"/>
                <w:szCs w:val="16"/>
              </w:rPr>
              <w:t>Resources required</w:t>
            </w: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104DD40" w14:textId="77777777" w:rsidR="00B93F8C" w:rsidRPr="00F07060" w:rsidRDefault="00B93F8C" w:rsidP="002C76E7">
            <w:pPr>
              <w:rPr>
                <w:b/>
                <w:bCs/>
                <w:color w:val="000000"/>
                <w:sz w:val="16"/>
                <w:szCs w:val="16"/>
              </w:rPr>
            </w:pPr>
            <w:r w:rsidRPr="00F07060">
              <w:rPr>
                <w:b/>
                <w:bCs/>
                <w:color w:val="000000"/>
                <w:sz w:val="16"/>
                <w:szCs w:val="16"/>
              </w:rPr>
              <w:t>Large costs</w:t>
            </w:r>
          </w:p>
        </w:tc>
        <w:tc>
          <w:tcPr>
            <w:tcW w:w="1590"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2A8CB8C" w14:textId="77777777" w:rsidR="00B93F8C" w:rsidRPr="00F07060" w:rsidRDefault="00B93F8C" w:rsidP="002C76E7">
            <w:pPr>
              <w:rPr>
                <w:b/>
                <w:bCs/>
                <w:color w:val="000000"/>
                <w:sz w:val="16"/>
                <w:szCs w:val="16"/>
              </w:rPr>
            </w:pPr>
            <w:r w:rsidRPr="00F07060">
              <w:rPr>
                <w:b/>
                <w:bCs/>
                <w:color w:val="000000"/>
                <w:sz w:val="16"/>
                <w:szCs w:val="16"/>
              </w:rPr>
              <w:t>Moderate costs</w:t>
            </w:r>
          </w:p>
        </w:tc>
        <w:tc>
          <w:tcPr>
            <w:tcW w:w="1985"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09597E5" w14:textId="77777777" w:rsidR="00B93F8C" w:rsidRPr="00F07060" w:rsidRDefault="00B93F8C" w:rsidP="002C76E7">
            <w:pPr>
              <w:rPr>
                <w:b/>
                <w:bCs/>
                <w:color w:val="000000"/>
                <w:sz w:val="16"/>
                <w:szCs w:val="16"/>
              </w:rPr>
            </w:pPr>
            <w:r w:rsidRPr="00F07060">
              <w:rPr>
                <w:b/>
                <w:bCs/>
                <w:color w:val="000000"/>
                <w:sz w:val="16"/>
                <w:szCs w:val="16"/>
              </w:rPr>
              <w:t>Negligible costs and savings</w:t>
            </w:r>
          </w:p>
        </w:tc>
        <w:tc>
          <w:tcPr>
            <w:tcW w:w="2268"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5F10474" w14:textId="77777777" w:rsidR="00B93F8C" w:rsidRPr="00F07060" w:rsidRDefault="00B93F8C" w:rsidP="002C76E7">
            <w:pPr>
              <w:rPr>
                <w:b/>
                <w:bCs/>
                <w:color w:val="000000"/>
                <w:sz w:val="16"/>
                <w:szCs w:val="16"/>
              </w:rPr>
            </w:pPr>
            <w:r w:rsidRPr="00F07060">
              <w:rPr>
                <w:b/>
                <w:bCs/>
                <w:color w:val="000000"/>
                <w:sz w:val="16"/>
                <w:szCs w:val="16"/>
              </w:rPr>
              <w:t>Moderate savings</w:t>
            </w:r>
          </w:p>
        </w:tc>
        <w:tc>
          <w:tcPr>
            <w:tcW w:w="98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A44D54B" w14:textId="77777777" w:rsidR="00B93F8C" w:rsidRPr="00F07060" w:rsidRDefault="00B93F8C" w:rsidP="002C76E7">
            <w:pPr>
              <w:rPr>
                <w:b/>
                <w:bCs/>
                <w:color w:val="000000"/>
                <w:sz w:val="16"/>
                <w:szCs w:val="16"/>
              </w:rPr>
            </w:pPr>
            <w:r w:rsidRPr="00F07060">
              <w:rPr>
                <w:b/>
                <w:bCs/>
                <w:color w:val="000000"/>
                <w:sz w:val="16"/>
                <w:szCs w:val="16"/>
              </w:rPr>
              <w:t>Large savings</w:t>
            </w:r>
          </w:p>
        </w:tc>
        <w:tc>
          <w:tcPr>
            <w:tcW w:w="758"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6DB78173" w14:textId="77777777" w:rsidR="00B93F8C" w:rsidRPr="00F07060" w:rsidRDefault="00B93F8C" w:rsidP="002C76E7">
            <w:pPr>
              <w:rPr>
                <w:b/>
                <w:bCs/>
                <w:color w:val="000000"/>
                <w:sz w:val="16"/>
                <w:szCs w:val="16"/>
              </w:rPr>
            </w:pPr>
            <w:r w:rsidRPr="00F07060">
              <w:rPr>
                <w:b/>
                <w:bCs/>
                <w:color w:val="000000"/>
                <w:sz w:val="16"/>
                <w:szCs w:val="16"/>
              </w:rPr>
              <w:t>Varies</w:t>
            </w:r>
          </w:p>
        </w:tc>
        <w:tc>
          <w:tcPr>
            <w:tcW w:w="1487"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3EE0580" w14:textId="77777777" w:rsidR="00B93F8C" w:rsidRPr="00F07060" w:rsidRDefault="00B93F8C" w:rsidP="002C76E7">
            <w:pPr>
              <w:rPr>
                <w:b/>
                <w:bCs/>
                <w:color w:val="000000"/>
                <w:sz w:val="16"/>
                <w:szCs w:val="16"/>
              </w:rPr>
            </w:pPr>
            <w:r w:rsidRPr="00F07060">
              <w:rPr>
                <w:b/>
                <w:bCs/>
                <w:color w:val="000000"/>
                <w:sz w:val="16"/>
                <w:szCs w:val="16"/>
              </w:rPr>
              <w:t>Don't know</w:t>
            </w:r>
          </w:p>
        </w:tc>
      </w:tr>
      <w:tr w:rsidR="00B93F8C" w:rsidRPr="00F07060" w14:paraId="3F204206" w14:textId="77777777" w:rsidTr="00B07FB1">
        <w:trPr>
          <w:trHeight w:val="19"/>
        </w:trPr>
        <w:tc>
          <w:tcPr>
            <w:tcW w:w="2400"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6EFBCD3E" w14:textId="77777777" w:rsidR="00B93F8C" w:rsidRPr="00F07060" w:rsidRDefault="00B93F8C" w:rsidP="002C76E7">
            <w:pPr>
              <w:rPr>
                <w:b/>
                <w:bCs/>
                <w:color w:val="000000"/>
                <w:sz w:val="16"/>
                <w:szCs w:val="16"/>
              </w:rPr>
            </w:pPr>
            <w:r w:rsidRPr="00F07060">
              <w:rPr>
                <w:b/>
                <w:bCs/>
                <w:color w:val="000000"/>
                <w:sz w:val="16"/>
                <w:szCs w:val="16"/>
              </w:rPr>
              <w:t>Certainty of evidence of required resources</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CFDC5AC" w14:textId="77777777" w:rsidR="00B93F8C" w:rsidRPr="00F07060" w:rsidRDefault="00B93F8C" w:rsidP="002C76E7">
            <w:pPr>
              <w:rPr>
                <w:b/>
                <w:bCs/>
                <w:color w:val="000000"/>
                <w:sz w:val="16"/>
                <w:szCs w:val="16"/>
              </w:rPr>
            </w:pPr>
            <w:r w:rsidRPr="00F07060">
              <w:rPr>
                <w:b/>
                <w:bCs/>
                <w:color w:val="000000"/>
                <w:sz w:val="16"/>
                <w:szCs w:val="16"/>
              </w:rPr>
              <w:t>Very low</w:t>
            </w:r>
          </w:p>
        </w:tc>
        <w:tc>
          <w:tcPr>
            <w:tcW w:w="1590"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E9544F4" w14:textId="77777777" w:rsidR="00B93F8C" w:rsidRPr="00F07060" w:rsidRDefault="00B93F8C" w:rsidP="002C76E7">
            <w:pPr>
              <w:rPr>
                <w:b/>
                <w:bCs/>
                <w:color w:val="000000"/>
                <w:sz w:val="16"/>
                <w:szCs w:val="16"/>
              </w:rPr>
            </w:pPr>
            <w:r w:rsidRPr="00F07060">
              <w:rPr>
                <w:b/>
                <w:bCs/>
                <w:color w:val="000000"/>
                <w:sz w:val="16"/>
                <w:szCs w:val="16"/>
              </w:rPr>
              <w:t>Low</w:t>
            </w:r>
          </w:p>
        </w:tc>
        <w:tc>
          <w:tcPr>
            <w:tcW w:w="198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F832CF0" w14:textId="77777777" w:rsidR="00B93F8C" w:rsidRPr="00F07060" w:rsidRDefault="00B93F8C" w:rsidP="002C76E7">
            <w:pPr>
              <w:rPr>
                <w:b/>
                <w:bCs/>
                <w:color w:val="000000"/>
                <w:sz w:val="16"/>
                <w:szCs w:val="16"/>
              </w:rPr>
            </w:pPr>
            <w:r w:rsidRPr="00F07060">
              <w:rPr>
                <w:b/>
                <w:bCs/>
                <w:color w:val="000000"/>
                <w:sz w:val="16"/>
                <w:szCs w:val="16"/>
              </w:rPr>
              <w:t>Moderate</w:t>
            </w:r>
          </w:p>
        </w:tc>
        <w:tc>
          <w:tcPr>
            <w:tcW w:w="2268"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65FED65" w14:textId="77777777" w:rsidR="00B93F8C" w:rsidRPr="00F07060" w:rsidRDefault="00B93F8C" w:rsidP="002C76E7">
            <w:pPr>
              <w:rPr>
                <w:b/>
                <w:bCs/>
                <w:color w:val="000000"/>
                <w:sz w:val="16"/>
                <w:szCs w:val="16"/>
              </w:rPr>
            </w:pPr>
            <w:r w:rsidRPr="00F07060">
              <w:rPr>
                <w:b/>
                <w:bCs/>
                <w:color w:val="000000"/>
                <w:sz w:val="16"/>
                <w:szCs w:val="16"/>
              </w:rPr>
              <w:t>High</w:t>
            </w:r>
          </w:p>
        </w:tc>
        <w:tc>
          <w:tcPr>
            <w:tcW w:w="98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9231F6D" w14:textId="77777777" w:rsidR="00B93F8C" w:rsidRPr="00F07060" w:rsidRDefault="00B93F8C" w:rsidP="002C76E7">
            <w:pPr>
              <w:rPr>
                <w:b/>
                <w:bCs/>
                <w:color w:val="000000"/>
                <w:sz w:val="16"/>
                <w:szCs w:val="16"/>
              </w:rPr>
            </w:pPr>
          </w:p>
        </w:tc>
        <w:tc>
          <w:tcPr>
            <w:tcW w:w="758"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3794302" w14:textId="77777777" w:rsidR="00B93F8C" w:rsidRPr="00F07060" w:rsidRDefault="00B93F8C" w:rsidP="002C76E7">
            <w:pPr>
              <w:rPr>
                <w:b/>
                <w:bCs/>
                <w:color w:val="000000"/>
                <w:sz w:val="16"/>
                <w:szCs w:val="16"/>
              </w:rPr>
            </w:pPr>
          </w:p>
        </w:tc>
        <w:tc>
          <w:tcPr>
            <w:tcW w:w="1487"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7E0C7638" w14:textId="2757DDFD" w:rsidR="00B93F8C" w:rsidRPr="00F07060" w:rsidRDefault="00B93F8C" w:rsidP="002C76E7">
            <w:pPr>
              <w:rPr>
                <w:b/>
                <w:bCs/>
                <w:color w:val="000000"/>
                <w:sz w:val="16"/>
                <w:szCs w:val="16"/>
              </w:rPr>
            </w:pPr>
            <w:r w:rsidRPr="00F07060">
              <w:rPr>
                <w:b/>
                <w:bCs/>
                <w:color w:val="000000"/>
                <w:sz w:val="16"/>
                <w:szCs w:val="16"/>
              </w:rPr>
              <w:t xml:space="preserve">No </w:t>
            </w:r>
            <w:r w:rsidR="00B07FB1" w:rsidRPr="00F07060">
              <w:rPr>
                <w:b/>
                <w:bCs/>
                <w:color w:val="000000"/>
                <w:sz w:val="16"/>
                <w:szCs w:val="16"/>
              </w:rPr>
              <w:t xml:space="preserve">studies </w:t>
            </w:r>
            <w:r w:rsidRPr="00F07060">
              <w:rPr>
                <w:b/>
                <w:bCs/>
                <w:color w:val="000000"/>
                <w:sz w:val="16"/>
                <w:szCs w:val="16"/>
              </w:rPr>
              <w:t xml:space="preserve">included </w:t>
            </w:r>
          </w:p>
        </w:tc>
      </w:tr>
      <w:tr w:rsidR="00B93F8C" w:rsidRPr="00F07060" w14:paraId="1E635BB6" w14:textId="77777777" w:rsidTr="00B07FB1">
        <w:trPr>
          <w:trHeight w:val="145"/>
        </w:trPr>
        <w:tc>
          <w:tcPr>
            <w:tcW w:w="2400"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5391A770" w14:textId="77777777" w:rsidR="00B93F8C" w:rsidRPr="00F07060" w:rsidRDefault="00B93F8C" w:rsidP="002C76E7">
            <w:pPr>
              <w:rPr>
                <w:b/>
                <w:bCs/>
                <w:color w:val="000000"/>
                <w:sz w:val="16"/>
                <w:szCs w:val="16"/>
              </w:rPr>
            </w:pPr>
            <w:r w:rsidRPr="00F07060">
              <w:rPr>
                <w:b/>
                <w:bCs/>
                <w:color w:val="000000"/>
                <w:sz w:val="16"/>
                <w:szCs w:val="16"/>
              </w:rPr>
              <w:t>Cost effectiveness</w:t>
            </w: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5D14390" w14:textId="77777777" w:rsidR="00B93F8C" w:rsidRPr="00F07060" w:rsidRDefault="00B93F8C" w:rsidP="002C76E7">
            <w:pPr>
              <w:rPr>
                <w:b/>
                <w:bCs/>
                <w:color w:val="000000"/>
                <w:sz w:val="16"/>
                <w:szCs w:val="16"/>
              </w:rPr>
            </w:pPr>
            <w:r w:rsidRPr="00F07060">
              <w:rPr>
                <w:b/>
                <w:bCs/>
                <w:color w:val="000000"/>
                <w:sz w:val="16"/>
                <w:szCs w:val="16"/>
              </w:rPr>
              <w:t>Favors the comparison</w:t>
            </w:r>
          </w:p>
        </w:tc>
        <w:tc>
          <w:tcPr>
            <w:tcW w:w="1590"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819B6EB" w14:textId="77777777" w:rsidR="00B93F8C" w:rsidRPr="00F07060" w:rsidRDefault="00B93F8C" w:rsidP="002C76E7">
            <w:pPr>
              <w:rPr>
                <w:b/>
                <w:bCs/>
                <w:color w:val="000000"/>
                <w:sz w:val="16"/>
                <w:szCs w:val="16"/>
              </w:rPr>
            </w:pPr>
            <w:r w:rsidRPr="00F07060">
              <w:rPr>
                <w:b/>
                <w:bCs/>
                <w:color w:val="000000"/>
                <w:sz w:val="16"/>
                <w:szCs w:val="16"/>
              </w:rPr>
              <w:t>Probably favors the comparison</w:t>
            </w:r>
          </w:p>
        </w:tc>
        <w:tc>
          <w:tcPr>
            <w:tcW w:w="1985"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D8B136A" w14:textId="77777777" w:rsidR="00B93F8C" w:rsidRPr="00F07060" w:rsidRDefault="00B93F8C" w:rsidP="002C76E7">
            <w:pPr>
              <w:rPr>
                <w:b/>
                <w:bCs/>
                <w:color w:val="000000"/>
                <w:sz w:val="16"/>
                <w:szCs w:val="16"/>
              </w:rPr>
            </w:pPr>
            <w:r w:rsidRPr="00F07060">
              <w:rPr>
                <w:b/>
                <w:bCs/>
                <w:color w:val="000000"/>
                <w:sz w:val="16"/>
                <w:szCs w:val="16"/>
              </w:rPr>
              <w:t>Does not favor either the intervention or the comparison</w:t>
            </w:r>
          </w:p>
        </w:tc>
        <w:tc>
          <w:tcPr>
            <w:tcW w:w="2268" w:type="dxa"/>
            <w:tcBorders>
              <w:top w:val="single" w:sz="8" w:space="0" w:color="FFFFFF"/>
              <w:left w:val="single" w:sz="8" w:space="0" w:color="FFFFFF"/>
              <w:bottom w:val="single" w:sz="8" w:space="0" w:color="FFFFFF"/>
              <w:right w:val="single" w:sz="8" w:space="0" w:color="FFFFFF"/>
            </w:tcBorders>
            <w:shd w:val="clear" w:color="auto" w:fill="D6DCE5"/>
            <w:tcMar>
              <w:top w:w="74" w:type="dxa"/>
              <w:left w:w="74" w:type="dxa"/>
              <w:bottom w:w="74" w:type="dxa"/>
              <w:right w:w="74" w:type="dxa"/>
            </w:tcMar>
            <w:vAlign w:val="center"/>
            <w:hideMark/>
          </w:tcPr>
          <w:p w14:paraId="4B748C45" w14:textId="77777777" w:rsidR="00B93F8C" w:rsidRPr="00F07060" w:rsidRDefault="00B93F8C" w:rsidP="002C76E7">
            <w:pPr>
              <w:rPr>
                <w:b/>
                <w:bCs/>
                <w:color w:val="000000"/>
                <w:sz w:val="16"/>
                <w:szCs w:val="16"/>
              </w:rPr>
            </w:pPr>
            <w:r w:rsidRPr="00F07060">
              <w:rPr>
                <w:b/>
                <w:bCs/>
                <w:color w:val="000000"/>
                <w:sz w:val="16"/>
                <w:szCs w:val="16"/>
              </w:rPr>
              <w:t>Probably favors the intervention</w:t>
            </w:r>
          </w:p>
        </w:tc>
        <w:tc>
          <w:tcPr>
            <w:tcW w:w="98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13606D6" w14:textId="77777777" w:rsidR="00B93F8C" w:rsidRPr="00F07060" w:rsidRDefault="00B93F8C" w:rsidP="002C76E7">
            <w:pPr>
              <w:rPr>
                <w:b/>
                <w:bCs/>
                <w:color w:val="000000"/>
                <w:sz w:val="16"/>
                <w:szCs w:val="16"/>
              </w:rPr>
            </w:pPr>
            <w:r w:rsidRPr="00F07060">
              <w:rPr>
                <w:b/>
                <w:bCs/>
                <w:color w:val="000000"/>
                <w:sz w:val="16"/>
                <w:szCs w:val="16"/>
              </w:rPr>
              <w:t>Favors the intervention</w:t>
            </w:r>
          </w:p>
        </w:tc>
        <w:tc>
          <w:tcPr>
            <w:tcW w:w="758"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0B11C6E" w14:textId="77777777" w:rsidR="00B93F8C" w:rsidRPr="00F07060" w:rsidRDefault="00B93F8C" w:rsidP="002C76E7">
            <w:pPr>
              <w:rPr>
                <w:b/>
                <w:bCs/>
                <w:color w:val="000000"/>
                <w:sz w:val="16"/>
                <w:szCs w:val="16"/>
              </w:rPr>
            </w:pPr>
            <w:r w:rsidRPr="00F07060">
              <w:rPr>
                <w:b/>
                <w:bCs/>
                <w:color w:val="000000"/>
                <w:sz w:val="16"/>
                <w:szCs w:val="16"/>
              </w:rPr>
              <w:t>Varies</w:t>
            </w:r>
          </w:p>
        </w:tc>
        <w:tc>
          <w:tcPr>
            <w:tcW w:w="1487"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459C75E3" w14:textId="3A66EEEA" w:rsidR="00B93F8C" w:rsidRPr="00F07060" w:rsidRDefault="00B93F8C" w:rsidP="002C76E7">
            <w:pPr>
              <w:rPr>
                <w:b/>
                <w:bCs/>
                <w:color w:val="000000"/>
                <w:sz w:val="16"/>
                <w:szCs w:val="16"/>
              </w:rPr>
            </w:pPr>
            <w:r w:rsidRPr="00F07060">
              <w:rPr>
                <w:b/>
                <w:bCs/>
                <w:color w:val="000000"/>
                <w:sz w:val="16"/>
                <w:szCs w:val="16"/>
              </w:rPr>
              <w:t xml:space="preserve">No </w:t>
            </w:r>
            <w:r w:rsidR="00B07FB1" w:rsidRPr="00F07060">
              <w:rPr>
                <w:b/>
                <w:bCs/>
                <w:color w:val="000000"/>
                <w:sz w:val="16"/>
                <w:szCs w:val="16"/>
              </w:rPr>
              <w:t xml:space="preserve">studies </w:t>
            </w:r>
            <w:r w:rsidRPr="00F07060">
              <w:rPr>
                <w:b/>
                <w:bCs/>
                <w:color w:val="000000"/>
                <w:sz w:val="16"/>
                <w:szCs w:val="16"/>
              </w:rPr>
              <w:t xml:space="preserve">included </w:t>
            </w:r>
          </w:p>
        </w:tc>
      </w:tr>
      <w:tr w:rsidR="00B93F8C" w:rsidRPr="00F07060" w14:paraId="2FC2FD18" w14:textId="77777777" w:rsidTr="00F53366">
        <w:trPr>
          <w:trHeight w:val="81"/>
        </w:trPr>
        <w:tc>
          <w:tcPr>
            <w:tcW w:w="2400"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64C20B37" w14:textId="77777777" w:rsidR="00B93F8C" w:rsidRPr="00F07060" w:rsidRDefault="00B93F8C" w:rsidP="002C76E7">
            <w:pPr>
              <w:rPr>
                <w:b/>
                <w:bCs/>
                <w:color w:val="000000"/>
                <w:sz w:val="16"/>
                <w:szCs w:val="16"/>
              </w:rPr>
            </w:pPr>
            <w:r w:rsidRPr="00F07060">
              <w:rPr>
                <w:b/>
                <w:bCs/>
                <w:color w:val="000000"/>
                <w:sz w:val="16"/>
                <w:szCs w:val="16"/>
              </w:rPr>
              <w:t>Equity</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3351C5E" w14:textId="77777777" w:rsidR="00B93F8C" w:rsidRPr="00F07060" w:rsidRDefault="00B93F8C" w:rsidP="002C76E7">
            <w:pPr>
              <w:rPr>
                <w:b/>
                <w:bCs/>
                <w:color w:val="000000"/>
                <w:sz w:val="16"/>
                <w:szCs w:val="16"/>
              </w:rPr>
            </w:pPr>
            <w:r w:rsidRPr="00F07060">
              <w:rPr>
                <w:b/>
                <w:bCs/>
                <w:color w:val="000000"/>
                <w:sz w:val="16"/>
                <w:szCs w:val="16"/>
              </w:rPr>
              <w:t>Reduced</w:t>
            </w:r>
          </w:p>
        </w:tc>
        <w:tc>
          <w:tcPr>
            <w:tcW w:w="1590"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78DFE65" w14:textId="77777777" w:rsidR="00B93F8C" w:rsidRPr="00F07060" w:rsidRDefault="00B93F8C" w:rsidP="002C76E7">
            <w:pPr>
              <w:rPr>
                <w:b/>
                <w:bCs/>
                <w:color w:val="000000"/>
                <w:sz w:val="16"/>
                <w:szCs w:val="16"/>
              </w:rPr>
            </w:pPr>
            <w:r w:rsidRPr="00F07060">
              <w:rPr>
                <w:b/>
                <w:bCs/>
                <w:color w:val="000000"/>
                <w:sz w:val="16"/>
                <w:szCs w:val="16"/>
              </w:rPr>
              <w:t>Probably reduced</w:t>
            </w:r>
          </w:p>
        </w:tc>
        <w:tc>
          <w:tcPr>
            <w:tcW w:w="198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D651DAC" w14:textId="77777777" w:rsidR="00B93F8C" w:rsidRPr="00F07060" w:rsidRDefault="00B93F8C" w:rsidP="002C76E7">
            <w:pPr>
              <w:rPr>
                <w:b/>
                <w:bCs/>
                <w:color w:val="000000"/>
                <w:sz w:val="16"/>
                <w:szCs w:val="16"/>
              </w:rPr>
            </w:pPr>
            <w:r w:rsidRPr="00F07060">
              <w:rPr>
                <w:b/>
                <w:bCs/>
                <w:color w:val="000000"/>
                <w:sz w:val="16"/>
                <w:szCs w:val="16"/>
              </w:rPr>
              <w:t>Probably no impact</w:t>
            </w:r>
          </w:p>
        </w:tc>
        <w:tc>
          <w:tcPr>
            <w:tcW w:w="2268"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B3003B5" w14:textId="77777777" w:rsidR="00B93F8C" w:rsidRPr="00F07060" w:rsidRDefault="00B93F8C" w:rsidP="002C76E7">
            <w:pPr>
              <w:rPr>
                <w:b/>
                <w:bCs/>
                <w:color w:val="000000"/>
                <w:sz w:val="16"/>
                <w:szCs w:val="16"/>
              </w:rPr>
            </w:pPr>
            <w:r w:rsidRPr="00F07060">
              <w:rPr>
                <w:b/>
                <w:bCs/>
                <w:color w:val="000000"/>
                <w:sz w:val="16"/>
                <w:szCs w:val="16"/>
              </w:rPr>
              <w:t>Probably increased</w:t>
            </w:r>
          </w:p>
        </w:tc>
        <w:tc>
          <w:tcPr>
            <w:tcW w:w="98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C0B27BE" w14:textId="77777777" w:rsidR="00B93F8C" w:rsidRPr="00F07060" w:rsidRDefault="00B93F8C" w:rsidP="002C76E7">
            <w:pPr>
              <w:rPr>
                <w:b/>
                <w:bCs/>
                <w:color w:val="000000"/>
                <w:sz w:val="16"/>
                <w:szCs w:val="16"/>
              </w:rPr>
            </w:pPr>
            <w:r w:rsidRPr="00F07060">
              <w:rPr>
                <w:b/>
                <w:bCs/>
                <w:color w:val="000000"/>
                <w:sz w:val="16"/>
                <w:szCs w:val="16"/>
              </w:rPr>
              <w:t>Increased</w:t>
            </w:r>
          </w:p>
        </w:tc>
        <w:tc>
          <w:tcPr>
            <w:tcW w:w="758"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300A0EE" w14:textId="77777777" w:rsidR="00B93F8C" w:rsidRPr="00F07060" w:rsidRDefault="00B93F8C" w:rsidP="002C76E7">
            <w:pPr>
              <w:rPr>
                <w:b/>
                <w:bCs/>
                <w:color w:val="000000"/>
                <w:sz w:val="16"/>
                <w:szCs w:val="16"/>
              </w:rPr>
            </w:pPr>
            <w:r w:rsidRPr="00F07060">
              <w:rPr>
                <w:b/>
                <w:bCs/>
                <w:color w:val="000000"/>
                <w:sz w:val="16"/>
                <w:szCs w:val="16"/>
              </w:rPr>
              <w:t>Varies</w:t>
            </w:r>
          </w:p>
        </w:tc>
        <w:tc>
          <w:tcPr>
            <w:tcW w:w="1487"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5A2A9C82" w14:textId="77777777" w:rsidR="00B93F8C" w:rsidRPr="00F07060" w:rsidRDefault="00B93F8C" w:rsidP="002C76E7">
            <w:pPr>
              <w:rPr>
                <w:b/>
                <w:bCs/>
                <w:color w:val="000000"/>
                <w:sz w:val="16"/>
                <w:szCs w:val="16"/>
              </w:rPr>
            </w:pPr>
            <w:r w:rsidRPr="00F07060">
              <w:rPr>
                <w:b/>
                <w:bCs/>
                <w:color w:val="000000"/>
                <w:sz w:val="16"/>
                <w:szCs w:val="16"/>
              </w:rPr>
              <w:t>Don't know</w:t>
            </w:r>
          </w:p>
        </w:tc>
      </w:tr>
      <w:tr w:rsidR="00B93F8C" w:rsidRPr="00F07060" w14:paraId="013DECFD" w14:textId="77777777" w:rsidTr="00B07FB1">
        <w:trPr>
          <w:trHeight w:val="19"/>
        </w:trPr>
        <w:tc>
          <w:tcPr>
            <w:tcW w:w="2400"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667461B3" w14:textId="77777777" w:rsidR="00B93F8C" w:rsidRPr="00F07060" w:rsidRDefault="00B93F8C" w:rsidP="002C76E7">
            <w:pPr>
              <w:rPr>
                <w:b/>
                <w:bCs/>
                <w:color w:val="000000"/>
                <w:sz w:val="16"/>
                <w:szCs w:val="16"/>
              </w:rPr>
            </w:pPr>
            <w:r w:rsidRPr="00F07060">
              <w:rPr>
                <w:b/>
                <w:bCs/>
                <w:color w:val="000000"/>
                <w:sz w:val="16"/>
                <w:szCs w:val="16"/>
              </w:rPr>
              <w:t>Acceptability</w:t>
            </w: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9D50405" w14:textId="77777777" w:rsidR="00B93F8C" w:rsidRPr="00F07060" w:rsidRDefault="00B93F8C" w:rsidP="002C76E7">
            <w:pPr>
              <w:rPr>
                <w:b/>
                <w:bCs/>
                <w:color w:val="000000"/>
                <w:sz w:val="16"/>
                <w:szCs w:val="16"/>
              </w:rPr>
            </w:pPr>
            <w:r w:rsidRPr="00F07060">
              <w:rPr>
                <w:b/>
                <w:bCs/>
                <w:color w:val="000000"/>
                <w:sz w:val="16"/>
                <w:szCs w:val="16"/>
              </w:rPr>
              <w:t>No</w:t>
            </w:r>
          </w:p>
        </w:tc>
        <w:tc>
          <w:tcPr>
            <w:tcW w:w="1590"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C07EE30" w14:textId="77777777" w:rsidR="00B93F8C" w:rsidRPr="00F07060" w:rsidRDefault="00B93F8C" w:rsidP="002C76E7">
            <w:pPr>
              <w:rPr>
                <w:b/>
                <w:bCs/>
                <w:color w:val="000000"/>
                <w:sz w:val="16"/>
                <w:szCs w:val="16"/>
              </w:rPr>
            </w:pPr>
            <w:r w:rsidRPr="00F07060">
              <w:rPr>
                <w:b/>
                <w:bCs/>
                <w:color w:val="000000"/>
                <w:sz w:val="16"/>
                <w:szCs w:val="16"/>
              </w:rPr>
              <w:t>Probably no</w:t>
            </w:r>
          </w:p>
        </w:tc>
        <w:tc>
          <w:tcPr>
            <w:tcW w:w="1985"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77496E04" w14:textId="77777777" w:rsidR="00B93F8C" w:rsidRPr="00F07060" w:rsidRDefault="00B93F8C" w:rsidP="002C76E7">
            <w:pPr>
              <w:rPr>
                <w:b/>
                <w:bCs/>
                <w:color w:val="000000"/>
                <w:sz w:val="16"/>
                <w:szCs w:val="16"/>
              </w:rPr>
            </w:pPr>
            <w:r w:rsidRPr="00F07060">
              <w:rPr>
                <w:b/>
                <w:bCs/>
                <w:color w:val="000000"/>
                <w:sz w:val="16"/>
                <w:szCs w:val="16"/>
              </w:rPr>
              <w:t>Probably yes</w:t>
            </w:r>
          </w:p>
        </w:tc>
        <w:tc>
          <w:tcPr>
            <w:tcW w:w="2268"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70E93B3" w14:textId="77777777" w:rsidR="00B93F8C" w:rsidRPr="00F07060" w:rsidRDefault="00B93F8C" w:rsidP="002C76E7">
            <w:pPr>
              <w:rPr>
                <w:b/>
                <w:bCs/>
                <w:color w:val="000000"/>
                <w:sz w:val="16"/>
                <w:szCs w:val="16"/>
              </w:rPr>
            </w:pPr>
            <w:r w:rsidRPr="00F07060">
              <w:rPr>
                <w:b/>
                <w:bCs/>
                <w:color w:val="000000"/>
                <w:sz w:val="16"/>
                <w:szCs w:val="16"/>
              </w:rPr>
              <w:t>Yes</w:t>
            </w:r>
          </w:p>
        </w:tc>
        <w:tc>
          <w:tcPr>
            <w:tcW w:w="98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5452ACB" w14:textId="77777777" w:rsidR="00B93F8C" w:rsidRPr="00F07060" w:rsidRDefault="00B93F8C" w:rsidP="002C76E7">
            <w:pPr>
              <w:rPr>
                <w:b/>
                <w:bCs/>
                <w:color w:val="000000"/>
                <w:sz w:val="16"/>
                <w:szCs w:val="16"/>
              </w:rPr>
            </w:pPr>
          </w:p>
        </w:tc>
        <w:tc>
          <w:tcPr>
            <w:tcW w:w="758"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98795C0" w14:textId="77777777" w:rsidR="00B93F8C" w:rsidRPr="00F07060" w:rsidRDefault="00B93F8C" w:rsidP="002C76E7">
            <w:pPr>
              <w:rPr>
                <w:b/>
                <w:bCs/>
                <w:color w:val="000000"/>
                <w:sz w:val="16"/>
                <w:szCs w:val="16"/>
              </w:rPr>
            </w:pPr>
            <w:r w:rsidRPr="00F07060">
              <w:rPr>
                <w:b/>
                <w:bCs/>
                <w:color w:val="000000"/>
                <w:sz w:val="16"/>
                <w:szCs w:val="16"/>
              </w:rPr>
              <w:t>Varies</w:t>
            </w:r>
          </w:p>
        </w:tc>
        <w:tc>
          <w:tcPr>
            <w:tcW w:w="1487"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1889EB8" w14:textId="77777777" w:rsidR="00B93F8C" w:rsidRPr="00F07060" w:rsidRDefault="00B93F8C" w:rsidP="002C76E7">
            <w:pPr>
              <w:rPr>
                <w:b/>
                <w:bCs/>
                <w:color w:val="000000"/>
                <w:sz w:val="16"/>
                <w:szCs w:val="16"/>
              </w:rPr>
            </w:pPr>
            <w:r w:rsidRPr="00F07060">
              <w:rPr>
                <w:b/>
                <w:bCs/>
                <w:color w:val="000000"/>
                <w:sz w:val="16"/>
                <w:szCs w:val="16"/>
              </w:rPr>
              <w:t>Don't know</w:t>
            </w:r>
          </w:p>
        </w:tc>
      </w:tr>
      <w:tr w:rsidR="00B93F8C" w:rsidRPr="00F07060" w14:paraId="3FEF4EA0" w14:textId="77777777" w:rsidTr="00B07FB1">
        <w:trPr>
          <w:trHeight w:val="19"/>
        </w:trPr>
        <w:tc>
          <w:tcPr>
            <w:tcW w:w="2400"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3FB947DA" w14:textId="77777777" w:rsidR="00B93F8C" w:rsidRPr="00F07060" w:rsidRDefault="00B93F8C" w:rsidP="002C76E7">
            <w:pPr>
              <w:rPr>
                <w:b/>
                <w:bCs/>
                <w:color w:val="000000"/>
                <w:sz w:val="16"/>
                <w:szCs w:val="16"/>
              </w:rPr>
            </w:pPr>
            <w:r w:rsidRPr="00F07060">
              <w:rPr>
                <w:b/>
                <w:bCs/>
                <w:color w:val="000000"/>
                <w:sz w:val="16"/>
                <w:szCs w:val="16"/>
              </w:rPr>
              <w:t>Feasibility</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2065AE6" w14:textId="77777777" w:rsidR="00B93F8C" w:rsidRPr="00F07060" w:rsidRDefault="00B93F8C" w:rsidP="002C76E7">
            <w:pPr>
              <w:rPr>
                <w:b/>
                <w:bCs/>
                <w:color w:val="000000"/>
                <w:sz w:val="16"/>
                <w:szCs w:val="16"/>
              </w:rPr>
            </w:pPr>
            <w:r w:rsidRPr="00F07060">
              <w:rPr>
                <w:b/>
                <w:bCs/>
                <w:color w:val="000000"/>
                <w:sz w:val="16"/>
                <w:szCs w:val="16"/>
              </w:rPr>
              <w:t>No</w:t>
            </w:r>
          </w:p>
        </w:tc>
        <w:tc>
          <w:tcPr>
            <w:tcW w:w="1590"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8DA13A8" w14:textId="77777777" w:rsidR="00B93F8C" w:rsidRPr="00F07060" w:rsidRDefault="00B93F8C" w:rsidP="002C76E7">
            <w:pPr>
              <w:rPr>
                <w:b/>
                <w:bCs/>
                <w:color w:val="000000"/>
                <w:sz w:val="16"/>
                <w:szCs w:val="16"/>
              </w:rPr>
            </w:pPr>
            <w:r w:rsidRPr="00F07060">
              <w:rPr>
                <w:b/>
                <w:bCs/>
                <w:color w:val="000000"/>
                <w:sz w:val="16"/>
                <w:szCs w:val="16"/>
              </w:rPr>
              <w:t>Probably no</w:t>
            </w:r>
          </w:p>
        </w:tc>
        <w:tc>
          <w:tcPr>
            <w:tcW w:w="1985"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3130CF4D" w14:textId="77777777" w:rsidR="00B93F8C" w:rsidRPr="00F07060" w:rsidRDefault="00B93F8C" w:rsidP="002C76E7">
            <w:pPr>
              <w:rPr>
                <w:b/>
                <w:bCs/>
                <w:color w:val="000000"/>
                <w:sz w:val="16"/>
                <w:szCs w:val="16"/>
              </w:rPr>
            </w:pPr>
            <w:r w:rsidRPr="00F07060">
              <w:rPr>
                <w:b/>
                <w:bCs/>
                <w:color w:val="000000"/>
                <w:sz w:val="16"/>
                <w:szCs w:val="16"/>
              </w:rPr>
              <w:t>Probably yes</w:t>
            </w:r>
          </w:p>
        </w:tc>
        <w:tc>
          <w:tcPr>
            <w:tcW w:w="2268"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88D8A73" w14:textId="77777777" w:rsidR="00B93F8C" w:rsidRPr="00F07060" w:rsidRDefault="00B93F8C" w:rsidP="002C76E7">
            <w:pPr>
              <w:rPr>
                <w:b/>
                <w:bCs/>
                <w:color w:val="000000"/>
                <w:sz w:val="16"/>
                <w:szCs w:val="16"/>
              </w:rPr>
            </w:pPr>
            <w:r w:rsidRPr="00F07060">
              <w:rPr>
                <w:b/>
                <w:bCs/>
                <w:color w:val="000000"/>
                <w:sz w:val="16"/>
                <w:szCs w:val="16"/>
              </w:rPr>
              <w:t>Yes</w:t>
            </w:r>
          </w:p>
        </w:tc>
        <w:tc>
          <w:tcPr>
            <w:tcW w:w="98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9053093" w14:textId="77777777" w:rsidR="00B93F8C" w:rsidRPr="00F07060" w:rsidRDefault="00B93F8C" w:rsidP="002C76E7">
            <w:pPr>
              <w:rPr>
                <w:b/>
                <w:bCs/>
                <w:color w:val="000000"/>
                <w:sz w:val="16"/>
                <w:szCs w:val="16"/>
              </w:rPr>
            </w:pPr>
          </w:p>
        </w:tc>
        <w:tc>
          <w:tcPr>
            <w:tcW w:w="758"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725463A" w14:textId="77777777" w:rsidR="00B93F8C" w:rsidRPr="00F07060" w:rsidRDefault="00B93F8C" w:rsidP="002C76E7">
            <w:pPr>
              <w:rPr>
                <w:b/>
                <w:bCs/>
                <w:color w:val="000000"/>
                <w:sz w:val="16"/>
                <w:szCs w:val="16"/>
              </w:rPr>
            </w:pPr>
            <w:r w:rsidRPr="00F07060">
              <w:rPr>
                <w:b/>
                <w:bCs/>
                <w:color w:val="000000"/>
                <w:sz w:val="16"/>
                <w:szCs w:val="16"/>
              </w:rPr>
              <w:t>Varies</w:t>
            </w:r>
          </w:p>
        </w:tc>
        <w:tc>
          <w:tcPr>
            <w:tcW w:w="1487"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C03FC34" w14:textId="77777777" w:rsidR="00B93F8C" w:rsidRPr="00F07060" w:rsidRDefault="00B93F8C" w:rsidP="002C76E7">
            <w:pPr>
              <w:rPr>
                <w:b/>
                <w:bCs/>
                <w:color w:val="000000"/>
                <w:sz w:val="16"/>
                <w:szCs w:val="16"/>
              </w:rPr>
            </w:pPr>
            <w:r w:rsidRPr="00F07060">
              <w:rPr>
                <w:b/>
                <w:bCs/>
                <w:color w:val="000000"/>
                <w:sz w:val="16"/>
                <w:szCs w:val="16"/>
              </w:rPr>
              <w:t>Don't know</w:t>
            </w:r>
          </w:p>
        </w:tc>
      </w:tr>
    </w:tbl>
    <w:p w14:paraId="113B49DE" w14:textId="77777777" w:rsidR="00F53366" w:rsidRDefault="00F53366" w:rsidP="001935A7">
      <w:pPr>
        <w:jc w:val="both"/>
        <w:rPr>
          <w:color w:val="000000"/>
          <w:sz w:val="16"/>
          <w:szCs w:val="16"/>
        </w:rPr>
      </w:pPr>
    </w:p>
    <w:p w14:paraId="79AC43A2" w14:textId="1F0113BA" w:rsidR="001935A7" w:rsidRPr="00F53366" w:rsidRDefault="001935A7" w:rsidP="001935A7">
      <w:pPr>
        <w:jc w:val="both"/>
        <w:rPr>
          <w:rFonts w:ascii="Arial" w:hAnsi="Arial" w:cs="Arial"/>
          <w:b/>
          <w:color w:val="000000" w:themeColor="text1"/>
          <w:sz w:val="20"/>
          <w:szCs w:val="20"/>
        </w:rPr>
      </w:pPr>
      <w:r w:rsidRPr="00F53366">
        <w:rPr>
          <w:rFonts w:ascii="Arial" w:hAnsi="Arial" w:cs="Arial"/>
          <w:b/>
          <w:color w:val="000000" w:themeColor="text1"/>
          <w:sz w:val="20"/>
          <w:szCs w:val="20"/>
        </w:rPr>
        <w:t>Table S</w:t>
      </w:r>
      <w:r w:rsidR="00F53366" w:rsidRPr="00F53366">
        <w:rPr>
          <w:rFonts w:ascii="Arial" w:hAnsi="Arial" w:cs="Arial"/>
          <w:b/>
          <w:color w:val="000000" w:themeColor="text1"/>
          <w:sz w:val="20"/>
          <w:szCs w:val="20"/>
        </w:rPr>
        <w:t>31</w:t>
      </w:r>
      <w:r w:rsidR="00F53366">
        <w:rPr>
          <w:rFonts w:ascii="Arial" w:hAnsi="Arial" w:cs="Arial"/>
          <w:b/>
          <w:color w:val="000000" w:themeColor="text1"/>
          <w:sz w:val="20"/>
          <w:szCs w:val="20"/>
        </w:rPr>
        <w:t xml:space="preserve"> A and B</w:t>
      </w:r>
      <w:r w:rsidRPr="00F53366">
        <w:rPr>
          <w:rFonts w:ascii="Arial" w:hAnsi="Arial" w:cs="Arial"/>
          <w:b/>
          <w:color w:val="000000" w:themeColor="text1"/>
          <w:sz w:val="20"/>
          <w:szCs w:val="20"/>
        </w:rPr>
        <w:t xml:space="preserve">: Clinical efficacy of dupilumab in </w:t>
      </w:r>
      <w:r w:rsidR="0000755C">
        <w:rPr>
          <w:rFonts w:ascii="Arial" w:hAnsi="Arial" w:cs="Arial"/>
          <w:b/>
          <w:color w:val="000000" w:themeColor="text1"/>
          <w:sz w:val="20"/>
          <w:szCs w:val="20"/>
        </w:rPr>
        <w:t>severe T2</w:t>
      </w:r>
      <w:bookmarkStart w:id="0" w:name="_GoBack"/>
      <w:bookmarkEnd w:id="0"/>
      <w:r w:rsidRPr="00F53366">
        <w:rPr>
          <w:rFonts w:ascii="Arial" w:hAnsi="Arial" w:cs="Arial"/>
          <w:b/>
          <w:color w:val="000000" w:themeColor="text1"/>
          <w:sz w:val="20"/>
          <w:szCs w:val="20"/>
        </w:rPr>
        <w:t xml:space="preserve"> asthma stratified by dose and atopic status</w:t>
      </w:r>
    </w:p>
    <w:p w14:paraId="0CF4F103" w14:textId="2BCEA94D" w:rsidR="001935A7" w:rsidRDefault="001935A7" w:rsidP="00596BE0">
      <w:pPr>
        <w:jc w:val="both"/>
        <w:rPr>
          <w:rFonts w:ascii="Arial" w:hAnsi="Arial" w:cs="Arial"/>
          <w:color w:val="000000"/>
          <w:sz w:val="16"/>
          <w:szCs w:val="16"/>
        </w:rPr>
      </w:pPr>
    </w:p>
    <w:tbl>
      <w:tblPr>
        <w:tblW w:w="9135" w:type="dxa"/>
        <w:tblCellMar>
          <w:left w:w="0" w:type="dxa"/>
          <w:right w:w="0" w:type="dxa"/>
        </w:tblCellMar>
        <w:tblLook w:val="0420" w:firstRow="1" w:lastRow="0" w:firstColumn="0" w:lastColumn="0" w:noHBand="0" w:noVBand="1"/>
      </w:tblPr>
      <w:tblGrid>
        <w:gridCol w:w="1837"/>
        <w:gridCol w:w="2644"/>
        <w:gridCol w:w="1973"/>
        <w:gridCol w:w="2681"/>
      </w:tblGrid>
      <w:tr w:rsidR="001935A7" w:rsidRPr="001935A7" w14:paraId="36504453" w14:textId="77777777" w:rsidTr="00BC0EB8">
        <w:trPr>
          <w:trHeight w:val="19"/>
        </w:trPr>
        <w:tc>
          <w:tcPr>
            <w:tcW w:w="0" w:type="auto"/>
            <w:tcBorders>
              <w:top w:val="single" w:sz="18" w:space="0" w:color="000000"/>
              <w:left w:val="nil"/>
              <w:bottom w:val="single" w:sz="8" w:space="0" w:color="FFFFFF"/>
              <w:right w:val="single" w:sz="8" w:space="0" w:color="FFFFFF"/>
            </w:tcBorders>
            <w:shd w:val="clear" w:color="auto" w:fill="92D050"/>
            <w:tcMar>
              <w:top w:w="72" w:type="dxa"/>
              <w:left w:w="144" w:type="dxa"/>
              <w:bottom w:w="72" w:type="dxa"/>
              <w:right w:w="144" w:type="dxa"/>
            </w:tcMar>
            <w:vAlign w:val="center"/>
            <w:hideMark/>
          </w:tcPr>
          <w:p w14:paraId="45B31C7D" w14:textId="77777777" w:rsidR="001935A7" w:rsidRPr="001935A7" w:rsidRDefault="001935A7" w:rsidP="001935A7">
            <w:pPr>
              <w:jc w:val="both"/>
              <w:rPr>
                <w:rFonts w:ascii="Arial" w:hAnsi="Arial" w:cs="Arial"/>
                <w:color w:val="000000"/>
                <w:sz w:val="16"/>
                <w:szCs w:val="16"/>
              </w:rPr>
            </w:pPr>
            <w:r w:rsidRPr="001935A7">
              <w:rPr>
                <w:rFonts w:ascii="Arial" w:hAnsi="Arial" w:cs="Arial"/>
                <w:b/>
                <w:bCs/>
                <w:color w:val="000000"/>
                <w:sz w:val="16"/>
                <w:szCs w:val="16"/>
                <w:lang w:val="es-ES"/>
              </w:rPr>
              <w:t>Dose 200 mg</w:t>
            </w:r>
          </w:p>
        </w:tc>
        <w:tc>
          <w:tcPr>
            <w:tcW w:w="0" w:type="auto"/>
            <w:tcBorders>
              <w:top w:val="single" w:sz="18" w:space="0" w:color="000000"/>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vAlign w:val="center"/>
            <w:hideMark/>
          </w:tcPr>
          <w:p w14:paraId="0358CDFE" w14:textId="752F09A9" w:rsidR="001935A7" w:rsidRPr="001935A7" w:rsidRDefault="001935A7" w:rsidP="001935A7">
            <w:pPr>
              <w:jc w:val="both"/>
              <w:rPr>
                <w:rFonts w:ascii="Arial" w:hAnsi="Arial" w:cs="Arial"/>
                <w:color w:val="000000"/>
                <w:sz w:val="16"/>
                <w:szCs w:val="16"/>
              </w:rPr>
            </w:pPr>
            <w:r w:rsidRPr="001935A7">
              <w:rPr>
                <w:rFonts w:ascii="Arial" w:hAnsi="Arial" w:cs="Arial"/>
                <w:b/>
                <w:bCs/>
                <w:color w:val="000000"/>
                <w:sz w:val="16"/>
                <w:szCs w:val="16"/>
                <w:lang w:val="es-ES"/>
              </w:rPr>
              <w:t>Exacerbations reduction</w:t>
            </w:r>
            <w:r w:rsidR="00F53366">
              <w:rPr>
                <w:rFonts w:ascii="Arial" w:hAnsi="Arial" w:cs="Arial"/>
                <w:b/>
                <w:bCs/>
                <w:color w:val="000000"/>
                <w:sz w:val="16"/>
                <w:szCs w:val="16"/>
                <w:lang w:val="es-ES"/>
              </w:rPr>
              <w:t xml:space="preserve"> </w:t>
            </w:r>
            <w:r w:rsidR="00F53366">
              <w:rPr>
                <w:rFonts w:ascii="Arial" w:hAnsi="Arial" w:cs="Arial"/>
                <w:b/>
                <w:bCs/>
                <w:color w:val="000000"/>
                <w:sz w:val="16"/>
                <w:szCs w:val="16"/>
                <w:lang w:val="ca-ES"/>
              </w:rPr>
              <w:t>(95%CI)</w:t>
            </w:r>
            <w:r w:rsidRPr="001935A7">
              <w:rPr>
                <w:rFonts w:ascii="Arial" w:hAnsi="Arial" w:cs="Arial"/>
                <w:b/>
                <w:bCs/>
                <w:color w:val="000000"/>
                <w:sz w:val="16"/>
                <w:szCs w:val="16"/>
                <w:lang w:val="es-ES"/>
              </w:rPr>
              <w:t xml:space="preserve"> </w:t>
            </w:r>
          </w:p>
        </w:tc>
        <w:tc>
          <w:tcPr>
            <w:tcW w:w="1973" w:type="dxa"/>
            <w:tcBorders>
              <w:top w:val="single" w:sz="18" w:space="0" w:color="000000"/>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vAlign w:val="center"/>
            <w:hideMark/>
          </w:tcPr>
          <w:p w14:paraId="00E32FF1" w14:textId="0059A0C7" w:rsidR="001935A7" w:rsidRPr="001935A7" w:rsidRDefault="001935A7" w:rsidP="001935A7">
            <w:pPr>
              <w:jc w:val="both"/>
              <w:rPr>
                <w:rFonts w:ascii="Arial" w:hAnsi="Arial" w:cs="Arial"/>
                <w:color w:val="000000"/>
                <w:sz w:val="16"/>
                <w:szCs w:val="16"/>
              </w:rPr>
            </w:pPr>
            <w:r w:rsidRPr="001935A7">
              <w:rPr>
                <w:rFonts w:ascii="Arial" w:hAnsi="Arial" w:cs="Arial"/>
                <w:b/>
                <w:bCs/>
                <w:color w:val="000000"/>
                <w:sz w:val="16"/>
                <w:szCs w:val="16"/>
                <w:lang w:val="ca-ES"/>
              </w:rPr>
              <w:t>FEV1 increase</w:t>
            </w:r>
            <w:r w:rsidR="00F53366">
              <w:rPr>
                <w:rFonts w:ascii="Arial" w:hAnsi="Arial" w:cs="Arial"/>
                <w:b/>
                <w:bCs/>
                <w:color w:val="000000"/>
                <w:sz w:val="16"/>
                <w:szCs w:val="16"/>
                <w:lang w:val="ca-ES"/>
              </w:rPr>
              <w:t xml:space="preserve"> (95%CI)</w:t>
            </w:r>
          </w:p>
        </w:tc>
        <w:tc>
          <w:tcPr>
            <w:tcW w:w="2681" w:type="dxa"/>
            <w:tcBorders>
              <w:top w:val="single" w:sz="18" w:space="0" w:color="000000"/>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vAlign w:val="center"/>
            <w:hideMark/>
          </w:tcPr>
          <w:p w14:paraId="26B2D98A" w14:textId="28BA1DD9" w:rsidR="001935A7" w:rsidRPr="001935A7" w:rsidRDefault="001935A7" w:rsidP="001935A7">
            <w:pPr>
              <w:jc w:val="both"/>
              <w:rPr>
                <w:rFonts w:ascii="Arial" w:hAnsi="Arial" w:cs="Arial"/>
                <w:color w:val="000000"/>
                <w:sz w:val="16"/>
                <w:szCs w:val="16"/>
              </w:rPr>
            </w:pPr>
            <w:r w:rsidRPr="001935A7">
              <w:rPr>
                <w:rFonts w:ascii="Arial" w:hAnsi="Arial" w:cs="Arial"/>
                <w:b/>
                <w:bCs/>
                <w:color w:val="000000"/>
                <w:sz w:val="16"/>
                <w:szCs w:val="16"/>
                <w:lang w:val="ca-ES"/>
              </w:rPr>
              <w:t>Asthma control (ACQ5)</w:t>
            </w:r>
            <w:r w:rsidR="00F53366">
              <w:rPr>
                <w:rFonts w:ascii="Arial" w:hAnsi="Arial" w:cs="Arial"/>
                <w:b/>
                <w:bCs/>
                <w:color w:val="000000"/>
                <w:sz w:val="16"/>
                <w:szCs w:val="16"/>
                <w:lang w:val="ca-ES"/>
              </w:rPr>
              <w:t xml:space="preserve"> (95%CI)</w:t>
            </w:r>
          </w:p>
        </w:tc>
      </w:tr>
      <w:tr w:rsidR="001935A7" w:rsidRPr="001935A7" w14:paraId="43F2328C" w14:textId="77777777" w:rsidTr="00BC0EB8">
        <w:trPr>
          <w:trHeight w:val="10"/>
        </w:trPr>
        <w:tc>
          <w:tcPr>
            <w:tcW w:w="0" w:type="auto"/>
            <w:tcBorders>
              <w:top w:val="single" w:sz="8" w:space="0" w:color="FFFFFF"/>
              <w:left w:val="nil"/>
              <w:bottom w:val="single" w:sz="8" w:space="0" w:color="FFFFFF"/>
              <w:right w:val="single" w:sz="8" w:space="0" w:color="FFFFFF"/>
            </w:tcBorders>
            <w:shd w:val="clear" w:color="auto" w:fill="E7E7E7"/>
            <w:tcMar>
              <w:top w:w="72" w:type="dxa"/>
              <w:left w:w="144" w:type="dxa"/>
              <w:bottom w:w="72" w:type="dxa"/>
              <w:right w:w="144" w:type="dxa"/>
            </w:tcMar>
            <w:hideMark/>
          </w:tcPr>
          <w:p w14:paraId="4059E42E" w14:textId="77777777" w:rsidR="001935A7" w:rsidRPr="001935A7" w:rsidRDefault="001935A7" w:rsidP="001935A7">
            <w:pPr>
              <w:jc w:val="both"/>
              <w:rPr>
                <w:rFonts w:ascii="Arial" w:hAnsi="Arial" w:cs="Arial"/>
                <w:color w:val="000000"/>
                <w:sz w:val="16"/>
                <w:szCs w:val="16"/>
              </w:rPr>
            </w:pPr>
            <w:r w:rsidRPr="001935A7">
              <w:rPr>
                <w:rFonts w:ascii="Arial" w:hAnsi="Arial" w:cs="Arial"/>
                <w:color w:val="000000"/>
                <w:sz w:val="16"/>
                <w:szCs w:val="16"/>
                <w:lang w:val="es-ES"/>
              </w:rPr>
              <w:t xml:space="preserve">With allergic asthma </w:t>
            </w:r>
          </w:p>
        </w:tc>
        <w:tc>
          <w:tcPr>
            <w:tcW w:w="0" w:type="auto"/>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53938789" w14:textId="77777777" w:rsidR="001935A7" w:rsidRPr="001935A7" w:rsidRDefault="001935A7" w:rsidP="001935A7">
            <w:pPr>
              <w:jc w:val="both"/>
              <w:rPr>
                <w:rFonts w:ascii="Arial" w:hAnsi="Arial" w:cs="Arial"/>
                <w:color w:val="000000"/>
                <w:sz w:val="16"/>
                <w:szCs w:val="16"/>
              </w:rPr>
            </w:pPr>
            <w:r w:rsidRPr="001935A7">
              <w:rPr>
                <w:rFonts w:ascii="Arial" w:hAnsi="Arial" w:cs="Arial"/>
                <w:color w:val="000000"/>
                <w:sz w:val="16"/>
                <w:szCs w:val="16"/>
                <w:lang w:val="es-ES"/>
              </w:rPr>
              <w:t>36.9 (13.4-54)</w:t>
            </w:r>
          </w:p>
        </w:tc>
        <w:tc>
          <w:tcPr>
            <w:tcW w:w="1973"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5DC36FE7" w14:textId="77777777" w:rsidR="001935A7" w:rsidRPr="001935A7" w:rsidRDefault="001935A7" w:rsidP="001935A7">
            <w:pPr>
              <w:jc w:val="both"/>
              <w:rPr>
                <w:rFonts w:ascii="Arial" w:hAnsi="Arial" w:cs="Arial"/>
                <w:color w:val="000000"/>
                <w:sz w:val="16"/>
                <w:szCs w:val="16"/>
              </w:rPr>
            </w:pPr>
            <w:r w:rsidRPr="001935A7">
              <w:rPr>
                <w:rFonts w:ascii="Arial" w:hAnsi="Arial" w:cs="Arial"/>
                <w:color w:val="000000"/>
                <w:sz w:val="16"/>
                <w:szCs w:val="16"/>
                <w:lang w:val="es-ES"/>
              </w:rPr>
              <w:t>0.13 (0.05-0.2)</w:t>
            </w:r>
          </w:p>
        </w:tc>
        <w:tc>
          <w:tcPr>
            <w:tcW w:w="2681"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2DA8E8A8" w14:textId="77777777" w:rsidR="001935A7" w:rsidRPr="001935A7" w:rsidRDefault="001935A7" w:rsidP="001935A7">
            <w:pPr>
              <w:jc w:val="both"/>
              <w:rPr>
                <w:rFonts w:ascii="Arial" w:hAnsi="Arial" w:cs="Arial"/>
                <w:color w:val="000000"/>
                <w:sz w:val="16"/>
                <w:szCs w:val="16"/>
              </w:rPr>
            </w:pPr>
            <w:r w:rsidRPr="001935A7">
              <w:rPr>
                <w:rFonts w:ascii="Arial" w:hAnsi="Arial" w:cs="Arial"/>
                <w:color w:val="000000"/>
                <w:sz w:val="16"/>
                <w:szCs w:val="16"/>
                <w:lang w:val="es-ES"/>
              </w:rPr>
              <w:t>- 0.28 (-0.46 to -0.11)</w:t>
            </w:r>
          </w:p>
        </w:tc>
      </w:tr>
      <w:tr w:rsidR="001935A7" w:rsidRPr="001935A7" w14:paraId="0A33B290" w14:textId="77777777" w:rsidTr="00BC0EB8">
        <w:trPr>
          <w:trHeight w:val="371"/>
        </w:trPr>
        <w:tc>
          <w:tcPr>
            <w:tcW w:w="0" w:type="auto"/>
            <w:tcBorders>
              <w:top w:val="single" w:sz="8" w:space="0" w:color="FFFFFF"/>
              <w:left w:val="nil"/>
              <w:bottom w:val="single" w:sz="8" w:space="0" w:color="FFFFFF"/>
              <w:right w:val="single" w:sz="8" w:space="0" w:color="FFFFFF"/>
            </w:tcBorders>
            <w:shd w:val="clear" w:color="auto" w:fill="FFFFFF"/>
            <w:tcMar>
              <w:top w:w="72" w:type="dxa"/>
              <w:left w:w="144" w:type="dxa"/>
              <w:bottom w:w="72" w:type="dxa"/>
              <w:right w:w="144" w:type="dxa"/>
            </w:tcMar>
            <w:hideMark/>
          </w:tcPr>
          <w:p w14:paraId="3D8A0392" w14:textId="77777777" w:rsidR="001935A7" w:rsidRPr="001935A7" w:rsidRDefault="001935A7" w:rsidP="001935A7">
            <w:pPr>
              <w:jc w:val="both"/>
              <w:rPr>
                <w:rFonts w:ascii="Arial" w:hAnsi="Arial" w:cs="Arial"/>
                <w:color w:val="000000"/>
                <w:sz w:val="16"/>
                <w:szCs w:val="16"/>
              </w:rPr>
            </w:pPr>
            <w:r w:rsidRPr="001935A7">
              <w:rPr>
                <w:rFonts w:ascii="Arial" w:hAnsi="Arial" w:cs="Arial"/>
                <w:color w:val="000000"/>
                <w:sz w:val="16"/>
                <w:szCs w:val="16"/>
                <w:lang w:val="ca-ES"/>
              </w:rPr>
              <w:t>Without allergic asthma</w:t>
            </w:r>
          </w:p>
        </w:tc>
        <w:tc>
          <w:tcPr>
            <w:tcW w:w="0" w:type="auto"/>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72B7C24A" w14:textId="77777777" w:rsidR="001935A7" w:rsidRPr="001935A7" w:rsidRDefault="001935A7" w:rsidP="001935A7">
            <w:pPr>
              <w:jc w:val="both"/>
              <w:rPr>
                <w:rFonts w:ascii="Arial" w:hAnsi="Arial" w:cs="Arial"/>
                <w:color w:val="000000"/>
                <w:sz w:val="16"/>
                <w:szCs w:val="16"/>
              </w:rPr>
            </w:pPr>
            <w:r w:rsidRPr="001935A7">
              <w:rPr>
                <w:rFonts w:ascii="Arial" w:hAnsi="Arial" w:cs="Arial"/>
                <w:color w:val="000000"/>
                <w:sz w:val="16"/>
                <w:szCs w:val="16"/>
                <w:lang w:val="ca-ES"/>
              </w:rPr>
              <w:t>60 (42.7-72.1)</w:t>
            </w:r>
          </w:p>
        </w:tc>
        <w:tc>
          <w:tcPr>
            <w:tcW w:w="1973"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0EA59150" w14:textId="77777777" w:rsidR="001935A7" w:rsidRPr="001935A7" w:rsidRDefault="001935A7" w:rsidP="001935A7">
            <w:pPr>
              <w:jc w:val="both"/>
              <w:rPr>
                <w:rFonts w:ascii="Arial" w:hAnsi="Arial" w:cs="Arial"/>
                <w:color w:val="000000"/>
                <w:sz w:val="16"/>
                <w:szCs w:val="16"/>
              </w:rPr>
            </w:pPr>
            <w:r w:rsidRPr="001935A7">
              <w:rPr>
                <w:rFonts w:ascii="Arial" w:hAnsi="Arial" w:cs="Arial"/>
                <w:color w:val="000000"/>
                <w:sz w:val="16"/>
                <w:szCs w:val="16"/>
                <w:lang w:val="ca-ES"/>
              </w:rPr>
              <w:t>0.14 (0.07-0.22)</w:t>
            </w:r>
          </w:p>
        </w:tc>
        <w:tc>
          <w:tcPr>
            <w:tcW w:w="2681"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00C46A6E" w14:textId="77777777" w:rsidR="001935A7" w:rsidRPr="001935A7" w:rsidRDefault="001935A7" w:rsidP="001935A7">
            <w:pPr>
              <w:jc w:val="both"/>
              <w:rPr>
                <w:rFonts w:ascii="Arial" w:hAnsi="Arial" w:cs="Arial"/>
                <w:color w:val="000000"/>
                <w:sz w:val="16"/>
                <w:szCs w:val="16"/>
              </w:rPr>
            </w:pPr>
            <w:r w:rsidRPr="001935A7">
              <w:rPr>
                <w:rFonts w:ascii="Arial" w:hAnsi="Arial" w:cs="Arial"/>
                <w:color w:val="000000"/>
                <w:sz w:val="16"/>
                <w:szCs w:val="16"/>
                <w:lang w:val="ca-ES"/>
              </w:rPr>
              <w:t>-0.44 (-0.65 to -0.22)</w:t>
            </w:r>
          </w:p>
        </w:tc>
      </w:tr>
    </w:tbl>
    <w:p w14:paraId="2C1F5FBC" w14:textId="4AA87162" w:rsidR="001935A7" w:rsidRDefault="001935A7" w:rsidP="00596BE0">
      <w:pPr>
        <w:jc w:val="both"/>
        <w:rPr>
          <w:rFonts w:ascii="Arial" w:hAnsi="Arial" w:cs="Arial"/>
          <w:color w:val="000000"/>
          <w:sz w:val="16"/>
          <w:szCs w:val="16"/>
        </w:rPr>
      </w:pPr>
    </w:p>
    <w:tbl>
      <w:tblPr>
        <w:tblW w:w="0" w:type="auto"/>
        <w:tblCellMar>
          <w:left w:w="0" w:type="dxa"/>
          <w:right w:w="0" w:type="dxa"/>
        </w:tblCellMar>
        <w:tblLook w:val="0420" w:firstRow="1" w:lastRow="0" w:firstColumn="0" w:lastColumn="0" w:noHBand="0" w:noVBand="1"/>
      </w:tblPr>
      <w:tblGrid>
        <w:gridCol w:w="1951"/>
        <w:gridCol w:w="2787"/>
        <w:gridCol w:w="2014"/>
        <w:gridCol w:w="2985"/>
      </w:tblGrid>
      <w:tr w:rsidR="00F53366" w:rsidRPr="001935A7" w14:paraId="24D293A0" w14:textId="77777777" w:rsidTr="00F53366">
        <w:trPr>
          <w:trHeight w:val="23"/>
        </w:trPr>
        <w:tc>
          <w:tcPr>
            <w:tcW w:w="0" w:type="auto"/>
            <w:tcBorders>
              <w:top w:val="single" w:sz="18" w:space="0" w:color="000000"/>
              <w:left w:val="nil"/>
              <w:bottom w:val="single" w:sz="8" w:space="0" w:color="FFFFFF"/>
              <w:right w:val="single" w:sz="8" w:space="0" w:color="FFFFFF"/>
            </w:tcBorders>
            <w:shd w:val="clear" w:color="auto" w:fill="92D050"/>
            <w:tcMar>
              <w:top w:w="72" w:type="dxa"/>
              <w:left w:w="144" w:type="dxa"/>
              <w:bottom w:w="72" w:type="dxa"/>
              <w:right w:w="144" w:type="dxa"/>
            </w:tcMar>
            <w:vAlign w:val="center"/>
            <w:hideMark/>
          </w:tcPr>
          <w:p w14:paraId="6C6C492D" w14:textId="77777777" w:rsidR="00F53366" w:rsidRPr="001935A7" w:rsidRDefault="00F53366" w:rsidP="00F53366">
            <w:pPr>
              <w:jc w:val="both"/>
              <w:rPr>
                <w:rFonts w:ascii="Arial" w:hAnsi="Arial" w:cs="Arial"/>
                <w:color w:val="000000"/>
                <w:sz w:val="16"/>
                <w:szCs w:val="16"/>
              </w:rPr>
            </w:pPr>
            <w:r w:rsidRPr="001935A7">
              <w:rPr>
                <w:rFonts w:ascii="Arial" w:hAnsi="Arial" w:cs="Arial"/>
                <w:b/>
                <w:bCs/>
                <w:color w:val="000000"/>
                <w:sz w:val="16"/>
                <w:szCs w:val="16"/>
                <w:lang w:val="es-ES"/>
              </w:rPr>
              <w:t>Dose 300 mg</w:t>
            </w:r>
          </w:p>
        </w:tc>
        <w:tc>
          <w:tcPr>
            <w:tcW w:w="0" w:type="auto"/>
            <w:tcBorders>
              <w:top w:val="single" w:sz="18" w:space="0" w:color="000000"/>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vAlign w:val="center"/>
            <w:hideMark/>
          </w:tcPr>
          <w:p w14:paraId="114035B1" w14:textId="28927D83" w:rsidR="00F53366" w:rsidRPr="001935A7" w:rsidRDefault="00F53366" w:rsidP="00F53366">
            <w:pPr>
              <w:jc w:val="both"/>
              <w:rPr>
                <w:rFonts w:ascii="Arial" w:hAnsi="Arial" w:cs="Arial"/>
                <w:color w:val="000000"/>
                <w:sz w:val="16"/>
                <w:szCs w:val="16"/>
              </w:rPr>
            </w:pPr>
            <w:r w:rsidRPr="001935A7">
              <w:rPr>
                <w:rFonts w:ascii="Arial" w:hAnsi="Arial" w:cs="Arial"/>
                <w:b/>
                <w:bCs/>
                <w:color w:val="000000"/>
                <w:sz w:val="16"/>
                <w:szCs w:val="16"/>
                <w:lang w:val="es-ES"/>
              </w:rPr>
              <w:t>Exacerbations reduction</w:t>
            </w:r>
            <w:r>
              <w:rPr>
                <w:rFonts w:ascii="Arial" w:hAnsi="Arial" w:cs="Arial"/>
                <w:b/>
                <w:bCs/>
                <w:color w:val="000000"/>
                <w:sz w:val="16"/>
                <w:szCs w:val="16"/>
                <w:lang w:val="es-ES"/>
              </w:rPr>
              <w:t xml:space="preserve"> </w:t>
            </w:r>
            <w:r>
              <w:rPr>
                <w:rFonts w:ascii="Arial" w:hAnsi="Arial" w:cs="Arial"/>
                <w:b/>
                <w:bCs/>
                <w:color w:val="000000"/>
                <w:sz w:val="16"/>
                <w:szCs w:val="16"/>
                <w:lang w:val="ca-ES"/>
              </w:rPr>
              <w:t>(95%CI)</w:t>
            </w:r>
            <w:r w:rsidRPr="001935A7">
              <w:rPr>
                <w:rFonts w:ascii="Arial" w:hAnsi="Arial" w:cs="Arial"/>
                <w:b/>
                <w:bCs/>
                <w:color w:val="000000"/>
                <w:sz w:val="16"/>
                <w:szCs w:val="16"/>
                <w:lang w:val="es-ES"/>
              </w:rPr>
              <w:t xml:space="preserve"> </w:t>
            </w:r>
          </w:p>
        </w:tc>
        <w:tc>
          <w:tcPr>
            <w:tcW w:w="0" w:type="auto"/>
            <w:tcBorders>
              <w:top w:val="single" w:sz="18" w:space="0" w:color="000000"/>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vAlign w:val="center"/>
            <w:hideMark/>
          </w:tcPr>
          <w:p w14:paraId="675881F8" w14:textId="4922191F" w:rsidR="00F53366" w:rsidRPr="001935A7" w:rsidRDefault="00F53366" w:rsidP="00F53366">
            <w:pPr>
              <w:jc w:val="both"/>
              <w:rPr>
                <w:rFonts w:ascii="Arial" w:hAnsi="Arial" w:cs="Arial"/>
                <w:color w:val="000000"/>
                <w:sz w:val="16"/>
                <w:szCs w:val="16"/>
              </w:rPr>
            </w:pPr>
            <w:r w:rsidRPr="001935A7">
              <w:rPr>
                <w:rFonts w:ascii="Arial" w:hAnsi="Arial" w:cs="Arial"/>
                <w:b/>
                <w:bCs/>
                <w:color w:val="000000"/>
                <w:sz w:val="16"/>
                <w:szCs w:val="16"/>
                <w:lang w:val="ca-ES"/>
              </w:rPr>
              <w:t>FEV1 increase</w:t>
            </w:r>
            <w:r>
              <w:rPr>
                <w:rFonts w:ascii="Arial" w:hAnsi="Arial" w:cs="Arial"/>
                <w:b/>
                <w:bCs/>
                <w:color w:val="000000"/>
                <w:sz w:val="16"/>
                <w:szCs w:val="16"/>
                <w:lang w:val="ca-ES"/>
              </w:rPr>
              <w:t xml:space="preserve"> (95%CI)</w:t>
            </w:r>
          </w:p>
        </w:tc>
        <w:tc>
          <w:tcPr>
            <w:tcW w:w="2985" w:type="dxa"/>
            <w:tcBorders>
              <w:top w:val="single" w:sz="18" w:space="0" w:color="000000"/>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vAlign w:val="center"/>
            <w:hideMark/>
          </w:tcPr>
          <w:p w14:paraId="497EE98D" w14:textId="4B187D3E" w:rsidR="00F53366" w:rsidRPr="001935A7" w:rsidRDefault="00F53366" w:rsidP="00F53366">
            <w:pPr>
              <w:jc w:val="both"/>
              <w:rPr>
                <w:rFonts w:ascii="Arial" w:hAnsi="Arial" w:cs="Arial"/>
                <w:color w:val="000000"/>
                <w:sz w:val="16"/>
                <w:szCs w:val="16"/>
              </w:rPr>
            </w:pPr>
            <w:r w:rsidRPr="001935A7">
              <w:rPr>
                <w:rFonts w:ascii="Arial" w:hAnsi="Arial" w:cs="Arial"/>
                <w:b/>
                <w:bCs/>
                <w:color w:val="000000"/>
                <w:sz w:val="16"/>
                <w:szCs w:val="16"/>
                <w:lang w:val="ca-ES"/>
              </w:rPr>
              <w:t>Asthma control (ACQ5)</w:t>
            </w:r>
            <w:r>
              <w:rPr>
                <w:rFonts w:ascii="Arial" w:hAnsi="Arial" w:cs="Arial"/>
                <w:b/>
                <w:bCs/>
                <w:color w:val="000000"/>
                <w:sz w:val="16"/>
                <w:szCs w:val="16"/>
                <w:lang w:val="ca-ES"/>
              </w:rPr>
              <w:t xml:space="preserve"> (95%CI)</w:t>
            </w:r>
          </w:p>
        </w:tc>
      </w:tr>
      <w:tr w:rsidR="001935A7" w:rsidRPr="001935A7" w14:paraId="0A7C4118" w14:textId="77777777" w:rsidTr="00F53366">
        <w:trPr>
          <w:trHeight w:val="21"/>
        </w:trPr>
        <w:tc>
          <w:tcPr>
            <w:tcW w:w="0" w:type="auto"/>
            <w:tcBorders>
              <w:top w:val="single" w:sz="8" w:space="0" w:color="FFFFFF"/>
              <w:left w:val="nil"/>
              <w:bottom w:val="single" w:sz="8" w:space="0" w:color="FFFFFF"/>
              <w:right w:val="single" w:sz="8" w:space="0" w:color="FFFFFF"/>
            </w:tcBorders>
            <w:shd w:val="clear" w:color="auto" w:fill="E7E7E7"/>
            <w:tcMar>
              <w:top w:w="72" w:type="dxa"/>
              <w:left w:w="144" w:type="dxa"/>
              <w:bottom w:w="72" w:type="dxa"/>
              <w:right w:w="144" w:type="dxa"/>
            </w:tcMar>
            <w:hideMark/>
          </w:tcPr>
          <w:p w14:paraId="3D762CF4" w14:textId="77777777" w:rsidR="001935A7" w:rsidRPr="001935A7" w:rsidRDefault="001935A7" w:rsidP="001935A7">
            <w:pPr>
              <w:jc w:val="both"/>
              <w:rPr>
                <w:rFonts w:ascii="Arial" w:hAnsi="Arial" w:cs="Arial"/>
                <w:color w:val="000000"/>
                <w:sz w:val="16"/>
                <w:szCs w:val="16"/>
              </w:rPr>
            </w:pPr>
            <w:r w:rsidRPr="001935A7">
              <w:rPr>
                <w:rFonts w:ascii="Arial" w:hAnsi="Arial" w:cs="Arial"/>
                <w:color w:val="000000"/>
                <w:sz w:val="16"/>
                <w:szCs w:val="16"/>
                <w:lang w:val="es-ES"/>
              </w:rPr>
              <w:t xml:space="preserve">With allergic asthma </w:t>
            </w:r>
          </w:p>
        </w:tc>
        <w:tc>
          <w:tcPr>
            <w:tcW w:w="0" w:type="auto"/>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79A75F95" w14:textId="77777777" w:rsidR="001935A7" w:rsidRPr="001935A7" w:rsidRDefault="001935A7" w:rsidP="001935A7">
            <w:pPr>
              <w:jc w:val="both"/>
              <w:rPr>
                <w:rFonts w:ascii="Arial" w:hAnsi="Arial" w:cs="Arial"/>
                <w:color w:val="000000"/>
                <w:sz w:val="16"/>
                <w:szCs w:val="16"/>
              </w:rPr>
            </w:pPr>
            <w:r w:rsidRPr="001935A7">
              <w:rPr>
                <w:rFonts w:ascii="Arial" w:hAnsi="Arial" w:cs="Arial"/>
                <w:color w:val="000000"/>
                <w:sz w:val="16"/>
                <w:szCs w:val="16"/>
                <w:lang w:val="es-ES"/>
              </w:rPr>
              <w:t>45.5 (26-59.9)</w:t>
            </w:r>
          </w:p>
        </w:tc>
        <w:tc>
          <w:tcPr>
            <w:tcW w:w="0" w:type="auto"/>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250ADA41" w14:textId="77777777" w:rsidR="001935A7" w:rsidRPr="001935A7" w:rsidRDefault="001935A7" w:rsidP="001935A7">
            <w:pPr>
              <w:jc w:val="both"/>
              <w:rPr>
                <w:rFonts w:ascii="Arial" w:hAnsi="Arial" w:cs="Arial"/>
                <w:color w:val="000000"/>
                <w:sz w:val="16"/>
                <w:szCs w:val="16"/>
              </w:rPr>
            </w:pPr>
            <w:r w:rsidRPr="001935A7">
              <w:rPr>
                <w:rFonts w:ascii="Arial" w:hAnsi="Arial" w:cs="Arial"/>
                <w:color w:val="000000"/>
                <w:sz w:val="16"/>
                <w:szCs w:val="16"/>
                <w:lang w:val="es-ES"/>
              </w:rPr>
              <w:t>0.16 (0.09-0.23)</w:t>
            </w:r>
          </w:p>
        </w:tc>
        <w:tc>
          <w:tcPr>
            <w:tcW w:w="2985"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2C63C4A9" w14:textId="77777777" w:rsidR="001935A7" w:rsidRPr="001935A7" w:rsidRDefault="001935A7" w:rsidP="001935A7">
            <w:pPr>
              <w:jc w:val="both"/>
              <w:rPr>
                <w:rFonts w:ascii="Arial" w:hAnsi="Arial" w:cs="Arial"/>
                <w:color w:val="000000"/>
                <w:sz w:val="16"/>
                <w:szCs w:val="16"/>
              </w:rPr>
            </w:pPr>
            <w:r w:rsidRPr="001935A7">
              <w:rPr>
                <w:rFonts w:ascii="Arial" w:hAnsi="Arial" w:cs="Arial"/>
                <w:color w:val="000000"/>
                <w:sz w:val="16"/>
                <w:szCs w:val="16"/>
                <w:lang w:val="es-ES"/>
              </w:rPr>
              <w:t>- 0.26 (-0.44 to – 0.08)</w:t>
            </w:r>
          </w:p>
        </w:tc>
      </w:tr>
      <w:tr w:rsidR="001935A7" w:rsidRPr="001935A7" w14:paraId="6953EAB0" w14:textId="77777777" w:rsidTr="00F53366">
        <w:trPr>
          <w:trHeight w:val="719"/>
        </w:trPr>
        <w:tc>
          <w:tcPr>
            <w:tcW w:w="0" w:type="auto"/>
            <w:tcBorders>
              <w:top w:val="single" w:sz="8" w:space="0" w:color="FFFFFF"/>
              <w:left w:val="nil"/>
              <w:bottom w:val="single" w:sz="8" w:space="0" w:color="FFFFFF"/>
              <w:right w:val="single" w:sz="8" w:space="0" w:color="FFFFFF"/>
            </w:tcBorders>
            <w:shd w:val="clear" w:color="auto" w:fill="FFFFFF"/>
            <w:tcMar>
              <w:top w:w="72" w:type="dxa"/>
              <w:left w:w="144" w:type="dxa"/>
              <w:bottom w:w="72" w:type="dxa"/>
              <w:right w:w="144" w:type="dxa"/>
            </w:tcMar>
            <w:hideMark/>
          </w:tcPr>
          <w:p w14:paraId="5BD9E3F3" w14:textId="77777777" w:rsidR="001935A7" w:rsidRPr="001935A7" w:rsidRDefault="001935A7" w:rsidP="001935A7">
            <w:pPr>
              <w:jc w:val="both"/>
              <w:rPr>
                <w:rFonts w:ascii="Arial" w:hAnsi="Arial" w:cs="Arial"/>
                <w:color w:val="000000"/>
                <w:sz w:val="16"/>
                <w:szCs w:val="16"/>
              </w:rPr>
            </w:pPr>
            <w:r w:rsidRPr="001935A7">
              <w:rPr>
                <w:rFonts w:ascii="Arial" w:hAnsi="Arial" w:cs="Arial"/>
                <w:color w:val="000000"/>
                <w:sz w:val="16"/>
                <w:szCs w:val="16"/>
                <w:lang w:val="ca-ES"/>
              </w:rPr>
              <w:t>Without allergic asthma</w:t>
            </w:r>
          </w:p>
        </w:tc>
        <w:tc>
          <w:tcPr>
            <w:tcW w:w="0" w:type="auto"/>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510ABDE3" w14:textId="77777777" w:rsidR="001935A7" w:rsidRPr="001935A7" w:rsidRDefault="001935A7" w:rsidP="001935A7">
            <w:pPr>
              <w:jc w:val="both"/>
              <w:rPr>
                <w:rFonts w:ascii="Arial" w:hAnsi="Arial" w:cs="Arial"/>
                <w:color w:val="000000"/>
                <w:sz w:val="16"/>
                <w:szCs w:val="16"/>
              </w:rPr>
            </w:pPr>
            <w:r w:rsidRPr="001935A7">
              <w:rPr>
                <w:rFonts w:ascii="Arial" w:hAnsi="Arial" w:cs="Arial"/>
                <w:color w:val="000000"/>
                <w:sz w:val="16"/>
                <w:szCs w:val="16"/>
                <w:lang w:val="ca-ES"/>
              </w:rPr>
              <w:t>44.6 (21.5-60.9)</w:t>
            </w:r>
          </w:p>
        </w:tc>
        <w:tc>
          <w:tcPr>
            <w:tcW w:w="0" w:type="auto"/>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24239ACA" w14:textId="77777777" w:rsidR="001935A7" w:rsidRPr="001935A7" w:rsidRDefault="001935A7" w:rsidP="001935A7">
            <w:pPr>
              <w:jc w:val="both"/>
              <w:rPr>
                <w:rFonts w:ascii="Arial" w:hAnsi="Arial" w:cs="Arial"/>
                <w:color w:val="000000"/>
                <w:sz w:val="16"/>
                <w:szCs w:val="16"/>
              </w:rPr>
            </w:pPr>
            <w:r w:rsidRPr="001935A7">
              <w:rPr>
                <w:rFonts w:ascii="Arial" w:hAnsi="Arial" w:cs="Arial"/>
                <w:color w:val="000000"/>
                <w:sz w:val="16"/>
                <w:szCs w:val="16"/>
                <w:lang w:val="ca-ES"/>
              </w:rPr>
              <w:t>0.09(0.01 -0.16)</w:t>
            </w:r>
          </w:p>
        </w:tc>
        <w:tc>
          <w:tcPr>
            <w:tcW w:w="2985"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04F5EB63" w14:textId="77777777" w:rsidR="001935A7" w:rsidRPr="001935A7" w:rsidRDefault="001935A7" w:rsidP="001935A7">
            <w:pPr>
              <w:jc w:val="both"/>
              <w:rPr>
                <w:rFonts w:ascii="Arial" w:hAnsi="Arial" w:cs="Arial"/>
                <w:color w:val="000000"/>
                <w:sz w:val="16"/>
                <w:szCs w:val="16"/>
              </w:rPr>
            </w:pPr>
            <w:r w:rsidRPr="001935A7">
              <w:rPr>
                <w:rFonts w:ascii="Arial" w:hAnsi="Arial" w:cs="Arial"/>
                <w:color w:val="000000"/>
                <w:sz w:val="16"/>
                <w:szCs w:val="16"/>
                <w:lang w:val="ca-ES"/>
              </w:rPr>
              <w:t>-0.08 (-0,29 to 0.12)</w:t>
            </w:r>
          </w:p>
        </w:tc>
      </w:tr>
    </w:tbl>
    <w:p w14:paraId="3B129E62" w14:textId="1294F826" w:rsidR="001935A7" w:rsidRPr="00601402" w:rsidRDefault="001935A7" w:rsidP="00596BE0">
      <w:pPr>
        <w:jc w:val="both"/>
        <w:rPr>
          <w:rFonts w:ascii="Arial" w:hAnsi="Arial" w:cs="Arial"/>
          <w:color w:val="000000"/>
          <w:sz w:val="16"/>
          <w:szCs w:val="16"/>
        </w:rPr>
      </w:pPr>
    </w:p>
    <w:tbl>
      <w:tblPr>
        <w:tblW w:w="5296" w:type="pct"/>
        <w:tblLayout w:type="fixed"/>
        <w:tblCellMar>
          <w:top w:w="75" w:type="dxa"/>
          <w:left w:w="75" w:type="dxa"/>
          <w:bottom w:w="75" w:type="dxa"/>
          <w:right w:w="75" w:type="dxa"/>
        </w:tblCellMar>
        <w:tblLook w:val="00A0" w:firstRow="1" w:lastRow="0" w:firstColumn="1" w:lastColumn="0" w:noHBand="0" w:noVBand="0"/>
      </w:tblPr>
      <w:tblGrid>
        <w:gridCol w:w="2835"/>
        <w:gridCol w:w="3689"/>
        <w:gridCol w:w="1421"/>
        <w:gridCol w:w="1694"/>
        <w:gridCol w:w="1984"/>
        <w:gridCol w:w="2611"/>
      </w:tblGrid>
      <w:tr w:rsidR="00596BE0" w:rsidRPr="00601402" w14:paraId="1E9D7937" w14:textId="77777777" w:rsidTr="00596BE0">
        <w:trPr>
          <w:cantSplit/>
          <w:tblHeader/>
        </w:trPr>
        <w:tc>
          <w:tcPr>
            <w:tcW w:w="5000" w:type="pct"/>
            <w:gridSpan w:val="6"/>
            <w:tcBorders>
              <w:top w:val="single" w:sz="6" w:space="0" w:color="000000"/>
              <w:left w:val="nil"/>
              <w:bottom w:val="single" w:sz="6" w:space="0" w:color="000000"/>
              <w:right w:val="nil"/>
            </w:tcBorders>
            <w:shd w:val="clear" w:color="auto" w:fill="92D050"/>
          </w:tcPr>
          <w:p w14:paraId="6CE1699C" w14:textId="24308A1C" w:rsidR="00596BE0" w:rsidRPr="00601402" w:rsidRDefault="00596BE0" w:rsidP="00596BE0">
            <w:pPr>
              <w:pStyle w:val="Ttol1"/>
              <w:spacing w:before="0" w:beforeAutospacing="0" w:after="0" w:afterAutospacing="0"/>
              <w:ind w:left="113"/>
              <w:rPr>
                <w:rFonts w:ascii="Arial" w:hAnsi="Arial" w:cs="Arial"/>
                <w:b/>
                <w:sz w:val="16"/>
                <w:szCs w:val="16"/>
              </w:rPr>
            </w:pPr>
            <w:r w:rsidRPr="00601402">
              <w:rPr>
                <w:rFonts w:ascii="Arial" w:hAnsi="Arial" w:cs="Arial"/>
                <w:b/>
                <w:sz w:val="16"/>
                <w:szCs w:val="16"/>
                <w:shd w:val="clear" w:color="auto" w:fill="FFFFFF"/>
              </w:rPr>
              <w:t xml:space="preserve">Table </w:t>
            </w:r>
            <w:r>
              <w:rPr>
                <w:rFonts w:ascii="Arial" w:hAnsi="Arial" w:cs="Arial"/>
                <w:b/>
                <w:sz w:val="16"/>
                <w:szCs w:val="16"/>
                <w:shd w:val="clear" w:color="auto" w:fill="FFFFFF"/>
              </w:rPr>
              <w:t>S</w:t>
            </w:r>
            <w:r w:rsidR="00F53366">
              <w:rPr>
                <w:rFonts w:ascii="Arial" w:hAnsi="Arial" w:cs="Arial"/>
                <w:b/>
                <w:sz w:val="16"/>
                <w:szCs w:val="16"/>
                <w:shd w:val="clear" w:color="auto" w:fill="FFFFFF"/>
              </w:rPr>
              <w:t>32</w:t>
            </w:r>
            <w:r w:rsidRPr="00601402">
              <w:rPr>
                <w:rFonts w:ascii="Arial" w:hAnsi="Arial" w:cs="Arial"/>
                <w:b/>
                <w:sz w:val="16"/>
                <w:szCs w:val="16"/>
                <w:shd w:val="clear" w:color="auto" w:fill="FFFFFF"/>
              </w:rPr>
              <w:t xml:space="preserve">: Summary of findings of </w:t>
            </w:r>
            <w:r w:rsidRPr="00601402">
              <w:rPr>
                <w:rFonts w:ascii="Arial" w:hAnsi="Arial" w:cs="Arial"/>
                <w:b/>
                <w:bCs/>
                <w:sz w:val="16"/>
                <w:szCs w:val="16"/>
              </w:rPr>
              <w:t>mepolizumab compared to standard of care for eosinophilic asthma</w:t>
            </w:r>
          </w:p>
        </w:tc>
      </w:tr>
      <w:tr w:rsidR="00596BE0" w:rsidRPr="00601402" w14:paraId="0374C6D6" w14:textId="77777777" w:rsidTr="00596BE0">
        <w:trPr>
          <w:cantSplit/>
          <w:tblHeader/>
        </w:trPr>
        <w:tc>
          <w:tcPr>
            <w:tcW w:w="996" w:type="pct"/>
            <w:vMerge w:val="restart"/>
            <w:tcBorders>
              <w:top w:val="single" w:sz="12" w:space="0" w:color="000000"/>
              <w:left w:val="nil"/>
              <w:bottom w:val="single" w:sz="6" w:space="0" w:color="000000"/>
              <w:right w:val="nil"/>
            </w:tcBorders>
            <w:shd w:val="clear" w:color="auto" w:fill="3271AA"/>
            <w:vAlign w:val="center"/>
          </w:tcPr>
          <w:p w14:paraId="1A3FEA0E" w14:textId="77777777" w:rsidR="00596BE0" w:rsidRPr="00601402" w:rsidRDefault="00596BE0" w:rsidP="00596BE0">
            <w:pPr>
              <w:pStyle w:val="NormalWeb"/>
              <w:spacing w:before="0" w:beforeAutospacing="0" w:after="0" w:afterAutospacing="0"/>
              <w:ind w:left="113" w:right="-75"/>
              <w:rPr>
                <w:rFonts w:ascii="Arial" w:hAnsi="Arial" w:cs="Arial"/>
                <w:b/>
                <w:bCs/>
                <w:color w:val="FFFFFF"/>
                <w:sz w:val="16"/>
                <w:szCs w:val="16"/>
              </w:rPr>
            </w:pPr>
            <w:r w:rsidRPr="00601402">
              <w:rPr>
                <w:rFonts w:ascii="Arial" w:hAnsi="Arial" w:cs="Arial"/>
                <w:b/>
                <w:bCs/>
                <w:color w:val="FFFFFF"/>
                <w:sz w:val="16"/>
                <w:szCs w:val="16"/>
              </w:rPr>
              <w:t>Outcomes</w:t>
            </w:r>
          </w:p>
        </w:tc>
        <w:tc>
          <w:tcPr>
            <w:tcW w:w="1296" w:type="pct"/>
            <w:vMerge w:val="restart"/>
            <w:tcBorders>
              <w:top w:val="single" w:sz="12" w:space="0" w:color="000000"/>
              <w:left w:val="nil"/>
              <w:bottom w:val="single" w:sz="6" w:space="0" w:color="000000"/>
              <w:right w:val="nil"/>
            </w:tcBorders>
            <w:shd w:val="clear" w:color="auto" w:fill="3271AA"/>
            <w:vAlign w:val="center"/>
          </w:tcPr>
          <w:p w14:paraId="2102E1F8" w14:textId="77777777" w:rsidR="00596BE0" w:rsidRPr="00601402" w:rsidRDefault="00596BE0" w:rsidP="00596BE0">
            <w:pPr>
              <w:pStyle w:val="NormalWeb"/>
              <w:spacing w:before="0" w:beforeAutospacing="0" w:after="0" w:afterAutospacing="0"/>
              <w:ind w:left="113" w:firstLine="143"/>
              <w:rPr>
                <w:rFonts w:ascii="Arial" w:hAnsi="Arial" w:cs="Arial"/>
                <w:b/>
                <w:bCs/>
                <w:color w:val="FFFFFF"/>
                <w:sz w:val="16"/>
                <w:szCs w:val="16"/>
              </w:rPr>
            </w:pPr>
            <w:r w:rsidRPr="00601402">
              <w:rPr>
                <w:rFonts w:ascii="Arial" w:hAnsi="Arial" w:cs="Arial"/>
                <w:b/>
                <w:bCs/>
                <w:color w:val="FFFFFF"/>
                <w:sz w:val="16"/>
                <w:szCs w:val="16"/>
              </w:rPr>
              <w:t>№ of participants</w:t>
            </w:r>
            <w:r w:rsidRPr="00601402">
              <w:rPr>
                <w:rFonts w:ascii="Arial" w:hAnsi="Arial" w:cs="Arial"/>
                <w:b/>
                <w:bCs/>
                <w:color w:val="FFFFFF"/>
                <w:sz w:val="16"/>
                <w:szCs w:val="16"/>
              </w:rPr>
              <w:br/>
              <w:t>(studies)</w:t>
            </w:r>
            <w:r w:rsidRPr="00601402">
              <w:rPr>
                <w:rFonts w:ascii="Arial" w:hAnsi="Arial" w:cs="Arial"/>
                <w:b/>
                <w:bCs/>
                <w:color w:val="FFFFFF"/>
                <w:sz w:val="16"/>
                <w:szCs w:val="16"/>
              </w:rPr>
              <w:br/>
              <w:t>Follow-up (range)</w:t>
            </w:r>
          </w:p>
        </w:tc>
        <w:tc>
          <w:tcPr>
            <w:tcW w:w="499" w:type="pct"/>
            <w:vMerge w:val="restart"/>
            <w:tcBorders>
              <w:top w:val="single" w:sz="12" w:space="0" w:color="000000"/>
              <w:left w:val="nil"/>
              <w:bottom w:val="single" w:sz="6" w:space="0" w:color="000000"/>
              <w:right w:val="nil"/>
            </w:tcBorders>
            <w:shd w:val="clear" w:color="auto" w:fill="3271AA"/>
            <w:vAlign w:val="center"/>
          </w:tcPr>
          <w:p w14:paraId="06A3BA7E" w14:textId="77777777" w:rsidR="00596BE0" w:rsidRPr="00601402" w:rsidRDefault="00596BE0" w:rsidP="00596BE0">
            <w:pPr>
              <w:pStyle w:val="NormalWeb"/>
              <w:spacing w:before="0" w:beforeAutospacing="0" w:after="0" w:afterAutospacing="0"/>
              <w:ind w:left="113" w:right="-54" w:hanging="77"/>
              <w:rPr>
                <w:rFonts w:ascii="Arial" w:hAnsi="Arial" w:cs="Arial"/>
                <w:b/>
                <w:bCs/>
                <w:color w:val="FFFFFF"/>
                <w:sz w:val="16"/>
                <w:szCs w:val="16"/>
              </w:rPr>
            </w:pPr>
            <w:r w:rsidRPr="00601402">
              <w:rPr>
                <w:rFonts w:ascii="Arial" w:hAnsi="Arial" w:cs="Arial"/>
                <w:b/>
                <w:bCs/>
                <w:color w:val="FFFFFF"/>
                <w:sz w:val="16"/>
                <w:szCs w:val="16"/>
              </w:rPr>
              <w:t>Certainty of the evidence</w:t>
            </w:r>
            <w:r w:rsidRPr="00601402">
              <w:rPr>
                <w:rFonts w:ascii="Arial" w:hAnsi="Arial" w:cs="Arial"/>
                <w:b/>
                <w:bCs/>
                <w:color w:val="FFFFFF"/>
                <w:sz w:val="16"/>
                <w:szCs w:val="16"/>
              </w:rPr>
              <w:br/>
              <w:t>(GRADE)</w:t>
            </w:r>
          </w:p>
        </w:tc>
        <w:tc>
          <w:tcPr>
            <w:tcW w:w="595" w:type="pct"/>
            <w:vMerge w:val="restart"/>
            <w:tcBorders>
              <w:top w:val="single" w:sz="12" w:space="0" w:color="000000"/>
              <w:left w:val="nil"/>
              <w:bottom w:val="single" w:sz="6" w:space="0" w:color="000000"/>
              <w:right w:val="nil"/>
            </w:tcBorders>
            <w:shd w:val="clear" w:color="auto" w:fill="3271AA"/>
            <w:vAlign w:val="center"/>
          </w:tcPr>
          <w:p w14:paraId="52362D9E" w14:textId="77777777" w:rsidR="00596BE0" w:rsidRPr="00601402" w:rsidRDefault="00596BE0" w:rsidP="00596BE0">
            <w:pPr>
              <w:pStyle w:val="NormalWeb"/>
              <w:spacing w:before="0" w:beforeAutospacing="0" w:after="0" w:afterAutospacing="0"/>
              <w:ind w:left="113"/>
              <w:rPr>
                <w:rFonts w:ascii="Arial" w:hAnsi="Arial" w:cs="Arial"/>
                <w:b/>
                <w:bCs/>
                <w:color w:val="FFFFFF"/>
                <w:sz w:val="16"/>
                <w:szCs w:val="16"/>
              </w:rPr>
            </w:pPr>
            <w:r w:rsidRPr="00601402">
              <w:rPr>
                <w:rFonts w:ascii="Arial" w:hAnsi="Arial" w:cs="Arial"/>
                <w:b/>
                <w:bCs/>
                <w:color w:val="FFFFFF"/>
                <w:sz w:val="16"/>
                <w:szCs w:val="16"/>
              </w:rPr>
              <w:t>Relative effect</w:t>
            </w:r>
            <w:r w:rsidRPr="00601402">
              <w:rPr>
                <w:rFonts w:ascii="Arial" w:hAnsi="Arial" w:cs="Arial"/>
                <w:b/>
                <w:bCs/>
                <w:color w:val="FFFFFF"/>
                <w:sz w:val="16"/>
                <w:szCs w:val="16"/>
              </w:rPr>
              <w:br/>
              <w:t>(95% CI)</w:t>
            </w:r>
          </w:p>
        </w:tc>
        <w:tc>
          <w:tcPr>
            <w:tcW w:w="1614" w:type="pct"/>
            <w:gridSpan w:val="2"/>
            <w:tcBorders>
              <w:top w:val="single" w:sz="12" w:space="0" w:color="000000"/>
              <w:left w:val="nil"/>
              <w:bottom w:val="single" w:sz="6" w:space="0" w:color="000000"/>
              <w:right w:val="nil"/>
            </w:tcBorders>
            <w:shd w:val="clear" w:color="auto" w:fill="D3D3D3"/>
            <w:vAlign w:val="center"/>
          </w:tcPr>
          <w:p w14:paraId="0380E8EF" w14:textId="77777777" w:rsidR="00596BE0" w:rsidRPr="00601402" w:rsidRDefault="00596BE0" w:rsidP="00596BE0">
            <w:pPr>
              <w:pStyle w:val="NormalWeb"/>
              <w:spacing w:before="0" w:beforeAutospacing="0" w:after="0" w:afterAutospacing="0"/>
              <w:ind w:left="113"/>
              <w:rPr>
                <w:rFonts w:ascii="Arial" w:hAnsi="Arial" w:cs="Arial"/>
                <w:b/>
                <w:bCs/>
                <w:color w:val="000000"/>
                <w:sz w:val="16"/>
                <w:szCs w:val="16"/>
              </w:rPr>
            </w:pPr>
            <w:r w:rsidRPr="00601402">
              <w:rPr>
                <w:rFonts w:ascii="Arial" w:hAnsi="Arial" w:cs="Arial"/>
                <w:b/>
                <w:bCs/>
                <w:color w:val="000000"/>
                <w:sz w:val="16"/>
                <w:szCs w:val="16"/>
              </w:rPr>
              <w:t>Anticipated absolute effects</w:t>
            </w:r>
          </w:p>
        </w:tc>
      </w:tr>
      <w:tr w:rsidR="00596BE0" w:rsidRPr="00601402" w14:paraId="419B4335" w14:textId="77777777" w:rsidTr="00596BE0">
        <w:trPr>
          <w:cantSplit/>
          <w:tblHeader/>
        </w:trPr>
        <w:tc>
          <w:tcPr>
            <w:tcW w:w="996" w:type="pct"/>
            <w:vMerge/>
            <w:tcBorders>
              <w:top w:val="single" w:sz="12" w:space="0" w:color="000000"/>
              <w:left w:val="nil"/>
              <w:bottom w:val="single" w:sz="6" w:space="0" w:color="000000"/>
              <w:right w:val="nil"/>
            </w:tcBorders>
            <w:vAlign w:val="center"/>
          </w:tcPr>
          <w:p w14:paraId="31FCA116" w14:textId="77777777" w:rsidR="00596BE0" w:rsidRPr="00601402" w:rsidRDefault="00596BE0" w:rsidP="00596BE0">
            <w:pPr>
              <w:ind w:left="113" w:right="-75"/>
              <w:rPr>
                <w:rFonts w:ascii="Arial" w:hAnsi="Arial" w:cs="Arial"/>
                <w:b/>
                <w:bCs/>
                <w:color w:val="FFFFFF"/>
                <w:sz w:val="16"/>
                <w:szCs w:val="16"/>
              </w:rPr>
            </w:pPr>
          </w:p>
        </w:tc>
        <w:tc>
          <w:tcPr>
            <w:tcW w:w="1296" w:type="pct"/>
            <w:vMerge/>
            <w:tcBorders>
              <w:top w:val="single" w:sz="12" w:space="0" w:color="000000"/>
              <w:left w:val="nil"/>
              <w:bottom w:val="single" w:sz="6" w:space="0" w:color="000000"/>
              <w:right w:val="nil"/>
            </w:tcBorders>
            <w:vAlign w:val="center"/>
          </w:tcPr>
          <w:p w14:paraId="43BC9C50" w14:textId="77777777" w:rsidR="00596BE0" w:rsidRPr="00601402" w:rsidRDefault="00596BE0" w:rsidP="00596BE0">
            <w:pPr>
              <w:ind w:left="113"/>
              <w:rPr>
                <w:rFonts w:ascii="Arial" w:hAnsi="Arial" w:cs="Arial"/>
                <w:b/>
                <w:bCs/>
                <w:color w:val="FFFFFF"/>
                <w:sz w:val="16"/>
                <w:szCs w:val="16"/>
              </w:rPr>
            </w:pPr>
          </w:p>
        </w:tc>
        <w:tc>
          <w:tcPr>
            <w:tcW w:w="499" w:type="pct"/>
            <w:vMerge/>
            <w:tcBorders>
              <w:top w:val="single" w:sz="12" w:space="0" w:color="000000"/>
              <w:left w:val="nil"/>
              <w:bottom w:val="single" w:sz="6" w:space="0" w:color="000000"/>
              <w:right w:val="nil"/>
            </w:tcBorders>
            <w:vAlign w:val="center"/>
          </w:tcPr>
          <w:p w14:paraId="35C5824E" w14:textId="77777777" w:rsidR="00596BE0" w:rsidRPr="00601402" w:rsidRDefault="00596BE0" w:rsidP="00596BE0">
            <w:pPr>
              <w:ind w:left="113"/>
              <w:rPr>
                <w:rFonts w:ascii="Arial" w:hAnsi="Arial" w:cs="Arial"/>
                <w:b/>
                <w:bCs/>
                <w:color w:val="FFFFFF"/>
                <w:sz w:val="16"/>
                <w:szCs w:val="16"/>
              </w:rPr>
            </w:pPr>
          </w:p>
        </w:tc>
        <w:tc>
          <w:tcPr>
            <w:tcW w:w="595" w:type="pct"/>
            <w:vMerge/>
            <w:tcBorders>
              <w:top w:val="single" w:sz="12" w:space="0" w:color="000000"/>
              <w:left w:val="nil"/>
              <w:bottom w:val="single" w:sz="6" w:space="0" w:color="000000"/>
              <w:right w:val="nil"/>
            </w:tcBorders>
            <w:vAlign w:val="center"/>
          </w:tcPr>
          <w:p w14:paraId="7524AA9F" w14:textId="77777777" w:rsidR="00596BE0" w:rsidRPr="00601402" w:rsidRDefault="00596BE0" w:rsidP="00596BE0">
            <w:pPr>
              <w:ind w:left="113"/>
              <w:rPr>
                <w:rFonts w:ascii="Arial" w:hAnsi="Arial" w:cs="Arial"/>
                <w:b/>
                <w:bCs/>
                <w:color w:val="FFFFFF"/>
                <w:sz w:val="16"/>
                <w:szCs w:val="16"/>
              </w:rPr>
            </w:pPr>
          </w:p>
        </w:tc>
        <w:tc>
          <w:tcPr>
            <w:tcW w:w="697" w:type="pct"/>
            <w:tcBorders>
              <w:top w:val="single" w:sz="12" w:space="0" w:color="000000"/>
              <w:left w:val="nil"/>
              <w:bottom w:val="single" w:sz="6" w:space="0" w:color="000000"/>
              <w:right w:val="nil"/>
            </w:tcBorders>
            <w:shd w:val="clear" w:color="auto" w:fill="D3D3D3"/>
            <w:vAlign w:val="center"/>
          </w:tcPr>
          <w:p w14:paraId="1AB2901F" w14:textId="77777777" w:rsidR="00596BE0" w:rsidRPr="00601402" w:rsidRDefault="00596BE0" w:rsidP="00596BE0">
            <w:pPr>
              <w:pStyle w:val="NormalWeb"/>
              <w:spacing w:before="0" w:beforeAutospacing="0" w:after="0" w:afterAutospacing="0"/>
              <w:ind w:left="113"/>
              <w:rPr>
                <w:rFonts w:ascii="Arial" w:hAnsi="Arial" w:cs="Arial"/>
                <w:b/>
                <w:bCs/>
                <w:color w:val="000000"/>
                <w:sz w:val="16"/>
                <w:szCs w:val="16"/>
              </w:rPr>
            </w:pPr>
            <w:r w:rsidRPr="00601402">
              <w:rPr>
                <w:rFonts w:ascii="Arial" w:hAnsi="Arial" w:cs="Arial"/>
                <w:b/>
                <w:bCs/>
                <w:color w:val="000000"/>
                <w:sz w:val="16"/>
                <w:szCs w:val="16"/>
              </w:rPr>
              <w:t>Risk with standard of care</w:t>
            </w:r>
          </w:p>
        </w:tc>
        <w:tc>
          <w:tcPr>
            <w:tcW w:w="917" w:type="pct"/>
            <w:tcBorders>
              <w:top w:val="single" w:sz="12" w:space="0" w:color="000000"/>
              <w:left w:val="nil"/>
              <w:bottom w:val="single" w:sz="6" w:space="0" w:color="000000"/>
              <w:right w:val="nil"/>
            </w:tcBorders>
            <w:shd w:val="clear" w:color="auto" w:fill="D3D3D3"/>
            <w:vAlign w:val="center"/>
          </w:tcPr>
          <w:p w14:paraId="4F4FC090" w14:textId="77777777" w:rsidR="00596BE0" w:rsidRPr="00601402" w:rsidRDefault="00596BE0" w:rsidP="00596BE0">
            <w:pPr>
              <w:pStyle w:val="NormalWeb"/>
              <w:spacing w:before="0" w:beforeAutospacing="0" w:after="0" w:afterAutospacing="0"/>
              <w:ind w:left="113"/>
              <w:rPr>
                <w:rFonts w:ascii="Arial" w:hAnsi="Arial" w:cs="Arial"/>
                <w:b/>
                <w:bCs/>
                <w:color w:val="000000"/>
                <w:sz w:val="16"/>
                <w:szCs w:val="16"/>
              </w:rPr>
            </w:pPr>
            <w:r w:rsidRPr="00601402">
              <w:rPr>
                <w:rFonts w:ascii="Arial" w:hAnsi="Arial" w:cs="Arial"/>
                <w:b/>
                <w:bCs/>
                <w:color w:val="000000"/>
                <w:sz w:val="16"/>
                <w:szCs w:val="16"/>
              </w:rPr>
              <w:t>Risk difference with mepolizumab</w:t>
            </w:r>
          </w:p>
        </w:tc>
      </w:tr>
      <w:tr w:rsidR="00596BE0" w:rsidRPr="00601402" w14:paraId="77BC4A67" w14:textId="77777777" w:rsidTr="00596BE0">
        <w:trPr>
          <w:cantSplit/>
          <w:trHeight w:val="920"/>
        </w:trPr>
        <w:tc>
          <w:tcPr>
            <w:tcW w:w="996" w:type="pct"/>
            <w:tcBorders>
              <w:top w:val="single" w:sz="6" w:space="0" w:color="000000"/>
              <w:left w:val="nil"/>
              <w:bottom w:val="single" w:sz="6" w:space="0" w:color="000000"/>
              <w:right w:val="nil"/>
            </w:tcBorders>
            <w:vAlign w:val="center"/>
          </w:tcPr>
          <w:p w14:paraId="7C6E1B7F" w14:textId="77777777" w:rsidR="00596BE0" w:rsidRPr="00601402" w:rsidRDefault="00596BE0" w:rsidP="00596BE0">
            <w:pPr>
              <w:ind w:left="113" w:right="-75"/>
              <w:rPr>
                <w:rStyle w:val="label"/>
                <w:rFonts w:ascii="Arial" w:hAnsi="Arial" w:cs="Arial"/>
                <w:b/>
                <w:sz w:val="16"/>
                <w:szCs w:val="16"/>
              </w:rPr>
            </w:pPr>
            <w:r w:rsidRPr="00601402">
              <w:rPr>
                <w:rStyle w:val="label"/>
                <w:rFonts w:ascii="Arial" w:hAnsi="Arial" w:cs="Arial"/>
                <w:b/>
                <w:sz w:val="16"/>
                <w:szCs w:val="16"/>
              </w:rPr>
              <w:t>Exacerbations</w:t>
            </w:r>
          </w:p>
          <w:p w14:paraId="2721CFC6" w14:textId="77777777" w:rsidR="00596BE0" w:rsidRPr="00601402" w:rsidRDefault="00596BE0" w:rsidP="00596BE0">
            <w:pPr>
              <w:ind w:left="113" w:right="-75"/>
              <w:rPr>
                <w:rStyle w:val="label"/>
                <w:rFonts w:ascii="Arial" w:hAnsi="Arial" w:cs="Arial"/>
                <w:sz w:val="16"/>
                <w:szCs w:val="16"/>
              </w:rPr>
            </w:pPr>
            <w:r w:rsidRPr="00601402">
              <w:rPr>
                <w:rStyle w:val="label"/>
                <w:rFonts w:ascii="Arial" w:hAnsi="Arial" w:cs="Arial"/>
                <w:sz w:val="16"/>
                <w:szCs w:val="16"/>
              </w:rPr>
              <w:t xml:space="preserve">Exacerbation rate ratio </w:t>
            </w:r>
          </w:p>
          <w:p w14:paraId="572CA37D" w14:textId="77777777" w:rsidR="00596BE0" w:rsidRPr="00601402" w:rsidRDefault="00596BE0" w:rsidP="00596BE0">
            <w:pPr>
              <w:ind w:left="113" w:right="-75"/>
              <w:rPr>
                <w:rFonts w:ascii="Arial" w:hAnsi="Arial" w:cs="Arial"/>
                <w:sz w:val="16"/>
                <w:szCs w:val="16"/>
              </w:rPr>
            </w:pPr>
            <w:r w:rsidRPr="00601402">
              <w:rPr>
                <w:rStyle w:val="label"/>
                <w:rFonts w:ascii="Arial" w:hAnsi="Arial" w:cs="Arial"/>
                <w:sz w:val="16"/>
                <w:szCs w:val="16"/>
              </w:rPr>
              <w:t xml:space="preserve">Assessed witt the annualized rates of asthma exacerbations </w:t>
            </w:r>
            <w:r w:rsidRPr="00601402">
              <w:rPr>
                <w:rFonts w:ascii="Arial" w:hAnsi="Arial" w:cs="Arial"/>
                <w:sz w:val="16"/>
                <w:szCs w:val="16"/>
              </w:rPr>
              <w:br/>
            </w:r>
          </w:p>
        </w:tc>
        <w:tc>
          <w:tcPr>
            <w:tcW w:w="1296" w:type="pct"/>
            <w:tcBorders>
              <w:top w:val="single" w:sz="6" w:space="0" w:color="000000"/>
              <w:left w:val="nil"/>
              <w:bottom w:val="single" w:sz="6" w:space="0" w:color="000000"/>
              <w:right w:val="nil"/>
            </w:tcBorders>
            <w:vAlign w:val="center"/>
          </w:tcPr>
          <w:p w14:paraId="6688D3F7" w14:textId="77777777" w:rsidR="00596BE0" w:rsidRPr="00601402" w:rsidRDefault="00596BE0" w:rsidP="00596BE0">
            <w:pPr>
              <w:ind w:left="113"/>
              <w:rPr>
                <w:rFonts w:ascii="Arial" w:hAnsi="Arial" w:cs="Arial"/>
                <w:sz w:val="16"/>
                <w:szCs w:val="16"/>
                <w:vertAlign w:val="superscript"/>
              </w:rPr>
            </w:pPr>
            <w:r w:rsidRPr="00601402">
              <w:rPr>
                <w:rFonts w:ascii="Arial" w:hAnsi="Arial" w:cs="Arial"/>
                <w:sz w:val="16"/>
                <w:szCs w:val="16"/>
              </w:rPr>
              <w:t>1071</w:t>
            </w:r>
            <w:r w:rsidRPr="00601402">
              <w:rPr>
                <w:rFonts w:ascii="Arial" w:hAnsi="Arial" w:cs="Arial"/>
                <w:sz w:val="16"/>
                <w:szCs w:val="16"/>
              </w:rPr>
              <w:br/>
              <w:t xml:space="preserve">(3 RCTs) </w:t>
            </w:r>
            <w:r w:rsidRPr="00601402">
              <w:rPr>
                <w:rFonts w:ascii="Arial" w:hAnsi="Arial" w:cs="Arial"/>
                <w:sz w:val="16"/>
                <w:szCs w:val="16"/>
                <w:vertAlign w:val="superscript"/>
              </w:rPr>
              <w:t>45,46,47</w:t>
            </w:r>
          </w:p>
          <w:p w14:paraId="2A38979A" w14:textId="77777777" w:rsidR="00596BE0" w:rsidRPr="00601402" w:rsidRDefault="00596BE0" w:rsidP="00596BE0">
            <w:pPr>
              <w:ind w:left="113"/>
              <w:rPr>
                <w:rFonts w:ascii="Arial" w:hAnsi="Arial" w:cs="Arial"/>
                <w:sz w:val="16"/>
                <w:szCs w:val="16"/>
              </w:rPr>
            </w:pPr>
            <w:r w:rsidRPr="00601402">
              <w:rPr>
                <w:rStyle w:val="label"/>
                <w:rFonts w:ascii="Arial" w:hAnsi="Arial" w:cs="Arial"/>
                <w:sz w:val="16"/>
                <w:szCs w:val="16"/>
              </w:rPr>
              <w:t>24 to 32 weeks</w:t>
            </w:r>
          </w:p>
        </w:tc>
        <w:tc>
          <w:tcPr>
            <w:tcW w:w="499" w:type="pct"/>
            <w:tcBorders>
              <w:top w:val="single" w:sz="6" w:space="0" w:color="000000"/>
              <w:left w:val="nil"/>
              <w:bottom w:val="single" w:sz="6" w:space="0" w:color="000000"/>
              <w:right w:val="nil"/>
            </w:tcBorders>
            <w:vAlign w:val="center"/>
          </w:tcPr>
          <w:p w14:paraId="581CC5DC" w14:textId="77777777" w:rsidR="00596BE0" w:rsidRPr="00601402" w:rsidRDefault="00596BE0" w:rsidP="00596BE0">
            <w:pPr>
              <w:ind w:left="113"/>
              <w:rPr>
                <w:rFonts w:ascii="Arial" w:hAnsi="Arial" w:cs="Arial"/>
                <w:sz w:val="16"/>
                <w:szCs w:val="16"/>
              </w:rPr>
            </w:pPr>
            <w:r w:rsidRPr="00601402">
              <w:rPr>
                <w:rStyle w:val="quality-sign"/>
                <w:rFonts w:ascii="Cambria Math" w:hAnsi="Cambria Math" w:cs="Cambria Math"/>
                <w:sz w:val="16"/>
                <w:szCs w:val="16"/>
              </w:rPr>
              <w:t>⨁⨁⨁⨁</w:t>
            </w:r>
            <w:r w:rsidRPr="00601402">
              <w:rPr>
                <w:rFonts w:ascii="Arial" w:hAnsi="Arial" w:cs="Arial"/>
                <w:sz w:val="16"/>
                <w:szCs w:val="16"/>
              </w:rPr>
              <w:br/>
            </w:r>
            <w:r w:rsidRPr="00601402">
              <w:rPr>
                <w:rStyle w:val="quality-text"/>
                <w:rFonts w:ascii="Arial" w:hAnsi="Arial" w:cs="Arial"/>
                <w:sz w:val="16"/>
                <w:szCs w:val="16"/>
              </w:rPr>
              <w:t>HIGH</w:t>
            </w:r>
            <w:r w:rsidRPr="00601402">
              <w:rPr>
                <w:rFonts w:ascii="Arial" w:hAnsi="Arial" w:cs="Arial"/>
                <w:sz w:val="16"/>
                <w:szCs w:val="16"/>
              </w:rPr>
              <w:t xml:space="preserve"> </w:t>
            </w:r>
            <w:r w:rsidRPr="00601402">
              <w:rPr>
                <w:rFonts w:ascii="Arial" w:hAnsi="Arial" w:cs="Arial"/>
                <w:sz w:val="16"/>
                <w:szCs w:val="16"/>
                <w:vertAlign w:val="superscript"/>
              </w:rPr>
              <w:t>4</w:t>
            </w:r>
            <w:r w:rsidRPr="00601402">
              <w:rPr>
                <w:rStyle w:val="comma"/>
                <w:rFonts w:ascii="Arial" w:hAnsi="Arial" w:cs="Arial"/>
                <w:sz w:val="16"/>
                <w:szCs w:val="16"/>
                <w:vertAlign w:val="superscript"/>
              </w:rPr>
              <w:t>,</w:t>
            </w:r>
            <w:proofErr w:type="gramStart"/>
            <w:r w:rsidRPr="00601402">
              <w:rPr>
                <w:rFonts w:ascii="Arial" w:hAnsi="Arial" w:cs="Arial"/>
                <w:sz w:val="16"/>
                <w:szCs w:val="16"/>
                <w:vertAlign w:val="superscript"/>
              </w:rPr>
              <w:t>5</w:t>
            </w:r>
            <w:r w:rsidRPr="00601402">
              <w:rPr>
                <w:rStyle w:val="comma"/>
                <w:rFonts w:ascii="Arial" w:hAnsi="Arial" w:cs="Arial"/>
                <w:sz w:val="16"/>
                <w:szCs w:val="16"/>
                <w:vertAlign w:val="superscript"/>
              </w:rPr>
              <w:t>,</w:t>
            </w:r>
            <w:r w:rsidRPr="00601402">
              <w:rPr>
                <w:rFonts w:ascii="Arial" w:hAnsi="Arial" w:cs="Arial"/>
                <w:sz w:val="16"/>
                <w:szCs w:val="16"/>
                <w:vertAlign w:val="superscript"/>
              </w:rPr>
              <w:t>a</w:t>
            </w:r>
            <w:proofErr w:type="gramEnd"/>
            <w:r w:rsidRPr="00601402">
              <w:rPr>
                <w:rStyle w:val="comma"/>
                <w:rFonts w:ascii="Arial" w:hAnsi="Arial" w:cs="Arial"/>
                <w:sz w:val="16"/>
                <w:szCs w:val="16"/>
                <w:vertAlign w:val="superscript"/>
              </w:rPr>
              <w:t>,</w:t>
            </w:r>
            <w:r w:rsidRPr="00601402">
              <w:rPr>
                <w:rFonts w:ascii="Arial" w:hAnsi="Arial" w:cs="Arial"/>
                <w:sz w:val="16"/>
                <w:szCs w:val="16"/>
                <w:vertAlign w:val="superscript"/>
              </w:rPr>
              <w:t>b</w:t>
            </w:r>
            <w:r w:rsidRPr="00601402">
              <w:rPr>
                <w:rStyle w:val="comma"/>
                <w:rFonts w:ascii="Arial" w:hAnsi="Arial" w:cs="Arial"/>
                <w:sz w:val="16"/>
                <w:szCs w:val="16"/>
                <w:vertAlign w:val="superscript"/>
              </w:rPr>
              <w:t>,</w:t>
            </w:r>
            <w:r w:rsidRPr="00601402">
              <w:rPr>
                <w:rFonts w:ascii="Arial" w:hAnsi="Arial" w:cs="Arial"/>
                <w:sz w:val="16"/>
                <w:szCs w:val="16"/>
                <w:vertAlign w:val="superscript"/>
              </w:rPr>
              <w:t>c</w:t>
            </w:r>
          </w:p>
        </w:tc>
        <w:tc>
          <w:tcPr>
            <w:tcW w:w="595" w:type="pct"/>
            <w:tcBorders>
              <w:top w:val="single" w:sz="6" w:space="0" w:color="000000"/>
              <w:left w:val="nil"/>
              <w:bottom w:val="single" w:sz="6" w:space="0" w:color="000000"/>
              <w:right w:val="nil"/>
            </w:tcBorders>
            <w:vAlign w:val="center"/>
          </w:tcPr>
          <w:p w14:paraId="62DF7DBC" w14:textId="4B50D543" w:rsidR="00596BE0" w:rsidRPr="00601402" w:rsidRDefault="00256864" w:rsidP="00596BE0">
            <w:pPr>
              <w:ind w:left="113"/>
              <w:rPr>
                <w:rFonts w:ascii="Arial" w:hAnsi="Arial" w:cs="Arial"/>
                <w:sz w:val="16"/>
                <w:szCs w:val="16"/>
              </w:rPr>
            </w:pPr>
            <w:r>
              <w:rPr>
                <w:rStyle w:val="block"/>
                <w:rFonts w:ascii="Arial" w:hAnsi="Arial" w:cs="Arial"/>
                <w:b/>
                <w:bCs/>
                <w:sz w:val="16"/>
                <w:szCs w:val="16"/>
              </w:rPr>
              <w:t>Incidence r</w:t>
            </w:r>
            <w:r w:rsidR="00596BE0" w:rsidRPr="00601402">
              <w:rPr>
                <w:rStyle w:val="block"/>
                <w:rFonts w:ascii="Arial" w:hAnsi="Arial" w:cs="Arial"/>
                <w:b/>
                <w:bCs/>
                <w:sz w:val="16"/>
                <w:szCs w:val="16"/>
              </w:rPr>
              <w:t>ate ratio 0.49</w:t>
            </w:r>
            <w:r w:rsidR="00596BE0" w:rsidRPr="00601402">
              <w:rPr>
                <w:rFonts w:ascii="Arial" w:hAnsi="Arial" w:cs="Arial"/>
                <w:sz w:val="16"/>
                <w:szCs w:val="16"/>
              </w:rPr>
              <w:br/>
            </w:r>
            <w:r w:rsidR="00596BE0" w:rsidRPr="00601402">
              <w:rPr>
                <w:rStyle w:val="cell"/>
                <w:rFonts w:ascii="Arial" w:hAnsi="Arial" w:cs="Arial"/>
                <w:sz w:val="16"/>
                <w:szCs w:val="16"/>
              </w:rPr>
              <w:t>(0.38 to 0.66)</w:t>
            </w:r>
            <w:r w:rsidR="00596BE0" w:rsidRPr="00601402">
              <w:rPr>
                <w:rFonts w:ascii="Arial" w:hAnsi="Arial" w:cs="Arial"/>
                <w:sz w:val="16"/>
                <w:szCs w:val="16"/>
              </w:rPr>
              <w:t xml:space="preserve"> </w:t>
            </w:r>
          </w:p>
        </w:tc>
        <w:tc>
          <w:tcPr>
            <w:tcW w:w="697" w:type="pct"/>
            <w:tcBorders>
              <w:top w:val="single" w:sz="6" w:space="0" w:color="000000"/>
              <w:left w:val="nil"/>
              <w:right w:val="nil"/>
            </w:tcBorders>
            <w:shd w:val="clear" w:color="auto" w:fill="E0E0E0"/>
            <w:vAlign w:val="center"/>
          </w:tcPr>
          <w:p w14:paraId="32E775F5" w14:textId="77777777" w:rsidR="00596BE0" w:rsidRPr="00601402" w:rsidRDefault="00596BE0" w:rsidP="00596BE0">
            <w:pPr>
              <w:ind w:left="113"/>
              <w:rPr>
                <w:rFonts w:ascii="Arial" w:hAnsi="Arial" w:cs="Arial"/>
                <w:b/>
                <w:bCs/>
                <w:sz w:val="16"/>
                <w:szCs w:val="16"/>
              </w:rPr>
            </w:pPr>
            <w:r w:rsidRPr="00601402">
              <w:rPr>
                <w:rFonts w:ascii="Arial" w:hAnsi="Arial" w:cs="Arial"/>
                <w:sz w:val="16"/>
                <w:szCs w:val="16"/>
              </w:rPr>
              <w:t xml:space="preserve">1700 exacerbations per 1000 patients per year  </w:t>
            </w:r>
          </w:p>
        </w:tc>
        <w:tc>
          <w:tcPr>
            <w:tcW w:w="917" w:type="pct"/>
            <w:tcBorders>
              <w:top w:val="single" w:sz="6" w:space="0" w:color="000000"/>
              <w:left w:val="nil"/>
              <w:right w:val="nil"/>
            </w:tcBorders>
            <w:shd w:val="clear" w:color="auto" w:fill="E0E0E0"/>
            <w:vAlign w:val="center"/>
          </w:tcPr>
          <w:p w14:paraId="74A4F79D" w14:textId="77777777" w:rsidR="00596BE0" w:rsidRPr="00601402" w:rsidRDefault="00596BE0" w:rsidP="00596BE0">
            <w:pPr>
              <w:ind w:left="113"/>
              <w:rPr>
                <w:rFonts w:ascii="Arial" w:hAnsi="Arial" w:cs="Arial"/>
                <w:b/>
                <w:bCs/>
                <w:sz w:val="16"/>
                <w:szCs w:val="16"/>
              </w:rPr>
            </w:pPr>
            <w:r w:rsidRPr="00601402">
              <w:rPr>
                <w:rStyle w:val="cell-value"/>
                <w:rFonts w:ascii="Arial" w:hAnsi="Arial" w:cs="Arial"/>
                <w:b/>
                <w:bCs/>
                <w:sz w:val="16"/>
                <w:szCs w:val="16"/>
              </w:rPr>
              <w:t>870 fewer exacerbations per 1000 patients per year</w:t>
            </w:r>
            <w:r w:rsidRPr="00601402">
              <w:rPr>
                <w:rFonts w:ascii="Arial" w:hAnsi="Arial" w:cs="Arial"/>
                <w:sz w:val="16"/>
                <w:szCs w:val="16"/>
              </w:rPr>
              <w:br/>
            </w:r>
            <w:r w:rsidRPr="00601402">
              <w:rPr>
                <w:rStyle w:val="cell-value"/>
                <w:rFonts w:ascii="Arial" w:hAnsi="Arial" w:cs="Arial"/>
                <w:sz w:val="16"/>
                <w:szCs w:val="16"/>
              </w:rPr>
              <w:t>(592 fewer to 1079 fewer)</w:t>
            </w:r>
          </w:p>
        </w:tc>
      </w:tr>
      <w:tr w:rsidR="00596BE0" w:rsidRPr="00601402" w14:paraId="582B7CE7" w14:textId="77777777" w:rsidTr="00596BE0">
        <w:trPr>
          <w:cantSplit/>
          <w:trHeight w:val="830"/>
        </w:trPr>
        <w:tc>
          <w:tcPr>
            <w:tcW w:w="996" w:type="pct"/>
            <w:tcBorders>
              <w:top w:val="single" w:sz="6" w:space="0" w:color="000000"/>
              <w:left w:val="nil"/>
              <w:bottom w:val="single" w:sz="6" w:space="0" w:color="000000"/>
              <w:right w:val="nil"/>
            </w:tcBorders>
            <w:vAlign w:val="center"/>
          </w:tcPr>
          <w:p w14:paraId="0D7F41BD" w14:textId="77777777" w:rsidR="00596BE0" w:rsidRPr="00601402" w:rsidRDefault="00596BE0" w:rsidP="00596BE0">
            <w:pPr>
              <w:ind w:left="113" w:right="-75"/>
              <w:rPr>
                <w:rFonts w:ascii="Arial" w:hAnsi="Arial" w:cs="Arial"/>
                <w:sz w:val="16"/>
                <w:szCs w:val="16"/>
              </w:rPr>
            </w:pPr>
            <w:r w:rsidRPr="00601402">
              <w:rPr>
                <w:rStyle w:val="label"/>
                <w:rFonts w:ascii="Arial" w:hAnsi="Arial" w:cs="Arial"/>
                <w:b/>
                <w:sz w:val="16"/>
                <w:szCs w:val="16"/>
              </w:rPr>
              <w:t>Exacerbations leading to hospitalisation</w:t>
            </w:r>
            <w:r w:rsidRPr="00601402">
              <w:rPr>
                <w:rFonts w:ascii="Arial" w:hAnsi="Arial" w:cs="Arial"/>
                <w:sz w:val="16"/>
                <w:szCs w:val="16"/>
              </w:rPr>
              <w:br/>
            </w:r>
            <w:r w:rsidRPr="00601402">
              <w:rPr>
                <w:rStyle w:val="label"/>
                <w:rFonts w:ascii="Arial" w:hAnsi="Arial" w:cs="Arial"/>
                <w:sz w:val="16"/>
                <w:szCs w:val="16"/>
              </w:rPr>
              <w:t>Assessed with the annualized rate of asthma exacerbations leading to hospitalisation</w:t>
            </w:r>
          </w:p>
        </w:tc>
        <w:tc>
          <w:tcPr>
            <w:tcW w:w="1296" w:type="pct"/>
            <w:tcBorders>
              <w:top w:val="single" w:sz="6" w:space="0" w:color="000000"/>
              <w:left w:val="nil"/>
              <w:bottom w:val="single" w:sz="6" w:space="0" w:color="000000"/>
              <w:right w:val="nil"/>
            </w:tcBorders>
            <w:vAlign w:val="center"/>
          </w:tcPr>
          <w:p w14:paraId="6609ADEC" w14:textId="77777777" w:rsidR="00596BE0" w:rsidRPr="00601402" w:rsidRDefault="00596BE0" w:rsidP="00596BE0">
            <w:pPr>
              <w:ind w:left="113"/>
              <w:rPr>
                <w:rFonts w:ascii="Arial" w:hAnsi="Arial" w:cs="Arial"/>
                <w:sz w:val="16"/>
                <w:szCs w:val="16"/>
                <w:vertAlign w:val="superscript"/>
              </w:rPr>
            </w:pPr>
            <w:r w:rsidRPr="00601402">
              <w:rPr>
                <w:rFonts w:ascii="Arial" w:hAnsi="Arial" w:cs="Arial"/>
                <w:sz w:val="16"/>
                <w:szCs w:val="16"/>
              </w:rPr>
              <w:t xml:space="preserve">(2 RCTs) </w:t>
            </w:r>
            <w:r w:rsidRPr="00601402">
              <w:rPr>
                <w:rFonts w:ascii="Arial" w:hAnsi="Arial" w:cs="Arial"/>
                <w:sz w:val="16"/>
                <w:szCs w:val="16"/>
                <w:vertAlign w:val="superscript"/>
              </w:rPr>
              <w:t>45,47</w:t>
            </w:r>
          </w:p>
          <w:p w14:paraId="1C6234C4" w14:textId="77777777" w:rsidR="00596BE0" w:rsidRPr="00601402" w:rsidRDefault="00596BE0" w:rsidP="00596BE0">
            <w:pPr>
              <w:ind w:left="113"/>
              <w:rPr>
                <w:rFonts w:ascii="Arial" w:hAnsi="Arial" w:cs="Arial"/>
                <w:sz w:val="16"/>
                <w:szCs w:val="16"/>
              </w:rPr>
            </w:pPr>
            <w:r w:rsidRPr="00601402">
              <w:rPr>
                <w:rStyle w:val="label"/>
                <w:rFonts w:ascii="Arial" w:hAnsi="Arial" w:cs="Arial"/>
                <w:sz w:val="16"/>
                <w:szCs w:val="16"/>
              </w:rPr>
              <w:t>24 to 32 weeks</w:t>
            </w:r>
          </w:p>
        </w:tc>
        <w:tc>
          <w:tcPr>
            <w:tcW w:w="499" w:type="pct"/>
            <w:tcBorders>
              <w:top w:val="single" w:sz="6" w:space="0" w:color="000000"/>
              <w:left w:val="nil"/>
              <w:bottom w:val="single" w:sz="6" w:space="0" w:color="000000"/>
              <w:right w:val="nil"/>
            </w:tcBorders>
            <w:vAlign w:val="center"/>
          </w:tcPr>
          <w:p w14:paraId="7E8F0A9B" w14:textId="77777777" w:rsidR="00596BE0" w:rsidRPr="00601402" w:rsidRDefault="00596BE0" w:rsidP="00596BE0">
            <w:pPr>
              <w:ind w:left="113"/>
              <w:rPr>
                <w:rFonts w:ascii="Arial" w:hAnsi="Arial" w:cs="Arial"/>
                <w:sz w:val="16"/>
                <w:szCs w:val="16"/>
              </w:rPr>
            </w:pPr>
            <w:r w:rsidRPr="00601402">
              <w:rPr>
                <w:rStyle w:val="quality-sign"/>
                <w:rFonts w:ascii="Cambria Math" w:hAnsi="Cambria Math" w:cs="Cambria Math"/>
                <w:sz w:val="16"/>
                <w:szCs w:val="16"/>
              </w:rPr>
              <w:t>⨁⨁⨁⨁</w:t>
            </w:r>
            <w:r w:rsidRPr="00601402">
              <w:rPr>
                <w:rFonts w:ascii="Arial" w:hAnsi="Arial" w:cs="Arial"/>
                <w:sz w:val="16"/>
                <w:szCs w:val="16"/>
              </w:rPr>
              <w:br/>
            </w:r>
            <w:r w:rsidRPr="00601402">
              <w:rPr>
                <w:rStyle w:val="quality-text"/>
                <w:rFonts w:ascii="Arial" w:hAnsi="Arial" w:cs="Arial"/>
                <w:sz w:val="16"/>
                <w:szCs w:val="16"/>
              </w:rPr>
              <w:t>HIGH</w:t>
            </w:r>
            <w:r w:rsidRPr="00601402">
              <w:rPr>
                <w:rFonts w:ascii="Arial" w:hAnsi="Arial" w:cs="Arial"/>
                <w:sz w:val="16"/>
                <w:szCs w:val="16"/>
              </w:rPr>
              <w:t xml:space="preserve"> </w:t>
            </w:r>
            <w:r w:rsidRPr="00601402">
              <w:rPr>
                <w:rFonts w:ascii="Arial" w:hAnsi="Arial" w:cs="Arial"/>
                <w:sz w:val="16"/>
                <w:szCs w:val="16"/>
                <w:vertAlign w:val="superscript"/>
              </w:rPr>
              <w:t>4</w:t>
            </w:r>
            <w:r w:rsidRPr="00601402">
              <w:rPr>
                <w:rStyle w:val="comma"/>
                <w:rFonts w:ascii="Arial" w:hAnsi="Arial" w:cs="Arial"/>
                <w:sz w:val="16"/>
                <w:szCs w:val="16"/>
                <w:vertAlign w:val="superscript"/>
              </w:rPr>
              <w:t>,</w:t>
            </w:r>
            <w:proofErr w:type="gramStart"/>
            <w:r w:rsidRPr="00601402">
              <w:rPr>
                <w:rFonts w:ascii="Arial" w:hAnsi="Arial" w:cs="Arial"/>
                <w:sz w:val="16"/>
                <w:szCs w:val="16"/>
                <w:vertAlign w:val="superscript"/>
              </w:rPr>
              <w:t>5</w:t>
            </w:r>
            <w:r w:rsidRPr="00601402">
              <w:rPr>
                <w:rStyle w:val="comma"/>
                <w:rFonts w:ascii="Arial" w:hAnsi="Arial" w:cs="Arial"/>
                <w:sz w:val="16"/>
                <w:szCs w:val="16"/>
                <w:vertAlign w:val="superscript"/>
              </w:rPr>
              <w:t>,</w:t>
            </w:r>
            <w:r w:rsidRPr="00601402">
              <w:rPr>
                <w:rFonts w:ascii="Arial" w:hAnsi="Arial" w:cs="Arial"/>
                <w:sz w:val="16"/>
                <w:szCs w:val="16"/>
                <w:vertAlign w:val="superscript"/>
              </w:rPr>
              <w:t>a</w:t>
            </w:r>
            <w:proofErr w:type="gramEnd"/>
            <w:r w:rsidRPr="00601402">
              <w:rPr>
                <w:rStyle w:val="comma"/>
                <w:rFonts w:ascii="Arial" w:hAnsi="Arial" w:cs="Arial"/>
                <w:sz w:val="16"/>
                <w:szCs w:val="16"/>
                <w:vertAlign w:val="superscript"/>
              </w:rPr>
              <w:t>,</w:t>
            </w:r>
            <w:r w:rsidRPr="00601402">
              <w:rPr>
                <w:rFonts w:ascii="Arial" w:hAnsi="Arial" w:cs="Arial"/>
                <w:sz w:val="16"/>
                <w:szCs w:val="16"/>
                <w:vertAlign w:val="superscript"/>
              </w:rPr>
              <w:t>c</w:t>
            </w:r>
            <w:r w:rsidRPr="00601402">
              <w:rPr>
                <w:rStyle w:val="comma"/>
                <w:rFonts w:ascii="Arial" w:hAnsi="Arial" w:cs="Arial"/>
                <w:sz w:val="16"/>
                <w:szCs w:val="16"/>
                <w:vertAlign w:val="superscript"/>
              </w:rPr>
              <w:t>,</w:t>
            </w:r>
            <w:r w:rsidRPr="00601402">
              <w:rPr>
                <w:rFonts w:ascii="Arial" w:hAnsi="Arial" w:cs="Arial"/>
                <w:sz w:val="16"/>
                <w:szCs w:val="16"/>
                <w:vertAlign w:val="superscript"/>
              </w:rPr>
              <w:t>d</w:t>
            </w:r>
          </w:p>
        </w:tc>
        <w:tc>
          <w:tcPr>
            <w:tcW w:w="595" w:type="pct"/>
            <w:tcBorders>
              <w:top w:val="single" w:sz="6" w:space="0" w:color="000000"/>
              <w:left w:val="nil"/>
              <w:bottom w:val="single" w:sz="6" w:space="0" w:color="000000"/>
              <w:right w:val="nil"/>
            </w:tcBorders>
            <w:vAlign w:val="center"/>
          </w:tcPr>
          <w:p w14:paraId="5096E07B" w14:textId="1ED9B031" w:rsidR="00596BE0" w:rsidRPr="00601402" w:rsidRDefault="00256864" w:rsidP="00596BE0">
            <w:pPr>
              <w:ind w:left="113"/>
              <w:rPr>
                <w:rFonts w:ascii="Arial" w:hAnsi="Arial" w:cs="Arial"/>
                <w:sz w:val="16"/>
                <w:szCs w:val="16"/>
              </w:rPr>
            </w:pPr>
            <w:r>
              <w:rPr>
                <w:rStyle w:val="block"/>
                <w:rFonts w:ascii="Arial" w:hAnsi="Arial" w:cs="Arial"/>
                <w:b/>
                <w:bCs/>
                <w:sz w:val="16"/>
                <w:szCs w:val="16"/>
              </w:rPr>
              <w:t>Incidence r</w:t>
            </w:r>
            <w:r w:rsidR="00596BE0" w:rsidRPr="00601402">
              <w:rPr>
                <w:rStyle w:val="block"/>
                <w:rFonts w:ascii="Arial" w:hAnsi="Arial" w:cs="Arial"/>
                <w:b/>
                <w:bCs/>
                <w:sz w:val="16"/>
                <w:szCs w:val="16"/>
              </w:rPr>
              <w:t>ate ratio 0.30</w:t>
            </w:r>
            <w:r w:rsidR="00596BE0" w:rsidRPr="00601402">
              <w:rPr>
                <w:rFonts w:ascii="Arial" w:hAnsi="Arial" w:cs="Arial"/>
                <w:sz w:val="16"/>
                <w:szCs w:val="16"/>
              </w:rPr>
              <w:br/>
            </w:r>
            <w:r w:rsidR="00596BE0" w:rsidRPr="00601402">
              <w:rPr>
                <w:rStyle w:val="cell"/>
                <w:rFonts w:ascii="Arial" w:hAnsi="Arial" w:cs="Arial"/>
                <w:sz w:val="16"/>
                <w:szCs w:val="16"/>
              </w:rPr>
              <w:t>(0.13 to 0.71)</w:t>
            </w:r>
            <w:r w:rsidR="00596BE0" w:rsidRPr="00601402">
              <w:rPr>
                <w:rFonts w:ascii="Arial" w:hAnsi="Arial" w:cs="Arial"/>
                <w:sz w:val="16"/>
                <w:szCs w:val="16"/>
              </w:rPr>
              <w:t xml:space="preserve"> </w:t>
            </w:r>
          </w:p>
        </w:tc>
        <w:tc>
          <w:tcPr>
            <w:tcW w:w="697" w:type="pct"/>
            <w:tcBorders>
              <w:top w:val="single" w:sz="6" w:space="0" w:color="000000"/>
              <w:left w:val="nil"/>
              <w:right w:val="nil"/>
            </w:tcBorders>
            <w:shd w:val="clear" w:color="auto" w:fill="E0E0E0"/>
            <w:vAlign w:val="center"/>
          </w:tcPr>
          <w:p w14:paraId="472EB868" w14:textId="77777777" w:rsidR="00596BE0" w:rsidRPr="00601402" w:rsidRDefault="00596BE0" w:rsidP="00596BE0">
            <w:pPr>
              <w:ind w:left="113"/>
              <w:rPr>
                <w:rFonts w:ascii="Arial" w:hAnsi="Arial" w:cs="Arial"/>
                <w:b/>
                <w:bCs/>
                <w:sz w:val="16"/>
                <w:szCs w:val="16"/>
              </w:rPr>
            </w:pPr>
            <w:r w:rsidRPr="00601402">
              <w:rPr>
                <w:rFonts w:ascii="Arial" w:hAnsi="Arial" w:cs="Arial"/>
                <w:sz w:val="16"/>
                <w:szCs w:val="16"/>
              </w:rPr>
              <w:t>100 exacerbations per 1000 patients per year</w:t>
            </w:r>
          </w:p>
        </w:tc>
        <w:tc>
          <w:tcPr>
            <w:tcW w:w="917" w:type="pct"/>
            <w:tcBorders>
              <w:top w:val="single" w:sz="6" w:space="0" w:color="000000"/>
              <w:left w:val="nil"/>
              <w:right w:val="nil"/>
            </w:tcBorders>
            <w:shd w:val="clear" w:color="auto" w:fill="E0E0E0"/>
            <w:vAlign w:val="center"/>
          </w:tcPr>
          <w:p w14:paraId="666552EF" w14:textId="77777777" w:rsidR="00596BE0" w:rsidRPr="00601402" w:rsidRDefault="00596BE0" w:rsidP="00596BE0">
            <w:pPr>
              <w:ind w:left="113"/>
              <w:rPr>
                <w:rFonts w:ascii="Arial" w:hAnsi="Arial" w:cs="Arial"/>
                <w:b/>
                <w:bCs/>
                <w:sz w:val="16"/>
                <w:szCs w:val="16"/>
              </w:rPr>
            </w:pPr>
            <w:r w:rsidRPr="00601402">
              <w:rPr>
                <w:rStyle w:val="cell-value"/>
                <w:rFonts w:ascii="Arial" w:hAnsi="Arial" w:cs="Arial"/>
                <w:b/>
                <w:bCs/>
                <w:sz w:val="16"/>
                <w:szCs w:val="16"/>
              </w:rPr>
              <w:t>70 fewer exacerbations per 1000 patients per year</w:t>
            </w:r>
            <w:r w:rsidRPr="00601402">
              <w:rPr>
                <w:rFonts w:ascii="Arial" w:hAnsi="Arial" w:cs="Arial"/>
                <w:sz w:val="16"/>
                <w:szCs w:val="16"/>
              </w:rPr>
              <w:br/>
            </w:r>
            <w:r w:rsidRPr="00601402">
              <w:rPr>
                <w:rStyle w:val="cell-value"/>
                <w:rFonts w:ascii="Arial" w:hAnsi="Arial" w:cs="Arial"/>
                <w:sz w:val="16"/>
                <w:szCs w:val="16"/>
              </w:rPr>
              <w:t>(29 fewer to 87 fewer)</w:t>
            </w:r>
            <w:r w:rsidRPr="00601402">
              <w:rPr>
                <w:rFonts w:ascii="Arial" w:hAnsi="Arial" w:cs="Arial"/>
                <w:sz w:val="16"/>
                <w:szCs w:val="16"/>
              </w:rPr>
              <w:t xml:space="preserve"> </w:t>
            </w:r>
          </w:p>
        </w:tc>
      </w:tr>
      <w:tr w:rsidR="00596BE0" w:rsidRPr="00601402" w14:paraId="4E3D82F8" w14:textId="77777777" w:rsidTr="00596BE0">
        <w:trPr>
          <w:cantSplit/>
          <w:trHeight w:val="195"/>
        </w:trPr>
        <w:tc>
          <w:tcPr>
            <w:tcW w:w="996" w:type="pct"/>
            <w:tcBorders>
              <w:top w:val="single" w:sz="6" w:space="0" w:color="000000"/>
              <w:left w:val="nil"/>
              <w:bottom w:val="single" w:sz="6" w:space="0" w:color="000000"/>
              <w:right w:val="nil"/>
            </w:tcBorders>
            <w:vAlign w:val="center"/>
          </w:tcPr>
          <w:p w14:paraId="1763A135" w14:textId="77777777" w:rsidR="00596BE0" w:rsidRPr="00601402" w:rsidRDefault="00596BE0" w:rsidP="00596BE0">
            <w:pPr>
              <w:ind w:left="113" w:right="-75"/>
              <w:rPr>
                <w:rFonts w:ascii="Arial" w:hAnsi="Arial" w:cs="Arial"/>
                <w:sz w:val="16"/>
                <w:szCs w:val="16"/>
              </w:rPr>
            </w:pPr>
            <w:r w:rsidRPr="00601402">
              <w:rPr>
                <w:rFonts w:ascii="Arial" w:hAnsi="Arial" w:cs="Arial"/>
                <w:b/>
                <w:sz w:val="16"/>
                <w:szCs w:val="16"/>
              </w:rPr>
              <w:t>Asthma control</w:t>
            </w:r>
            <w:r w:rsidRPr="00601402">
              <w:rPr>
                <w:rFonts w:ascii="Arial" w:hAnsi="Arial" w:cs="Arial"/>
                <w:sz w:val="16"/>
                <w:szCs w:val="16"/>
              </w:rPr>
              <w:br/>
            </w:r>
            <w:r w:rsidRPr="00601402">
              <w:rPr>
                <w:rStyle w:val="label"/>
                <w:rFonts w:ascii="Arial" w:hAnsi="Arial" w:cs="Arial"/>
                <w:sz w:val="16"/>
                <w:szCs w:val="16"/>
              </w:rPr>
              <w:t>Assessed with: ACQ-5 score between-group-difference at the end of the study</w:t>
            </w:r>
            <w:r w:rsidRPr="00601402">
              <w:rPr>
                <w:rFonts w:ascii="Arial" w:hAnsi="Arial" w:cs="Arial"/>
                <w:sz w:val="16"/>
                <w:szCs w:val="16"/>
              </w:rPr>
              <w:br/>
            </w:r>
            <w:r w:rsidRPr="00601402">
              <w:rPr>
                <w:rStyle w:val="label"/>
                <w:rFonts w:ascii="Arial" w:hAnsi="Arial" w:cs="Arial"/>
                <w:sz w:val="16"/>
                <w:szCs w:val="16"/>
              </w:rPr>
              <w:t>Scale from: 0 to 6</w:t>
            </w:r>
            <w:r w:rsidRPr="00601402">
              <w:rPr>
                <w:rFonts w:ascii="Arial" w:hAnsi="Arial" w:cs="Arial"/>
                <w:sz w:val="16"/>
                <w:szCs w:val="16"/>
              </w:rPr>
              <w:t xml:space="preserve"> </w:t>
            </w:r>
            <w:proofErr w:type="gramStart"/>
            <w:r w:rsidRPr="00601402">
              <w:rPr>
                <w:rFonts w:ascii="Arial" w:hAnsi="Arial" w:cs="Arial"/>
                <w:sz w:val="16"/>
                <w:szCs w:val="16"/>
                <w:vertAlign w:val="superscript"/>
              </w:rPr>
              <w:t>9</w:t>
            </w:r>
            <w:r w:rsidRPr="00601402">
              <w:rPr>
                <w:rStyle w:val="comma"/>
                <w:rFonts w:ascii="Arial" w:hAnsi="Arial" w:cs="Arial"/>
                <w:sz w:val="16"/>
                <w:szCs w:val="16"/>
                <w:vertAlign w:val="superscript"/>
              </w:rPr>
              <w:t>,</w:t>
            </w:r>
            <w:r w:rsidRPr="00601402">
              <w:rPr>
                <w:rFonts w:ascii="Arial" w:hAnsi="Arial" w:cs="Arial"/>
                <w:sz w:val="16"/>
                <w:szCs w:val="16"/>
                <w:vertAlign w:val="superscript"/>
              </w:rPr>
              <w:t>j</w:t>
            </w:r>
            <w:proofErr w:type="gramEnd"/>
          </w:p>
        </w:tc>
        <w:tc>
          <w:tcPr>
            <w:tcW w:w="1296" w:type="pct"/>
            <w:tcBorders>
              <w:top w:val="single" w:sz="6" w:space="0" w:color="000000"/>
              <w:left w:val="nil"/>
              <w:bottom w:val="single" w:sz="6" w:space="0" w:color="000000"/>
              <w:right w:val="nil"/>
            </w:tcBorders>
            <w:vAlign w:val="center"/>
          </w:tcPr>
          <w:p w14:paraId="642C2852" w14:textId="77777777" w:rsidR="00596BE0" w:rsidRPr="00601402" w:rsidRDefault="00596BE0" w:rsidP="00596BE0">
            <w:pPr>
              <w:ind w:left="113"/>
              <w:rPr>
                <w:rFonts w:ascii="Arial" w:hAnsi="Arial" w:cs="Arial"/>
                <w:sz w:val="16"/>
                <w:szCs w:val="16"/>
              </w:rPr>
            </w:pPr>
            <w:r w:rsidRPr="00601402">
              <w:rPr>
                <w:rFonts w:ascii="Arial" w:hAnsi="Arial" w:cs="Arial"/>
                <w:sz w:val="16"/>
                <w:szCs w:val="16"/>
              </w:rPr>
              <w:t>912</w:t>
            </w:r>
            <w:r w:rsidRPr="00601402">
              <w:rPr>
                <w:rFonts w:ascii="Arial" w:hAnsi="Arial" w:cs="Arial"/>
                <w:sz w:val="16"/>
                <w:szCs w:val="16"/>
              </w:rPr>
              <w:br/>
              <w:t xml:space="preserve">(3 RCTs) </w:t>
            </w:r>
            <w:r w:rsidRPr="00601402">
              <w:rPr>
                <w:rFonts w:ascii="Arial" w:hAnsi="Arial" w:cs="Arial"/>
                <w:sz w:val="16"/>
                <w:szCs w:val="16"/>
                <w:vertAlign w:val="superscript"/>
              </w:rPr>
              <w:t>45,47</w:t>
            </w:r>
          </w:p>
        </w:tc>
        <w:tc>
          <w:tcPr>
            <w:tcW w:w="499" w:type="pct"/>
            <w:tcBorders>
              <w:top w:val="single" w:sz="6" w:space="0" w:color="000000"/>
              <w:left w:val="nil"/>
              <w:bottom w:val="single" w:sz="6" w:space="0" w:color="000000"/>
              <w:right w:val="nil"/>
            </w:tcBorders>
            <w:vAlign w:val="center"/>
          </w:tcPr>
          <w:p w14:paraId="0D13C93A" w14:textId="77777777" w:rsidR="00596BE0" w:rsidRPr="00601402" w:rsidRDefault="00596BE0" w:rsidP="00596BE0">
            <w:pPr>
              <w:ind w:left="113"/>
              <w:rPr>
                <w:rFonts w:ascii="Arial" w:hAnsi="Arial" w:cs="Arial"/>
                <w:sz w:val="16"/>
                <w:szCs w:val="16"/>
              </w:rPr>
            </w:pPr>
            <w:r w:rsidRPr="00601402">
              <w:rPr>
                <w:rStyle w:val="quality-sign"/>
                <w:rFonts w:ascii="Cambria Math" w:hAnsi="Cambria Math" w:cs="Cambria Math"/>
                <w:sz w:val="16"/>
                <w:szCs w:val="16"/>
              </w:rPr>
              <w:t>⨁⨁⨁</w:t>
            </w:r>
            <w:r w:rsidRPr="00601402">
              <w:rPr>
                <w:rStyle w:val="quality-sign"/>
                <w:rFonts w:ascii="Segoe UI Symbol" w:eastAsia="MS Mincho" w:hAnsi="Segoe UI Symbol" w:cs="Segoe UI Symbol"/>
                <w:sz w:val="16"/>
                <w:szCs w:val="16"/>
              </w:rPr>
              <w:t>◯</w:t>
            </w:r>
            <w:r w:rsidRPr="00601402">
              <w:rPr>
                <w:rFonts w:ascii="Arial" w:hAnsi="Arial" w:cs="Arial"/>
                <w:sz w:val="16"/>
                <w:szCs w:val="16"/>
              </w:rPr>
              <w:br/>
            </w:r>
            <w:r w:rsidRPr="00601402">
              <w:rPr>
                <w:rStyle w:val="quality-text"/>
                <w:rFonts w:ascii="Arial" w:hAnsi="Arial" w:cs="Arial"/>
                <w:sz w:val="16"/>
                <w:szCs w:val="16"/>
              </w:rPr>
              <w:t>MODERATE</w:t>
            </w:r>
            <w:r w:rsidRPr="00601402">
              <w:rPr>
                <w:rFonts w:ascii="Arial" w:hAnsi="Arial" w:cs="Arial"/>
                <w:sz w:val="16"/>
                <w:szCs w:val="16"/>
              </w:rPr>
              <w:t xml:space="preserve"> </w:t>
            </w:r>
            <w:r w:rsidRPr="00601402">
              <w:rPr>
                <w:rFonts w:ascii="Arial" w:hAnsi="Arial" w:cs="Arial"/>
                <w:sz w:val="16"/>
                <w:szCs w:val="16"/>
                <w:vertAlign w:val="superscript"/>
              </w:rPr>
              <w:t>4</w:t>
            </w:r>
            <w:r w:rsidRPr="00601402">
              <w:rPr>
                <w:rStyle w:val="comma"/>
                <w:rFonts w:ascii="Arial" w:hAnsi="Arial" w:cs="Arial"/>
                <w:sz w:val="16"/>
                <w:szCs w:val="16"/>
                <w:vertAlign w:val="superscript"/>
              </w:rPr>
              <w:t>,</w:t>
            </w:r>
            <w:proofErr w:type="gramStart"/>
            <w:r w:rsidRPr="00601402">
              <w:rPr>
                <w:rFonts w:ascii="Arial" w:hAnsi="Arial" w:cs="Arial"/>
                <w:sz w:val="16"/>
                <w:szCs w:val="16"/>
                <w:vertAlign w:val="superscript"/>
              </w:rPr>
              <w:t>5</w:t>
            </w:r>
            <w:r w:rsidRPr="00601402">
              <w:rPr>
                <w:rStyle w:val="comma"/>
                <w:rFonts w:ascii="Arial" w:hAnsi="Arial" w:cs="Arial"/>
                <w:sz w:val="16"/>
                <w:szCs w:val="16"/>
                <w:vertAlign w:val="superscript"/>
              </w:rPr>
              <w:t>,</w:t>
            </w:r>
            <w:r w:rsidRPr="00601402">
              <w:rPr>
                <w:rFonts w:ascii="Arial" w:hAnsi="Arial" w:cs="Arial"/>
                <w:sz w:val="16"/>
                <w:szCs w:val="16"/>
                <w:vertAlign w:val="superscript"/>
              </w:rPr>
              <w:t>a</w:t>
            </w:r>
            <w:proofErr w:type="gramEnd"/>
            <w:r w:rsidRPr="00601402">
              <w:rPr>
                <w:rStyle w:val="comma"/>
                <w:rFonts w:ascii="Arial" w:hAnsi="Arial" w:cs="Arial"/>
                <w:sz w:val="16"/>
                <w:szCs w:val="16"/>
                <w:vertAlign w:val="superscript"/>
              </w:rPr>
              <w:t>,</w:t>
            </w:r>
            <w:r w:rsidRPr="00601402">
              <w:rPr>
                <w:rFonts w:ascii="Arial" w:hAnsi="Arial" w:cs="Arial"/>
                <w:sz w:val="16"/>
                <w:szCs w:val="16"/>
                <w:vertAlign w:val="superscript"/>
              </w:rPr>
              <w:t>c</w:t>
            </w:r>
            <w:r w:rsidRPr="00601402">
              <w:rPr>
                <w:rStyle w:val="comma"/>
                <w:rFonts w:ascii="Arial" w:hAnsi="Arial" w:cs="Arial"/>
                <w:sz w:val="16"/>
                <w:szCs w:val="16"/>
                <w:vertAlign w:val="superscript"/>
              </w:rPr>
              <w:t>,</w:t>
            </w:r>
            <w:r w:rsidRPr="00601402">
              <w:rPr>
                <w:rFonts w:ascii="Arial" w:hAnsi="Arial" w:cs="Arial"/>
                <w:sz w:val="16"/>
                <w:szCs w:val="16"/>
                <w:vertAlign w:val="superscript"/>
              </w:rPr>
              <w:t>i</w:t>
            </w:r>
          </w:p>
        </w:tc>
        <w:tc>
          <w:tcPr>
            <w:tcW w:w="595" w:type="pct"/>
            <w:tcBorders>
              <w:top w:val="single" w:sz="6" w:space="0" w:color="000000"/>
              <w:left w:val="nil"/>
              <w:bottom w:val="single" w:sz="6" w:space="0" w:color="000000"/>
              <w:right w:val="nil"/>
            </w:tcBorders>
            <w:vAlign w:val="center"/>
          </w:tcPr>
          <w:p w14:paraId="4B1B7E13" w14:textId="77777777" w:rsidR="00596BE0" w:rsidRPr="00601402" w:rsidRDefault="00596BE0" w:rsidP="00596BE0">
            <w:pPr>
              <w:ind w:left="113"/>
              <w:rPr>
                <w:rFonts w:ascii="Arial" w:hAnsi="Arial" w:cs="Arial"/>
                <w:sz w:val="16"/>
                <w:szCs w:val="16"/>
              </w:rPr>
            </w:pPr>
            <w:r w:rsidRPr="00601402">
              <w:rPr>
                <w:rStyle w:val="cell"/>
                <w:rFonts w:ascii="Arial" w:hAnsi="Arial" w:cs="Arial"/>
                <w:sz w:val="16"/>
                <w:szCs w:val="16"/>
              </w:rPr>
              <w:t>-</w:t>
            </w:r>
            <w:r w:rsidRPr="00601402">
              <w:rPr>
                <w:rFonts w:ascii="Arial" w:hAnsi="Arial" w:cs="Arial"/>
                <w:sz w:val="16"/>
                <w:szCs w:val="16"/>
              </w:rPr>
              <w:t xml:space="preserve"> </w:t>
            </w:r>
          </w:p>
        </w:tc>
        <w:tc>
          <w:tcPr>
            <w:tcW w:w="697" w:type="pct"/>
            <w:tcBorders>
              <w:top w:val="single" w:sz="6" w:space="0" w:color="000000"/>
              <w:left w:val="nil"/>
              <w:bottom w:val="single" w:sz="6" w:space="0" w:color="000000"/>
              <w:right w:val="nil"/>
            </w:tcBorders>
            <w:shd w:val="clear" w:color="auto" w:fill="EDEDED"/>
            <w:vAlign w:val="center"/>
          </w:tcPr>
          <w:p w14:paraId="78C08E18" w14:textId="77777777" w:rsidR="00596BE0" w:rsidRPr="00601402" w:rsidRDefault="00596BE0" w:rsidP="00596BE0">
            <w:pPr>
              <w:ind w:left="113"/>
              <w:rPr>
                <w:rFonts w:ascii="Arial" w:hAnsi="Arial" w:cs="Arial"/>
                <w:sz w:val="16"/>
                <w:szCs w:val="16"/>
              </w:rPr>
            </w:pPr>
          </w:p>
        </w:tc>
        <w:tc>
          <w:tcPr>
            <w:tcW w:w="917" w:type="pct"/>
            <w:tcBorders>
              <w:top w:val="single" w:sz="6" w:space="0" w:color="000000"/>
              <w:left w:val="nil"/>
              <w:bottom w:val="single" w:sz="6" w:space="0" w:color="000000"/>
              <w:right w:val="nil"/>
            </w:tcBorders>
            <w:shd w:val="clear" w:color="auto" w:fill="EDEDED"/>
            <w:vAlign w:val="center"/>
          </w:tcPr>
          <w:p w14:paraId="0E181DD7" w14:textId="77777777" w:rsidR="00596BE0" w:rsidRPr="00601402" w:rsidRDefault="00596BE0" w:rsidP="00596BE0">
            <w:pPr>
              <w:ind w:left="113"/>
              <w:rPr>
                <w:rFonts w:ascii="Arial" w:hAnsi="Arial" w:cs="Arial"/>
                <w:sz w:val="16"/>
                <w:szCs w:val="16"/>
              </w:rPr>
            </w:pPr>
            <w:r w:rsidRPr="00601402">
              <w:rPr>
                <w:rStyle w:val="cell-value"/>
                <w:rFonts w:ascii="Arial" w:hAnsi="Arial" w:cs="Arial"/>
                <w:sz w:val="16"/>
                <w:szCs w:val="16"/>
              </w:rPr>
              <w:t>mean difference -</w:t>
            </w:r>
            <w:r w:rsidRPr="00601402">
              <w:rPr>
                <w:rStyle w:val="cell-value"/>
              </w:rPr>
              <w:t xml:space="preserve"> </w:t>
            </w:r>
            <w:r w:rsidRPr="00601402">
              <w:rPr>
                <w:rStyle w:val="cell-value"/>
                <w:rFonts w:ascii="Arial" w:hAnsi="Arial" w:cs="Arial"/>
                <w:b/>
                <w:bCs/>
                <w:sz w:val="16"/>
                <w:szCs w:val="16"/>
              </w:rPr>
              <w:t xml:space="preserve">0.43 </w:t>
            </w:r>
            <w:r w:rsidRPr="00601402">
              <w:rPr>
                <w:rFonts w:ascii="Arial" w:hAnsi="Arial" w:cs="Arial"/>
                <w:sz w:val="16"/>
                <w:szCs w:val="16"/>
              </w:rPr>
              <w:br/>
            </w:r>
            <w:r w:rsidRPr="00601402">
              <w:rPr>
                <w:rStyle w:val="cell-value"/>
                <w:rFonts w:ascii="Arial" w:hAnsi="Arial" w:cs="Arial"/>
                <w:sz w:val="16"/>
                <w:szCs w:val="16"/>
              </w:rPr>
              <w:t>(-</w:t>
            </w:r>
            <w:r w:rsidRPr="00601402">
              <w:rPr>
                <w:rStyle w:val="cell-value"/>
              </w:rPr>
              <w:t xml:space="preserve"> </w:t>
            </w:r>
            <w:r w:rsidRPr="00601402">
              <w:rPr>
                <w:rStyle w:val="cell-value"/>
                <w:rFonts w:ascii="Arial" w:hAnsi="Arial" w:cs="Arial"/>
                <w:sz w:val="16"/>
                <w:szCs w:val="16"/>
              </w:rPr>
              <w:t>0.56 to - 0.31)</w:t>
            </w:r>
            <w:r w:rsidRPr="00601402">
              <w:rPr>
                <w:rFonts w:ascii="Arial" w:hAnsi="Arial" w:cs="Arial"/>
                <w:sz w:val="16"/>
                <w:szCs w:val="16"/>
              </w:rPr>
              <w:t xml:space="preserve"> </w:t>
            </w:r>
          </w:p>
        </w:tc>
      </w:tr>
      <w:tr w:rsidR="00596BE0" w:rsidRPr="00601402" w14:paraId="58D47784" w14:textId="77777777" w:rsidTr="00596BE0">
        <w:trPr>
          <w:cantSplit/>
        </w:trPr>
        <w:tc>
          <w:tcPr>
            <w:tcW w:w="996" w:type="pct"/>
            <w:tcBorders>
              <w:top w:val="single" w:sz="6" w:space="0" w:color="000000"/>
              <w:left w:val="nil"/>
              <w:bottom w:val="single" w:sz="6" w:space="0" w:color="000000"/>
              <w:right w:val="nil"/>
            </w:tcBorders>
            <w:vAlign w:val="center"/>
          </w:tcPr>
          <w:p w14:paraId="28D630F9" w14:textId="77777777" w:rsidR="00596BE0" w:rsidRPr="00601402" w:rsidRDefault="00596BE0" w:rsidP="00596BE0">
            <w:pPr>
              <w:ind w:left="113" w:right="-75"/>
              <w:rPr>
                <w:rFonts w:ascii="Arial" w:hAnsi="Arial" w:cs="Arial"/>
                <w:sz w:val="16"/>
                <w:szCs w:val="16"/>
              </w:rPr>
            </w:pPr>
            <w:r w:rsidRPr="00601402">
              <w:rPr>
                <w:rStyle w:val="label"/>
                <w:rFonts w:ascii="Arial" w:hAnsi="Arial" w:cs="Arial"/>
                <w:b/>
                <w:sz w:val="16"/>
                <w:szCs w:val="16"/>
              </w:rPr>
              <w:lastRenderedPageBreak/>
              <w:t>Quality of life</w:t>
            </w:r>
            <w:r w:rsidRPr="00601402">
              <w:rPr>
                <w:rFonts w:ascii="Arial" w:hAnsi="Arial" w:cs="Arial"/>
                <w:sz w:val="16"/>
                <w:szCs w:val="16"/>
              </w:rPr>
              <w:br/>
            </w:r>
            <w:r w:rsidRPr="00601402">
              <w:rPr>
                <w:rStyle w:val="label"/>
                <w:rFonts w:ascii="Arial" w:hAnsi="Arial" w:cs="Arial"/>
                <w:sz w:val="16"/>
                <w:szCs w:val="16"/>
              </w:rPr>
              <w:t xml:space="preserve">Assessed </w:t>
            </w:r>
            <w:proofErr w:type="gramStart"/>
            <w:r w:rsidRPr="00601402">
              <w:rPr>
                <w:rStyle w:val="label"/>
                <w:rFonts w:ascii="Arial" w:hAnsi="Arial" w:cs="Arial"/>
                <w:sz w:val="16"/>
                <w:szCs w:val="16"/>
              </w:rPr>
              <w:t>with  St.</w:t>
            </w:r>
            <w:proofErr w:type="gramEnd"/>
            <w:r w:rsidRPr="00601402">
              <w:rPr>
                <w:rStyle w:val="label"/>
                <w:rFonts w:ascii="Arial" w:hAnsi="Arial" w:cs="Arial"/>
                <w:sz w:val="16"/>
                <w:szCs w:val="16"/>
              </w:rPr>
              <w:t xml:space="preserve"> George's Respiratory Questionnaire between-group-difference at the end of the study</w:t>
            </w:r>
          </w:p>
        </w:tc>
        <w:tc>
          <w:tcPr>
            <w:tcW w:w="1296" w:type="pct"/>
            <w:tcBorders>
              <w:top w:val="single" w:sz="6" w:space="0" w:color="000000"/>
              <w:left w:val="nil"/>
              <w:bottom w:val="single" w:sz="6" w:space="0" w:color="000000"/>
              <w:right w:val="nil"/>
            </w:tcBorders>
            <w:vAlign w:val="center"/>
          </w:tcPr>
          <w:p w14:paraId="3C2181DF" w14:textId="77777777" w:rsidR="00596BE0" w:rsidRPr="00601402" w:rsidRDefault="00596BE0" w:rsidP="00596BE0">
            <w:pPr>
              <w:ind w:left="113"/>
              <w:rPr>
                <w:rFonts w:ascii="Arial" w:hAnsi="Arial" w:cs="Arial"/>
                <w:sz w:val="16"/>
                <w:szCs w:val="16"/>
                <w:vertAlign w:val="superscript"/>
              </w:rPr>
            </w:pPr>
            <w:r w:rsidRPr="00601402">
              <w:rPr>
                <w:rFonts w:ascii="Arial" w:hAnsi="Arial" w:cs="Arial"/>
                <w:sz w:val="16"/>
                <w:szCs w:val="16"/>
              </w:rPr>
              <w:t>1045</w:t>
            </w:r>
            <w:r w:rsidRPr="00601402">
              <w:rPr>
                <w:rFonts w:ascii="Arial" w:hAnsi="Arial" w:cs="Arial"/>
                <w:sz w:val="16"/>
                <w:szCs w:val="16"/>
              </w:rPr>
              <w:br/>
              <w:t xml:space="preserve">(3 RCTs) </w:t>
            </w:r>
            <w:r w:rsidRPr="00601402">
              <w:rPr>
                <w:rFonts w:ascii="Arial" w:hAnsi="Arial" w:cs="Arial"/>
                <w:sz w:val="16"/>
                <w:szCs w:val="16"/>
                <w:vertAlign w:val="superscript"/>
              </w:rPr>
              <w:t>45,46,47</w:t>
            </w:r>
          </w:p>
          <w:p w14:paraId="6C801170" w14:textId="77777777" w:rsidR="00596BE0" w:rsidRPr="00601402" w:rsidRDefault="00596BE0" w:rsidP="00596BE0">
            <w:pPr>
              <w:ind w:left="113"/>
              <w:rPr>
                <w:rFonts w:ascii="Arial" w:hAnsi="Arial" w:cs="Arial"/>
                <w:sz w:val="16"/>
                <w:szCs w:val="16"/>
              </w:rPr>
            </w:pPr>
            <w:r w:rsidRPr="00601402">
              <w:rPr>
                <w:rStyle w:val="label"/>
                <w:rFonts w:ascii="Arial" w:hAnsi="Arial" w:cs="Arial"/>
                <w:sz w:val="16"/>
                <w:szCs w:val="16"/>
              </w:rPr>
              <w:t>24 to 32 weeks</w:t>
            </w:r>
            <w:r w:rsidRPr="00601402">
              <w:rPr>
                <w:rFonts w:ascii="Arial" w:hAnsi="Arial" w:cs="Arial"/>
                <w:sz w:val="16"/>
                <w:szCs w:val="16"/>
              </w:rPr>
              <w:t xml:space="preserve"> </w:t>
            </w:r>
            <w:proofErr w:type="gramStart"/>
            <w:r w:rsidRPr="00601402">
              <w:rPr>
                <w:rFonts w:ascii="Arial" w:hAnsi="Arial" w:cs="Arial"/>
                <w:sz w:val="16"/>
                <w:szCs w:val="16"/>
                <w:vertAlign w:val="superscript"/>
              </w:rPr>
              <w:t>10</w:t>
            </w:r>
            <w:r w:rsidRPr="00601402">
              <w:rPr>
                <w:rStyle w:val="comma"/>
                <w:rFonts w:ascii="Arial" w:hAnsi="Arial" w:cs="Arial"/>
                <w:sz w:val="16"/>
                <w:szCs w:val="16"/>
                <w:vertAlign w:val="superscript"/>
              </w:rPr>
              <w:t>,</w:t>
            </w:r>
            <w:r w:rsidRPr="00601402">
              <w:rPr>
                <w:rFonts w:ascii="Arial" w:hAnsi="Arial" w:cs="Arial"/>
                <w:sz w:val="16"/>
                <w:szCs w:val="16"/>
                <w:vertAlign w:val="superscript"/>
              </w:rPr>
              <w:t>k</w:t>
            </w:r>
            <w:proofErr w:type="gramEnd"/>
          </w:p>
        </w:tc>
        <w:tc>
          <w:tcPr>
            <w:tcW w:w="499" w:type="pct"/>
            <w:tcBorders>
              <w:top w:val="single" w:sz="6" w:space="0" w:color="000000"/>
              <w:left w:val="nil"/>
              <w:bottom w:val="single" w:sz="6" w:space="0" w:color="000000"/>
              <w:right w:val="nil"/>
            </w:tcBorders>
            <w:vAlign w:val="center"/>
          </w:tcPr>
          <w:p w14:paraId="0829F631" w14:textId="77777777" w:rsidR="00596BE0" w:rsidRPr="00601402" w:rsidRDefault="00596BE0" w:rsidP="00596BE0">
            <w:pPr>
              <w:ind w:left="113"/>
              <w:rPr>
                <w:rFonts w:ascii="Arial" w:hAnsi="Arial" w:cs="Arial"/>
                <w:sz w:val="16"/>
                <w:szCs w:val="16"/>
              </w:rPr>
            </w:pPr>
            <w:r w:rsidRPr="00601402">
              <w:rPr>
                <w:rStyle w:val="quality-sign"/>
                <w:rFonts w:ascii="Cambria Math" w:hAnsi="Cambria Math" w:cs="Cambria Math"/>
                <w:sz w:val="16"/>
                <w:szCs w:val="16"/>
              </w:rPr>
              <w:t>⨁⨁⨁</w:t>
            </w:r>
            <w:r w:rsidRPr="00601402">
              <w:rPr>
                <w:rStyle w:val="quality-sign"/>
                <w:rFonts w:ascii="Segoe UI Symbol" w:eastAsia="MS Mincho" w:hAnsi="Segoe UI Symbol" w:cs="Segoe UI Symbol"/>
                <w:sz w:val="16"/>
                <w:szCs w:val="16"/>
              </w:rPr>
              <w:t>◯</w:t>
            </w:r>
            <w:r w:rsidRPr="00601402">
              <w:rPr>
                <w:rFonts w:ascii="Arial" w:hAnsi="Arial" w:cs="Arial"/>
                <w:sz w:val="16"/>
                <w:szCs w:val="16"/>
              </w:rPr>
              <w:br/>
            </w:r>
            <w:r w:rsidRPr="00601402">
              <w:rPr>
                <w:rStyle w:val="quality-text"/>
                <w:rFonts w:ascii="Arial" w:hAnsi="Arial" w:cs="Arial"/>
                <w:sz w:val="16"/>
                <w:szCs w:val="16"/>
              </w:rPr>
              <w:t>MODERATE</w:t>
            </w:r>
            <w:r w:rsidRPr="00601402">
              <w:rPr>
                <w:rFonts w:ascii="Arial" w:hAnsi="Arial" w:cs="Arial"/>
                <w:sz w:val="16"/>
                <w:szCs w:val="16"/>
              </w:rPr>
              <w:t xml:space="preserve"> </w:t>
            </w:r>
            <w:r w:rsidRPr="00601402">
              <w:rPr>
                <w:rFonts w:ascii="Arial" w:hAnsi="Arial" w:cs="Arial"/>
                <w:sz w:val="16"/>
                <w:szCs w:val="16"/>
                <w:vertAlign w:val="superscript"/>
              </w:rPr>
              <w:t>4</w:t>
            </w:r>
            <w:r w:rsidRPr="00601402">
              <w:rPr>
                <w:rStyle w:val="comma"/>
                <w:rFonts w:ascii="Arial" w:hAnsi="Arial" w:cs="Arial"/>
                <w:sz w:val="16"/>
                <w:szCs w:val="16"/>
                <w:vertAlign w:val="superscript"/>
              </w:rPr>
              <w:t>,</w:t>
            </w:r>
            <w:proofErr w:type="gramStart"/>
            <w:r w:rsidRPr="00601402">
              <w:rPr>
                <w:rFonts w:ascii="Arial" w:hAnsi="Arial" w:cs="Arial"/>
                <w:sz w:val="16"/>
                <w:szCs w:val="16"/>
                <w:vertAlign w:val="superscript"/>
              </w:rPr>
              <w:t>5</w:t>
            </w:r>
            <w:r w:rsidRPr="00601402">
              <w:rPr>
                <w:rStyle w:val="comma"/>
                <w:rFonts w:ascii="Arial" w:hAnsi="Arial" w:cs="Arial"/>
                <w:sz w:val="16"/>
                <w:szCs w:val="16"/>
                <w:vertAlign w:val="superscript"/>
              </w:rPr>
              <w:t>,</w:t>
            </w:r>
            <w:r w:rsidRPr="00601402">
              <w:rPr>
                <w:rFonts w:ascii="Arial" w:hAnsi="Arial" w:cs="Arial"/>
                <w:sz w:val="16"/>
                <w:szCs w:val="16"/>
                <w:vertAlign w:val="superscript"/>
              </w:rPr>
              <w:t>a</w:t>
            </w:r>
            <w:proofErr w:type="gramEnd"/>
            <w:r w:rsidRPr="00601402">
              <w:rPr>
                <w:rStyle w:val="comma"/>
                <w:rFonts w:ascii="Arial" w:hAnsi="Arial" w:cs="Arial"/>
                <w:sz w:val="16"/>
                <w:szCs w:val="16"/>
                <w:vertAlign w:val="superscript"/>
              </w:rPr>
              <w:t>,</w:t>
            </w:r>
            <w:r w:rsidRPr="00601402">
              <w:rPr>
                <w:rFonts w:ascii="Arial" w:hAnsi="Arial" w:cs="Arial"/>
                <w:sz w:val="16"/>
                <w:szCs w:val="16"/>
                <w:vertAlign w:val="superscript"/>
              </w:rPr>
              <w:t>c</w:t>
            </w:r>
            <w:r w:rsidRPr="00601402">
              <w:rPr>
                <w:rStyle w:val="comma"/>
                <w:rFonts w:ascii="Arial" w:hAnsi="Arial" w:cs="Arial"/>
                <w:sz w:val="16"/>
                <w:szCs w:val="16"/>
                <w:vertAlign w:val="superscript"/>
              </w:rPr>
              <w:t>,</w:t>
            </w:r>
            <w:r w:rsidRPr="00601402">
              <w:rPr>
                <w:rFonts w:ascii="Arial" w:hAnsi="Arial" w:cs="Arial"/>
                <w:sz w:val="16"/>
                <w:szCs w:val="16"/>
                <w:vertAlign w:val="superscript"/>
              </w:rPr>
              <w:t>l</w:t>
            </w:r>
          </w:p>
        </w:tc>
        <w:tc>
          <w:tcPr>
            <w:tcW w:w="595" w:type="pct"/>
            <w:tcBorders>
              <w:top w:val="single" w:sz="6" w:space="0" w:color="000000"/>
              <w:left w:val="nil"/>
              <w:bottom w:val="single" w:sz="6" w:space="0" w:color="000000"/>
              <w:right w:val="nil"/>
            </w:tcBorders>
            <w:vAlign w:val="center"/>
          </w:tcPr>
          <w:p w14:paraId="4CD67D0F" w14:textId="77777777" w:rsidR="00596BE0" w:rsidRPr="00601402" w:rsidRDefault="00596BE0" w:rsidP="00596BE0">
            <w:pPr>
              <w:ind w:left="113"/>
              <w:rPr>
                <w:rFonts w:ascii="Arial" w:hAnsi="Arial" w:cs="Arial"/>
                <w:sz w:val="16"/>
                <w:szCs w:val="16"/>
              </w:rPr>
            </w:pPr>
            <w:r w:rsidRPr="00601402">
              <w:rPr>
                <w:rStyle w:val="cell"/>
                <w:rFonts w:ascii="Arial" w:hAnsi="Arial" w:cs="Arial"/>
                <w:sz w:val="16"/>
                <w:szCs w:val="16"/>
              </w:rPr>
              <w:t>-</w:t>
            </w:r>
            <w:r w:rsidRPr="00601402">
              <w:rPr>
                <w:rFonts w:ascii="Arial" w:hAnsi="Arial" w:cs="Arial"/>
                <w:sz w:val="16"/>
                <w:szCs w:val="16"/>
              </w:rPr>
              <w:t xml:space="preserve"> </w:t>
            </w:r>
          </w:p>
        </w:tc>
        <w:tc>
          <w:tcPr>
            <w:tcW w:w="697" w:type="pct"/>
            <w:tcBorders>
              <w:top w:val="single" w:sz="6" w:space="0" w:color="000000"/>
              <w:left w:val="nil"/>
              <w:bottom w:val="single" w:sz="6" w:space="0" w:color="000000"/>
              <w:right w:val="nil"/>
            </w:tcBorders>
            <w:shd w:val="clear" w:color="auto" w:fill="EDEDED"/>
            <w:vAlign w:val="center"/>
          </w:tcPr>
          <w:p w14:paraId="5B887852" w14:textId="77777777" w:rsidR="00596BE0" w:rsidRPr="00601402" w:rsidRDefault="00596BE0" w:rsidP="00596BE0">
            <w:pPr>
              <w:ind w:left="113"/>
              <w:rPr>
                <w:rFonts w:ascii="Arial" w:hAnsi="Arial" w:cs="Arial"/>
                <w:sz w:val="16"/>
                <w:szCs w:val="16"/>
              </w:rPr>
            </w:pPr>
          </w:p>
        </w:tc>
        <w:tc>
          <w:tcPr>
            <w:tcW w:w="917" w:type="pct"/>
            <w:tcBorders>
              <w:top w:val="single" w:sz="6" w:space="0" w:color="000000"/>
              <w:left w:val="nil"/>
              <w:bottom w:val="single" w:sz="6" w:space="0" w:color="000000"/>
              <w:right w:val="nil"/>
            </w:tcBorders>
            <w:shd w:val="clear" w:color="auto" w:fill="EDEDED"/>
            <w:vAlign w:val="center"/>
          </w:tcPr>
          <w:p w14:paraId="1D7CD3C2" w14:textId="77777777" w:rsidR="00596BE0" w:rsidRPr="00601402" w:rsidRDefault="00596BE0" w:rsidP="00596BE0">
            <w:pPr>
              <w:ind w:left="113"/>
              <w:rPr>
                <w:rFonts w:ascii="Arial" w:hAnsi="Arial" w:cs="Arial"/>
                <w:sz w:val="16"/>
                <w:szCs w:val="16"/>
              </w:rPr>
            </w:pPr>
            <w:r w:rsidRPr="00601402">
              <w:rPr>
                <w:rStyle w:val="cell-value"/>
                <w:rFonts w:ascii="Arial" w:hAnsi="Arial" w:cs="Arial"/>
                <w:sz w:val="16"/>
                <w:szCs w:val="16"/>
              </w:rPr>
              <w:t>mean difference -</w:t>
            </w:r>
            <w:r w:rsidRPr="00601402">
              <w:rPr>
                <w:rStyle w:val="cell-value"/>
              </w:rPr>
              <w:t xml:space="preserve"> </w:t>
            </w:r>
            <w:r w:rsidRPr="00601402">
              <w:rPr>
                <w:rStyle w:val="cell-value"/>
                <w:rFonts w:ascii="Arial" w:hAnsi="Arial" w:cs="Arial"/>
                <w:b/>
                <w:bCs/>
                <w:sz w:val="16"/>
                <w:szCs w:val="16"/>
              </w:rPr>
              <w:t xml:space="preserve">7.14 </w:t>
            </w:r>
            <w:r w:rsidRPr="00601402">
              <w:rPr>
                <w:rFonts w:ascii="Arial" w:hAnsi="Arial" w:cs="Arial"/>
                <w:sz w:val="16"/>
                <w:szCs w:val="16"/>
              </w:rPr>
              <w:br/>
            </w:r>
            <w:r w:rsidRPr="00601402">
              <w:rPr>
                <w:rStyle w:val="cell-value"/>
                <w:rFonts w:ascii="Arial" w:hAnsi="Arial" w:cs="Arial"/>
                <w:sz w:val="16"/>
                <w:szCs w:val="16"/>
              </w:rPr>
              <w:t>(-</w:t>
            </w:r>
            <w:r w:rsidRPr="00601402">
              <w:rPr>
                <w:rStyle w:val="cell-value"/>
              </w:rPr>
              <w:t xml:space="preserve"> </w:t>
            </w:r>
            <w:r w:rsidRPr="00601402">
              <w:rPr>
                <w:rStyle w:val="cell-value"/>
                <w:rFonts w:ascii="Arial" w:hAnsi="Arial" w:cs="Arial"/>
                <w:sz w:val="16"/>
                <w:szCs w:val="16"/>
              </w:rPr>
              <w:t>9.07 to -</w:t>
            </w:r>
            <w:r w:rsidRPr="00601402">
              <w:rPr>
                <w:rStyle w:val="cell-value"/>
              </w:rPr>
              <w:t xml:space="preserve"> </w:t>
            </w:r>
            <w:r w:rsidRPr="00601402">
              <w:rPr>
                <w:rStyle w:val="cell-value"/>
                <w:rFonts w:ascii="Arial" w:hAnsi="Arial" w:cs="Arial"/>
                <w:sz w:val="16"/>
                <w:szCs w:val="16"/>
              </w:rPr>
              <w:t>5.21)</w:t>
            </w:r>
            <w:r w:rsidRPr="00601402">
              <w:rPr>
                <w:rFonts w:ascii="Arial" w:hAnsi="Arial" w:cs="Arial"/>
                <w:sz w:val="16"/>
                <w:szCs w:val="16"/>
              </w:rPr>
              <w:t xml:space="preserve"> </w:t>
            </w:r>
          </w:p>
        </w:tc>
      </w:tr>
      <w:tr w:rsidR="00596BE0" w:rsidRPr="00601402" w14:paraId="169EA7BB" w14:textId="77777777" w:rsidTr="00596BE0">
        <w:trPr>
          <w:cantSplit/>
        </w:trPr>
        <w:tc>
          <w:tcPr>
            <w:tcW w:w="996" w:type="pct"/>
            <w:tcBorders>
              <w:top w:val="single" w:sz="6" w:space="0" w:color="000000"/>
              <w:left w:val="nil"/>
              <w:bottom w:val="single" w:sz="6" w:space="0" w:color="000000"/>
              <w:right w:val="nil"/>
            </w:tcBorders>
            <w:vAlign w:val="center"/>
          </w:tcPr>
          <w:p w14:paraId="69F9EC13" w14:textId="77777777" w:rsidR="00596BE0" w:rsidRPr="00601402" w:rsidRDefault="00596BE0" w:rsidP="00596BE0">
            <w:pPr>
              <w:ind w:left="113" w:right="-75"/>
              <w:rPr>
                <w:rFonts w:ascii="Arial" w:hAnsi="Arial" w:cs="Arial"/>
                <w:sz w:val="16"/>
                <w:szCs w:val="16"/>
              </w:rPr>
            </w:pPr>
            <w:r w:rsidRPr="00601402">
              <w:rPr>
                <w:rStyle w:val="label"/>
                <w:rFonts w:ascii="Arial" w:hAnsi="Arial" w:cs="Arial"/>
                <w:b/>
                <w:sz w:val="16"/>
                <w:szCs w:val="16"/>
              </w:rPr>
              <w:t>Treatment-related adverse events (AE)</w:t>
            </w:r>
            <w:r w:rsidRPr="00601402">
              <w:rPr>
                <w:rFonts w:ascii="Arial" w:hAnsi="Arial" w:cs="Arial"/>
                <w:b/>
                <w:sz w:val="16"/>
                <w:szCs w:val="16"/>
              </w:rPr>
              <w:br/>
            </w:r>
            <w:r w:rsidRPr="00601402">
              <w:rPr>
                <w:rStyle w:val="label"/>
                <w:rFonts w:ascii="Arial" w:hAnsi="Arial" w:cs="Arial"/>
                <w:sz w:val="16"/>
                <w:szCs w:val="16"/>
              </w:rPr>
              <w:t>Assessed with number of events</w:t>
            </w:r>
          </w:p>
        </w:tc>
        <w:tc>
          <w:tcPr>
            <w:tcW w:w="1296" w:type="pct"/>
            <w:tcBorders>
              <w:top w:val="single" w:sz="6" w:space="0" w:color="000000"/>
              <w:left w:val="nil"/>
              <w:bottom w:val="single" w:sz="6" w:space="0" w:color="000000"/>
              <w:right w:val="nil"/>
            </w:tcBorders>
            <w:vAlign w:val="center"/>
          </w:tcPr>
          <w:p w14:paraId="33E28F09" w14:textId="77777777" w:rsidR="00596BE0" w:rsidRPr="00601402" w:rsidRDefault="00596BE0" w:rsidP="00596BE0">
            <w:pPr>
              <w:ind w:left="113"/>
              <w:rPr>
                <w:rFonts w:ascii="Arial" w:hAnsi="Arial" w:cs="Arial"/>
                <w:sz w:val="16"/>
                <w:szCs w:val="16"/>
              </w:rPr>
            </w:pPr>
            <w:r w:rsidRPr="00601402">
              <w:rPr>
                <w:rFonts w:ascii="Arial" w:hAnsi="Arial" w:cs="Arial"/>
                <w:sz w:val="16"/>
                <w:szCs w:val="16"/>
              </w:rPr>
              <w:t>1071</w:t>
            </w:r>
            <w:r w:rsidRPr="00601402">
              <w:rPr>
                <w:rFonts w:ascii="Arial" w:hAnsi="Arial" w:cs="Arial"/>
                <w:sz w:val="16"/>
                <w:szCs w:val="16"/>
              </w:rPr>
              <w:br/>
              <w:t xml:space="preserve">(3 RCTs) </w:t>
            </w:r>
            <w:r w:rsidRPr="00601402">
              <w:rPr>
                <w:rFonts w:ascii="Arial" w:hAnsi="Arial" w:cs="Arial"/>
                <w:sz w:val="16"/>
                <w:szCs w:val="16"/>
                <w:vertAlign w:val="superscript"/>
              </w:rPr>
              <w:t>45,46,47</w:t>
            </w:r>
          </w:p>
        </w:tc>
        <w:tc>
          <w:tcPr>
            <w:tcW w:w="499" w:type="pct"/>
            <w:tcBorders>
              <w:top w:val="single" w:sz="6" w:space="0" w:color="000000"/>
              <w:left w:val="nil"/>
              <w:bottom w:val="single" w:sz="6" w:space="0" w:color="000000"/>
              <w:right w:val="nil"/>
            </w:tcBorders>
            <w:vAlign w:val="center"/>
          </w:tcPr>
          <w:p w14:paraId="159628F5" w14:textId="77777777" w:rsidR="00596BE0" w:rsidRPr="00601402" w:rsidRDefault="00596BE0" w:rsidP="00596BE0">
            <w:pPr>
              <w:ind w:left="113"/>
              <w:rPr>
                <w:rFonts w:ascii="Arial" w:hAnsi="Arial" w:cs="Arial"/>
                <w:sz w:val="16"/>
                <w:szCs w:val="16"/>
              </w:rPr>
            </w:pPr>
            <w:r w:rsidRPr="00601402">
              <w:rPr>
                <w:rStyle w:val="quality-sign"/>
                <w:rFonts w:ascii="Cambria Math" w:hAnsi="Cambria Math" w:cs="Cambria Math"/>
                <w:sz w:val="16"/>
                <w:szCs w:val="16"/>
              </w:rPr>
              <w:t>⨁⨁⨁⨁</w:t>
            </w:r>
            <w:r w:rsidRPr="00601402">
              <w:rPr>
                <w:rFonts w:ascii="Arial" w:hAnsi="Arial" w:cs="Arial"/>
                <w:sz w:val="16"/>
                <w:szCs w:val="16"/>
              </w:rPr>
              <w:br/>
            </w:r>
            <w:r w:rsidRPr="00601402">
              <w:rPr>
                <w:rStyle w:val="quality-text"/>
                <w:rFonts w:ascii="Arial" w:hAnsi="Arial" w:cs="Arial"/>
                <w:sz w:val="16"/>
                <w:szCs w:val="16"/>
              </w:rPr>
              <w:t>HIGH</w:t>
            </w:r>
            <w:r w:rsidRPr="00601402">
              <w:rPr>
                <w:rFonts w:ascii="Arial" w:hAnsi="Arial" w:cs="Arial"/>
                <w:sz w:val="16"/>
                <w:szCs w:val="16"/>
              </w:rPr>
              <w:t xml:space="preserve"> </w:t>
            </w:r>
            <w:r w:rsidRPr="00601402">
              <w:rPr>
                <w:rFonts w:ascii="Arial" w:hAnsi="Arial" w:cs="Arial"/>
                <w:sz w:val="16"/>
                <w:szCs w:val="16"/>
                <w:vertAlign w:val="superscript"/>
              </w:rPr>
              <w:t>4</w:t>
            </w:r>
            <w:r w:rsidRPr="00601402">
              <w:rPr>
                <w:rStyle w:val="comma"/>
                <w:rFonts w:ascii="Arial" w:hAnsi="Arial" w:cs="Arial"/>
                <w:sz w:val="16"/>
                <w:szCs w:val="16"/>
                <w:vertAlign w:val="superscript"/>
              </w:rPr>
              <w:t>,</w:t>
            </w:r>
            <w:proofErr w:type="gramStart"/>
            <w:r w:rsidRPr="00601402">
              <w:rPr>
                <w:rFonts w:ascii="Arial" w:hAnsi="Arial" w:cs="Arial"/>
                <w:sz w:val="16"/>
                <w:szCs w:val="16"/>
                <w:vertAlign w:val="superscript"/>
              </w:rPr>
              <w:t>5</w:t>
            </w:r>
            <w:r w:rsidRPr="00601402">
              <w:rPr>
                <w:rStyle w:val="comma"/>
                <w:rFonts w:ascii="Arial" w:hAnsi="Arial" w:cs="Arial"/>
                <w:sz w:val="16"/>
                <w:szCs w:val="16"/>
                <w:vertAlign w:val="superscript"/>
              </w:rPr>
              <w:t>,</w:t>
            </w:r>
            <w:r w:rsidRPr="00601402">
              <w:rPr>
                <w:rFonts w:ascii="Arial" w:hAnsi="Arial" w:cs="Arial"/>
                <w:sz w:val="16"/>
                <w:szCs w:val="16"/>
                <w:vertAlign w:val="superscript"/>
              </w:rPr>
              <w:t>c</w:t>
            </w:r>
            <w:proofErr w:type="gramEnd"/>
          </w:p>
        </w:tc>
        <w:tc>
          <w:tcPr>
            <w:tcW w:w="595" w:type="pct"/>
            <w:tcBorders>
              <w:top w:val="single" w:sz="6" w:space="0" w:color="000000"/>
              <w:left w:val="nil"/>
              <w:bottom w:val="single" w:sz="6" w:space="0" w:color="000000"/>
              <w:right w:val="nil"/>
            </w:tcBorders>
            <w:vAlign w:val="center"/>
          </w:tcPr>
          <w:p w14:paraId="3CAE0CEE" w14:textId="0F263246" w:rsidR="00596BE0" w:rsidRPr="00601402" w:rsidRDefault="00256864" w:rsidP="00596BE0">
            <w:pPr>
              <w:ind w:left="113"/>
              <w:rPr>
                <w:rFonts w:ascii="Arial" w:hAnsi="Arial" w:cs="Arial"/>
                <w:sz w:val="16"/>
                <w:szCs w:val="16"/>
              </w:rPr>
            </w:pPr>
            <w:r>
              <w:rPr>
                <w:rStyle w:val="block"/>
                <w:rFonts w:ascii="Arial" w:hAnsi="Arial" w:cs="Arial"/>
                <w:b/>
                <w:bCs/>
                <w:sz w:val="16"/>
                <w:szCs w:val="16"/>
              </w:rPr>
              <w:t>Risk</w:t>
            </w:r>
            <w:r w:rsidR="00596BE0" w:rsidRPr="00601402">
              <w:rPr>
                <w:rStyle w:val="block"/>
                <w:rFonts w:ascii="Arial" w:hAnsi="Arial" w:cs="Arial"/>
                <w:b/>
                <w:bCs/>
                <w:sz w:val="16"/>
                <w:szCs w:val="16"/>
              </w:rPr>
              <w:t xml:space="preserve"> ratio 1.35</w:t>
            </w:r>
            <w:r w:rsidR="00596BE0" w:rsidRPr="00601402">
              <w:rPr>
                <w:rFonts w:ascii="Arial" w:hAnsi="Arial" w:cs="Arial"/>
                <w:sz w:val="16"/>
                <w:szCs w:val="16"/>
              </w:rPr>
              <w:br/>
            </w:r>
            <w:r w:rsidR="00596BE0" w:rsidRPr="00601402">
              <w:rPr>
                <w:rStyle w:val="cell"/>
                <w:rFonts w:ascii="Arial" w:hAnsi="Arial" w:cs="Arial"/>
                <w:sz w:val="16"/>
                <w:szCs w:val="16"/>
              </w:rPr>
              <w:t>(1.01 to 1.80)</w:t>
            </w:r>
            <w:r w:rsidR="00596BE0" w:rsidRPr="00601402">
              <w:rPr>
                <w:rFonts w:ascii="Arial" w:hAnsi="Arial" w:cs="Arial"/>
                <w:sz w:val="16"/>
                <w:szCs w:val="16"/>
              </w:rPr>
              <w:t xml:space="preserve"> </w:t>
            </w:r>
          </w:p>
        </w:tc>
        <w:tc>
          <w:tcPr>
            <w:tcW w:w="697" w:type="pct"/>
            <w:tcBorders>
              <w:top w:val="single" w:sz="6" w:space="0" w:color="000000"/>
              <w:left w:val="nil"/>
              <w:bottom w:val="single" w:sz="6" w:space="0" w:color="000000"/>
              <w:right w:val="nil"/>
            </w:tcBorders>
            <w:shd w:val="clear" w:color="auto" w:fill="EDEDED"/>
            <w:vAlign w:val="center"/>
          </w:tcPr>
          <w:p w14:paraId="7C32DCB3" w14:textId="77777777" w:rsidR="00596BE0" w:rsidRPr="00601402" w:rsidRDefault="00596BE0" w:rsidP="00596BE0">
            <w:pPr>
              <w:ind w:left="113"/>
              <w:rPr>
                <w:rFonts w:ascii="Arial" w:hAnsi="Arial" w:cs="Arial"/>
                <w:sz w:val="16"/>
                <w:szCs w:val="16"/>
              </w:rPr>
            </w:pPr>
            <w:r w:rsidRPr="00601402">
              <w:rPr>
                <w:rFonts w:ascii="Arial" w:hAnsi="Arial" w:cs="Arial"/>
                <w:sz w:val="16"/>
                <w:szCs w:val="16"/>
              </w:rPr>
              <w:t xml:space="preserve">796 per 1.000 </w:t>
            </w:r>
          </w:p>
        </w:tc>
        <w:tc>
          <w:tcPr>
            <w:tcW w:w="917" w:type="pct"/>
            <w:tcBorders>
              <w:top w:val="single" w:sz="6" w:space="0" w:color="000000"/>
              <w:left w:val="nil"/>
              <w:bottom w:val="single" w:sz="6" w:space="0" w:color="000000"/>
              <w:right w:val="nil"/>
            </w:tcBorders>
            <w:shd w:val="clear" w:color="auto" w:fill="EDEDED"/>
            <w:vAlign w:val="center"/>
          </w:tcPr>
          <w:p w14:paraId="4649C1DA" w14:textId="77777777" w:rsidR="00596BE0" w:rsidRPr="00601402" w:rsidRDefault="00596BE0" w:rsidP="00596BE0">
            <w:pPr>
              <w:ind w:left="113"/>
              <w:rPr>
                <w:rFonts w:ascii="Arial" w:hAnsi="Arial" w:cs="Arial"/>
                <w:sz w:val="16"/>
                <w:szCs w:val="16"/>
              </w:rPr>
            </w:pPr>
            <w:r w:rsidRPr="00601402">
              <w:rPr>
                <w:rStyle w:val="cell-value"/>
                <w:rFonts w:ascii="Arial" w:hAnsi="Arial" w:cs="Arial"/>
                <w:b/>
                <w:bCs/>
                <w:sz w:val="16"/>
                <w:szCs w:val="16"/>
              </w:rPr>
              <w:t>279 more per 1.000</w:t>
            </w:r>
            <w:r w:rsidRPr="00601402">
              <w:rPr>
                <w:rFonts w:ascii="Arial" w:hAnsi="Arial" w:cs="Arial"/>
                <w:sz w:val="16"/>
                <w:szCs w:val="16"/>
              </w:rPr>
              <w:br/>
            </w:r>
            <w:r w:rsidRPr="00601402">
              <w:rPr>
                <w:rStyle w:val="cell-value"/>
                <w:rFonts w:ascii="Arial" w:hAnsi="Arial" w:cs="Arial"/>
                <w:sz w:val="16"/>
                <w:szCs w:val="16"/>
              </w:rPr>
              <w:t>(8 more to 637 more)</w:t>
            </w:r>
            <w:r w:rsidRPr="00601402">
              <w:rPr>
                <w:rFonts w:ascii="Arial" w:hAnsi="Arial" w:cs="Arial"/>
                <w:sz w:val="16"/>
                <w:szCs w:val="16"/>
              </w:rPr>
              <w:t xml:space="preserve"> </w:t>
            </w:r>
          </w:p>
        </w:tc>
      </w:tr>
      <w:tr w:rsidR="00596BE0" w:rsidRPr="00601402" w14:paraId="671BA3AF" w14:textId="77777777" w:rsidTr="00596BE0">
        <w:trPr>
          <w:cantSplit/>
        </w:trPr>
        <w:tc>
          <w:tcPr>
            <w:tcW w:w="996" w:type="pct"/>
            <w:tcBorders>
              <w:top w:val="single" w:sz="6" w:space="0" w:color="000000"/>
              <w:left w:val="nil"/>
              <w:bottom w:val="single" w:sz="6" w:space="0" w:color="000000"/>
              <w:right w:val="nil"/>
            </w:tcBorders>
            <w:vAlign w:val="center"/>
          </w:tcPr>
          <w:p w14:paraId="5F957B1C" w14:textId="77777777" w:rsidR="00596BE0" w:rsidRPr="00601402" w:rsidRDefault="00596BE0" w:rsidP="00596BE0">
            <w:pPr>
              <w:ind w:left="113" w:right="-75"/>
              <w:rPr>
                <w:rFonts w:ascii="Arial" w:hAnsi="Arial" w:cs="Arial"/>
                <w:sz w:val="16"/>
                <w:szCs w:val="16"/>
              </w:rPr>
            </w:pPr>
            <w:r w:rsidRPr="00601402">
              <w:rPr>
                <w:rStyle w:val="label"/>
                <w:rFonts w:ascii="Arial" w:hAnsi="Arial" w:cs="Arial"/>
                <w:b/>
                <w:sz w:val="16"/>
                <w:szCs w:val="16"/>
              </w:rPr>
              <w:t>Treatment-related serious adverse events (SAE)</w:t>
            </w:r>
            <w:r w:rsidRPr="00601402">
              <w:rPr>
                <w:rFonts w:ascii="Arial" w:hAnsi="Arial" w:cs="Arial"/>
                <w:b/>
                <w:sz w:val="16"/>
                <w:szCs w:val="16"/>
              </w:rPr>
              <w:br/>
            </w:r>
            <w:r w:rsidRPr="00601402">
              <w:rPr>
                <w:rStyle w:val="label"/>
                <w:rFonts w:ascii="Arial" w:hAnsi="Arial" w:cs="Arial"/>
                <w:sz w:val="16"/>
                <w:szCs w:val="16"/>
              </w:rPr>
              <w:t>Assessed with number of events</w:t>
            </w:r>
          </w:p>
        </w:tc>
        <w:tc>
          <w:tcPr>
            <w:tcW w:w="1296" w:type="pct"/>
            <w:tcBorders>
              <w:top w:val="single" w:sz="6" w:space="0" w:color="000000"/>
              <w:left w:val="nil"/>
              <w:bottom w:val="single" w:sz="6" w:space="0" w:color="000000"/>
              <w:right w:val="nil"/>
            </w:tcBorders>
            <w:vAlign w:val="center"/>
          </w:tcPr>
          <w:p w14:paraId="04A0DAA2" w14:textId="77777777" w:rsidR="00596BE0" w:rsidRPr="00601402" w:rsidRDefault="00596BE0" w:rsidP="00596BE0">
            <w:pPr>
              <w:ind w:left="113"/>
              <w:rPr>
                <w:rFonts w:ascii="Arial" w:hAnsi="Arial" w:cs="Arial"/>
                <w:sz w:val="16"/>
                <w:szCs w:val="16"/>
              </w:rPr>
            </w:pPr>
            <w:r w:rsidRPr="00601402">
              <w:rPr>
                <w:rFonts w:ascii="Arial" w:hAnsi="Arial" w:cs="Arial"/>
                <w:sz w:val="16"/>
                <w:szCs w:val="16"/>
              </w:rPr>
              <w:t>385</w:t>
            </w:r>
            <w:r w:rsidRPr="00601402">
              <w:rPr>
                <w:rFonts w:ascii="Arial" w:hAnsi="Arial" w:cs="Arial"/>
                <w:sz w:val="16"/>
                <w:szCs w:val="16"/>
              </w:rPr>
              <w:br/>
              <w:t xml:space="preserve">(1 RCT) </w:t>
            </w:r>
            <w:r w:rsidRPr="00601402">
              <w:rPr>
                <w:rFonts w:ascii="Arial" w:hAnsi="Arial" w:cs="Arial"/>
                <w:sz w:val="16"/>
                <w:szCs w:val="16"/>
                <w:vertAlign w:val="superscript"/>
              </w:rPr>
              <w:t>47</w:t>
            </w:r>
          </w:p>
        </w:tc>
        <w:tc>
          <w:tcPr>
            <w:tcW w:w="499" w:type="pct"/>
            <w:tcBorders>
              <w:top w:val="single" w:sz="6" w:space="0" w:color="000000"/>
              <w:left w:val="nil"/>
              <w:bottom w:val="single" w:sz="6" w:space="0" w:color="000000"/>
              <w:right w:val="nil"/>
            </w:tcBorders>
            <w:vAlign w:val="center"/>
          </w:tcPr>
          <w:p w14:paraId="29F03D30" w14:textId="77777777" w:rsidR="00596BE0" w:rsidRPr="00601402" w:rsidRDefault="00596BE0" w:rsidP="00596BE0">
            <w:pPr>
              <w:ind w:left="113"/>
              <w:rPr>
                <w:rFonts w:ascii="Arial" w:hAnsi="Arial" w:cs="Arial"/>
                <w:sz w:val="16"/>
                <w:szCs w:val="16"/>
              </w:rPr>
            </w:pPr>
            <w:r w:rsidRPr="00601402">
              <w:rPr>
                <w:rStyle w:val="quality-sign"/>
                <w:rFonts w:ascii="Cambria Math" w:hAnsi="Cambria Math" w:cs="Cambria Math"/>
                <w:sz w:val="16"/>
                <w:szCs w:val="16"/>
              </w:rPr>
              <w:t>⨁</w:t>
            </w:r>
            <w:r w:rsidRPr="00601402">
              <w:rPr>
                <w:rStyle w:val="quality-sign"/>
                <w:rFonts w:ascii="Segoe UI Symbol" w:eastAsia="MS Mincho" w:hAnsi="Segoe UI Symbol" w:cs="Segoe UI Symbol"/>
                <w:sz w:val="16"/>
                <w:szCs w:val="16"/>
              </w:rPr>
              <w:t>◯◯◯</w:t>
            </w:r>
            <w:r w:rsidRPr="00601402">
              <w:rPr>
                <w:rFonts w:ascii="Arial" w:hAnsi="Arial" w:cs="Arial"/>
                <w:sz w:val="16"/>
                <w:szCs w:val="16"/>
              </w:rPr>
              <w:br/>
            </w:r>
            <w:r w:rsidRPr="00601402">
              <w:rPr>
                <w:rStyle w:val="quality-text"/>
                <w:rFonts w:ascii="Arial" w:hAnsi="Arial" w:cs="Arial"/>
                <w:sz w:val="16"/>
                <w:szCs w:val="16"/>
              </w:rPr>
              <w:t>VERY LOW</w:t>
            </w:r>
            <w:r w:rsidRPr="00601402">
              <w:rPr>
                <w:rFonts w:ascii="Arial" w:hAnsi="Arial" w:cs="Arial"/>
                <w:sz w:val="16"/>
                <w:szCs w:val="16"/>
              </w:rPr>
              <w:t xml:space="preserve"> </w:t>
            </w:r>
            <w:r w:rsidRPr="00601402">
              <w:rPr>
                <w:rFonts w:ascii="Arial" w:hAnsi="Arial" w:cs="Arial"/>
                <w:sz w:val="16"/>
                <w:szCs w:val="16"/>
                <w:vertAlign w:val="superscript"/>
              </w:rPr>
              <w:t>4</w:t>
            </w:r>
            <w:r w:rsidRPr="00601402">
              <w:rPr>
                <w:rStyle w:val="comma"/>
                <w:rFonts w:ascii="Arial" w:hAnsi="Arial" w:cs="Arial"/>
                <w:sz w:val="16"/>
                <w:szCs w:val="16"/>
                <w:vertAlign w:val="superscript"/>
              </w:rPr>
              <w:t>,</w:t>
            </w:r>
            <w:proofErr w:type="gramStart"/>
            <w:r w:rsidRPr="00601402">
              <w:rPr>
                <w:rFonts w:ascii="Arial" w:hAnsi="Arial" w:cs="Arial"/>
                <w:sz w:val="16"/>
                <w:szCs w:val="16"/>
                <w:vertAlign w:val="superscript"/>
              </w:rPr>
              <w:t>5</w:t>
            </w:r>
            <w:r w:rsidRPr="00601402">
              <w:rPr>
                <w:rStyle w:val="comma"/>
                <w:rFonts w:ascii="Arial" w:hAnsi="Arial" w:cs="Arial"/>
                <w:sz w:val="16"/>
                <w:szCs w:val="16"/>
                <w:vertAlign w:val="superscript"/>
              </w:rPr>
              <w:t>,</w:t>
            </w:r>
            <w:r w:rsidRPr="00601402">
              <w:rPr>
                <w:rFonts w:ascii="Arial" w:hAnsi="Arial" w:cs="Arial"/>
                <w:sz w:val="16"/>
                <w:szCs w:val="16"/>
                <w:vertAlign w:val="superscript"/>
              </w:rPr>
              <w:t>c</w:t>
            </w:r>
            <w:proofErr w:type="gramEnd"/>
            <w:r w:rsidRPr="00601402">
              <w:rPr>
                <w:rStyle w:val="comma"/>
                <w:rFonts w:ascii="Arial" w:hAnsi="Arial" w:cs="Arial"/>
                <w:sz w:val="16"/>
                <w:szCs w:val="16"/>
                <w:vertAlign w:val="superscript"/>
              </w:rPr>
              <w:t>,</w:t>
            </w:r>
            <w:r w:rsidRPr="00601402">
              <w:rPr>
                <w:rFonts w:ascii="Arial" w:hAnsi="Arial" w:cs="Arial"/>
                <w:sz w:val="16"/>
                <w:szCs w:val="16"/>
                <w:vertAlign w:val="superscript"/>
              </w:rPr>
              <w:t>m</w:t>
            </w:r>
            <w:r w:rsidRPr="00601402">
              <w:rPr>
                <w:rStyle w:val="comma"/>
                <w:rFonts w:ascii="Arial" w:hAnsi="Arial" w:cs="Arial"/>
                <w:sz w:val="16"/>
                <w:szCs w:val="16"/>
                <w:vertAlign w:val="superscript"/>
              </w:rPr>
              <w:t>,</w:t>
            </w:r>
            <w:r w:rsidRPr="00601402">
              <w:rPr>
                <w:rFonts w:ascii="Arial" w:hAnsi="Arial" w:cs="Arial"/>
                <w:sz w:val="16"/>
                <w:szCs w:val="16"/>
                <w:vertAlign w:val="superscript"/>
              </w:rPr>
              <w:t>n</w:t>
            </w:r>
          </w:p>
        </w:tc>
        <w:tc>
          <w:tcPr>
            <w:tcW w:w="595" w:type="pct"/>
            <w:tcBorders>
              <w:top w:val="single" w:sz="6" w:space="0" w:color="000000"/>
              <w:left w:val="nil"/>
              <w:bottom w:val="single" w:sz="6" w:space="0" w:color="000000"/>
              <w:right w:val="nil"/>
            </w:tcBorders>
            <w:vAlign w:val="center"/>
          </w:tcPr>
          <w:p w14:paraId="00682718" w14:textId="56717CA3" w:rsidR="00596BE0" w:rsidRPr="00601402" w:rsidRDefault="00256864" w:rsidP="00596BE0">
            <w:pPr>
              <w:ind w:left="113"/>
              <w:rPr>
                <w:rFonts w:ascii="Arial" w:hAnsi="Arial" w:cs="Arial"/>
                <w:sz w:val="16"/>
                <w:szCs w:val="16"/>
              </w:rPr>
            </w:pPr>
            <w:r>
              <w:rPr>
                <w:rStyle w:val="block"/>
                <w:rFonts w:ascii="Arial" w:hAnsi="Arial" w:cs="Arial"/>
                <w:b/>
                <w:bCs/>
                <w:sz w:val="16"/>
                <w:szCs w:val="16"/>
              </w:rPr>
              <w:t>Risk</w:t>
            </w:r>
            <w:r w:rsidR="00596BE0" w:rsidRPr="00601402">
              <w:rPr>
                <w:rStyle w:val="block"/>
                <w:rFonts w:ascii="Arial" w:hAnsi="Arial" w:cs="Arial"/>
                <w:b/>
                <w:bCs/>
                <w:sz w:val="16"/>
                <w:szCs w:val="16"/>
              </w:rPr>
              <w:t xml:space="preserve"> ratio 0.98</w:t>
            </w:r>
            <w:r w:rsidR="00596BE0" w:rsidRPr="00601402">
              <w:rPr>
                <w:rFonts w:ascii="Arial" w:hAnsi="Arial" w:cs="Arial"/>
                <w:sz w:val="16"/>
                <w:szCs w:val="16"/>
              </w:rPr>
              <w:br/>
            </w:r>
            <w:r w:rsidR="00596BE0" w:rsidRPr="00601402">
              <w:rPr>
                <w:rStyle w:val="cell"/>
                <w:rFonts w:ascii="Arial" w:hAnsi="Arial" w:cs="Arial"/>
                <w:sz w:val="16"/>
                <w:szCs w:val="16"/>
              </w:rPr>
              <w:t>(0.06 to 15.63)</w:t>
            </w:r>
            <w:r w:rsidR="00596BE0" w:rsidRPr="00601402">
              <w:rPr>
                <w:rFonts w:ascii="Arial" w:hAnsi="Arial" w:cs="Arial"/>
                <w:sz w:val="16"/>
                <w:szCs w:val="16"/>
              </w:rPr>
              <w:t xml:space="preserve"> </w:t>
            </w:r>
          </w:p>
        </w:tc>
        <w:tc>
          <w:tcPr>
            <w:tcW w:w="697" w:type="pct"/>
            <w:tcBorders>
              <w:top w:val="single" w:sz="6" w:space="0" w:color="000000"/>
              <w:left w:val="nil"/>
              <w:bottom w:val="single" w:sz="6" w:space="0" w:color="000000"/>
              <w:right w:val="nil"/>
            </w:tcBorders>
            <w:shd w:val="clear" w:color="auto" w:fill="EDEDED"/>
            <w:vAlign w:val="center"/>
          </w:tcPr>
          <w:p w14:paraId="36B0703A" w14:textId="77777777" w:rsidR="00596BE0" w:rsidRPr="00601402" w:rsidRDefault="00596BE0" w:rsidP="00596BE0">
            <w:pPr>
              <w:ind w:left="113"/>
              <w:rPr>
                <w:rFonts w:ascii="Arial" w:hAnsi="Arial" w:cs="Arial"/>
                <w:sz w:val="16"/>
                <w:szCs w:val="16"/>
              </w:rPr>
            </w:pPr>
            <w:r w:rsidRPr="00601402">
              <w:rPr>
                <w:rFonts w:ascii="Arial" w:hAnsi="Arial" w:cs="Arial"/>
                <w:sz w:val="16"/>
                <w:szCs w:val="16"/>
              </w:rPr>
              <w:t xml:space="preserve">5 per 1.000 </w:t>
            </w:r>
          </w:p>
        </w:tc>
        <w:tc>
          <w:tcPr>
            <w:tcW w:w="917" w:type="pct"/>
            <w:tcBorders>
              <w:top w:val="single" w:sz="6" w:space="0" w:color="000000"/>
              <w:left w:val="nil"/>
              <w:bottom w:val="single" w:sz="6" w:space="0" w:color="000000"/>
              <w:right w:val="nil"/>
            </w:tcBorders>
            <w:shd w:val="clear" w:color="auto" w:fill="EDEDED"/>
            <w:vAlign w:val="center"/>
          </w:tcPr>
          <w:p w14:paraId="29CE36DE" w14:textId="77777777" w:rsidR="00596BE0" w:rsidRPr="00601402" w:rsidRDefault="00596BE0" w:rsidP="00596BE0">
            <w:pPr>
              <w:ind w:left="113"/>
              <w:rPr>
                <w:rFonts w:ascii="Arial" w:hAnsi="Arial" w:cs="Arial"/>
                <w:sz w:val="16"/>
                <w:szCs w:val="16"/>
              </w:rPr>
            </w:pPr>
            <w:r w:rsidRPr="00601402">
              <w:rPr>
                <w:rStyle w:val="cell-value"/>
                <w:rFonts w:ascii="Arial" w:hAnsi="Arial" w:cs="Arial"/>
                <w:b/>
                <w:bCs/>
                <w:sz w:val="16"/>
                <w:szCs w:val="16"/>
              </w:rPr>
              <w:t>0 fewer per 1.000</w:t>
            </w:r>
            <w:r w:rsidRPr="00601402">
              <w:rPr>
                <w:rFonts w:ascii="Arial" w:hAnsi="Arial" w:cs="Arial"/>
                <w:sz w:val="16"/>
                <w:szCs w:val="16"/>
              </w:rPr>
              <w:br/>
            </w:r>
            <w:r w:rsidRPr="00601402">
              <w:rPr>
                <w:rStyle w:val="cell-value"/>
                <w:rFonts w:ascii="Arial" w:hAnsi="Arial" w:cs="Arial"/>
                <w:sz w:val="16"/>
                <w:szCs w:val="16"/>
              </w:rPr>
              <w:t>(-5 fewer to 77 more)</w:t>
            </w:r>
            <w:r w:rsidRPr="00601402">
              <w:rPr>
                <w:rFonts w:ascii="Arial" w:hAnsi="Arial" w:cs="Arial"/>
                <w:sz w:val="16"/>
                <w:szCs w:val="16"/>
              </w:rPr>
              <w:t xml:space="preserve"> </w:t>
            </w:r>
          </w:p>
        </w:tc>
      </w:tr>
      <w:tr w:rsidR="00596BE0" w:rsidRPr="00601402" w14:paraId="4626F1B8" w14:textId="77777777" w:rsidTr="00596BE0">
        <w:trPr>
          <w:cantSplit/>
        </w:trPr>
        <w:tc>
          <w:tcPr>
            <w:tcW w:w="996" w:type="pct"/>
            <w:tcBorders>
              <w:top w:val="single" w:sz="6" w:space="0" w:color="000000"/>
              <w:left w:val="nil"/>
              <w:bottom w:val="single" w:sz="6" w:space="0" w:color="000000"/>
              <w:right w:val="nil"/>
            </w:tcBorders>
            <w:vAlign w:val="center"/>
          </w:tcPr>
          <w:p w14:paraId="2A6363E4" w14:textId="77777777" w:rsidR="00596BE0" w:rsidRPr="00601402" w:rsidRDefault="00596BE0" w:rsidP="00596BE0">
            <w:pPr>
              <w:ind w:left="113" w:right="-75"/>
              <w:rPr>
                <w:rStyle w:val="label"/>
                <w:rFonts w:ascii="Arial" w:hAnsi="Arial" w:cs="Arial"/>
                <w:sz w:val="16"/>
                <w:szCs w:val="16"/>
              </w:rPr>
            </w:pPr>
            <w:r w:rsidRPr="00601402">
              <w:rPr>
                <w:rStyle w:val="label"/>
                <w:rFonts w:ascii="Arial" w:hAnsi="Arial" w:cs="Arial"/>
                <w:b/>
                <w:sz w:val="16"/>
                <w:szCs w:val="16"/>
              </w:rPr>
              <w:t>Lung function</w:t>
            </w:r>
            <w:r w:rsidRPr="00601402">
              <w:rPr>
                <w:rFonts w:ascii="Arial" w:hAnsi="Arial" w:cs="Arial"/>
                <w:sz w:val="16"/>
                <w:szCs w:val="16"/>
              </w:rPr>
              <w:br/>
            </w:r>
            <w:r w:rsidRPr="00601402">
              <w:rPr>
                <w:rStyle w:val="label"/>
                <w:rFonts w:ascii="Arial" w:hAnsi="Arial" w:cs="Arial"/>
                <w:sz w:val="16"/>
                <w:szCs w:val="16"/>
              </w:rPr>
              <w:t>assessed with pre-bronchodilator FEV1 (mL) between-group-difference at the end of the study</w:t>
            </w:r>
          </w:p>
        </w:tc>
        <w:tc>
          <w:tcPr>
            <w:tcW w:w="1296" w:type="pct"/>
            <w:tcBorders>
              <w:top w:val="single" w:sz="6" w:space="0" w:color="000000"/>
              <w:left w:val="nil"/>
              <w:bottom w:val="single" w:sz="6" w:space="0" w:color="000000"/>
              <w:right w:val="nil"/>
            </w:tcBorders>
            <w:vAlign w:val="center"/>
          </w:tcPr>
          <w:p w14:paraId="41FBEA36" w14:textId="77777777" w:rsidR="00596BE0" w:rsidRPr="00601402" w:rsidRDefault="00596BE0" w:rsidP="00596BE0">
            <w:pPr>
              <w:ind w:left="113"/>
              <w:rPr>
                <w:rFonts w:ascii="Arial" w:hAnsi="Arial" w:cs="Arial"/>
                <w:sz w:val="16"/>
                <w:szCs w:val="16"/>
                <w:vertAlign w:val="superscript"/>
              </w:rPr>
            </w:pPr>
            <w:r w:rsidRPr="00601402">
              <w:rPr>
                <w:rFonts w:ascii="Arial" w:hAnsi="Arial" w:cs="Arial"/>
                <w:sz w:val="16"/>
                <w:szCs w:val="16"/>
              </w:rPr>
              <w:t>1043</w:t>
            </w:r>
            <w:r w:rsidRPr="00601402">
              <w:rPr>
                <w:rFonts w:ascii="Arial" w:hAnsi="Arial" w:cs="Arial"/>
                <w:sz w:val="16"/>
                <w:szCs w:val="16"/>
              </w:rPr>
              <w:br/>
              <w:t xml:space="preserve">(3 RCTs) </w:t>
            </w:r>
            <w:r w:rsidRPr="00601402">
              <w:rPr>
                <w:rFonts w:ascii="Arial" w:hAnsi="Arial" w:cs="Arial"/>
                <w:sz w:val="16"/>
                <w:szCs w:val="16"/>
                <w:vertAlign w:val="superscript"/>
              </w:rPr>
              <w:t>45,46,47</w:t>
            </w:r>
          </w:p>
          <w:p w14:paraId="7854DEEC" w14:textId="77777777" w:rsidR="00596BE0" w:rsidRPr="00601402" w:rsidRDefault="00596BE0" w:rsidP="00596BE0">
            <w:pPr>
              <w:ind w:left="113"/>
              <w:rPr>
                <w:rFonts w:ascii="Arial" w:hAnsi="Arial" w:cs="Arial"/>
                <w:sz w:val="16"/>
                <w:szCs w:val="16"/>
              </w:rPr>
            </w:pPr>
            <w:r w:rsidRPr="00601402">
              <w:rPr>
                <w:rStyle w:val="label"/>
                <w:rFonts w:ascii="Arial" w:hAnsi="Arial" w:cs="Arial"/>
                <w:sz w:val="16"/>
                <w:szCs w:val="16"/>
              </w:rPr>
              <w:t>24 to 32 weeks</w:t>
            </w:r>
            <w:r w:rsidRPr="00601402">
              <w:rPr>
                <w:rFonts w:ascii="Arial" w:hAnsi="Arial" w:cs="Arial"/>
                <w:sz w:val="16"/>
                <w:szCs w:val="16"/>
              </w:rPr>
              <w:t xml:space="preserve"> </w:t>
            </w:r>
            <w:proofErr w:type="gramStart"/>
            <w:r w:rsidRPr="00601402">
              <w:rPr>
                <w:rFonts w:ascii="Arial" w:hAnsi="Arial" w:cs="Arial"/>
                <w:sz w:val="16"/>
                <w:szCs w:val="16"/>
                <w:vertAlign w:val="superscript"/>
              </w:rPr>
              <w:t>6</w:t>
            </w:r>
            <w:r w:rsidRPr="00601402">
              <w:rPr>
                <w:rStyle w:val="comma"/>
                <w:rFonts w:ascii="Arial" w:hAnsi="Arial" w:cs="Arial"/>
                <w:sz w:val="16"/>
                <w:szCs w:val="16"/>
                <w:vertAlign w:val="superscript"/>
              </w:rPr>
              <w:t>,</w:t>
            </w:r>
            <w:r w:rsidRPr="00601402">
              <w:rPr>
                <w:rFonts w:ascii="Arial" w:hAnsi="Arial" w:cs="Arial"/>
                <w:sz w:val="16"/>
                <w:szCs w:val="16"/>
                <w:vertAlign w:val="superscript"/>
              </w:rPr>
              <w:t>e</w:t>
            </w:r>
            <w:proofErr w:type="gramEnd"/>
          </w:p>
        </w:tc>
        <w:tc>
          <w:tcPr>
            <w:tcW w:w="499" w:type="pct"/>
            <w:tcBorders>
              <w:top w:val="single" w:sz="6" w:space="0" w:color="000000"/>
              <w:left w:val="nil"/>
              <w:bottom w:val="single" w:sz="6" w:space="0" w:color="000000"/>
              <w:right w:val="nil"/>
            </w:tcBorders>
            <w:vAlign w:val="center"/>
          </w:tcPr>
          <w:p w14:paraId="6AF9049C" w14:textId="77777777" w:rsidR="00596BE0" w:rsidRPr="00601402" w:rsidRDefault="00596BE0" w:rsidP="00596BE0">
            <w:pPr>
              <w:ind w:left="113"/>
              <w:rPr>
                <w:rStyle w:val="quality-sign"/>
                <w:rFonts w:ascii="Arial" w:hAnsi="Arial" w:cs="Arial"/>
                <w:sz w:val="16"/>
                <w:szCs w:val="16"/>
              </w:rPr>
            </w:pPr>
            <w:r w:rsidRPr="00601402">
              <w:rPr>
                <w:rStyle w:val="quality-sign"/>
                <w:rFonts w:ascii="Cambria Math" w:hAnsi="Cambria Math" w:cs="Cambria Math"/>
                <w:sz w:val="16"/>
                <w:szCs w:val="16"/>
              </w:rPr>
              <w:t>⨁⨁⨁</w:t>
            </w:r>
            <w:r w:rsidRPr="00601402">
              <w:rPr>
                <w:rStyle w:val="quality-sign"/>
                <w:rFonts w:ascii="Segoe UI Symbol" w:eastAsia="MS Mincho" w:hAnsi="Segoe UI Symbol" w:cs="Segoe UI Symbol"/>
                <w:sz w:val="16"/>
                <w:szCs w:val="16"/>
              </w:rPr>
              <w:t>◯</w:t>
            </w:r>
            <w:r w:rsidRPr="00601402">
              <w:rPr>
                <w:rFonts w:ascii="Arial" w:hAnsi="Arial" w:cs="Arial"/>
                <w:sz w:val="16"/>
                <w:szCs w:val="16"/>
              </w:rPr>
              <w:br/>
            </w:r>
            <w:r w:rsidRPr="00601402">
              <w:rPr>
                <w:rStyle w:val="quality-text"/>
                <w:rFonts w:ascii="Arial" w:hAnsi="Arial" w:cs="Arial"/>
                <w:sz w:val="16"/>
                <w:szCs w:val="16"/>
              </w:rPr>
              <w:t>MODERATE</w:t>
            </w:r>
            <w:r w:rsidRPr="00601402">
              <w:rPr>
                <w:rFonts w:ascii="Arial" w:hAnsi="Arial" w:cs="Arial"/>
                <w:sz w:val="16"/>
                <w:szCs w:val="16"/>
              </w:rPr>
              <w:t xml:space="preserve"> </w:t>
            </w:r>
            <w:r w:rsidRPr="00601402">
              <w:rPr>
                <w:rFonts w:ascii="Arial" w:hAnsi="Arial" w:cs="Arial"/>
                <w:sz w:val="16"/>
                <w:szCs w:val="16"/>
                <w:vertAlign w:val="superscript"/>
              </w:rPr>
              <w:t>4</w:t>
            </w:r>
            <w:r w:rsidRPr="00601402">
              <w:rPr>
                <w:rStyle w:val="comma"/>
                <w:rFonts w:ascii="Arial" w:hAnsi="Arial" w:cs="Arial"/>
                <w:sz w:val="16"/>
                <w:szCs w:val="16"/>
                <w:vertAlign w:val="superscript"/>
              </w:rPr>
              <w:t>,</w:t>
            </w:r>
            <w:r w:rsidRPr="00601402">
              <w:rPr>
                <w:rFonts w:ascii="Arial" w:hAnsi="Arial" w:cs="Arial"/>
                <w:sz w:val="16"/>
                <w:szCs w:val="16"/>
                <w:vertAlign w:val="superscript"/>
              </w:rPr>
              <w:t>5</w:t>
            </w:r>
            <w:r w:rsidRPr="00601402">
              <w:rPr>
                <w:rStyle w:val="comma"/>
                <w:rFonts w:ascii="Arial" w:hAnsi="Arial" w:cs="Arial"/>
                <w:sz w:val="16"/>
                <w:szCs w:val="16"/>
                <w:vertAlign w:val="superscript"/>
              </w:rPr>
              <w:t>,</w:t>
            </w:r>
            <w:proofErr w:type="gramStart"/>
            <w:r w:rsidRPr="00601402">
              <w:rPr>
                <w:rFonts w:ascii="Arial" w:hAnsi="Arial" w:cs="Arial"/>
                <w:sz w:val="16"/>
                <w:szCs w:val="16"/>
                <w:vertAlign w:val="superscript"/>
              </w:rPr>
              <w:t>7</w:t>
            </w:r>
            <w:r w:rsidRPr="00601402">
              <w:rPr>
                <w:rStyle w:val="comma"/>
                <w:rFonts w:ascii="Arial" w:hAnsi="Arial" w:cs="Arial"/>
                <w:sz w:val="16"/>
                <w:szCs w:val="16"/>
                <w:vertAlign w:val="superscript"/>
              </w:rPr>
              <w:t>,</w:t>
            </w:r>
            <w:r w:rsidRPr="00601402">
              <w:rPr>
                <w:rFonts w:ascii="Arial" w:hAnsi="Arial" w:cs="Arial"/>
                <w:sz w:val="16"/>
                <w:szCs w:val="16"/>
                <w:vertAlign w:val="superscript"/>
              </w:rPr>
              <w:t>a</w:t>
            </w:r>
            <w:proofErr w:type="gramEnd"/>
            <w:r w:rsidRPr="00601402">
              <w:rPr>
                <w:rStyle w:val="comma"/>
                <w:rFonts w:ascii="Arial" w:hAnsi="Arial" w:cs="Arial"/>
                <w:sz w:val="16"/>
                <w:szCs w:val="16"/>
                <w:vertAlign w:val="superscript"/>
              </w:rPr>
              <w:t>,</w:t>
            </w:r>
            <w:r w:rsidRPr="00601402">
              <w:rPr>
                <w:rFonts w:ascii="Arial" w:hAnsi="Arial" w:cs="Arial"/>
                <w:sz w:val="16"/>
                <w:szCs w:val="16"/>
                <w:vertAlign w:val="superscript"/>
              </w:rPr>
              <w:t>c</w:t>
            </w:r>
            <w:r w:rsidRPr="00601402">
              <w:rPr>
                <w:rStyle w:val="comma"/>
                <w:rFonts w:ascii="Arial" w:hAnsi="Arial" w:cs="Arial"/>
                <w:sz w:val="16"/>
                <w:szCs w:val="16"/>
                <w:vertAlign w:val="superscript"/>
              </w:rPr>
              <w:t>,</w:t>
            </w:r>
            <w:r w:rsidRPr="00601402">
              <w:rPr>
                <w:rFonts w:ascii="Arial" w:hAnsi="Arial" w:cs="Arial"/>
                <w:sz w:val="16"/>
                <w:szCs w:val="16"/>
                <w:vertAlign w:val="superscript"/>
              </w:rPr>
              <w:t>f</w:t>
            </w:r>
          </w:p>
        </w:tc>
        <w:tc>
          <w:tcPr>
            <w:tcW w:w="595" w:type="pct"/>
            <w:tcBorders>
              <w:top w:val="single" w:sz="6" w:space="0" w:color="000000"/>
              <w:left w:val="nil"/>
              <w:bottom w:val="single" w:sz="6" w:space="0" w:color="000000"/>
              <w:right w:val="nil"/>
            </w:tcBorders>
            <w:vAlign w:val="center"/>
          </w:tcPr>
          <w:p w14:paraId="6E32BEB1" w14:textId="77777777" w:rsidR="00596BE0" w:rsidRPr="00601402" w:rsidRDefault="00596BE0" w:rsidP="00596BE0">
            <w:pPr>
              <w:ind w:left="113"/>
              <w:rPr>
                <w:rStyle w:val="block"/>
                <w:rFonts w:ascii="Arial" w:hAnsi="Arial" w:cs="Arial"/>
                <w:b/>
                <w:bCs/>
                <w:sz w:val="16"/>
                <w:szCs w:val="16"/>
              </w:rPr>
            </w:pPr>
            <w:r w:rsidRPr="00601402">
              <w:rPr>
                <w:rStyle w:val="cell"/>
                <w:rFonts w:ascii="Arial" w:hAnsi="Arial" w:cs="Arial"/>
                <w:sz w:val="16"/>
                <w:szCs w:val="16"/>
              </w:rPr>
              <w:t>-</w:t>
            </w:r>
            <w:r w:rsidRPr="00601402">
              <w:rPr>
                <w:rFonts w:ascii="Arial" w:hAnsi="Arial" w:cs="Arial"/>
                <w:sz w:val="16"/>
                <w:szCs w:val="16"/>
              </w:rPr>
              <w:t xml:space="preserve"> </w:t>
            </w:r>
          </w:p>
        </w:tc>
        <w:tc>
          <w:tcPr>
            <w:tcW w:w="697" w:type="pct"/>
            <w:tcBorders>
              <w:top w:val="single" w:sz="6" w:space="0" w:color="000000"/>
              <w:left w:val="nil"/>
              <w:bottom w:val="single" w:sz="6" w:space="0" w:color="000000"/>
              <w:right w:val="nil"/>
            </w:tcBorders>
            <w:shd w:val="clear" w:color="auto" w:fill="EDEDED"/>
            <w:vAlign w:val="center"/>
          </w:tcPr>
          <w:p w14:paraId="2BCA8D67" w14:textId="77777777" w:rsidR="00596BE0" w:rsidRPr="00601402" w:rsidRDefault="00596BE0" w:rsidP="00596BE0">
            <w:pPr>
              <w:ind w:left="113"/>
              <w:rPr>
                <w:rFonts w:ascii="Arial" w:hAnsi="Arial" w:cs="Arial"/>
                <w:sz w:val="16"/>
                <w:szCs w:val="16"/>
              </w:rPr>
            </w:pPr>
          </w:p>
        </w:tc>
        <w:tc>
          <w:tcPr>
            <w:tcW w:w="917" w:type="pct"/>
            <w:tcBorders>
              <w:top w:val="single" w:sz="6" w:space="0" w:color="000000"/>
              <w:left w:val="nil"/>
              <w:bottom w:val="single" w:sz="6" w:space="0" w:color="000000"/>
              <w:right w:val="nil"/>
            </w:tcBorders>
            <w:shd w:val="clear" w:color="auto" w:fill="EDEDED"/>
            <w:vAlign w:val="center"/>
          </w:tcPr>
          <w:p w14:paraId="149F8110" w14:textId="77777777" w:rsidR="00596BE0" w:rsidRPr="00601402" w:rsidRDefault="00596BE0" w:rsidP="00596BE0">
            <w:pPr>
              <w:ind w:left="113"/>
              <w:rPr>
                <w:rStyle w:val="cell-value"/>
                <w:rFonts w:ascii="Arial" w:hAnsi="Arial" w:cs="Arial"/>
                <w:b/>
                <w:bCs/>
                <w:sz w:val="16"/>
                <w:szCs w:val="16"/>
              </w:rPr>
            </w:pPr>
            <w:r w:rsidRPr="00601402">
              <w:rPr>
                <w:rStyle w:val="cell-value"/>
                <w:rFonts w:ascii="Arial" w:hAnsi="Arial" w:cs="Arial"/>
                <w:sz w:val="16"/>
                <w:szCs w:val="16"/>
              </w:rPr>
              <w:t>mean difference +</w:t>
            </w:r>
            <w:r w:rsidRPr="00601402">
              <w:rPr>
                <w:rStyle w:val="cell-value"/>
                <w:rFonts w:ascii="Arial" w:hAnsi="Arial" w:cs="Arial"/>
                <w:b/>
                <w:bCs/>
                <w:sz w:val="16"/>
                <w:szCs w:val="16"/>
              </w:rPr>
              <w:t xml:space="preserve">110.9 mL </w:t>
            </w:r>
            <w:r w:rsidRPr="00601402">
              <w:rPr>
                <w:rFonts w:ascii="Arial" w:hAnsi="Arial" w:cs="Arial"/>
                <w:sz w:val="16"/>
                <w:szCs w:val="16"/>
              </w:rPr>
              <w:br/>
            </w:r>
            <w:r w:rsidRPr="00601402">
              <w:rPr>
                <w:rStyle w:val="cell-value"/>
                <w:rFonts w:ascii="Arial" w:hAnsi="Arial" w:cs="Arial"/>
                <w:sz w:val="16"/>
                <w:szCs w:val="16"/>
              </w:rPr>
              <w:t>(+58.91 to +162.89)</w:t>
            </w:r>
            <w:r w:rsidRPr="00601402">
              <w:rPr>
                <w:rFonts w:ascii="Arial" w:hAnsi="Arial" w:cs="Arial"/>
                <w:sz w:val="16"/>
                <w:szCs w:val="16"/>
              </w:rPr>
              <w:t xml:space="preserve"> </w:t>
            </w:r>
          </w:p>
        </w:tc>
      </w:tr>
      <w:tr w:rsidR="00596BE0" w:rsidRPr="00601402" w14:paraId="33F1574C" w14:textId="77777777" w:rsidTr="00596BE0">
        <w:trPr>
          <w:cantSplit/>
        </w:trPr>
        <w:tc>
          <w:tcPr>
            <w:tcW w:w="996" w:type="pct"/>
            <w:tcBorders>
              <w:top w:val="single" w:sz="6" w:space="0" w:color="000000"/>
              <w:left w:val="nil"/>
              <w:bottom w:val="single" w:sz="6" w:space="0" w:color="000000"/>
              <w:right w:val="nil"/>
            </w:tcBorders>
            <w:vAlign w:val="center"/>
          </w:tcPr>
          <w:p w14:paraId="5F13EE71" w14:textId="77777777" w:rsidR="00596BE0" w:rsidRPr="00601402" w:rsidRDefault="00596BE0" w:rsidP="00596BE0">
            <w:pPr>
              <w:ind w:left="113" w:right="-75"/>
              <w:rPr>
                <w:rFonts w:ascii="Arial" w:hAnsi="Arial" w:cs="Arial"/>
                <w:sz w:val="16"/>
                <w:szCs w:val="16"/>
              </w:rPr>
            </w:pPr>
            <w:r w:rsidRPr="00601402">
              <w:rPr>
                <w:rStyle w:val="label"/>
                <w:rFonts w:ascii="Arial" w:hAnsi="Arial" w:cs="Arial"/>
                <w:b/>
                <w:sz w:val="16"/>
                <w:szCs w:val="16"/>
              </w:rPr>
              <w:t>Lung function</w:t>
            </w:r>
            <w:r w:rsidRPr="00601402">
              <w:rPr>
                <w:rFonts w:ascii="Arial" w:hAnsi="Arial" w:cs="Arial"/>
                <w:sz w:val="16"/>
                <w:szCs w:val="16"/>
              </w:rPr>
              <w:br/>
            </w:r>
            <w:r w:rsidRPr="00601402">
              <w:rPr>
                <w:rStyle w:val="label"/>
                <w:rFonts w:ascii="Arial" w:hAnsi="Arial" w:cs="Arial"/>
                <w:sz w:val="16"/>
                <w:szCs w:val="16"/>
              </w:rPr>
              <w:t>assessed with AM peak expiratory flow (PEF)</w:t>
            </w:r>
          </w:p>
        </w:tc>
        <w:tc>
          <w:tcPr>
            <w:tcW w:w="1296" w:type="pct"/>
            <w:tcBorders>
              <w:top w:val="single" w:sz="6" w:space="0" w:color="000000"/>
              <w:left w:val="nil"/>
              <w:bottom w:val="single" w:sz="6" w:space="0" w:color="000000"/>
              <w:right w:val="nil"/>
            </w:tcBorders>
            <w:vAlign w:val="center"/>
          </w:tcPr>
          <w:p w14:paraId="1AAF53A6" w14:textId="77777777" w:rsidR="00596BE0" w:rsidRPr="00601402" w:rsidRDefault="00596BE0" w:rsidP="00596BE0">
            <w:pPr>
              <w:ind w:left="113"/>
              <w:rPr>
                <w:rFonts w:ascii="Arial" w:hAnsi="Arial" w:cs="Arial"/>
                <w:sz w:val="16"/>
                <w:szCs w:val="16"/>
                <w:vertAlign w:val="superscript"/>
              </w:rPr>
            </w:pPr>
            <w:r w:rsidRPr="00601402">
              <w:rPr>
                <w:rFonts w:ascii="Arial" w:hAnsi="Arial" w:cs="Arial"/>
                <w:sz w:val="16"/>
                <w:szCs w:val="16"/>
              </w:rPr>
              <w:t>936</w:t>
            </w:r>
            <w:r w:rsidRPr="00601402">
              <w:rPr>
                <w:rFonts w:ascii="Arial" w:hAnsi="Arial" w:cs="Arial"/>
                <w:sz w:val="16"/>
                <w:szCs w:val="16"/>
              </w:rPr>
              <w:br/>
              <w:t xml:space="preserve">(2 RCTs) </w:t>
            </w:r>
            <w:r w:rsidRPr="00601402">
              <w:rPr>
                <w:rFonts w:ascii="Arial" w:hAnsi="Arial" w:cs="Arial"/>
                <w:sz w:val="16"/>
                <w:szCs w:val="16"/>
                <w:vertAlign w:val="superscript"/>
              </w:rPr>
              <w:t>77</w:t>
            </w:r>
          </w:p>
          <w:p w14:paraId="5328BEAD" w14:textId="77777777" w:rsidR="00596BE0" w:rsidRPr="00601402" w:rsidRDefault="00596BE0" w:rsidP="00596BE0">
            <w:pPr>
              <w:ind w:left="113"/>
              <w:rPr>
                <w:rFonts w:ascii="Arial" w:hAnsi="Arial" w:cs="Arial"/>
                <w:sz w:val="16"/>
                <w:szCs w:val="16"/>
              </w:rPr>
            </w:pPr>
            <w:r w:rsidRPr="00601402">
              <w:rPr>
                <w:rStyle w:val="label"/>
                <w:rFonts w:ascii="Arial" w:hAnsi="Arial" w:cs="Arial"/>
                <w:sz w:val="16"/>
                <w:szCs w:val="16"/>
              </w:rPr>
              <w:t>24 weeks</w:t>
            </w:r>
            <w:r w:rsidRPr="00601402">
              <w:rPr>
                <w:rFonts w:ascii="Arial" w:hAnsi="Arial" w:cs="Arial"/>
                <w:sz w:val="16"/>
                <w:szCs w:val="16"/>
              </w:rPr>
              <w:t xml:space="preserve"> </w:t>
            </w:r>
            <w:proofErr w:type="gramStart"/>
            <w:r w:rsidRPr="00601402">
              <w:rPr>
                <w:rFonts w:ascii="Arial" w:hAnsi="Arial" w:cs="Arial"/>
                <w:sz w:val="16"/>
                <w:szCs w:val="16"/>
                <w:vertAlign w:val="superscript"/>
              </w:rPr>
              <w:t>6</w:t>
            </w:r>
            <w:r w:rsidRPr="00601402">
              <w:rPr>
                <w:rStyle w:val="comma"/>
                <w:rFonts w:ascii="Arial" w:hAnsi="Arial" w:cs="Arial"/>
                <w:sz w:val="16"/>
                <w:szCs w:val="16"/>
                <w:vertAlign w:val="superscript"/>
              </w:rPr>
              <w:t>,</w:t>
            </w:r>
            <w:r w:rsidRPr="00601402">
              <w:rPr>
                <w:rFonts w:ascii="Arial" w:hAnsi="Arial" w:cs="Arial"/>
                <w:sz w:val="16"/>
                <w:szCs w:val="16"/>
                <w:vertAlign w:val="superscript"/>
              </w:rPr>
              <w:t>g</w:t>
            </w:r>
            <w:proofErr w:type="gramEnd"/>
          </w:p>
        </w:tc>
        <w:tc>
          <w:tcPr>
            <w:tcW w:w="499" w:type="pct"/>
            <w:tcBorders>
              <w:top w:val="single" w:sz="6" w:space="0" w:color="000000"/>
              <w:left w:val="nil"/>
              <w:bottom w:val="single" w:sz="6" w:space="0" w:color="000000"/>
              <w:right w:val="nil"/>
            </w:tcBorders>
            <w:vAlign w:val="center"/>
          </w:tcPr>
          <w:p w14:paraId="5D27D59A" w14:textId="77777777" w:rsidR="00596BE0" w:rsidRPr="00601402" w:rsidRDefault="00596BE0" w:rsidP="00596BE0">
            <w:pPr>
              <w:ind w:left="113"/>
              <w:rPr>
                <w:rFonts w:ascii="Arial" w:hAnsi="Arial" w:cs="Arial"/>
                <w:sz w:val="16"/>
                <w:szCs w:val="16"/>
              </w:rPr>
            </w:pPr>
            <w:r w:rsidRPr="00601402">
              <w:rPr>
                <w:rStyle w:val="quality-sign"/>
                <w:rFonts w:ascii="Cambria Math" w:hAnsi="Cambria Math" w:cs="Cambria Math"/>
                <w:sz w:val="16"/>
                <w:szCs w:val="16"/>
              </w:rPr>
              <w:t>⨁⨁</w:t>
            </w:r>
            <w:r w:rsidRPr="00601402">
              <w:rPr>
                <w:rStyle w:val="quality-sign"/>
                <w:rFonts w:ascii="Segoe UI Symbol" w:eastAsia="MS Mincho" w:hAnsi="Segoe UI Symbol" w:cs="Segoe UI Symbol"/>
                <w:sz w:val="16"/>
                <w:szCs w:val="16"/>
              </w:rPr>
              <w:t>◯◯</w:t>
            </w:r>
            <w:r w:rsidRPr="00601402">
              <w:rPr>
                <w:rFonts w:ascii="Arial" w:hAnsi="Arial" w:cs="Arial"/>
                <w:sz w:val="16"/>
                <w:szCs w:val="16"/>
              </w:rPr>
              <w:br/>
            </w:r>
            <w:r w:rsidRPr="00601402">
              <w:rPr>
                <w:rStyle w:val="quality-text"/>
                <w:rFonts w:ascii="Arial" w:hAnsi="Arial" w:cs="Arial"/>
                <w:sz w:val="16"/>
                <w:szCs w:val="16"/>
              </w:rPr>
              <w:t>LOW</w:t>
            </w:r>
            <w:r w:rsidRPr="00601402">
              <w:rPr>
                <w:rFonts w:ascii="Arial" w:hAnsi="Arial" w:cs="Arial"/>
                <w:sz w:val="16"/>
                <w:szCs w:val="16"/>
              </w:rPr>
              <w:t xml:space="preserve"> </w:t>
            </w:r>
            <w:r w:rsidRPr="00601402">
              <w:rPr>
                <w:rFonts w:ascii="Arial" w:hAnsi="Arial" w:cs="Arial"/>
                <w:sz w:val="16"/>
                <w:szCs w:val="16"/>
                <w:vertAlign w:val="superscript"/>
              </w:rPr>
              <w:t>4</w:t>
            </w:r>
            <w:r w:rsidRPr="00601402">
              <w:rPr>
                <w:rStyle w:val="comma"/>
                <w:rFonts w:ascii="Arial" w:hAnsi="Arial" w:cs="Arial"/>
                <w:sz w:val="16"/>
                <w:szCs w:val="16"/>
                <w:vertAlign w:val="superscript"/>
              </w:rPr>
              <w:t>,</w:t>
            </w:r>
            <w:proofErr w:type="gramStart"/>
            <w:r w:rsidRPr="00601402">
              <w:rPr>
                <w:rFonts w:ascii="Arial" w:hAnsi="Arial" w:cs="Arial"/>
                <w:sz w:val="16"/>
                <w:szCs w:val="16"/>
                <w:vertAlign w:val="superscript"/>
              </w:rPr>
              <w:t>5</w:t>
            </w:r>
            <w:r w:rsidRPr="00601402">
              <w:rPr>
                <w:rStyle w:val="comma"/>
                <w:rFonts w:ascii="Arial" w:hAnsi="Arial" w:cs="Arial"/>
                <w:sz w:val="16"/>
                <w:szCs w:val="16"/>
                <w:vertAlign w:val="superscript"/>
              </w:rPr>
              <w:t>,</w:t>
            </w:r>
            <w:r w:rsidRPr="00601402">
              <w:rPr>
                <w:rFonts w:ascii="Arial" w:hAnsi="Arial" w:cs="Arial"/>
                <w:sz w:val="16"/>
                <w:szCs w:val="16"/>
                <w:vertAlign w:val="superscript"/>
              </w:rPr>
              <w:t>c</w:t>
            </w:r>
            <w:proofErr w:type="gramEnd"/>
            <w:r w:rsidRPr="00601402">
              <w:rPr>
                <w:rStyle w:val="comma"/>
                <w:rFonts w:ascii="Arial" w:hAnsi="Arial" w:cs="Arial"/>
                <w:sz w:val="16"/>
                <w:szCs w:val="16"/>
                <w:vertAlign w:val="superscript"/>
              </w:rPr>
              <w:t>,</w:t>
            </w:r>
            <w:r w:rsidRPr="00601402">
              <w:rPr>
                <w:rFonts w:ascii="Arial" w:hAnsi="Arial" w:cs="Arial"/>
                <w:sz w:val="16"/>
                <w:szCs w:val="16"/>
                <w:vertAlign w:val="superscript"/>
              </w:rPr>
              <w:t>h</w:t>
            </w:r>
            <w:r w:rsidRPr="00601402">
              <w:rPr>
                <w:rStyle w:val="comma"/>
                <w:rFonts w:ascii="Arial" w:hAnsi="Arial" w:cs="Arial"/>
                <w:sz w:val="16"/>
                <w:szCs w:val="16"/>
                <w:vertAlign w:val="superscript"/>
              </w:rPr>
              <w:t>,</w:t>
            </w:r>
            <w:r w:rsidRPr="00601402">
              <w:rPr>
                <w:rFonts w:ascii="Arial" w:hAnsi="Arial" w:cs="Arial"/>
                <w:sz w:val="16"/>
                <w:szCs w:val="16"/>
                <w:vertAlign w:val="superscript"/>
              </w:rPr>
              <w:t>i</w:t>
            </w:r>
          </w:p>
        </w:tc>
        <w:tc>
          <w:tcPr>
            <w:tcW w:w="595" w:type="pct"/>
            <w:tcBorders>
              <w:top w:val="single" w:sz="6" w:space="0" w:color="000000"/>
              <w:left w:val="nil"/>
              <w:bottom w:val="single" w:sz="6" w:space="0" w:color="000000"/>
              <w:right w:val="nil"/>
            </w:tcBorders>
            <w:vAlign w:val="center"/>
          </w:tcPr>
          <w:p w14:paraId="5C3A5E38" w14:textId="77777777" w:rsidR="00596BE0" w:rsidRPr="00601402" w:rsidRDefault="00596BE0" w:rsidP="00596BE0">
            <w:pPr>
              <w:ind w:left="113"/>
              <w:rPr>
                <w:rFonts w:ascii="Arial" w:hAnsi="Arial" w:cs="Arial"/>
                <w:sz w:val="16"/>
                <w:szCs w:val="16"/>
              </w:rPr>
            </w:pPr>
            <w:r w:rsidRPr="00601402">
              <w:rPr>
                <w:rStyle w:val="cell"/>
                <w:rFonts w:ascii="Arial" w:hAnsi="Arial" w:cs="Arial"/>
                <w:sz w:val="16"/>
                <w:szCs w:val="16"/>
              </w:rPr>
              <w:t>-</w:t>
            </w:r>
            <w:r w:rsidRPr="00601402">
              <w:rPr>
                <w:rFonts w:ascii="Arial" w:hAnsi="Arial" w:cs="Arial"/>
                <w:sz w:val="16"/>
                <w:szCs w:val="16"/>
              </w:rPr>
              <w:t xml:space="preserve"> </w:t>
            </w:r>
          </w:p>
        </w:tc>
        <w:tc>
          <w:tcPr>
            <w:tcW w:w="697" w:type="pct"/>
            <w:tcBorders>
              <w:top w:val="single" w:sz="6" w:space="0" w:color="000000"/>
              <w:left w:val="nil"/>
              <w:bottom w:val="single" w:sz="6" w:space="0" w:color="000000"/>
              <w:right w:val="nil"/>
            </w:tcBorders>
            <w:shd w:val="clear" w:color="auto" w:fill="EDEDED"/>
            <w:vAlign w:val="center"/>
          </w:tcPr>
          <w:p w14:paraId="463D6C0D" w14:textId="77777777" w:rsidR="00596BE0" w:rsidRPr="00601402" w:rsidRDefault="00596BE0" w:rsidP="00596BE0">
            <w:pPr>
              <w:ind w:left="113"/>
              <w:rPr>
                <w:rFonts w:ascii="Arial" w:hAnsi="Arial" w:cs="Arial"/>
                <w:sz w:val="16"/>
                <w:szCs w:val="16"/>
              </w:rPr>
            </w:pPr>
          </w:p>
        </w:tc>
        <w:tc>
          <w:tcPr>
            <w:tcW w:w="917" w:type="pct"/>
            <w:tcBorders>
              <w:top w:val="single" w:sz="6" w:space="0" w:color="000000"/>
              <w:left w:val="nil"/>
              <w:bottom w:val="single" w:sz="6" w:space="0" w:color="000000"/>
              <w:right w:val="nil"/>
            </w:tcBorders>
            <w:shd w:val="clear" w:color="auto" w:fill="EDEDED"/>
            <w:vAlign w:val="center"/>
          </w:tcPr>
          <w:p w14:paraId="3D67032B" w14:textId="77777777" w:rsidR="00596BE0" w:rsidRPr="00601402" w:rsidRDefault="00596BE0" w:rsidP="00596BE0">
            <w:pPr>
              <w:ind w:left="113"/>
              <w:rPr>
                <w:rFonts w:ascii="Arial" w:hAnsi="Arial" w:cs="Arial"/>
                <w:sz w:val="16"/>
                <w:szCs w:val="16"/>
              </w:rPr>
            </w:pPr>
            <w:r w:rsidRPr="00601402">
              <w:rPr>
                <w:rStyle w:val="cell-value"/>
                <w:rFonts w:ascii="Arial" w:hAnsi="Arial" w:cs="Arial"/>
                <w:sz w:val="16"/>
                <w:szCs w:val="16"/>
              </w:rPr>
              <w:t>mean difference +</w:t>
            </w:r>
            <w:r w:rsidRPr="00601402">
              <w:rPr>
                <w:rStyle w:val="cell-value"/>
                <w:rFonts w:ascii="Arial" w:hAnsi="Arial" w:cs="Arial"/>
                <w:b/>
                <w:bCs/>
                <w:sz w:val="16"/>
                <w:szCs w:val="16"/>
              </w:rPr>
              <w:t xml:space="preserve">22.46 </w:t>
            </w:r>
            <w:r w:rsidRPr="00601402">
              <w:rPr>
                <w:rFonts w:ascii="Arial" w:hAnsi="Arial" w:cs="Arial"/>
                <w:sz w:val="16"/>
                <w:szCs w:val="16"/>
              </w:rPr>
              <w:br/>
            </w:r>
            <w:r w:rsidRPr="00601402">
              <w:rPr>
                <w:rStyle w:val="cell-value"/>
                <w:rFonts w:ascii="Arial" w:hAnsi="Arial" w:cs="Arial"/>
                <w:sz w:val="16"/>
                <w:szCs w:val="16"/>
              </w:rPr>
              <w:t>(+13.98 to +30.94)</w:t>
            </w:r>
            <w:r w:rsidRPr="00601402">
              <w:rPr>
                <w:rFonts w:ascii="Arial" w:hAnsi="Arial" w:cs="Arial"/>
                <w:sz w:val="16"/>
                <w:szCs w:val="16"/>
              </w:rPr>
              <w:t xml:space="preserve"> </w:t>
            </w:r>
          </w:p>
        </w:tc>
      </w:tr>
      <w:tr w:rsidR="00596BE0" w:rsidRPr="00601402" w14:paraId="1AE180C3" w14:textId="77777777" w:rsidTr="00596BE0">
        <w:trPr>
          <w:cantSplit/>
        </w:trPr>
        <w:tc>
          <w:tcPr>
            <w:tcW w:w="996" w:type="pct"/>
            <w:tcBorders>
              <w:top w:val="single" w:sz="6" w:space="0" w:color="000000"/>
              <w:left w:val="nil"/>
              <w:bottom w:val="single" w:sz="6" w:space="0" w:color="000000"/>
              <w:right w:val="nil"/>
            </w:tcBorders>
            <w:vAlign w:val="center"/>
          </w:tcPr>
          <w:p w14:paraId="4CAECDCF" w14:textId="77777777" w:rsidR="00596BE0" w:rsidRPr="00601402" w:rsidRDefault="00596BE0" w:rsidP="00596BE0">
            <w:pPr>
              <w:ind w:left="113" w:right="-75"/>
              <w:rPr>
                <w:rFonts w:ascii="Arial" w:hAnsi="Arial" w:cs="Arial"/>
                <w:sz w:val="16"/>
                <w:szCs w:val="16"/>
              </w:rPr>
            </w:pPr>
            <w:r w:rsidRPr="00601402">
              <w:rPr>
                <w:rStyle w:val="label"/>
                <w:rFonts w:ascii="Arial" w:hAnsi="Arial" w:cs="Arial"/>
                <w:b/>
                <w:sz w:val="16"/>
                <w:szCs w:val="16"/>
              </w:rPr>
              <w:t>Rescue medication use</w:t>
            </w:r>
            <w:r w:rsidRPr="00601402">
              <w:rPr>
                <w:rFonts w:ascii="Arial" w:hAnsi="Arial" w:cs="Arial"/>
                <w:sz w:val="16"/>
                <w:szCs w:val="16"/>
              </w:rPr>
              <w:br/>
            </w:r>
            <w:r w:rsidRPr="00601402">
              <w:rPr>
                <w:rStyle w:val="label"/>
                <w:rFonts w:ascii="Arial" w:hAnsi="Arial" w:cs="Arial"/>
                <w:sz w:val="16"/>
                <w:szCs w:val="16"/>
              </w:rPr>
              <w:t>assessed with puffs/day</w:t>
            </w:r>
          </w:p>
        </w:tc>
        <w:tc>
          <w:tcPr>
            <w:tcW w:w="1296" w:type="pct"/>
            <w:tcBorders>
              <w:top w:val="single" w:sz="6" w:space="0" w:color="000000"/>
              <w:left w:val="nil"/>
              <w:bottom w:val="single" w:sz="6" w:space="0" w:color="000000"/>
              <w:right w:val="nil"/>
            </w:tcBorders>
            <w:vAlign w:val="center"/>
          </w:tcPr>
          <w:p w14:paraId="691A57D0" w14:textId="77777777" w:rsidR="00596BE0" w:rsidRPr="00601402" w:rsidRDefault="00596BE0" w:rsidP="00596BE0">
            <w:pPr>
              <w:ind w:left="113"/>
              <w:rPr>
                <w:rFonts w:ascii="Arial" w:hAnsi="Arial" w:cs="Arial"/>
                <w:sz w:val="16"/>
                <w:szCs w:val="16"/>
                <w:vertAlign w:val="superscript"/>
              </w:rPr>
            </w:pPr>
            <w:r w:rsidRPr="00601402">
              <w:rPr>
                <w:rFonts w:ascii="Arial" w:hAnsi="Arial" w:cs="Arial"/>
                <w:sz w:val="16"/>
                <w:szCs w:val="16"/>
              </w:rPr>
              <w:t xml:space="preserve">(1 RCT) </w:t>
            </w:r>
            <w:r w:rsidRPr="00601402">
              <w:rPr>
                <w:rFonts w:ascii="Arial" w:hAnsi="Arial" w:cs="Arial"/>
                <w:sz w:val="16"/>
                <w:szCs w:val="16"/>
                <w:vertAlign w:val="superscript"/>
              </w:rPr>
              <w:t>45</w:t>
            </w:r>
          </w:p>
          <w:p w14:paraId="32A7A9B2" w14:textId="77777777" w:rsidR="00596BE0" w:rsidRPr="00601402" w:rsidRDefault="00596BE0" w:rsidP="00596BE0">
            <w:pPr>
              <w:ind w:left="113"/>
              <w:rPr>
                <w:rFonts w:ascii="Arial" w:hAnsi="Arial" w:cs="Arial"/>
                <w:sz w:val="16"/>
                <w:szCs w:val="16"/>
              </w:rPr>
            </w:pPr>
            <w:r w:rsidRPr="00601402">
              <w:rPr>
                <w:rStyle w:val="label"/>
                <w:rFonts w:ascii="Arial" w:hAnsi="Arial" w:cs="Arial"/>
                <w:sz w:val="16"/>
                <w:szCs w:val="16"/>
              </w:rPr>
              <w:t>21 to 24 weeks</w:t>
            </w:r>
            <w:r w:rsidRPr="00601402">
              <w:rPr>
                <w:rFonts w:ascii="Arial" w:hAnsi="Arial" w:cs="Arial"/>
                <w:sz w:val="16"/>
                <w:szCs w:val="16"/>
              </w:rPr>
              <w:t xml:space="preserve"> </w:t>
            </w:r>
            <w:r w:rsidRPr="00601402">
              <w:rPr>
                <w:rFonts w:ascii="Arial" w:hAnsi="Arial" w:cs="Arial"/>
                <w:sz w:val="16"/>
                <w:szCs w:val="16"/>
                <w:vertAlign w:val="superscript"/>
              </w:rPr>
              <w:t>o</w:t>
            </w:r>
          </w:p>
        </w:tc>
        <w:tc>
          <w:tcPr>
            <w:tcW w:w="499" w:type="pct"/>
            <w:tcBorders>
              <w:top w:val="single" w:sz="6" w:space="0" w:color="000000"/>
              <w:left w:val="nil"/>
              <w:bottom w:val="single" w:sz="6" w:space="0" w:color="000000"/>
              <w:right w:val="nil"/>
            </w:tcBorders>
            <w:vAlign w:val="center"/>
          </w:tcPr>
          <w:p w14:paraId="6525D10D" w14:textId="77777777" w:rsidR="00596BE0" w:rsidRPr="00601402" w:rsidRDefault="00596BE0" w:rsidP="00596BE0">
            <w:pPr>
              <w:ind w:left="113"/>
              <w:rPr>
                <w:rFonts w:ascii="Arial" w:hAnsi="Arial" w:cs="Arial"/>
                <w:sz w:val="16"/>
                <w:szCs w:val="16"/>
              </w:rPr>
            </w:pPr>
            <w:r w:rsidRPr="00601402">
              <w:rPr>
                <w:rStyle w:val="quality-sign"/>
                <w:rFonts w:ascii="Cambria Math" w:hAnsi="Cambria Math" w:cs="Cambria Math"/>
                <w:sz w:val="16"/>
                <w:szCs w:val="16"/>
              </w:rPr>
              <w:t>⨁⨁⨁⨁</w:t>
            </w:r>
            <w:r w:rsidRPr="00601402">
              <w:rPr>
                <w:rFonts w:ascii="Arial" w:hAnsi="Arial" w:cs="Arial"/>
                <w:sz w:val="16"/>
                <w:szCs w:val="16"/>
              </w:rPr>
              <w:br/>
            </w:r>
            <w:r w:rsidRPr="00601402">
              <w:rPr>
                <w:rStyle w:val="quality-text"/>
                <w:rFonts w:ascii="Arial" w:hAnsi="Arial" w:cs="Arial"/>
                <w:sz w:val="16"/>
                <w:szCs w:val="16"/>
              </w:rPr>
              <w:t>HIGH</w:t>
            </w:r>
            <w:r w:rsidRPr="00601402">
              <w:rPr>
                <w:rFonts w:ascii="Arial" w:hAnsi="Arial" w:cs="Arial"/>
                <w:sz w:val="16"/>
                <w:szCs w:val="16"/>
              </w:rPr>
              <w:t xml:space="preserve"> </w:t>
            </w:r>
            <w:r w:rsidRPr="00601402">
              <w:rPr>
                <w:rFonts w:ascii="Arial" w:hAnsi="Arial" w:cs="Arial"/>
                <w:sz w:val="16"/>
                <w:szCs w:val="16"/>
                <w:vertAlign w:val="superscript"/>
              </w:rPr>
              <w:t>4</w:t>
            </w:r>
            <w:r w:rsidRPr="00601402">
              <w:rPr>
                <w:rStyle w:val="comma"/>
                <w:rFonts w:ascii="Arial" w:hAnsi="Arial" w:cs="Arial"/>
                <w:sz w:val="16"/>
                <w:szCs w:val="16"/>
                <w:vertAlign w:val="superscript"/>
              </w:rPr>
              <w:t>,</w:t>
            </w:r>
            <w:proofErr w:type="gramStart"/>
            <w:r w:rsidRPr="00601402">
              <w:rPr>
                <w:rFonts w:ascii="Arial" w:hAnsi="Arial" w:cs="Arial"/>
                <w:sz w:val="16"/>
                <w:szCs w:val="16"/>
                <w:vertAlign w:val="superscript"/>
              </w:rPr>
              <w:t>5</w:t>
            </w:r>
            <w:r w:rsidRPr="00601402">
              <w:rPr>
                <w:rStyle w:val="comma"/>
                <w:rFonts w:ascii="Arial" w:hAnsi="Arial" w:cs="Arial"/>
                <w:sz w:val="16"/>
                <w:szCs w:val="16"/>
                <w:vertAlign w:val="superscript"/>
              </w:rPr>
              <w:t>,</w:t>
            </w:r>
            <w:r w:rsidRPr="00601402">
              <w:rPr>
                <w:rFonts w:ascii="Arial" w:hAnsi="Arial" w:cs="Arial"/>
                <w:sz w:val="16"/>
                <w:szCs w:val="16"/>
                <w:vertAlign w:val="superscript"/>
              </w:rPr>
              <w:t>c</w:t>
            </w:r>
            <w:proofErr w:type="gramEnd"/>
          </w:p>
        </w:tc>
        <w:tc>
          <w:tcPr>
            <w:tcW w:w="595" w:type="pct"/>
            <w:tcBorders>
              <w:top w:val="single" w:sz="6" w:space="0" w:color="000000"/>
              <w:left w:val="nil"/>
              <w:bottom w:val="single" w:sz="6" w:space="0" w:color="000000"/>
              <w:right w:val="nil"/>
            </w:tcBorders>
            <w:vAlign w:val="center"/>
          </w:tcPr>
          <w:p w14:paraId="76D1D32F" w14:textId="77777777" w:rsidR="00596BE0" w:rsidRPr="00601402" w:rsidRDefault="00596BE0" w:rsidP="00596BE0">
            <w:pPr>
              <w:ind w:left="113"/>
              <w:rPr>
                <w:rFonts w:ascii="Arial" w:hAnsi="Arial" w:cs="Arial"/>
                <w:sz w:val="16"/>
                <w:szCs w:val="16"/>
              </w:rPr>
            </w:pPr>
            <w:r w:rsidRPr="00601402">
              <w:rPr>
                <w:rStyle w:val="cell"/>
                <w:rFonts w:ascii="Arial" w:hAnsi="Arial" w:cs="Arial"/>
                <w:sz w:val="16"/>
                <w:szCs w:val="16"/>
              </w:rPr>
              <w:t>-</w:t>
            </w:r>
            <w:r w:rsidRPr="00601402">
              <w:rPr>
                <w:rFonts w:ascii="Arial" w:hAnsi="Arial" w:cs="Arial"/>
                <w:sz w:val="16"/>
                <w:szCs w:val="16"/>
              </w:rPr>
              <w:t xml:space="preserve"> </w:t>
            </w:r>
          </w:p>
        </w:tc>
        <w:tc>
          <w:tcPr>
            <w:tcW w:w="697" w:type="pct"/>
            <w:tcBorders>
              <w:top w:val="single" w:sz="6" w:space="0" w:color="000000"/>
              <w:left w:val="nil"/>
              <w:bottom w:val="single" w:sz="6" w:space="0" w:color="000000"/>
              <w:right w:val="nil"/>
            </w:tcBorders>
            <w:shd w:val="clear" w:color="auto" w:fill="EDEDED"/>
            <w:vAlign w:val="center"/>
          </w:tcPr>
          <w:p w14:paraId="6A9FAEC1" w14:textId="77777777" w:rsidR="00596BE0" w:rsidRPr="00601402" w:rsidRDefault="00596BE0" w:rsidP="00596BE0">
            <w:pPr>
              <w:ind w:left="113"/>
              <w:rPr>
                <w:rFonts w:ascii="Arial" w:hAnsi="Arial" w:cs="Arial"/>
                <w:sz w:val="16"/>
                <w:szCs w:val="16"/>
              </w:rPr>
            </w:pPr>
          </w:p>
        </w:tc>
        <w:tc>
          <w:tcPr>
            <w:tcW w:w="917" w:type="pct"/>
            <w:tcBorders>
              <w:top w:val="single" w:sz="6" w:space="0" w:color="000000"/>
              <w:left w:val="nil"/>
              <w:bottom w:val="single" w:sz="6" w:space="0" w:color="000000"/>
              <w:right w:val="nil"/>
            </w:tcBorders>
            <w:shd w:val="clear" w:color="auto" w:fill="EDEDED"/>
            <w:vAlign w:val="center"/>
          </w:tcPr>
          <w:p w14:paraId="0B00058C" w14:textId="16E5D60C" w:rsidR="00596BE0" w:rsidRPr="00601402" w:rsidRDefault="00596BE0" w:rsidP="00596BE0">
            <w:pPr>
              <w:ind w:left="113"/>
              <w:rPr>
                <w:rFonts w:ascii="Arial" w:hAnsi="Arial" w:cs="Arial"/>
                <w:sz w:val="16"/>
                <w:szCs w:val="16"/>
              </w:rPr>
            </w:pPr>
            <w:r w:rsidRPr="00601402">
              <w:rPr>
                <w:rStyle w:val="cell-value"/>
                <w:rFonts w:ascii="Arial" w:hAnsi="Arial" w:cs="Arial"/>
                <w:sz w:val="16"/>
                <w:szCs w:val="16"/>
              </w:rPr>
              <w:t>mean difference -</w:t>
            </w:r>
            <w:r w:rsidRPr="00601402">
              <w:rPr>
                <w:rStyle w:val="cell-value"/>
                <w:rFonts w:ascii="Arial" w:hAnsi="Arial" w:cs="Arial"/>
                <w:b/>
                <w:bCs/>
                <w:sz w:val="16"/>
                <w:szCs w:val="16"/>
              </w:rPr>
              <w:t xml:space="preserve">0.1 </w:t>
            </w:r>
            <w:r w:rsidRPr="00601402">
              <w:rPr>
                <w:rFonts w:ascii="Arial" w:hAnsi="Arial" w:cs="Arial"/>
                <w:sz w:val="16"/>
                <w:szCs w:val="16"/>
              </w:rPr>
              <w:br/>
            </w:r>
            <w:r w:rsidRPr="00601402">
              <w:rPr>
                <w:rStyle w:val="cell-value"/>
                <w:rFonts w:ascii="Arial" w:hAnsi="Arial" w:cs="Arial"/>
                <w:sz w:val="16"/>
                <w:szCs w:val="16"/>
              </w:rPr>
              <w:t>(-0.35 to +0.15)</w:t>
            </w:r>
            <w:r w:rsidRPr="00601402">
              <w:rPr>
                <w:rFonts w:ascii="Arial" w:hAnsi="Arial" w:cs="Arial"/>
                <w:sz w:val="16"/>
                <w:szCs w:val="16"/>
              </w:rPr>
              <w:t xml:space="preserve"> </w:t>
            </w:r>
          </w:p>
        </w:tc>
      </w:tr>
      <w:tr w:rsidR="00596BE0" w:rsidRPr="00601402" w14:paraId="4A47E152" w14:textId="77777777" w:rsidTr="00596BE0">
        <w:trPr>
          <w:cantSplit/>
        </w:trPr>
        <w:tc>
          <w:tcPr>
            <w:tcW w:w="5000" w:type="pct"/>
            <w:gridSpan w:val="6"/>
            <w:tcBorders>
              <w:top w:val="single" w:sz="6" w:space="0" w:color="000000"/>
              <w:left w:val="nil"/>
              <w:bottom w:val="single" w:sz="6" w:space="0" w:color="000000"/>
              <w:right w:val="nil"/>
            </w:tcBorders>
          </w:tcPr>
          <w:p w14:paraId="58157575" w14:textId="77777777" w:rsidR="00596BE0" w:rsidRPr="00601402" w:rsidRDefault="00596BE0" w:rsidP="00596BE0">
            <w:pPr>
              <w:ind w:left="113"/>
              <w:rPr>
                <w:rFonts w:ascii="Arial" w:hAnsi="Arial" w:cs="Arial"/>
                <w:sz w:val="16"/>
                <w:szCs w:val="16"/>
              </w:rPr>
            </w:pPr>
            <w:r w:rsidRPr="00601402">
              <w:rPr>
                <w:rFonts w:ascii="Arial" w:hAnsi="Arial" w:cs="Arial"/>
                <w:sz w:val="16"/>
                <w:szCs w:val="16"/>
              </w:rPr>
              <w:t>*</w:t>
            </w:r>
            <w:r w:rsidRPr="00601402">
              <w:rPr>
                <w:rFonts w:ascii="Arial" w:hAnsi="Arial" w:cs="Arial"/>
                <w:b/>
                <w:bCs/>
                <w:sz w:val="16"/>
                <w:szCs w:val="16"/>
              </w:rPr>
              <w:t>The risk in the intervention group</w:t>
            </w:r>
            <w:r w:rsidRPr="00601402">
              <w:rPr>
                <w:rFonts w:ascii="Arial" w:hAnsi="Arial" w:cs="Arial"/>
                <w:sz w:val="16"/>
                <w:szCs w:val="16"/>
              </w:rPr>
              <w:t xml:space="preserve"> (and its 95% confidence interval) is based on the assumed risk in the comparison group and the </w:t>
            </w:r>
            <w:r w:rsidRPr="00601402">
              <w:rPr>
                <w:rFonts w:ascii="Arial" w:hAnsi="Arial" w:cs="Arial"/>
                <w:b/>
                <w:bCs/>
                <w:sz w:val="16"/>
                <w:szCs w:val="16"/>
              </w:rPr>
              <w:t>relative effect</w:t>
            </w:r>
            <w:r w:rsidRPr="00601402">
              <w:rPr>
                <w:rFonts w:ascii="Arial" w:hAnsi="Arial" w:cs="Arial"/>
                <w:sz w:val="16"/>
                <w:szCs w:val="16"/>
              </w:rPr>
              <w:t xml:space="preserve"> of the intervention (and its 95% CI). </w:t>
            </w:r>
          </w:p>
        </w:tc>
      </w:tr>
      <w:tr w:rsidR="00596BE0" w:rsidRPr="00601402" w14:paraId="7058D9EB" w14:textId="77777777" w:rsidTr="00596BE0">
        <w:trPr>
          <w:cantSplit/>
        </w:trPr>
        <w:tc>
          <w:tcPr>
            <w:tcW w:w="5000" w:type="pct"/>
            <w:gridSpan w:val="6"/>
            <w:tcBorders>
              <w:top w:val="single" w:sz="6" w:space="0" w:color="000000"/>
              <w:left w:val="nil"/>
              <w:bottom w:val="single" w:sz="6" w:space="0" w:color="000000"/>
              <w:right w:val="nil"/>
            </w:tcBorders>
          </w:tcPr>
          <w:p w14:paraId="429BDC22" w14:textId="77777777" w:rsidR="00596BE0" w:rsidRPr="00601402" w:rsidRDefault="00596BE0" w:rsidP="00596BE0">
            <w:pPr>
              <w:ind w:left="113"/>
              <w:rPr>
                <w:rFonts w:ascii="Arial" w:hAnsi="Arial" w:cs="Arial"/>
                <w:sz w:val="16"/>
                <w:szCs w:val="16"/>
              </w:rPr>
            </w:pPr>
            <w:r w:rsidRPr="00601402">
              <w:rPr>
                <w:rFonts w:ascii="Arial" w:hAnsi="Arial" w:cs="Arial"/>
                <w:b/>
                <w:bCs/>
                <w:sz w:val="16"/>
                <w:szCs w:val="16"/>
              </w:rPr>
              <w:t>GRADE Working Group grades of evidence</w:t>
            </w:r>
            <w:r w:rsidRPr="00601402">
              <w:rPr>
                <w:rFonts w:ascii="Arial" w:hAnsi="Arial" w:cs="Arial"/>
                <w:sz w:val="16"/>
                <w:szCs w:val="16"/>
              </w:rPr>
              <w:br/>
            </w:r>
            <w:r w:rsidRPr="00601402">
              <w:rPr>
                <w:rFonts w:ascii="Arial" w:hAnsi="Arial" w:cs="Arial"/>
                <w:b/>
                <w:bCs/>
                <w:sz w:val="16"/>
                <w:szCs w:val="16"/>
              </w:rPr>
              <w:t>High certainty:</w:t>
            </w:r>
            <w:r w:rsidRPr="00601402">
              <w:rPr>
                <w:rFonts w:ascii="Arial" w:hAnsi="Arial" w:cs="Arial"/>
                <w:sz w:val="16"/>
                <w:szCs w:val="16"/>
              </w:rPr>
              <w:t xml:space="preserve"> High confidence that the true effect lies close to that of the estimate of the effect</w:t>
            </w:r>
            <w:r w:rsidRPr="00601402">
              <w:rPr>
                <w:rFonts w:ascii="Arial" w:hAnsi="Arial" w:cs="Arial"/>
                <w:sz w:val="16"/>
                <w:szCs w:val="16"/>
              </w:rPr>
              <w:br/>
            </w:r>
            <w:r w:rsidRPr="00601402">
              <w:rPr>
                <w:rFonts w:ascii="Arial" w:hAnsi="Arial" w:cs="Arial"/>
                <w:b/>
                <w:bCs/>
                <w:sz w:val="16"/>
                <w:szCs w:val="16"/>
              </w:rPr>
              <w:t>Moderate certainty:</w:t>
            </w:r>
            <w:r w:rsidRPr="00601402">
              <w:rPr>
                <w:rFonts w:ascii="Arial" w:hAnsi="Arial" w:cs="Arial"/>
                <w:sz w:val="16"/>
                <w:szCs w:val="16"/>
              </w:rPr>
              <w:t xml:space="preserve"> Moderate confidence in the effect estimate: The true effect is likely to be close to the estimate of the effect, but there is a possibility that it is substantially different</w:t>
            </w:r>
            <w:r w:rsidRPr="00601402">
              <w:rPr>
                <w:rFonts w:ascii="Arial" w:hAnsi="Arial" w:cs="Arial"/>
                <w:sz w:val="16"/>
                <w:szCs w:val="16"/>
              </w:rPr>
              <w:br/>
            </w:r>
            <w:r w:rsidRPr="00601402">
              <w:rPr>
                <w:rFonts w:ascii="Arial" w:hAnsi="Arial" w:cs="Arial"/>
                <w:b/>
                <w:bCs/>
                <w:sz w:val="16"/>
                <w:szCs w:val="16"/>
              </w:rPr>
              <w:t>Low certainty:</w:t>
            </w:r>
            <w:r w:rsidRPr="00601402">
              <w:rPr>
                <w:rFonts w:ascii="Arial" w:hAnsi="Arial" w:cs="Arial"/>
                <w:sz w:val="16"/>
                <w:szCs w:val="16"/>
              </w:rPr>
              <w:t xml:space="preserve"> Limited confidence in the effect estimate: The true effect may be substantially different from the estimate of the effect</w:t>
            </w:r>
            <w:r w:rsidRPr="00601402">
              <w:rPr>
                <w:rFonts w:ascii="Arial" w:hAnsi="Arial" w:cs="Arial"/>
                <w:sz w:val="16"/>
                <w:szCs w:val="16"/>
              </w:rPr>
              <w:br/>
            </w:r>
            <w:r w:rsidRPr="00601402">
              <w:rPr>
                <w:rFonts w:ascii="Arial" w:hAnsi="Arial" w:cs="Arial"/>
                <w:b/>
                <w:bCs/>
                <w:sz w:val="16"/>
                <w:szCs w:val="16"/>
              </w:rPr>
              <w:t>Very low certainty:</w:t>
            </w:r>
            <w:r w:rsidRPr="00601402">
              <w:rPr>
                <w:rFonts w:ascii="Arial" w:hAnsi="Arial" w:cs="Arial"/>
                <w:sz w:val="16"/>
                <w:szCs w:val="16"/>
              </w:rPr>
              <w:t xml:space="preserve"> Little confidence in the effect estimate: The true effect is likely to be substantially different from the estimate of effect</w:t>
            </w:r>
          </w:p>
        </w:tc>
      </w:tr>
    </w:tbl>
    <w:p w14:paraId="1BACF6D9" w14:textId="77777777" w:rsidR="00596BE0" w:rsidRPr="00601402" w:rsidRDefault="00596BE0" w:rsidP="00596BE0">
      <w:pPr>
        <w:pStyle w:val="Heading4"/>
        <w:spacing w:before="0"/>
        <w:jc w:val="both"/>
        <w:rPr>
          <w:rFonts w:ascii="Arial" w:hAnsi="Arial" w:cs="Arial"/>
          <w:color w:val="000000"/>
          <w:sz w:val="20"/>
        </w:rPr>
      </w:pPr>
      <w:r w:rsidRPr="00601402">
        <w:rPr>
          <w:rFonts w:ascii="Arial" w:hAnsi="Arial" w:cs="Arial"/>
          <w:color w:val="000000"/>
          <w:sz w:val="20"/>
        </w:rPr>
        <w:t>Explanations</w:t>
      </w:r>
    </w:p>
    <w:p w14:paraId="55869AA7" w14:textId="77777777" w:rsidR="00596BE0" w:rsidRPr="00601402" w:rsidRDefault="00596BE0" w:rsidP="00596BE0">
      <w:pPr>
        <w:jc w:val="both"/>
        <w:rPr>
          <w:rFonts w:ascii="Arial" w:hAnsi="Arial" w:cs="Arial"/>
          <w:color w:val="000000"/>
          <w:sz w:val="16"/>
          <w:szCs w:val="16"/>
        </w:rPr>
      </w:pPr>
      <w:r w:rsidRPr="00601402">
        <w:rPr>
          <w:rFonts w:ascii="Arial" w:hAnsi="Arial" w:cs="Arial"/>
          <w:color w:val="000000"/>
          <w:sz w:val="16"/>
          <w:szCs w:val="16"/>
        </w:rPr>
        <w:t xml:space="preserve">a. Two of three studies had a high risk of attrition bias (45,47). Modified intention-to-treat analysis was conducted (i.e. patients were analysed as treated, not as randomized). </w:t>
      </w:r>
    </w:p>
    <w:p w14:paraId="27E7DEDF" w14:textId="77777777" w:rsidR="00596BE0" w:rsidRPr="00601402" w:rsidRDefault="00596BE0" w:rsidP="00596BE0">
      <w:pPr>
        <w:jc w:val="both"/>
        <w:rPr>
          <w:rFonts w:ascii="Arial" w:hAnsi="Arial" w:cs="Arial"/>
          <w:color w:val="000000"/>
          <w:sz w:val="16"/>
          <w:szCs w:val="16"/>
        </w:rPr>
      </w:pPr>
      <w:r w:rsidRPr="00601402">
        <w:rPr>
          <w:rFonts w:ascii="Arial" w:hAnsi="Arial" w:cs="Arial"/>
          <w:color w:val="000000"/>
          <w:sz w:val="16"/>
          <w:szCs w:val="16"/>
        </w:rPr>
        <w:t xml:space="preserve">b. Probable unimportant heterogeneity </w:t>
      </w:r>
    </w:p>
    <w:p w14:paraId="055DE190" w14:textId="77777777" w:rsidR="00596BE0" w:rsidRPr="00601402" w:rsidRDefault="00596BE0" w:rsidP="00596BE0">
      <w:pPr>
        <w:jc w:val="both"/>
        <w:rPr>
          <w:rFonts w:ascii="Arial" w:hAnsi="Arial" w:cs="Arial"/>
          <w:color w:val="000000"/>
          <w:sz w:val="16"/>
          <w:szCs w:val="16"/>
        </w:rPr>
      </w:pPr>
      <w:r w:rsidRPr="00601402">
        <w:rPr>
          <w:rFonts w:ascii="Arial" w:hAnsi="Arial" w:cs="Arial"/>
          <w:color w:val="000000"/>
          <w:sz w:val="16"/>
          <w:szCs w:val="16"/>
        </w:rPr>
        <w:t xml:space="preserve">c. Included studies were all funded by industry, and all showed positive results. We identified two industry-independent observational trials that showed similar effects with our meta-analysis (76,77). </w:t>
      </w:r>
    </w:p>
    <w:p w14:paraId="7DA30EE6" w14:textId="77777777" w:rsidR="00596BE0" w:rsidRPr="00601402" w:rsidRDefault="00596BE0" w:rsidP="00596BE0">
      <w:pPr>
        <w:jc w:val="both"/>
        <w:rPr>
          <w:rFonts w:ascii="Arial" w:hAnsi="Arial" w:cs="Arial"/>
          <w:color w:val="000000"/>
          <w:sz w:val="16"/>
          <w:szCs w:val="16"/>
        </w:rPr>
      </w:pPr>
      <w:r w:rsidRPr="00601402">
        <w:rPr>
          <w:rFonts w:ascii="Arial" w:hAnsi="Arial" w:cs="Arial"/>
          <w:color w:val="000000"/>
          <w:sz w:val="16"/>
          <w:szCs w:val="16"/>
        </w:rPr>
        <w:t xml:space="preserve">d. Mean rates of exacerbation requiring hospitalization across studies were very low (i.e. from 0.02 to 0.10 exacerbations requiring hospitalization per person-year), both in the placebo and intervention arms </w:t>
      </w:r>
    </w:p>
    <w:p w14:paraId="737F9998" w14:textId="77777777" w:rsidR="00596BE0" w:rsidRPr="00601402" w:rsidRDefault="00596BE0" w:rsidP="00596BE0">
      <w:pPr>
        <w:jc w:val="both"/>
        <w:rPr>
          <w:rFonts w:ascii="Arial" w:hAnsi="Arial" w:cs="Arial"/>
          <w:color w:val="000000"/>
          <w:sz w:val="16"/>
          <w:szCs w:val="16"/>
        </w:rPr>
      </w:pPr>
      <w:r w:rsidRPr="00601402">
        <w:rPr>
          <w:rFonts w:ascii="Arial" w:hAnsi="Arial" w:cs="Arial"/>
          <w:color w:val="000000"/>
          <w:sz w:val="16"/>
          <w:szCs w:val="16"/>
        </w:rPr>
        <w:t>e. The panel agreed that minimal important difference (MID) for FEV1 is 0.20 L</w:t>
      </w:r>
    </w:p>
    <w:p w14:paraId="013448CB" w14:textId="77777777" w:rsidR="00596BE0" w:rsidRPr="00601402" w:rsidRDefault="00596BE0" w:rsidP="00596BE0">
      <w:pPr>
        <w:jc w:val="both"/>
        <w:rPr>
          <w:rFonts w:ascii="Arial" w:hAnsi="Arial" w:cs="Arial"/>
          <w:color w:val="000000"/>
          <w:sz w:val="16"/>
          <w:szCs w:val="16"/>
        </w:rPr>
      </w:pPr>
      <w:r w:rsidRPr="00601402">
        <w:rPr>
          <w:rFonts w:ascii="Arial" w:hAnsi="Arial" w:cs="Arial"/>
          <w:color w:val="000000"/>
          <w:sz w:val="16"/>
          <w:szCs w:val="16"/>
        </w:rPr>
        <w:lastRenderedPageBreak/>
        <w:t xml:space="preserve">f. Downgraded because FEV1 is considered a surrogate outcome of asthma control of symptoms, with a variable correlation with asthma symptoms (72). </w:t>
      </w:r>
    </w:p>
    <w:p w14:paraId="4DD94EDD" w14:textId="77777777" w:rsidR="00596BE0" w:rsidRPr="00601402" w:rsidRDefault="00596BE0" w:rsidP="00596BE0">
      <w:pPr>
        <w:jc w:val="both"/>
        <w:rPr>
          <w:rFonts w:ascii="Arial" w:hAnsi="Arial" w:cs="Arial"/>
          <w:color w:val="000000"/>
          <w:sz w:val="16"/>
          <w:szCs w:val="16"/>
        </w:rPr>
      </w:pPr>
      <w:r w:rsidRPr="00601402">
        <w:rPr>
          <w:rFonts w:ascii="Arial" w:hAnsi="Arial" w:cs="Arial"/>
          <w:color w:val="000000"/>
          <w:sz w:val="16"/>
          <w:szCs w:val="16"/>
        </w:rPr>
        <w:t xml:space="preserve">g. The MID of PEF is 18.8 L/min (35) </w:t>
      </w:r>
    </w:p>
    <w:p w14:paraId="24B35A31" w14:textId="77777777" w:rsidR="00596BE0" w:rsidRPr="00601402" w:rsidRDefault="00596BE0" w:rsidP="00596BE0">
      <w:pPr>
        <w:jc w:val="both"/>
        <w:rPr>
          <w:rFonts w:ascii="Arial" w:hAnsi="Arial" w:cs="Arial"/>
          <w:color w:val="000000"/>
          <w:sz w:val="16"/>
          <w:szCs w:val="16"/>
        </w:rPr>
      </w:pPr>
      <w:r w:rsidRPr="00601402">
        <w:rPr>
          <w:rFonts w:ascii="Arial" w:hAnsi="Arial" w:cs="Arial"/>
          <w:color w:val="000000"/>
          <w:sz w:val="16"/>
          <w:szCs w:val="16"/>
        </w:rPr>
        <w:t xml:space="preserve">h. Potential attrition bias because PEF baseline values reported in the primary publication (47) differed from values reported in post-hoc analysis publication (77) </w:t>
      </w:r>
    </w:p>
    <w:p w14:paraId="0F97C9F1" w14:textId="77777777" w:rsidR="00596BE0" w:rsidRPr="00601402" w:rsidRDefault="00596BE0" w:rsidP="00596BE0">
      <w:pPr>
        <w:jc w:val="both"/>
        <w:rPr>
          <w:rFonts w:ascii="Arial" w:hAnsi="Arial" w:cs="Arial"/>
          <w:color w:val="000000"/>
          <w:sz w:val="16"/>
          <w:szCs w:val="16"/>
        </w:rPr>
      </w:pPr>
      <w:r w:rsidRPr="00601402">
        <w:rPr>
          <w:rFonts w:ascii="Arial" w:hAnsi="Arial" w:cs="Arial"/>
          <w:color w:val="000000"/>
          <w:sz w:val="16"/>
          <w:szCs w:val="16"/>
        </w:rPr>
        <w:t xml:space="preserve">i. Downgraded because the lower CI boundary crosses the MID threshold </w:t>
      </w:r>
    </w:p>
    <w:p w14:paraId="4D2AE89C" w14:textId="77777777" w:rsidR="00596BE0" w:rsidRPr="00601402" w:rsidRDefault="00596BE0" w:rsidP="00596BE0">
      <w:pPr>
        <w:jc w:val="both"/>
        <w:rPr>
          <w:rFonts w:ascii="Arial" w:hAnsi="Arial" w:cs="Arial"/>
          <w:color w:val="000000"/>
          <w:sz w:val="16"/>
          <w:szCs w:val="16"/>
        </w:rPr>
      </w:pPr>
      <w:r w:rsidRPr="00601402">
        <w:rPr>
          <w:rFonts w:ascii="Arial" w:hAnsi="Arial" w:cs="Arial"/>
          <w:color w:val="000000"/>
          <w:sz w:val="16"/>
          <w:szCs w:val="16"/>
        </w:rPr>
        <w:t xml:space="preserve">j. 0.5 points is the minimal important difference for the Asthma Control Questionnaire (ACQ-5 score) (37) </w:t>
      </w:r>
    </w:p>
    <w:p w14:paraId="022A7C25" w14:textId="77777777" w:rsidR="00596BE0" w:rsidRPr="00601402" w:rsidRDefault="00596BE0" w:rsidP="00596BE0">
      <w:pPr>
        <w:jc w:val="both"/>
        <w:rPr>
          <w:rFonts w:ascii="Arial" w:hAnsi="Arial" w:cs="Arial"/>
          <w:color w:val="000000"/>
          <w:sz w:val="16"/>
          <w:szCs w:val="16"/>
        </w:rPr>
      </w:pPr>
      <w:r w:rsidRPr="00601402">
        <w:rPr>
          <w:rFonts w:ascii="Arial" w:hAnsi="Arial" w:cs="Arial"/>
          <w:color w:val="000000"/>
          <w:sz w:val="16"/>
          <w:szCs w:val="16"/>
        </w:rPr>
        <w:t xml:space="preserve">k. &gt;-4.0 was considered the threshold for the MID for quality of life measured with the </w:t>
      </w:r>
      <w:proofErr w:type="gramStart"/>
      <w:r w:rsidRPr="00601402">
        <w:rPr>
          <w:rFonts w:ascii="Arial" w:hAnsi="Arial" w:cs="Arial"/>
          <w:color w:val="000000"/>
          <w:sz w:val="16"/>
          <w:szCs w:val="16"/>
        </w:rPr>
        <w:t>St.George's</w:t>
      </w:r>
      <w:proofErr w:type="gramEnd"/>
      <w:r w:rsidRPr="00601402">
        <w:rPr>
          <w:rFonts w:ascii="Arial" w:hAnsi="Arial" w:cs="Arial"/>
          <w:color w:val="000000"/>
          <w:sz w:val="16"/>
          <w:szCs w:val="16"/>
        </w:rPr>
        <w:t xml:space="preserve"> Respiratory Questionnaire (36)</w:t>
      </w:r>
    </w:p>
    <w:p w14:paraId="32E95841" w14:textId="77777777" w:rsidR="00596BE0" w:rsidRPr="00601402" w:rsidRDefault="00596BE0" w:rsidP="00596BE0">
      <w:pPr>
        <w:jc w:val="both"/>
        <w:rPr>
          <w:rFonts w:ascii="Arial" w:hAnsi="Arial" w:cs="Arial"/>
          <w:color w:val="000000"/>
          <w:sz w:val="16"/>
          <w:szCs w:val="16"/>
        </w:rPr>
      </w:pPr>
      <w:r w:rsidRPr="00601402">
        <w:rPr>
          <w:rFonts w:ascii="Arial" w:hAnsi="Arial" w:cs="Arial"/>
          <w:color w:val="000000"/>
          <w:sz w:val="16"/>
          <w:szCs w:val="16"/>
        </w:rPr>
        <w:t xml:space="preserve">l. The </w:t>
      </w:r>
      <w:proofErr w:type="gramStart"/>
      <w:r w:rsidRPr="00601402">
        <w:rPr>
          <w:rFonts w:ascii="Arial" w:hAnsi="Arial" w:cs="Arial"/>
          <w:color w:val="000000"/>
          <w:sz w:val="16"/>
          <w:szCs w:val="16"/>
        </w:rPr>
        <w:t>St.George's</w:t>
      </w:r>
      <w:proofErr w:type="gramEnd"/>
      <w:r w:rsidRPr="00601402">
        <w:rPr>
          <w:rFonts w:ascii="Arial" w:hAnsi="Arial" w:cs="Arial"/>
          <w:color w:val="000000"/>
          <w:sz w:val="16"/>
          <w:szCs w:val="16"/>
        </w:rPr>
        <w:t xml:space="preserve"> Respiratory Questionnaire SGRQ is not a disease-specific questionnaire for asthma </w:t>
      </w:r>
    </w:p>
    <w:p w14:paraId="3CEB9407" w14:textId="77777777" w:rsidR="00596BE0" w:rsidRPr="00601402" w:rsidRDefault="00596BE0" w:rsidP="00596BE0">
      <w:pPr>
        <w:jc w:val="both"/>
        <w:rPr>
          <w:rFonts w:ascii="Arial" w:hAnsi="Arial" w:cs="Arial"/>
          <w:color w:val="000000"/>
          <w:sz w:val="16"/>
          <w:szCs w:val="16"/>
        </w:rPr>
      </w:pPr>
      <w:r w:rsidRPr="00601402">
        <w:rPr>
          <w:rFonts w:ascii="Arial" w:hAnsi="Arial" w:cs="Arial"/>
          <w:color w:val="000000"/>
          <w:sz w:val="16"/>
          <w:szCs w:val="16"/>
        </w:rPr>
        <w:t xml:space="preserve">m. Findings from only 1 RCT available. Downgraded due to publication bias </w:t>
      </w:r>
    </w:p>
    <w:p w14:paraId="349A95ED" w14:textId="77777777" w:rsidR="00596BE0" w:rsidRPr="00601402" w:rsidRDefault="00596BE0" w:rsidP="00596BE0">
      <w:pPr>
        <w:jc w:val="both"/>
        <w:rPr>
          <w:rFonts w:ascii="Arial" w:hAnsi="Arial" w:cs="Arial"/>
          <w:color w:val="000000"/>
          <w:sz w:val="16"/>
          <w:szCs w:val="16"/>
        </w:rPr>
      </w:pPr>
      <w:r w:rsidRPr="00601402">
        <w:rPr>
          <w:rFonts w:ascii="Arial" w:hAnsi="Arial" w:cs="Arial"/>
          <w:color w:val="000000"/>
          <w:sz w:val="16"/>
          <w:szCs w:val="16"/>
        </w:rPr>
        <w:t xml:space="preserve">n. Very few numbers of events per arm </w:t>
      </w:r>
    </w:p>
    <w:p w14:paraId="29768695" w14:textId="77777777" w:rsidR="00596BE0" w:rsidRPr="00601402" w:rsidRDefault="00596BE0" w:rsidP="00596BE0">
      <w:pPr>
        <w:jc w:val="both"/>
        <w:rPr>
          <w:rFonts w:ascii="Arial" w:hAnsi="Arial" w:cs="Arial"/>
          <w:color w:val="000000"/>
          <w:sz w:val="16"/>
          <w:szCs w:val="16"/>
        </w:rPr>
      </w:pPr>
      <w:r w:rsidRPr="00601402">
        <w:rPr>
          <w:rFonts w:ascii="Arial" w:hAnsi="Arial" w:cs="Arial"/>
          <w:color w:val="000000"/>
          <w:sz w:val="16"/>
          <w:szCs w:val="16"/>
        </w:rPr>
        <w:t xml:space="preserve">o. The minimal important difference for rescue medication use is -0.81 puffs/day (35) </w:t>
      </w:r>
    </w:p>
    <w:p w14:paraId="4315C1AB" w14:textId="77777777" w:rsidR="00596BE0" w:rsidRPr="00601402" w:rsidRDefault="00596BE0" w:rsidP="00596BE0">
      <w:pPr>
        <w:jc w:val="both"/>
        <w:rPr>
          <w:rFonts w:ascii="Arial" w:hAnsi="Arial" w:cs="Arial"/>
          <w:color w:val="000000"/>
          <w:sz w:val="16"/>
          <w:szCs w:val="16"/>
        </w:rPr>
      </w:pPr>
    </w:p>
    <w:p w14:paraId="2C31895F" w14:textId="75522395" w:rsidR="00596BE0" w:rsidRPr="00F53366" w:rsidRDefault="00596BE0" w:rsidP="00596BE0">
      <w:pPr>
        <w:rPr>
          <w:b/>
          <w:sz w:val="20"/>
          <w:szCs w:val="20"/>
        </w:rPr>
      </w:pPr>
      <w:r w:rsidRPr="00F53366">
        <w:rPr>
          <w:b/>
          <w:sz w:val="20"/>
          <w:szCs w:val="20"/>
        </w:rPr>
        <w:t>Table S</w:t>
      </w:r>
      <w:r w:rsidR="00F53366" w:rsidRPr="00F53366">
        <w:rPr>
          <w:b/>
          <w:sz w:val="20"/>
          <w:szCs w:val="20"/>
        </w:rPr>
        <w:t>33</w:t>
      </w:r>
      <w:r w:rsidRPr="00F53366">
        <w:rPr>
          <w:b/>
          <w:sz w:val="20"/>
          <w:szCs w:val="20"/>
        </w:rPr>
        <w:t xml:space="preserve">: Economic </w:t>
      </w:r>
      <w:r w:rsidR="00F53366" w:rsidRPr="00F53366">
        <w:rPr>
          <w:b/>
          <w:sz w:val="20"/>
          <w:szCs w:val="20"/>
        </w:rPr>
        <w:t>evaluation of</w:t>
      </w:r>
      <w:r w:rsidRPr="00F53366">
        <w:rPr>
          <w:b/>
          <w:sz w:val="20"/>
          <w:szCs w:val="20"/>
        </w:rPr>
        <w:t xml:space="preserve"> mepolizumab in addition to standard therapy vs. standard therapy in adults with severe eosinophilic asthma</w:t>
      </w:r>
    </w:p>
    <w:tbl>
      <w:tblPr>
        <w:tblW w:w="5000" w:type="pct"/>
        <w:jc w:val="center"/>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0A0" w:firstRow="1" w:lastRow="0" w:firstColumn="1" w:lastColumn="0" w:noHBand="0" w:noVBand="0"/>
      </w:tblPr>
      <w:tblGrid>
        <w:gridCol w:w="836"/>
        <w:gridCol w:w="990"/>
        <w:gridCol w:w="1159"/>
        <w:gridCol w:w="1191"/>
        <w:gridCol w:w="1172"/>
        <w:gridCol w:w="1070"/>
        <w:gridCol w:w="1075"/>
        <w:gridCol w:w="1645"/>
        <w:gridCol w:w="1814"/>
        <w:gridCol w:w="1623"/>
        <w:gridCol w:w="847"/>
      </w:tblGrid>
      <w:tr w:rsidR="00596BE0" w14:paraId="7C406FEE" w14:textId="77777777" w:rsidTr="00596BE0">
        <w:trPr>
          <w:cantSplit/>
          <w:trHeight w:val="222"/>
          <w:tblHeader/>
          <w:jc w:val="center"/>
        </w:trPr>
        <w:tc>
          <w:tcPr>
            <w:tcW w:w="2778" w:type="pct"/>
            <w:gridSpan w:val="7"/>
            <w:tcBorders>
              <w:top w:val="single" w:sz="6" w:space="0" w:color="000000"/>
              <w:left w:val="single" w:sz="6" w:space="0" w:color="000000"/>
              <w:bottom w:val="single" w:sz="6" w:space="0" w:color="000000"/>
              <w:right w:val="single" w:sz="6" w:space="0" w:color="000000"/>
            </w:tcBorders>
            <w:shd w:val="clear" w:color="auto" w:fill="DDDDDD"/>
            <w:hideMark/>
          </w:tcPr>
          <w:p w14:paraId="036FCDDE" w14:textId="77777777" w:rsidR="00596BE0" w:rsidRDefault="00596BE0" w:rsidP="00596BE0">
            <w:pPr>
              <w:jc w:val="center"/>
              <w:rPr>
                <w:b/>
                <w:bCs/>
                <w:sz w:val="18"/>
                <w:szCs w:val="18"/>
              </w:rPr>
            </w:pPr>
            <w:r>
              <w:rPr>
                <w:b/>
                <w:bCs/>
                <w:sz w:val="18"/>
                <w:szCs w:val="18"/>
              </w:rPr>
              <w:t>Quality assessment</w:t>
            </w:r>
          </w:p>
        </w:tc>
        <w:tc>
          <w:tcPr>
            <w:tcW w:w="1903" w:type="pct"/>
            <w:gridSpan w:val="3"/>
            <w:tcBorders>
              <w:top w:val="single" w:sz="6" w:space="0" w:color="000000"/>
              <w:left w:val="single" w:sz="6" w:space="0" w:color="000000"/>
              <w:bottom w:val="single" w:sz="6" w:space="0" w:color="000000"/>
              <w:right w:val="single" w:sz="6" w:space="0" w:color="000000"/>
            </w:tcBorders>
            <w:shd w:val="clear" w:color="auto" w:fill="DDDDDD"/>
            <w:hideMark/>
          </w:tcPr>
          <w:p w14:paraId="733974A5" w14:textId="77777777" w:rsidR="00596BE0" w:rsidRDefault="00596BE0" w:rsidP="00596BE0">
            <w:pPr>
              <w:jc w:val="center"/>
              <w:rPr>
                <w:b/>
                <w:bCs/>
                <w:sz w:val="18"/>
                <w:szCs w:val="18"/>
              </w:rPr>
            </w:pPr>
            <w:r>
              <w:rPr>
                <w:b/>
                <w:bCs/>
                <w:sz w:val="18"/>
                <w:szCs w:val="18"/>
              </w:rPr>
              <w:t>Summary of resources and costs</w:t>
            </w:r>
          </w:p>
        </w:tc>
        <w:tc>
          <w:tcPr>
            <w:tcW w:w="319" w:type="pct"/>
            <w:vMerge w:val="restart"/>
            <w:tcBorders>
              <w:top w:val="single" w:sz="6" w:space="0" w:color="000000"/>
              <w:left w:val="single" w:sz="6" w:space="0" w:color="000000"/>
              <w:bottom w:val="single" w:sz="6" w:space="0" w:color="000000"/>
              <w:right w:val="single" w:sz="6" w:space="0" w:color="000000"/>
            </w:tcBorders>
            <w:shd w:val="clear" w:color="auto" w:fill="DDDDDD"/>
            <w:hideMark/>
          </w:tcPr>
          <w:p w14:paraId="7E3CC437" w14:textId="77777777" w:rsidR="00596BE0" w:rsidRDefault="00596BE0" w:rsidP="00596BE0">
            <w:pPr>
              <w:jc w:val="center"/>
              <w:rPr>
                <w:b/>
                <w:bCs/>
                <w:sz w:val="18"/>
                <w:szCs w:val="18"/>
              </w:rPr>
            </w:pPr>
            <w:r>
              <w:rPr>
                <w:b/>
                <w:bCs/>
                <w:sz w:val="18"/>
                <w:szCs w:val="18"/>
              </w:rPr>
              <w:t>Quality</w:t>
            </w:r>
          </w:p>
        </w:tc>
      </w:tr>
      <w:tr w:rsidR="00596BE0" w14:paraId="51A35669" w14:textId="77777777" w:rsidTr="00596BE0">
        <w:trPr>
          <w:cantSplit/>
          <w:trHeight w:val="519"/>
          <w:tblHeader/>
          <w:jc w:val="center"/>
        </w:trPr>
        <w:tc>
          <w:tcPr>
            <w:tcW w:w="315" w:type="pct"/>
            <w:tcBorders>
              <w:top w:val="single" w:sz="6" w:space="0" w:color="000000"/>
              <w:left w:val="single" w:sz="6" w:space="0" w:color="000000"/>
              <w:bottom w:val="single" w:sz="6" w:space="0" w:color="000000"/>
              <w:right w:val="single" w:sz="6" w:space="0" w:color="000000"/>
            </w:tcBorders>
            <w:shd w:val="clear" w:color="auto" w:fill="DDDDDD"/>
            <w:hideMark/>
          </w:tcPr>
          <w:p w14:paraId="4F130AB3" w14:textId="77777777" w:rsidR="00596BE0" w:rsidRDefault="00596BE0" w:rsidP="00596BE0">
            <w:pPr>
              <w:jc w:val="center"/>
              <w:rPr>
                <w:b/>
                <w:bCs/>
                <w:sz w:val="18"/>
                <w:szCs w:val="18"/>
              </w:rPr>
            </w:pPr>
            <w:r>
              <w:rPr>
                <w:b/>
                <w:bCs/>
                <w:sz w:val="18"/>
                <w:szCs w:val="18"/>
              </w:rPr>
              <w:t>Nº. of studies</w:t>
            </w:r>
          </w:p>
        </w:tc>
        <w:tc>
          <w:tcPr>
            <w:tcW w:w="372" w:type="pct"/>
            <w:tcBorders>
              <w:top w:val="single" w:sz="6" w:space="0" w:color="000000"/>
              <w:left w:val="single" w:sz="6" w:space="0" w:color="000000"/>
              <w:bottom w:val="single" w:sz="6" w:space="0" w:color="000000"/>
              <w:right w:val="single" w:sz="6" w:space="0" w:color="000000"/>
            </w:tcBorders>
            <w:shd w:val="clear" w:color="auto" w:fill="DDDDDD"/>
            <w:hideMark/>
          </w:tcPr>
          <w:p w14:paraId="288E5E01" w14:textId="77777777" w:rsidR="00596BE0" w:rsidRDefault="00596BE0" w:rsidP="00596BE0">
            <w:pPr>
              <w:jc w:val="center"/>
              <w:rPr>
                <w:b/>
                <w:bCs/>
                <w:sz w:val="18"/>
                <w:szCs w:val="18"/>
              </w:rPr>
            </w:pPr>
            <w:r>
              <w:rPr>
                <w:b/>
                <w:bCs/>
                <w:sz w:val="18"/>
                <w:szCs w:val="18"/>
              </w:rPr>
              <w:t>Study design</w:t>
            </w:r>
          </w:p>
        </w:tc>
        <w:tc>
          <w:tcPr>
            <w:tcW w:w="435" w:type="pct"/>
            <w:tcBorders>
              <w:top w:val="single" w:sz="6" w:space="0" w:color="000000"/>
              <w:left w:val="single" w:sz="6" w:space="0" w:color="000000"/>
              <w:bottom w:val="single" w:sz="6" w:space="0" w:color="000000"/>
              <w:right w:val="single" w:sz="6" w:space="0" w:color="000000"/>
            </w:tcBorders>
            <w:shd w:val="clear" w:color="auto" w:fill="DDDDDD"/>
            <w:hideMark/>
          </w:tcPr>
          <w:p w14:paraId="78B91231" w14:textId="77777777" w:rsidR="00596BE0" w:rsidRDefault="00596BE0" w:rsidP="00596BE0">
            <w:pPr>
              <w:jc w:val="center"/>
              <w:rPr>
                <w:b/>
                <w:bCs/>
                <w:sz w:val="18"/>
                <w:szCs w:val="18"/>
              </w:rPr>
            </w:pPr>
            <w:r>
              <w:rPr>
                <w:b/>
                <w:bCs/>
                <w:sz w:val="18"/>
                <w:szCs w:val="18"/>
              </w:rPr>
              <w:t>Limitations</w:t>
            </w:r>
          </w:p>
        </w:tc>
        <w:tc>
          <w:tcPr>
            <w:tcW w:w="435" w:type="pct"/>
            <w:tcBorders>
              <w:top w:val="single" w:sz="6" w:space="0" w:color="000000"/>
              <w:left w:val="single" w:sz="6" w:space="0" w:color="000000"/>
              <w:bottom w:val="single" w:sz="6" w:space="0" w:color="000000"/>
              <w:right w:val="single" w:sz="6" w:space="0" w:color="000000"/>
            </w:tcBorders>
            <w:shd w:val="clear" w:color="auto" w:fill="DDDDDD"/>
            <w:hideMark/>
          </w:tcPr>
          <w:p w14:paraId="6EFBED17" w14:textId="77777777" w:rsidR="00596BE0" w:rsidRDefault="00596BE0" w:rsidP="00596BE0">
            <w:pPr>
              <w:jc w:val="center"/>
              <w:rPr>
                <w:b/>
                <w:bCs/>
                <w:sz w:val="18"/>
                <w:szCs w:val="18"/>
              </w:rPr>
            </w:pPr>
            <w:r>
              <w:rPr>
                <w:b/>
                <w:bCs/>
                <w:sz w:val="18"/>
                <w:szCs w:val="18"/>
              </w:rPr>
              <w:t>Inconsistency</w:t>
            </w:r>
          </w:p>
        </w:tc>
        <w:tc>
          <w:tcPr>
            <w:tcW w:w="440" w:type="pct"/>
            <w:tcBorders>
              <w:top w:val="single" w:sz="6" w:space="0" w:color="000000"/>
              <w:left w:val="single" w:sz="6" w:space="0" w:color="000000"/>
              <w:bottom w:val="single" w:sz="6" w:space="0" w:color="000000"/>
              <w:right w:val="single" w:sz="6" w:space="0" w:color="000000"/>
            </w:tcBorders>
            <w:shd w:val="clear" w:color="auto" w:fill="DDDDDD"/>
            <w:hideMark/>
          </w:tcPr>
          <w:p w14:paraId="51C37EF8" w14:textId="77777777" w:rsidR="00596BE0" w:rsidRDefault="00596BE0" w:rsidP="00596BE0">
            <w:pPr>
              <w:jc w:val="center"/>
              <w:rPr>
                <w:b/>
                <w:bCs/>
                <w:sz w:val="18"/>
                <w:szCs w:val="18"/>
              </w:rPr>
            </w:pPr>
            <w:r>
              <w:rPr>
                <w:b/>
                <w:bCs/>
                <w:sz w:val="18"/>
                <w:szCs w:val="18"/>
              </w:rPr>
              <w:t>Indirectness</w:t>
            </w:r>
          </w:p>
        </w:tc>
        <w:tc>
          <w:tcPr>
            <w:tcW w:w="377" w:type="pct"/>
            <w:tcBorders>
              <w:top w:val="single" w:sz="6" w:space="0" w:color="000000"/>
              <w:left w:val="single" w:sz="6" w:space="0" w:color="000000"/>
              <w:bottom w:val="single" w:sz="6" w:space="0" w:color="000000"/>
              <w:right w:val="single" w:sz="6" w:space="0" w:color="000000"/>
            </w:tcBorders>
            <w:shd w:val="clear" w:color="auto" w:fill="DDDDDD"/>
            <w:hideMark/>
          </w:tcPr>
          <w:p w14:paraId="53EAD46C" w14:textId="77777777" w:rsidR="00596BE0" w:rsidRDefault="00596BE0" w:rsidP="00596BE0">
            <w:pPr>
              <w:jc w:val="center"/>
              <w:rPr>
                <w:b/>
                <w:bCs/>
                <w:sz w:val="18"/>
                <w:szCs w:val="18"/>
              </w:rPr>
            </w:pPr>
            <w:r>
              <w:rPr>
                <w:b/>
                <w:bCs/>
                <w:sz w:val="18"/>
                <w:szCs w:val="18"/>
              </w:rPr>
              <w:t>Imprecision</w:t>
            </w:r>
          </w:p>
        </w:tc>
        <w:tc>
          <w:tcPr>
            <w:tcW w:w="404" w:type="pct"/>
            <w:tcBorders>
              <w:top w:val="single" w:sz="6" w:space="0" w:color="000000"/>
              <w:left w:val="single" w:sz="6" w:space="0" w:color="000000"/>
              <w:bottom w:val="single" w:sz="6" w:space="0" w:color="000000"/>
              <w:right w:val="single" w:sz="6" w:space="0" w:color="000000"/>
            </w:tcBorders>
            <w:shd w:val="clear" w:color="auto" w:fill="DDDDDD"/>
            <w:hideMark/>
          </w:tcPr>
          <w:p w14:paraId="72E41563" w14:textId="77777777" w:rsidR="00596BE0" w:rsidRDefault="00596BE0" w:rsidP="00596BE0">
            <w:pPr>
              <w:jc w:val="center"/>
              <w:rPr>
                <w:b/>
                <w:bCs/>
                <w:sz w:val="18"/>
                <w:szCs w:val="18"/>
              </w:rPr>
            </w:pPr>
            <w:r>
              <w:rPr>
                <w:b/>
                <w:bCs/>
                <w:sz w:val="18"/>
                <w:szCs w:val="18"/>
              </w:rPr>
              <w:t>Publication bias</w:t>
            </w:r>
          </w:p>
        </w:tc>
        <w:tc>
          <w:tcPr>
            <w:tcW w:w="616" w:type="pct"/>
            <w:tcBorders>
              <w:top w:val="single" w:sz="6" w:space="0" w:color="000000"/>
              <w:left w:val="single" w:sz="6" w:space="0" w:color="000000"/>
              <w:bottom w:val="single" w:sz="6" w:space="0" w:color="000000"/>
              <w:right w:val="single" w:sz="6" w:space="0" w:color="000000"/>
            </w:tcBorders>
            <w:shd w:val="clear" w:color="auto" w:fill="DDDDDD"/>
            <w:hideMark/>
          </w:tcPr>
          <w:p w14:paraId="33157538" w14:textId="77777777" w:rsidR="00596BE0" w:rsidRDefault="00596BE0" w:rsidP="00596BE0">
            <w:pPr>
              <w:jc w:val="center"/>
              <w:rPr>
                <w:b/>
                <w:bCs/>
                <w:sz w:val="18"/>
                <w:szCs w:val="18"/>
              </w:rPr>
            </w:pPr>
            <w:r>
              <w:rPr>
                <w:b/>
                <w:bCs/>
                <w:sz w:val="18"/>
                <w:szCs w:val="18"/>
              </w:rPr>
              <w:t>Incremental cost per patient*</w:t>
            </w:r>
          </w:p>
        </w:tc>
        <w:tc>
          <w:tcPr>
            <w:tcW w:w="679" w:type="pct"/>
            <w:tcBorders>
              <w:top w:val="single" w:sz="6" w:space="0" w:color="000000"/>
              <w:left w:val="single" w:sz="6" w:space="0" w:color="000000"/>
              <w:bottom w:val="single" w:sz="6" w:space="0" w:color="000000"/>
              <w:right w:val="single" w:sz="6" w:space="0" w:color="000000"/>
            </w:tcBorders>
            <w:shd w:val="clear" w:color="auto" w:fill="DDDDDD"/>
            <w:hideMark/>
          </w:tcPr>
          <w:p w14:paraId="593EC1BB" w14:textId="77777777" w:rsidR="00596BE0" w:rsidRDefault="00596BE0" w:rsidP="00596BE0">
            <w:pPr>
              <w:jc w:val="center"/>
              <w:rPr>
                <w:b/>
                <w:bCs/>
                <w:sz w:val="18"/>
                <w:szCs w:val="18"/>
              </w:rPr>
            </w:pPr>
            <w:r>
              <w:rPr>
                <w:b/>
                <w:bCs/>
                <w:sz w:val="18"/>
                <w:szCs w:val="18"/>
              </w:rPr>
              <w:t>Incremental effect per patient*</w:t>
            </w:r>
          </w:p>
        </w:tc>
        <w:tc>
          <w:tcPr>
            <w:tcW w:w="608" w:type="pct"/>
            <w:tcBorders>
              <w:top w:val="single" w:sz="6" w:space="0" w:color="000000"/>
              <w:left w:val="single" w:sz="6" w:space="0" w:color="000000"/>
              <w:bottom w:val="single" w:sz="6" w:space="0" w:color="000000"/>
              <w:right w:val="single" w:sz="6" w:space="0" w:color="000000"/>
            </w:tcBorders>
            <w:shd w:val="clear" w:color="auto" w:fill="DDDDDD"/>
            <w:hideMark/>
          </w:tcPr>
          <w:p w14:paraId="579AFB59" w14:textId="77777777" w:rsidR="00596BE0" w:rsidRDefault="00596BE0" w:rsidP="00596BE0">
            <w:pPr>
              <w:jc w:val="center"/>
              <w:rPr>
                <w:b/>
                <w:bCs/>
                <w:sz w:val="18"/>
                <w:szCs w:val="18"/>
              </w:rPr>
            </w:pPr>
            <w:r>
              <w:rPr>
                <w:b/>
                <w:bCs/>
                <w:sz w:val="18"/>
                <w:szCs w:val="18"/>
              </w:rPr>
              <w:t>ICER</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FA96C0E" w14:textId="77777777" w:rsidR="00596BE0" w:rsidRDefault="00596BE0" w:rsidP="00596BE0">
            <w:pPr>
              <w:rPr>
                <w:b/>
                <w:bCs/>
                <w:sz w:val="18"/>
                <w:szCs w:val="18"/>
              </w:rPr>
            </w:pPr>
          </w:p>
        </w:tc>
      </w:tr>
      <w:tr w:rsidR="00596BE0" w14:paraId="0F661A14" w14:textId="77777777" w:rsidTr="00596BE0">
        <w:trPr>
          <w:cantSplit/>
          <w:trHeight w:val="238"/>
          <w:jc w:val="center"/>
        </w:trPr>
        <w:tc>
          <w:tcPr>
            <w:tcW w:w="5000" w:type="pct"/>
            <w:gridSpan w:val="11"/>
            <w:tcBorders>
              <w:top w:val="single" w:sz="6" w:space="0" w:color="000000"/>
              <w:left w:val="single" w:sz="6" w:space="0" w:color="000000"/>
              <w:bottom w:val="single" w:sz="6" w:space="0" w:color="000000"/>
              <w:right w:val="single" w:sz="6" w:space="0" w:color="000000"/>
            </w:tcBorders>
            <w:shd w:val="clear" w:color="auto" w:fill="EDEDED"/>
            <w:hideMark/>
          </w:tcPr>
          <w:p w14:paraId="0236E7C5" w14:textId="77777777" w:rsidR="00596BE0" w:rsidRDefault="00596BE0" w:rsidP="00596BE0">
            <w:pPr>
              <w:rPr>
                <w:sz w:val="18"/>
                <w:szCs w:val="18"/>
              </w:rPr>
            </w:pPr>
            <w:r>
              <w:rPr>
                <w:rStyle w:val="label"/>
                <w:szCs w:val="18"/>
              </w:rPr>
              <w:t xml:space="preserve">ICER per </w:t>
            </w:r>
            <w:r>
              <w:rPr>
                <w:rFonts w:cs="Times"/>
                <w:color w:val="1A1718"/>
                <w:sz w:val="18"/>
                <w:szCs w:val="18"/>
                <w:lang w:eastAsia="en-GB"/>
              </w:rPr>
              <w:t xml:space="preserve">QALY (high quality </w:t>
            </w:r>
            <w:proofErr w:type="gramStart"/>
            <w:r>
              <w:rPr>
                <w:rFonts w:cs="Times"/>
                <w:color w:val="1A1718"/>
                <w:sz w:val="18"/>
                <w:szCs w:val="18"/>
                <w:lang w:eastAsia="en-GB"/>
              </w:rPr>
              <w:t>study  -</w:t>
            </w:r>
            <w:proofErr w:type="gramEnd"/>
            <w:r>
              <w:rPr>
                <w:rFonts w:cs="Times"/>
                <w:color w:val="1A1718"/>
                <w:sz w:val="18"/>
                <w:szCs w:val="18"/>
                <w:lang w:eastAsia="en-GB"/>
              </w:rPr>
              <w:t xml:space="preserve"> not funded by Industry)</w:t>
            </w:r>
          </w:p>
        </w:tc>
      </w:tr>
      <w:tr w:rsidR="00596BE0" w14:paraId="336ABB20" w14:textId="77777777" w:rsidTr="00596BE0">
        <w:trPr>
          <w:cantSplit/>
          <w:trHeight w:val="408"/>
          <w:jc w:val="center"/>
        </w:trPr>
        <w:tc>
          <w:tcPr>
            <w:tcW w:w="315" w:type="pct"/>
            <w:tcBorders>
              <w:top w:val="nil"/>
              <w:left w:val="single" w:sz="6" w:space="0" w:color="000000"/>
              <w:bottom w:val="single" w:sz="6" w:space="0" w:color="000000"/>
              <w:right w:val="single" w:sz="6" w:space="0" w:color="000000"/>
            </w:tcBorders>
            <w:hideMark/>
          </w:tcPr>
          <w:p w14:paraId="5B033CDF" w14:textId="77777777" w:rsidR="00596BE0" w:rsidRDefault="00596BE0" w:rsidP="00596BE0">
            <w:pPr>
              <w:jc w:val="center"/>
              <w:rPr>
                <w:sz w:val="18"/>
                <w:szCs w:val="18"/>
              </w:rPr>
            </w:pPr>
            <w:r>
              <w:rPr>
                <w:sz w:val="18"/>
                <w:szCs w:val="18"/>
              </w:rPr>
              <w:t>1</w:t>
            </w:r>
            <w:r>
              <w:rPr>
                <w:sz w:val="18"/>
                <w:szCs w:val="18"/>
                <w:vertAlign w:val="superscript"/>
              </w:rPr>
              <w:t>a</w:t>
            </w:r>
          </w:p>
        </w:tc>
        <w:tc>
          <w:tcPr>
            <w:tcW w:w="372" w:type="pct"/>
            <w:tcBorders>
              <w:top w:val="nil"/>
              <w:left w:val="single" w:sz="6" w:space="0" w:color="000000"/>
              <w:bottom w:val="single" w:sz="6" w:space="0" w:color="000000"/>
              <w:right w:val="single" w:sz="6" w:space="0" w:color="000000"/>
            </w:tcBorders>
            <w:hideMark/>
          </w:tcPr>
          <w:p w14:paraId="26430C0F" w14:textId="77777777" w:rsidR="00596BE0" w:rsidRDefault="00596BE0" w:rsidP="00596BE0">
            <w:pPr>
              <w:jc w:val="center"/>
              <w:rPr>
                <w:sz w:val="18"/>
                <w:szCs w:val="18"/>
              </w:rPr>
            </w:pPr>
            <w:r>
              <w:rPr>
                <w:sz w:val="18"/>
                <w:szCs w:val="18"/>
              </w:rPr>
              <w:t>Cost-utility,</w:t>
            </w:r>
          </w:p>
          <w:p w14:paraId="75325524" w14:textId="77777777" w:rsidR="00596BE0" w:rsidRDefault="00596BE0" w:rsidP="00596BE0">
            <w:pPr>
              <w:jc w:val="center"/>
              <w:rPr>
                <w:sz w:val="18"/>
                <w:szCs w:val="18"/>
              </w:rPr>
            </w:pPr>
            <w:r>
              <w:rPr>
                <w:sz w:val="18"/>
                <w:szCs w:val="18"/>
              </w:rPr>
              <w:t>Markov model</w:t>
            </w:r>
          </w:p>
        </w:tc>
        <w:tc>
          <w:tcPr>
            <w:tcW w:w="435" w:type="pct"/>
            <w:tcBorders>
              <w:top w:val="nil"/>
              <w:left w:val="single" w:sz="6" w:space="0" w:color="000000"/>
              <w:bottom w:val="single" w:sz="6" w:space="0" w:color="000000"/>
              <w:right w:val="single" w:sz="6" w:space="0" w:color="000000"/>
            </w:tcBorders>
            <w:hideMark/>
          </w:tcPr>
          <w:p w14:paraId="26F9410A" w14:textId="77777777" w:rsidR="00596BE0" w:rsidRDefault="00596BE0" w:rsidP="00596BE0">
            <w:pPr>
              <w:jc w:val="center"/>
              <w:rPr>
                <w:sz w:val="18"/>
                <w:szCs w:val="18"/>
              </w:rPr>
            </w:pPr>
            <w:r>
              <w:rPr>
                <w:sz w:val="18"/>
                <w:szCs w:val="18"/>
              </w:rPr>
              <w:t>Not serious</w:t>
            </w:r>
            <w:r>
              <w:rPr>
                <w:sz w:val="18"/>
                <w:szCs w:val="18"/>
                <w:vertAlign w:val="superscript"/>
              </w:rPr>
              <w:t>1</w:t>
            </w:r>
          </w:p>
        </w:tc>
        <w:tc>
          <w:tcPr>
            <w:tcW w:w="435" w:type="pct"/>
            <w:tcBorders>
              <w:top w:val="nil"/>
              <w:left w:val="single" w:sz="6" w:space="0" w:color="000000"/>
              <w:bottom w:val="single" w:sz="6" w:space="0" w:color="000000"/>
              <w:right w:val="single" w:sz="6" w:space="0" w:color="000000"/>
            </w:tcBorders>
            <w:hideMark/>
          </w:tcPr>
          <w:p w14:paraId="4340D2F5" w14:textId="77777777" w:rsidR="00596BE0" w:rsidRDefault="00596BE0" w:rsidP="00596BE0">
            <w:pPr>
              <w:jc w:val="center"/>
              <w:rPr>
                <w:sz w:val="18"/>
                <w:szCs w:val="18"/>
              </w:rPr>
            </w:pPr>
            <w:r>
              <w:rPr>
                <w:sz w:val="18"/>
                <w:szCs w:val="18"/>
              </w:rPr>
              <w:t>Not serious</w:t>
            </w:r>
          </w:p>
        </w:tc>
        <w:tc>
          <w:tcPr>
            <w:tcW w:w="440" w:type="pct"/>
            <w:tcBorders>
              <w:top w:val="nil"/>
              <w:left w:val="single" w:sz="6" w:space="0" w:color="000000"/>
              <w:bottom w:val="single" w:sz="6" w:space="0" w:color="000000"/>
              <w:right w:val="single" w:sz="6" w:space="0" w:color="000000"/>
            </w:tcBorders>
            <w:hideMark/>
          </w:tcPr>
          <w:p w14:paraId="28E9CEEE" w14:textId="77777777" w:rsidR="00596BE0" w:rsidRDefault="00596BE0" w:rsidP="00596BE0">
            <w:pPr>
              <w:jc w:val="center"/>
              <w:rPr>
                <w:sz w:val="18"/>
                <w:szCs w:val="18"/>
              </w:rPr>
            </w:pPr>
            <w:r>
              <w:rPr>
                <w:sz w:val="18"/>
                <w:szCs w:val="18"/>
              </w:rPr>
              <w:t>Serious</w:t>
            </w:r>
            <w:r>
              <w:rPr>
                <w:sz w:val="18"/>
                <w:szCs w:val="18"/>
                <w:vertAlign w:val="superscript"/>
              </w:rPr>
              <w:t>2</w:t>
            </w:r>
          </w:p>
        </w:tc>
        <w:tc>
          <w:tcPr>
            <w:tcW w:w="377" w:type="pct"/>
            <w:tcBorders>
              <w:top w:val="nil"/>
              <w:left w:val="single" w:sz="6" w:space="0" w:color="000000"/>
              <w:bottom w:val="single" w:sz="6" w:space="0" w:color="000000"/>
              <w:right w:val="single" w:sz="6" w:space="0" w:color="000000"/>
            </w:tcBorders>
            <w:hideMark/>
          </w:tcPr>
          <w:p w14:paraId="2CB456B4" w14:textId="77777777" w:rsidR="00596BE0" w:rsidRDefault="00596BE0" w:rsidP="00596BE0">
            <w:pPr>
              <w:jc w:val="center"/>
              <w:rPr>
                <w:sz w:val="18"/>
                <w:szCs w:val="18"/>
              </w:rPr>
            </w:pPr>
            <w:r>
              <w:rPr>
                <w:sz w:val="18"/>
                <w:szCs w:val="18"/>
              </w:rPr>
              <w:t>Serious</w:t>
            </w:r>
            <w:r>
              <w:rPr>
                <w:sz w:val="18"/>
                <w:szCs w:val="18"/>
                <w:vertAlign w:val="superscript"/>
              </w:rPr>
              <w:t>3</w:t>
            </w:r>
          </w:p>
        </w:tc>
        <w:tc>
          <w:tcPr>
            <w:tcW w:w="404" w:type="pct"/>
            <w:tcBorders>
              <w:top w:val="nil"/>
              <w:left w:val="single" w:sz="6" w:space="0" w:color="000000"/>
              <w:bottom w:val="single" w:sz="6" w:space="0" w:color="000000"/>
              <w:right w:val="single" w:sz="6" w:space="0" w:color="000000"/>
            </w:tcBorders>
            <w:hideMark/>
          </w:tcPr>
          <w:p w14:paraId="1D6F13DB" w14:textId="77777777" w:rsidR="00596BE0" w:rsidRDefault="00596BE0" w:rsidP="00596BE0">
            <w:pPr>
              <w:jc w:val="center"/>
              <w:rPr>
                <w:sz w:val="18"/>
                <w:szCs w:val="18"/>
              </w:rPr>
            </w:pPr>
            <w:r>
              <w:rPr>
                <w:sz w:val="18"/>
                <w:szCs w:val="18"/>
              </w:rPr>
              <w:t>Not serious</w:t>
            </w:r>
          </w:p>
        </w:tc>
        <w:tc>
          <w:tcPr>
            <w:tcW w:w="616" w:type="pct"/>
            <w:tcBorders>
              <w:top w:val="nil"/>
              <w:left w:val="single" w:sz="6" w:space="0" w:color="000000"/>
              <w:bottom w:val="single" w:sz="6" w:space="0" w:color="000000"/>
              <w:right w:val="single" w:sz="6" w:space="0" w:color="000000"/>
            </w:tcBorders>
            <w:hideMark/>
          </w:tcPr>
          <w:p w14:paraId="49597194" w14:textId="77777777" w:rsidR="00596BE0" w:rsidRDefault="00596BE0" w:rsidP="00596BE0">
            <w:pPr>
              <w:pStyle w:val="Default"/>
              <w:spacing w:line="276" w:lineRule="auto"/>
              <w:jc w:val="center"/>
              <w:rPr>
                <w:rFonts w:ascii="Calibri" w:hAnsi="Calibri"/>
                <w:sz w:val="18"/>
                <w:szCs w:val="18"/>
                <w:lang w:val="en-GB"/>
              </w:rPr>
            </w:pPr>
            <w:r>
              <w:rPr>
                <w:rFonts w:ascii="Calibri" w:hAnsi="Calibri"/>
                <w:sz w:val="18"/>
                <w:szCs w:val="18"/>
                <w:lang w:val="en-GB"/>
              </w:rPr>
              <w:t>589,941 $</w:t>
            </w:r>
          </w:p>
          <w:p w14:paraId="07671D60" w14:textId="77777777" w:rsidR="00596BE0" w:rsidRDefault="00596BE0" w:rsidP="00596BE0">
            <w:pPr>
              <w:pStyle w:val="Default"/>
              <w:spacing w:line="276" w:lineRule="auto"/>
              <w:jc w:val="center"/>
              <w:rPr>
                <w:rFonts w:ascii="Calibri" w:hAnsi="Calibri"/>
                <w:sz w:val="18"/>
                <w:szCs w:val="18"/>
                <w:lang w:val="en-GB"/>
              </w:rPr>
            </w:pPr>
            <w:r>
              <w:rPr>
                <w:rFonts w:ascii="Calibri" w:hAnsi="Calibri"/>
                <w:sz w:val="18"/>
                <w:szCs w:val="18"/>
                <w:lang w:val="en-GB"/>
              </w:rPr>
              <w:t>(Lifetime horizon)</w:t>
            </w:r>
          </w:p>
        </w:tc>
        <w:tc>
          <w:tcPr>
            <w:tcW w:w="679" w:type="pct"/>
            <w:tcBorders>
              <w:top w:val="single" w:sz="6" w:space="0" w:color="000000"/>
              <w:left w:val="single" w:sz="6" w:space="0" w:color="000000"/>
              <w:bottom w:val="single" w:sz="6" w:space="0" w:color="000000"/>
              <w:right w:val="single" w:sz="6" w:space="0" w:color="000000"/>
            </w:tcBorders>
          </w:tcPr>
          <w:p w14:paraId="19DEA0DA" w14:textId="77777777" w:rsidR="00596BE0" w:rsidRDefault="00596BE0" w:rsidP="00596BE0">
            <w:pPr>
              <w:pStyle w:val="Default"/>
              <w:spacing w:line="276" w:lineRule="auto"/>
              <w:jc w:val="center"/>
              <w:rPr>
                <w:rFonts w:ascii="Calibri" w:hAnsi="Calibri"/>
                <w:color w:val="auto"/>
                <w:sz w:val="18"/>
                <w:szCs w:val="18"/>
                <w:lang w:val="en-GB"/>
              </w:rPr>
            </w:pPr>
            <w:r>
              <w:rPr>
                <w:rFonts w:ascii="Calibri" w:hAnsi="Calibri"/>
                <w:color w:val="auto"/>
                <w:sz w:val="18"/>
                <w:szCs w:val="18"/>
                <w:lang w:val="en-GB"/>
              </w:rPr>
              <w:t>1.53 QALY</w:t>
            </w:r>
          </w:p>
          <w:p w14:paraId="0CCD8EC9" w14:textId="77777777" w:rsidR="00596BE0" w:rsidRDefault="00596BE0" w:rsidP="00596BE0">
            <w:pPr>
              <w:pStyle w:val="Default"/>
              <w:spacing w:line="276" w:lineRule="auto"/>
              <w:jc w:val="center"/>
              <w:rPr>
                <w:rFonts w:ascii="Calibri" w:hAnsi="Calibri"/>
                <w:color w:val="auto"/>
                <w:sz w:val="18"/>
                <w:szCs w:val="18"/>
                <w:lang w:val="en-GB"/>
              </w:rPr>
            </w:pPr>
            <w:r>
              <w:rPr>
                <w:rFonts w:ascii="Calibri" w:hAnsi="Calibri"/>
                <w:sz w:val="18"/>
                <w:szCs w:val="18"/>
                <w:lang w:val="en-GB"/>
              </w:rPr>
              <w:t>(Lifetime horizon)</w:t>
            </w:r>
          </w:p>
          <w:p w14:paraId="44EB625A" w14:textId="77777777" w:rsidR="00596BE0" w:rsidRDefault="00596BE0" w:rsidP="00596BE0">
            <w:pPr>
              <w:pStyle w:val="Default"/>
              <w:spacing w:line="276" w:lineRule="auto"/>
              <w:jc w:val="center"/>
              <w:rPr>
                <w:rFonts w:ascii="Calibri" w:hAnsi="Calibri"/>
                <w:sz w:val="18"/>
                <w:szCs w:val="18"/>
                <w:lang w:val="en-GB"/>
              </w:rPr>
            </w:pPr>
          </w:p>
        </w:tc>
        <w:tc>
          <w:tcPr>
            <w:tcW w:w="608" w:type="pct"/>
            <w:tcBorders>
              <w:top w:val="single" w:sz="6" w:space="0" w:color="000000"/>
              <w:left w:val="single" w:sz="6" w:space="0" w:color="000000"/>
              <w:bottom w:val="single" w:sz="6" w:space="0" w:color="000000"/>
              <w:right w:val="single" w:sz="6" w:space="0" w:color="000000"/>
            </w:tcBorders>
            <w:hideMark/>
          </w:tcPr>
          <w:p w14:paraId="1528EC6B" w14:textId="40DD556F" w:rsidR="00596BE0" w:rsidRDefault="00596BE0" w:rsidP="00596BE0">
            <w:pPr>
              <w:pStyle w:val="Default"/>
              <w:spacing w:line="276" w:lineRule="auto"/>
              <w:jc w:val="center"/>
              <w:rPr>
                <w:rFonts w:ascii="Calibri" w:hAnsi="Calibri"/>
                <w:sz w:val="18"/>
                <w:szCs w:val="18"/>
                <w:lang w:val="en-GB"/>
              </w:rPr>
            </w:pPr>
            <w:r>
              <w:rPr>
                <w:rFonts w:ascii="Calibri" w:hAnsi="Calibri"/>
                <w:sz w:val="18"/>
                <w:szCs w:val="18"/>
                <w:lang w:val="en-GB"/>
              </w:rPr>
              <w:t>385,546 $ / QALY</w:t>
            </w:r>
            <w:r w:rsidR="00383491" w:rsidRPr="00FD3FC4">
              <w:rPr>
                <w:rFonts w:ascii="Calibri" w:hAnsi="Calibri"/>
                <w:sz w:val="18"/>
                <w:szCs w:val="18"/>
                <w:vertAlign w:val="superscript"/>
                <w:lang w:val="en-GB"/>
              </w:rPr>
              <w:t>4</w:t>
            </w:r>
          </w:p>
        </w:tc>
        <w:tc>
          <w:tcPr>
            <w:tcW w:w="319" w:type="pct"/>
            <w:tcBorders>
              <w:top w:val="nil"/>
              <w:left w:val="single" w:sz="6" w:space="0" w:color="000000"/>
              <w:bottom w:val="single" w:sz="6" w:space="0" w:color="000000"/>
              <w:right w:val="single" w:sz="6" w:space="0" w:color="000000"/>
            </w:tcBorders>
            <w:hideMark/>
          </w:tcPr>
          <w:p w14:paraId="5E02708E" w14:textId="77777777" w:rsidR="00596BE0" w:rsidRDefault="00596BE0" w:rsidP="00596BE0">
            <w:pPr>
              <w:jc w:val="center"/>
              <w:rPr>
                <w:rStyle w:val="quality-sign"/>
                <w:rFonts w:cs="Cambria Math"/>
                <w:sz w:val="18"/>
                <w:szCs w:val="18"/>
              </w:rPr>
            </w:pPr>
            <w:r>
              <w:rPr>
                <w:rStyle w:val="quality-sign"/>
                <w:rFonts w:ascii="Cambria" w:hAnsi="Cambria" w:cs="Cambria"/>
                <w:sz w:val="18"/>
                <w:szCs w:val="18"/>
              </w:rPr>
              <w:t>⨁⨁</w:t>
            </w:r>
            <w:r>
              <w:rPr>
                <w:rStyle w:val="quality-sign"/>
                <w:rFonts w:ascii="ヒラギノ角ゴシック W3" w:eastAsia="ヒラギノ角ゴシック W3" w:hAnsi="ヒラギノ角ゴシック W3" w:cs="ヒラギノ角ゴシック W3"/>
                <w:sz w:val="18"/>
                <w:szCs w:val="18"/>
              </w:rPr>
              <w:t>◯◯</w:t>
            </w:r>
          </w:p>
          <w:p w14:paraId="1EA4CD75" w14:textId="77777777" w:rsidR="00596BE0" w:rsidRDefault="00596BE0" w:rsidP="00596BE0">
            <w:pPr>
              <w:jc w:val="center"/>
              <w:rPr>
                <w:rStyle w:val="quality-sign"/>
                <w:rFonts w:cs="Cambria Math"/>
                <w:sz w:val="18"/>
                <w:szCs w:val="18"/>
              </w:rPr>
            </w:pPr>
            <w:r>
              <w:rPr>
                <w:rStyle w:val="quality-sign"/>
                <w:rFonts w:cs="Cambria Math"/>
                <w:sz w:val="18"/>
                <w:szCs w:val="18"/>
              </w:rPr>
              <w:t>LOW</w:t>
            </w:r>
          </w:p>
        </w:tc>
      </w:tr>
    </w:tbl>
    <w:p w14:paraId="20998841" w14:textId="77777777" w:rsidR="00596BE0" w:rsidRDefault="00596BE0" w:rsidP="00596BE0">
      <w:pPr>
        <w:rPr>
          <w:sz w:val="16"/>
          <w:szCs w:val="16"/>
        </w:rPr>
      </w:pPr>
      <w:r>
        <w:rPr>
          <w:sz w:val="16"/>
          <w:szCs w:val="16"/>
        </w:rPr>
        <w:t xml:space="preserve">*Incremental cost and effect due to the addition of Mepolizumab. </w:t>
      </w:r>
    </w:p>
    <w:p w14:paraId="3D0CDFFC" w14:textId="77777777" w:rsidR="00596BE0" w:rsidRDefault="00596BE0" w:rsidP="00596BE0">
      <w:pPr>
        <w:rPr>
          <w:sz w:val="16"/>
          <w:szCs w:val="16"/>
        </w:rPr>
      </w:pPr>
      <w:r>
        <w:rPr>
          <w:sz w:val="16"/>
          <w:szCs w:val="16"/>
        </w:rPr>
        <w:t>ICER: Incremental cost-effectiveness ratio. QALY: Quality adjusted life years. $: US Dollar</w:t>
      </w:r>
      <w:r>
        <w:rPr>
          <w:color w:val="000000"/>
          <w:sz w:val="16"/>
          <w:szCs w:val="16"/>
          <w:lang w:eastAsia="en-GB"/>
        </w:rPr>
        <w:t>.</w:t>
      </w:r>
    </w:p>
    <w:p w14:paraId="31F98D21" w14:textId="77777777" w:rsidR="00596BE0" w:rsidRDefault="00596BE0" w:rsidP="00596BE0">
      <w:pPr>
        <w:pStyle w:val="ListParagraph"/>
        <w:numPr>
          <w:ilvl w:val="0"/>
          <w:numId w:val="8"/>
        </w:numPr>
        <w:rPr>
          <w:sz w:val="16"/>
          <w:szCs w:val="16"/>
        </w:rPr>
      </w:pPr>
      <w:r>
        <w:rPr>
          <w:sz w:val="16"/>
          <w:szCs w:val="16"/>
        </w:rPr>
        <w:t xml:space="preserve">Markov model study with low risk of bias. CHEC (consensus on health economics criteria checklist) score 16 out of 20. </w:t>
      </w:r>
    </w:p>
    <w:p w14:paraId="4DA808DF" w14:textId="77777777" w:rsidR="00596BE0" w:rsidRDefault="00596BE0" w:rsidP="00596BE0">
      <w:pPr>
        <w:pStyle w:val="ListParagraph"/>
        <w:numPr>
          <w:ilvl w:val="0"/>
          <w:numId w:val="8"/>
        </w:numPr>
        <w:rPr>
          <w:sz w:val="16"/>
          <w:szCs w:val="16"/>
        </w:rPr>
      </w:pPr>
      <w:r>
        <w:rPr>
          <w:sz w:val="16"/>
          <w:szCs w:val="16"/>
        </w:rPr>
        <w:t>One single study performed in the USA</w:t>
      </w:r>
      <w:r>
        <w:rPr>
          <w:sz w:val="16"/>
          <w:szCs w:val="16"/>
          <w:vertAlign w:val="superscript"/>
        </w:rPr>
        <w:t>a</w:t>
      </w:r>
      <w:r>
        <w:rPr>
          <w:sz w:val="16"/>
          <w:szCs w:val="16"/>
        </w:rPr>
        <w:t xml:space="preserve">. The results might not be directly applicable to European countries.  </w:t>
      </w:r>
    </w:p>
    <w:p w14:paraId="426943B4" w14:textId="06234A5C" w:rsidR="00596BE0" w:rsidRDefault="00596BE0" w:rsidP="00596BE0">
      <w:pPr>
        <w:pStyle w:val="ListParagraph"/>
        <w:numPr>
          <w:ilvl w:val="0"/>
          <w:numId w:val="8"/>
        </w:numPr>
        <w:rPr>
          <w:sz w:val="16"/>
          <w:szCs w:val="16"/>
        </w:rPr>
      </w:pPr>
      <w:r>
        <w:rPr>
          <w:sz w:val="16"/>
          <w:szCs w:val="16"/>
        </w:rPr>
        <w:t>The ICER varied from 385,546 $ to 160,000 $ in the group of responder patients. However, the ICERs obtained from the sensitivity analyses were not lower than 30,000 € (the willingness to pay threshold in most European countries).</w:t>
      </w:r>
    </w:p>
    <w:p w14:paraId="78ACE24A" w14:textId="77777777" w:rsidR="00383491" w:rsidRDefault="00383491" w:rsidP="00383491">
      <w:pPr>
        <w:pStyle w:val="ListParagraph"/>
        <w:numPr>
          <w:ilvl w:val="0"/>
          <w:numId w:val="8"/>
        </w:numPr>
        <w:rPr>
          <w:sz w:val="18"/>
          <w:szCs w:val="18"/>
        </w:rPr>
      </w:pPr>
      <w:r w:rsidRPr="007E0994">
        <w:rPr>
          <w:sz w:val="18"/>
          <w:szCs w:val="18"/>
        </w:rPr>
        <w:t>The incremental cost-effectiveness ratio drops substantially from ~400k/ QALY to ~200k/QALY when the responder definition is factored into the cost-effectiveness model.</w:t>
      </w:r>
    </w:p>
    <w:p w14:paraId="12E86665" w14:textId="77777777" w:rsidR="00383491" w:rsidRDefault="00383491" w:rsidP="00FD3FC4">
      <w:pPr>
        <w:pStyle w:val="ListParagraph"/>
        <w:rPr>
          <w:sz w:val="16"/>
          <w:szCs w:val="16"/>
        </w:rPr>
      </w:pPr>
    </w:p>
    <w:p w14:paraId="5B57316C" w14:textId="77777777" w:rsidR="00596BE0" w:rsidRDefault="00596BE0" w:rsidP="00596BE0">
      <w:pPr>
        <w:rPr>
          <w:b/>
          <w:sz w:val="16"/>
          <w:szCs w:val="16"/>
        </w:rPr>
      </w:pPr>
      <w:r>
        <w:rPr>
          <w:b/>
          <w:sz w:val="16"/>
          <w:szCs w:val="16"/>
        </w:rPr>
        <w:t>References</w:t>
      </w:r>
    </w:p>
    <w:p w14:paraId="37E77D48" w14:textId="535491C7" w:rsidR="00EE33FF" w:rsidRPr="00F53366" w:rsidRDefault="00596BE0" w:rsidP="00FA6274">
      <w:pPr>
        <w:pStyle w:val="ListParagraph"/>
        <w:numPr>
          <w:ilvl w:val="0"/>
          <w:numId w:val="4"/>
        </w:numPr>
        <w:rPr>
          <w:sz w:val="16"/>
          <w:szCs w:val="16"/>
        </w:rPr>
      </w:pPr>
      <w:r>
        <w:rPr>
          <w:sz w:val="16"/>
          <w:szCs w:val="16"/>
        </w:rPr>
        <w:t>Whittington, M. D. et al. Assessing the value of mepolizumab for severe eosinophilic asthma: a cost-effectiveness analysis. Ann Allergy Asthma Immunol. 2017; 118 (2): 220-225.</w:t>
      </w:r>
    </w:p>
    <w:p w14:paraId="03058FD3" w14:textId="77777777" w:rsidR="00EE33FF" w:rsidRDefault="00EE33FF" w:rsidP="00FA6274">
      <w:pPr>
        <w:rPr>
          <w:sz w:val="16"/>
          <w:szCs w:val="16"/>
        </w:rPr>
      </w:pPr>
    </w:p>
    <w:p w14:paraId="4AC370C9" w14:textId="2F69FE77" w:rsidR="00FA6274" w:rsidRPr="00F53366" w:rsidRDefault="00FA6274" w:rsidP="00FA6274">
      <w:pPr>
        <w:rPr>
          <w:b/>
          <w:sz w:val="20"/>
          <w:szCs w:val="20"/>
        </w:rPr>
      </w:pPr>
      <w:r w:rsidRPr="00F53366">
        <w:rPr>
          <w:b/>
          <w:sz w:val="20"/>
          <w:szCs w:val="20"/>
        </w:rPr>
        <w:t>Table S</w:t>
      </w:r>
      <w:r w:rsidR="00F53366" w:rsidRPr="00F53366">
        <w:rPr>
          <w:b/>
          <w:sz w:val="20"/>
          <w:szCs w:val="20"/>
        </w:rPr>
        <w:t>34</w:t>
      </w:r>
      <w:r w:rsidRPr="00F53366">
        <w:rPr>
          <w:b/>
          <w:sz w:val="20"/>
          <w:szCs w:val="20"/>
        </w:rPr>
        <w:t>- Evidence to decision table supporting recommendations for mepolizumab for severe asthma in adults (exacerbations)</w:t>
      </w:r>
    </w:p>
    <w:tbl>
      <w:tblPr>
        <w:tblW w:w="0" w:type="auto"/>
        <w:tblCellMar>
          <w:left w:w="0" w:type="dxa"/>
          <w:right w:w="0" w:type="dxa"/>
        </w:tblCellMar>
        <w:tblLook w:val="04A0" w:firstRow="1" w:lastRow="0" w:firstColumn="1" w:lastColumn="0" w:noHBand="0" w:noVBand="1"/>
      </w:tblPr>
      <w:tblGrid>
        <w:gridCol w:w="3249"/>
        <w:gridCol w:w="976"/>
        <w:gridCol w:w="1538"/>
        <w:gridCol w:w="1844"/>
        <w:gridCol w:w="1701"/>
        <w:gridCol w:w="976"/>
        <w:gridCol w:w="1198"/>
        <w:gridCol w:w="1946"/>
      </w:tblGrid>
      <w:tr w:rsidR="00F53366" w:rsidRPr="005C1453" w14:paraId="2090115A" w14:textId="77777777" w:rsidTr="004C505F">
        <w:trPr>
          <w:gridAfter w:val="1"/>
          <w:wAfter w:w="1946" w:type="dxa"/>
          <w:trHeight w:val="19"/>
        </w:trPr>
        <w:tc>
          <w:tcPr>
            <w:tcW w:w="0" w:type="auto"/>
            <w:tcBorders>
              <w:top w:val="single" w:sz="8" w:space="0" w:color="FFFFFF"/>
              <w:left w:val="single" w:sz="8" w:space="0" w:color="FFFFFF"/>
              <w:bottom w:val="single" w:sz="24" w:space="0" w:color="FFFFFF"/>
              <w:right w:val="single" w:sz="8" w:space="0" w:color="FFFFFF"/>
            </w:tcBorders>
            <w:shd w:val="clear" w:color="auto" w:fill="5B9BD5"/>
            <w:tcMar>
              <w:top w:w="74" w:type="dxa"/>
              <w:left w:w="74" w:type="dxa"/>
              <w:bottom w:w="74" w:type="dxa"/>
              <w:right w:w="74" w:type="dxa"/>
            </w:tcMar>
            <w:vAlign w:val="center"/>
            <w:hideMark/>
          </w:tcPr>
          <w:p w14:paraId="2509EE67" w14:textId="77777777" w:rsidR="00F53366" w:rsidRPr="005C1453" w:rsidRDefault="00F53366" w:rsidP="005C1453">
            <w:pPr>
              <w:spacing w:after="200" w:line="276" w:lineRule="auto"/>
              <w:jc w:val="both"/>
              <w:rPr>
                <w:rFonts w:ascii="Arial" w:eastAsia="Calibri" w:hAnsi="Arial" w:cs="Arial"/>
                <w:color w:val="000000"/>
                <w:sz w:val="16"/>
                <w:szCs w:val="16"/>
              </w:rPr>
            </w:pPr>
          </w:p>
        </w:tc>
        <w:tc>
          <w:tcPr>
            <w:tcW w:w="8233" w:type="dxa"/>
            <w:gridSpan w:val="6"/>
            <w:tcBorders>
              <w:top w:val="single" w:sz="8" w:space="0" w:color="FFFFFF"/>
              <w:left w:val="single" w:sz="8" w:space="0" w:color="FFFFFF"/>
              <w:bottom w:val="single" w:sz="24" w:space="0" w:color="FFFFFF"/>
            </w:tcBorders>
            <w:shd w:val="clear" w:color="auto" w:fill="5B9BD5"/>
            <w:tcMar>
              <w:top w:w="74" w:type="dxa"/>
              <w:left w:w="74" w:type="dxa"/>
              <w:bottom w:w="74" w:type="dxa"/>
              <w:right w:w="74" w:type="dxa"/>
            </w:tcMar>
            <w:vAlign w:val="center"/>
            <w:hideMark/>
          </w:tcPr>
          <w:p w14:paraId="090BB0F3" w14:textId="77777777" w:rsidR="00F53366" w:rsidRPr="005C1453" w:rsidRDefault="00F53366" w:rsidP="005C1453">
            <w:pPr>
              <w:spacing w:after="200"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Judgement</w:t>
            </w:r>
          </w:p>
        </w:tc>
      </w:tr>
      <w:tr w:rsidR="005C1453" w:rsidRPr="005C1453" w14:paraId="36E0FABC" w14:textId="77777777" w:rsidTr="00F53366">
        <w:trPr>
          <w:trHeight w:val="147"/>
        </w:trPr>
        <w:tc>
          <w:tcPr>
            <w:tcW w:w="0" w:type="auto"/>
            <w:tcBorders>
              <w:top w:val="single" w:sz="24"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51F67094"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Problem (importance)</w:t>
            </w:r>
          </w:p>
        </w:tc>
        <w:tc>
          <w:tcPr>
            <w:tcW w:w="976"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649B128"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No</w:t>
            </w:r>
          </w:p>
        </w:tc>
        <w:tc>
          <w:tcPr>
            <w:tcW w:w="1538"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41E521B"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no</w:t>
            </w:r>
          </w:p>
        </w:tc>
        <w:tc>
          <w:tcPr>
            <w:tcW w:w="1844"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A4091FB"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yes</w:t>
            </w:r>
          </w:p>
        </w:tc>
        <w:tc>
          <w:tcPr>
            <w:tcW w:w="1701" w:type="dxa"/>
            <w:tcBorders>
              <w:top w:val="single" w:sz="24"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3A2CF831"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Yes</w:t>
            </w:r>
          </w:p>
        </w:tc>
        <w:tc>
          <w:tcPr>
            <w:tcW w:w="976"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A3A3781" w14:textId="77777777" w:rsidR="005C1453" w:rsidRPr="005C1453" w:rsidRDefault="005C1453" w:rsidP="005C1453">
            <w:pPr>
              <w:spacing w:after="200" w:line="276" w:lineRule="auto"/>
              <w:jc w:val="both"/>
              <w:rPr>
                <w:rFonts w:ascii="Arial" w:eastAsia="Calibri" w:hAnsi="Arial" w:cs="Arial"/>
                <w:color w:val="000000"/>
                <w:sz w:val="16"/>
                <w:szCs w:val="16"/>
              </w:rPr>
            </w:pPr>
          </w:p>
        </w:tc>
        <w:tc>
          <w:tcPr>
            <w:tcW w:w="1198"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670498C"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Varies</w:t>
            </w:r>
          </w:p>
        </w:tc>
        <w:tc>
          <w:tcPr>
            <w:tcW w:w="1946"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CC2591A"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Don't know</w:t>
            </w:r>
          </w:p>
        </w:tc>
      </w:tr>
      <w:tr w:rsidR="005C1453" w:rsidRPr="005C1453" w14:paraId="3E6DE4F2" w14:textId="77777777" w:rsidTr="00F53366">
        <w:trPr>
          <w:trHeight w:val="52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6FFFD24A"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Desirable Effects</w:t>
            </w:r>
          </w:p>
        </w:tc>
        <w:tc>
          <w:tcPr>
            <w:tcW w:w="9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4335279"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Trivial</w:t>
            </w:r>
          </w:p>
        </w:tc>
        <w:tc>
          <w:tcPr>
            <w:tcW w:w="1538"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FEFD3E1"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Small</w:t>
            </w:r>
          </w:p>
        </w:tc>
        <w:tc>
          <w:tcPr>
            <w:tcW w:w="184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EA05C78"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Moderate</w:t>
            </w:r>
          </w:p>
        </w:tc>
        <w:tc>
          <w:tcPr>
            <w:tcW w:w="1701"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590839A4"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Large</w:t>
            </w:r>
          </w:p>
        </w:tc>
        <w:tc>
          <w:tcPr>
            <w:tcW w:w="9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B981E73" w14:textId="77777777" w:rsidR="005C1453" w:rsidRPr="005C1453" w:rsidRDefault="005C1453" w:rsidP="005C1453">
            <w:pPr>
              <w:spacing w:after="200" w:line="276" w:lineRule="auto"/>
              <w:jc w:val="both"/>
              <w:rPr>
                <w:rFonts w:ascii="Arial" w:eastAsia="Calibri" w:hAnsi="Arial" w:cs="Arial"/>
                <w:color w:val="000000"/>
                <w:sz w:val="16"/>
                <w:szCs w:val="16"/>
              </w:rPr>
            </w:pPr>
          </w:p>
        </w:tc>
        <w:tc>
          <w:tcPr>
            <w:tcW w:w="1198"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5D4DB67"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Varies</w:t>
            </w:r>
          </w:p>
        </w:tc>
        <w:tc>
          <w:tcPr>
            <w:tcW w:w="194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1F1A5AE"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Don't know</w:t>
            </w:r>
          </w:p>
        </w:tc>
      </w:tr>
      <w:tr w:rsidR="005C1453" w:rsidRPr="005C1453" w14:paraId="41E7F4D6" w14:textId="77777777" w:rsidTr="00F53366">
        <w:trPr>
          <w:trHeight w:val="56"/>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18F4DE80"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lastRenderedPageBreak/>
              <w:t>Undesirable Effects</w:t>
            </w:r>
          </w:p>
        </w:tc>
        <w:tc>
          <w:tcPr>
            <w:tcW w:w="97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5088C07"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Large</w:t>
            </w:r>
          </w:p>
        </w:tc>
        <w:tc>
          <w:tcPr>
            <w:tcW w:w="1538"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3F08C82"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Moderate</w:t>
            </w:r>
          </w:p>
        </w:tc>
        <w:tc>
          <w:tcPr>
            <w:tcW w:w="1844"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2E4B3843"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Small</w:t>
            </w: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6BA1E6F"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Trivial</w:t>
            </w:r>
          </w:p>
        </w:tc>
        <w:tc>
          <w:tcPr>
            <w:tcW w:w="97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D2E55B9" w14:textId="77777777" w:rsidR="005C1453" w:rsidRPr="005C1453" w:rsidRDefault="005C1453" w:rsidP="005C1453">
            <w:pPr>
              <w:spacing w:after="200" w:line="276" w:lineRule="auto"/>
              <w:jc w:val="both"/>
              <w:rPr>
                <w:rFonts w:ascii="Arial" w:eastAsia="Calibri" w:hAnsi="Arial" w:cs="Arial"/>
                <w:color w:val="000000"/>
                <w:sz w:val="16"/>
                <w:szCs w:val="16"/>
              </w:rPr>
            </w:pPr>
          </w:p>
        </w:tc>
        <w:tc>
          <w:tcPr>
            <w:tcW w:w="1198"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59B8C65"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Varies</w:t>
            </w:r>
          </w:p>
        </w:tc>
        <w:tc>
          <w:tcPr>
            <w:tcW w:w="194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B65F7FF"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Don't know</w:t>
            </w:r>
          </w:p>
        </w:tc>
      </w:tr>
      <w:tr w:rsidR="005C1453" w:rsidRPr="005C1453" w14:paraId="61526BED" w14:textId="77777777" w:rsidTr="00F53366">
        <w:trPr>
          <w:trHeight w:val="1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7AA891AD"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Certainty of evidence</w:t>
            </w:r>
          </w:p>
        </w:tc>
        <w:tc>
          <w:tcPr>
            <w:tcW w:w="9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FE9952E"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Very low</w:t>
            </w:r>
          </w:p>
        </w:tc>
        <w:tc>
          <w:tcPr>
            <w:tcW w:w="1538"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F0CDEF4"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Low</w:t>
            </w:r>
          </w:p>
        </w:tc>
        <w:tc>
          <w:tcPr>
            <w:tcW w:w="184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BD1F6EE"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Moderate</w:t>
            </w:r>
          </w:p>
        </w:tc>
        <w:tc>
          <w:tcPr>
            <w:tcW w:w="1701"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60FADC74"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High</w:t>
            </w:r>
          </w:p>
        </w:tc>
        <w:tc>
          <w:tcPr>
            <w:tcW w:w="9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2E83FBC" w14:textId="77777777" w:rsidR="005C1453" w:rsidRPr="005C1453" w:rsidRDefault="005C1453" w:rsidP="005C1453">
            <w:pPr>
              <w:spacing w:after="200" w:line="276" w:lineRule="auto"/>
              <w:jc w:val="both"/>
              <w:rPr>
                <w:rFonts w:ascii="Arial" w:eastAsia="Calibri" w:hAnsi="Arial" w:cs="Arial"/>
                <w:color w:val="000000"/>
                <w:sz w:val="16"/>
                <w:szCs w:val="16"/>
              </w:rPr>
            </w:pPr>
          </w:p>
        </w:tc>
        <w:tc>
          <w:tcPr>
            <w:tcW w:w="1198"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2E1D0DB" w14:textId="77777777" w:rsidR="005C1453" w:rsidRPr="005C1453" w:rsidRDefault="005C1453" w:rsidP="005C1453">
            <w:pPr>
              <w:spacing w:after="200" w:line="276" w:lineRule="auto"/>
              <w:jc w:val="both"/>
              <w:rPr>
                <w:rFonts w:ascii="Arial" w:eastAsia="Calibri" w:hAnsi="Arial" w:cs="Arial"/>
                <w:color w:val="000000"/>
                <w:sz w:val="16"/>
                <w:szCs w:val="16"/>
              </w:rPr>
            </w:pPr>
          </w:p>
        </w:tc>
        <w:tc>
          <w:tcPr>
            <w:tcW w:w="194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C165F49"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No included studies</w:t>
            </w:r>
          </w:p>
        </w:tc>
      </w:tr>
      <w:tr w:rsidR="005C1453" w:rsidRPr="005C1453" w14:paraId="0B7E9C92" w14:textId="77777777" w:rsidTr="00F53366">
        <w:trPr>
          <w:trHeight w:val="1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32035F54"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Values</w:t>
            </w:r>
          </w:p>
        </w:tc>
        <w:tc>
          <w:tcPr>
            <w:tcW w:w="97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66CF980"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Important uncertainty or variability</w:t>
            </w:r>
          </w:p>
        </w:tc>
        <w:tc>
          <w:tcPr>
            <w:tcW w:w="1538"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DAC7120"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Possibly important uncertainty or variability</w:t>
            </w:r>
          </w:p>
        </w:tc>
        <w:tc>
          <w:tcPr>
            <w:tcW w:w="184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B7CB95C"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no important uncertainty or variability</w:t>
            </w:r>
          </w:p>
        </w:tc>
        <w:tc>
          <w:tcPr>
            <w:tcW w:w="1701"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3ADFC501"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no important uncertainty or variability</w:t>
            </w:r>
          </w:p>
        </w:tc>
        <w:tc>
          <w:tcPr>
            <w:tcW w:w="97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5959540" w14:textId="77777777" w:rsidR="005C1453" w:rsidRPr="005C1453" w:rsidRDefault="005C1453" w:rsidP="005C1453">
            <w:pPr>
              <w:spacing w:after="200" w:line="276" w:lineRule="auto"/>
              <w:jc w:val="both"/>
              <w:rPr>
                <w:rFonts w:ascii="Arial" w:eastAsia="Calibri" w:hAnsi="Arial" w:cs="Arial"/>
                <w:color w:val="000000"/>
                <w:sz w:val="16"/>
                <w:szCs w:val="16"/>
              </w:rPr>
            </w:pPr>
          </w:p>
        </w:tc>
        <w:tc>
          <w:tcPr>
            <w:tcW w:w="1198"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68B8294" w14:textId="77777777" w:rsidR="005C1453" w:rsidRPr="005C1453" w:rsidRDefault="005C1453" w:rsidP="005C1453">
            <w:pPr>
              <w:spacing w:after="200" w:line="276" w:lineRule="auto"/>
              <w:jc w:val="both"/>
              <w:rPr>
                <w:rFonts w:ascii="Arial" w:eastAsia="Calibri" w:hAnsi="Arial" w:cs="Arial"/>
                <w:color w:val="000000"/>
                <w:sz w:val="16"/>
                <w:szCs w:val="16"/>
              </w:rPr>
            </w:pPr>
          </w:p>
        </w:tc>
        <w:tc>
          <w:tcPr>
            <w:tcW w:w="194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11D48CC" w14:textId="77777777" w:rsidR="005C1453" w:rsidRPr="005C1453" w:rsidRDefault="005C1453" w:rsidP="005C1453">
            <w:pPr>
              <w:spacing w:after="200" w:line="276" w:lineRule="auto"/>
              <w:jc w:val="both"/>
              <w:rPr>
                <w:rFonts w:ascii="Arial" w:eastAsia="Calibri" w:hAnsi="Arial" w:cs="Arial"/>
                <w:color w:val="000000"/>
                <w:sz w:val="16"/>
                <w:szCs w:val="16"/>
              </w:rPr>
            </w:pPr>
          </w:p>
        </w:tc>
      </w:tr>
      <w:tr w:rsidR="005C1453" w:rsidRPr="005C1453" w14:paraId="74588351" w14:textId="77777777" w:rsidTr="00F53366">
        <w:trPr>
          <w:trHeight w:val="231"/>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1349343B"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Balance of effects</w:t>
            </w:r>
          </w:p>
        </w:tc>
        <w:tc>
          <w:tcPr>
            <w:tcW w:w="9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A656ED5"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Favors the comparison</w:t>
            </w:r>
          </w:p>
        </w:tc>
        <w:tc>
          <w:tcPr>
            <w:tcW w:w="1538"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059D273"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favors the comparison</w:t>
            </w:r>
          </w:p>
        </w:tc>
        <w:tc>
          <w:tcPr>
            <w:tcW w:w="184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0EB3D00"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Does not favor either the intervention or the comparison</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B8FFDD2"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favors the intervention</w:t>
            </w:r>
          </w:p>
        </w:tc>
        <w:tc>
          <w:tcPr>
            <w:tcW w:w="976"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6E092C71"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Favors the intervention</w:t>
            </w:r>
          </w:p>
        </w:tc>
        <w:tc>
          <w:tcPr>
            <w:tcW w:w="1198"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0FACC01"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Varies</w:t>
            </w:r>
          </w:p>
        </w:tc>
        <w:tc>
          <w:tcPr>
            <w:tcW w:w="194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071445D"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Don't know</w:t>
            </w:r>
          </w:p>
        </w:tc>
      </w:tr>
      <w:tr w:rsidR="005C1453" w:rsidRPr="005C1453" w14:paraId="53CCF60E" w14:textId="77777777" w:rsidTr="00F53366">
        <w:trPr>
          <w:trHeight w:val="1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02B2AAF9"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Resources required</w:t>
            </w:r>
          </w:p>
        </w:tc>
        <w:tc>
          <w:tcPr>
            <w:tcW w:w="97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B55BF57"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Large costs</w:t>
            </w:r>
          </w:p>
        </w:tc>
        <w:tc>
          <w:tcPr>
            <w:tcW w:w="1538"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39A3EE1"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Moderate costs</w:t>
            </w:r>
          </w:p>
        </w:tc>
        <w:tc>
          <w:tcPr>
            <w:tcW w:w="184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F6B1927"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Negligible costs and savings</w:t>
            </w: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AB0B7B9"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Moderate savings</w:t>
            </w:r>
          </w:p>
        </w:tc>
        <w:tc>
          <w:tcPr>
            <w:tcW w:w="97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88503C9"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Large savings</w:t>
            </w:r>
          </w:p>
        </w:tc>
        <w:tc>
          <w:tcPr>
            <w:tcW w:w="1198"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71EEE5BF"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Varies</w:t>
            </w:r>
          </w:p>
        </w:tc>
        <w:tc>
          <w:tcPr>
            <w:tcW w:w="194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4F0C546"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Don't know</w:t>
            </w:r>
          </w:p>
        </w:tc>
      </w:tr>
      <w:tr w:rsidR="005C1453" w:rsidRPr="005C1453" w14:paraId="234D13F4" w14:textId="77777777" w:rsidTr="00F53366">
        <w:trPr>
          <w:trHeight w:val="12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79085904"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Certainty of evidence of required resources</w:t>
            </w:r>
          </w:p>
        </w:tc>
        <w:tc>
          <w:tcPr>
            <w:tcW w:w="9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04BD7CD"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Very low</w:t>
            </w:r>
          </w:p>
        </w:tc>
        <w:tc>
          <w:tcPr>
            <w:tcW w:w="1538"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8A2BC4D"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Low</w:t>
            </w:r>
          </w:p>
        </w:tc>
        <w:tc>
          <w:tcPr>
            <w:tcW w:w="184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61E8DDE"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Moderate</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D356AD2"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High</w:t>
            </w:r>
          </w:p>
        </w:tc>
        <w:tc>
          <w:tcPr>
            <w:tcW w:w="9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54FC6B7" w14:textId="77777777" w:rsidR="005C1453" w:rsidRPr="005C1453" w:rsidRDefault="005C1453" w:rsidP="005C1453">
            <w:pPr>
              <w:spacing w:after="200" w:line="276" w:lineRule="auto"/>
              <w:jc w:val="both"/>
              <w:rPr>
                <w:rFonts w:ascii="Arial" w:eastAsia="Calibri" w:hAnsi="Arial" w:cs="Arial"/>
                <w:color w:val="000000"/>
                <w:sz w:val="16"/>
                <w:szCs w:val="16"/>
              </w:rPr>
            </w:pPr>
          </w:p>
        </w:tc>
        <w:tc>
          <w:tcPr>
            <w:tcW w:w="1198"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0873ED0" w14:textId="77777777" w:rsidR="005C1453" w:rsidRPr="005C1453" w:rsidRDefault="005C1453" w:rsidP="005C1453">
            <w:pPr>
              <w:spacing w:after="200" w:line="276" w:lineRule="auto"/>
              <w:jc w:val="both"/>
              <w:rPr>
                <w:rFonts w:ascii="Arial" w:eastAsia="Calibri" w:hAnsi="Arial" w:cs="Arial"/>
                <w:color w:val="000000"/>
                <w:sz w:val="16"/>
                <w:szCs w:val="16"/>
              </w:rPr>
            </w:pPr>
          </w:p>
        </w:tc>
        <w:tc>
          <w:tcPr>
            <w:tcW w:w="1946"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7F816D5A" w14:textId="7BA10BA8"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 xml:space="preserve">No </w:t>
            </w:r>
            <w:r w:rsidR="00F53366" w:rsidRPr="005C1453">
              <w:rPr>
                <w:rFonts w:ascii="Arial" w:eastAsia="Calibri" w:hAnsi="Arial" w:cs="Arial"/>
                <w:color w:val="000000"/>
                <w:sz w:val="16"/>
                <w:szCs w:val="16"/>
              </w:rPr>
              <w:t xml:space="preserve">studies </w:t>
            </w:r>
            <w:r w:rsidRPr="005C1453">
              <w:rPr>
                <w:rFonts w:ascii="Arial" w:eastAsia="Calibri" w:hAnsi="Arial" w:cs="Arial"/>
                <w:color w:val="000000"/>
                <w:sz w:val="16"/>
                <w:szCs w:val="16"/>
              </w:rPr>
              <w:t xml:space="preserve">included </w:t>
            </w:r>
          </w:p>
        </w:tc>
      </w:tr>
      <w:tr w:rsidR="005C1453" w:rsidRPr="005C1453" w14:paraId="372EB76B" w14:textId="77777777" w:rsidTr="00F53366">
        <w:trPr>
          <w:trHeight w:val="1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5F032DAA"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Cost effectiveness</w:t>
            </w:r>
          </w:p>
        </w:tc>
        <w:tc>
          <w:tcPr>
            <w:tcW w:w="97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7FBAB2D"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Favors the comparison</w:t>
            </w:r>
          </w:p>
        </w:tc>
        <w:tc>
          <w:tcPr>
            <w:tcW w:w="1538"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CE29DB6"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favors the comparison</w:t>
            </w:r>
          </w:p>
        </w:tc>
        <w:tc>
          <w:tcPr>
            <w:tcW w:w="184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CC92A15"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Does not favor either the intervention or the comparison</w:t>
            </w:r>
          </w:p>
        </w:tc>
        <w:tc>
          <w:tcPr>
            <w:tcW w:w="170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4" w:type="dxa"/>
              <w:left w:w="74" w:type="dxa"/>
              <w:bottom w:w="74" w:type="dxa"/>
              <w:right w:w="74" w:type="dxa"/>
            </w:tcMar>
            <w:vAlign w:val="center"/>
            <w:hideMark/>
          </w:tcPr>
          <w:p w14:paraId="1C602EBD"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favors the intervention</w:t>
            </w:r>
          </w:p>
        </w:tc>
        <w:tc>
          <w:tcPr>
            <w:tcW w:w="97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0EDCA99"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Favors the intervention</w:t>
            </w:r>
          </w:p>
        </w:tc>
        <w:tc>
          <w:tcPr>
            <w:tcW w:w="1198"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2D82236E"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Varies</w:t>
            </w:r>
          </w:p>
        </w:tc>
        <w:tc>
          <w:tcPr>
            <w:tcW w:w="194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495F040" w14:textId="65BAC350"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 xml:space="preserve">No </w:t>
            </w:r>
            <w:r w:rsidR="00F53366" w:rsidRPr="005C1453">
              <w:rPr>
                <w:rFonts w:ascii="Arial" w:eastAsia="Calibri" w:hAnsi="Arial" w:cs="Arial"/>
                <w:color w:val="000000"/>
                <w:sz w:val="16"/>
                <w:szCs w:val="16"/>
              </w:rPr>
              <w:t xml:space="preserve">studies </w:t>
            </w:r>
            <w:r w:rsidRPr="005C1453">
              <w:rPr>
                <w:rFonts w:ascii="Arial" w:eastAsia="Calibri" w:hAnsi="Arial" w:cs="Arial"/>
                <w:color w:val="000000"/>
                <w:sz w:val="16"/>
                <w:szCs w:val="16"/>
              </w:rPr>
              <w:t xml:space="preserve">included </w:t>
            </w:r>
          </w:p>
        </w:tc>
      </w:tr>
      <w:tr w:rsidR="005C1453" w:rsidRPr="005C1453" w14:paraId="77558862" w14:textId="77777777" w:rsidTr="00F53366">
        <w:trPr>
          <w:trHeight w:val="1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163F5A91"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Equity</w:t>
            </w:r>
          </w:p>
        </w:tc>
        <w:tc>
          <w:tcPr>
            <w:tcW w:w="9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7822639"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Reduced</w:t>
            </w:r>
          </w:p>
        </w:tc>
        <w:tc>
          <w:tcPr>
            <w:tcW w:w="1538"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7011F5D"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reduced</w:t>
            </w:r>
          </w:p>
        </w:tc>
        <w:tc>
          <w:tcPr>
            <w:tcW w:w="184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11D17A5"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no impact</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420B4EF"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increased</w:t>
            </w:r>
          </w:p>
        </w:tc>
        <w:tc>
          <w:tcPr>
            <w:tcW w:w="9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5CA242C"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Increased</w:t>
            </w:r>
          </w:p>
        </w:tc>
        <w:tc>
          <w:tcPr>
            <w:tcW w:w="1198"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6DA67C7"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Varies</w:t>
            </w:r>
          </w:p>
        </w:tc>
        <w:tc>
          <w:tcPr>
            <w:tcW w:w="1946"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73CC152E"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Don't know</w:t>
            </w:r>
          </w:p>
        </w:tc>
      </w:tr>
      <w:tr w:rsidR="005C1453" w:rsidRPr="005C1453" w14:paraId="5D9D1A96" w14:textId="77777777" w:rsidTr="00F53366">
        <w:trPr>
          <w:trHeight w:val="52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275E0F6A"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Acceptability</w:t>
            </w:r>
          </w:p>
        </w:tc>
        <w:tc>
          <w:tcPr>
            <w:tcW w:w="97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E821A11"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No</w:t>
            </w:r>
          </w:p>
        </w:tc>
        <w:tc>
          <w:tcPr>
            <w:tcW w:w="1538"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02EDFBC"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no</w:t>
            </w:r>
          </w:p>
        </w:tc>
        <w:tc>
          <w:tcPr>
            <w:tcW w:w="1844"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6149F5CD"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yes</w:t>
            </w: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D67B6C0"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Yes</w:t>
            </w:r>
          </w:p>
        </w:tc>
        <w:tc>
          <w:tcPr>
            <w:tcW w:w="97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EDAD890" w14:textId="77777777" w:rsidR="005C1453" w:rsidRPr="005C1453" w:rsidRDefault="005C1453" w:rsidP="005C1453">
            <w:pPr>
              <w:spacing w:after="200" w:line="276" w:lineRule="auto"/>
              <w:jc w:val="both"/>
              <w:rPr>
                <w:rFonts w:ascii="Arial" w:eastAsia="Calibri" w:hAnsi="Arial" w:cs="Arial"/>
                <w:color w:val="000000"/>
                <w:sz w:val="16"/>
                <w:szCs w:val="16"/>
              </w:rPr>
            </w:pPr>
          </w:p>
        </w:tc>
        <w:tc>
          <w:tcPr>
            <w:tcW w:w="1198"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CB2ED0B"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Varies</w:t>
            </w:r>
          </w:p>
        </w:tc>
        <w:tc>
          <w:tcPr>
            <w:tcW w:w="194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73CABF2"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Don't know</w:t>
            </w:r>
          </w:p>
        </w:tc>
      </w:tr>
      <w:tr w:rsidR="005C1453" w:rsidRPr="005C1453" w14:paraId="01931E49" w14:textId="77777777" w:rsidTr="00F53366">
        <w:trPr>
          <w:trHeight w:val="1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6F11C4C1"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Feasibility</w:t>
            </w:r>
          </w:p>
        </w:tc>
        <w:tc>
          <w:tcPr>
            <w:tcW w:w="9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7B61F45"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No</w:t>
            </w:r>
          </w:p>
        </w:tc>
        <w:tc>
          <w:tcPr>
            <w:tcW w:w="1538"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0DA56FC"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no</w:t>
            </w:r>
          </w:p>
        </w:tc>
        <w:tc>
          <w:tcPr>
            <w:tcW w:w="1844"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1347CEE0"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yes</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4D82C3C"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Yes</w:t>
            </w:r>
          </w:p>
        </w:tc>
        <w:tc>
          <w:tcPr>
            <w:tcW w:w="9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425D0DD" w14:textId="77777777" w:rsidR="005C1453" w:rsidRPr="005C1453" w:rsidRDefault="005C1453" w:rsidP="005C1453">
            <w:pPr>
              <w:spacing w:after="200" w:line="276" w:lineRule="auto"/>
              <w:jc w:val="both"/>
              <w:rPr>
                <w:rFonts w:ascii="Arial" w:eastAsia="Calibri" w:hAnsi="Arial" w:cs="Arial"/>
                <w:color w:val="000000"/>
                <w:sz w:val="16"/>
                <w:szCs w:val="16"/>
              </w:rPr>
            </w:pPr>
          </w:p>
        </w:tc>
        <w:tc>
          <w:tcPr>
            <w:tcW w:w="1198"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9CA8AAC"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Varies</w:t>
            </w:r>
          </w:p>
        </w:tc>
        <w:tc>
          <w:tcPr>
            <w:tcW w:w="194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A36C0E6" w14:textId="77777777" w:rsidR="005C1453" w:rsidRPr="005C1453" w:rsidRDefault="005C1453" w:rsidP="005C1453">
            <w:pPr>
              <w:spacing w:after="200"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Don't know</w:t>
            </w:r>
          </w:p>
        </w:tc>
      </w:tr>
    </w:tbl>
    <w:p w14:paraId="34B39829" w14:textId="45B02F74" w:rsidR="00596BE0" w:rsidRDefault="00596BE0" w:rsidP="00596BE0">
      <w:pPr>
        <w:jc w:val="both"/>
        <w:rPr>
          <w:rFonts w:ascii="Arial" w:hAnsi="Arial" w:cs="Arial"/>
          <w:color w:val="000000"/>
          <w:sz w:val="16"/>
          <w:szCs w:val="16"/>
        </w:rPr>
      </w:pPr>
    </w:p>
    <w:p w14:paraId="1784DBE3" w14:textId="77777777" w:rsidR="00F53366" w:rsidRDefault="00F53366" w:rsidP="00596BE0">
      <w:pPr>
        <w:jc w:val="both"/>
        <w:rPr>
          <w:rFonts w:ascii="Arial" w:hAnsi="Arial" w:cs="Arial"/>
          <w:b/>
          <w:color w:val="000000"/>
          <w:sz w:val="20"/>
          <w:szCs w:val="20"/>
        </w:rPr>
      </w:pPr>
    </w:p>
    <w:p w14:paraId="5EFB9E92" w14:textId="77777777" w:rsidR="00F53366" w:rsidRDefault="00F53366" w:rsidP="00596BE0">
      <w:pPr>
        <w:jc w:val="both"/>
        <w:rPr>
          <w:rFonts w:ascii="Arial" w:hAnsi="Arial" w:cs="Arial"/>
          <w:b/>
          <w:color w:val="000000"/>
          <w:sz w:val="20"/>
          <w:szCs w:val="20"/>
        </w:rPr>
      </w:pPr>
    </w:p>
    <w:p w14:paraId="5AA8265D" w14:textId="77777777" w:rsidR="00F53366" w:rsidRDefault="00F53366" w:rsidP="00596BE0">
      <w:pPr>
        <w:jc w:val="both"/>
        <w:rPr>
          <w:rFonts w:ascii="Arial" w:hAnsi="Arial" w:cs="Arial"/>
          <w:b/>
          <w:color w:val="000000"/>
          <w:sz w:val="20"/>
          <w:szCs w:val="20"/>
        </w:rPr>
      </w:pPr>
    </w:p>
    <w:p w14:paraId="19176ED1" w14:textId="77777777" w:rsidR="00F53366" w:rsidRDefault="00F53366" w:rsidP="00596BE0">
      <w:pPr>
        <w:jc w:val="both"/>
        <w:rPr>
          <w:rFonts w:ascii="Arial" w:hAnsi="Arial" w:cs="Arial"/>
          <w:b/>
          <w:color w:val="000000"/>
          <w:sz w:val="20"/>
          <w:szCs w:val="20"/>
        </w:rPr>
      </w:pPr>
    </w:p>
    <w:p w14:paraId="36956790" w14:textId="3D340BE7" w:rsidR="00FA6274" w:rsidRPr="00BC0EB8" w:rsidRDefault="00FA6274" w:rsidP="00596BE0">
      <w:pPr>
        <w:jc w:val="both"/>
        <w:rPr>
          <w:rFonts w:ascii="Arial" w:hAnsi="Arial" w:cs="Arial"/>
          <w:b/>
          <w:color w:val="000000"/>
          <w:sz w:val="20"/>
          <w:szCs w:val="20"/>
        </w:rPr>
      </w:pPr>
      <w:r w:rsidRPr="00F53366">
        <w:rPr>
          <w:rFonts w:ascii="Arial" w:hAnsi="Arial" w:cs="Arial"/>
          <w:b/>
          <w:color w:val="000000"/>
          <w:sz w:val="20"/>
          <w:szCs w:val="20"/>
        </w:rPr>
        <w:lastRenderedPageBreak/>
        <w:t>Table S</w:t>
      </w:r>
      <w:r w:rsidR="00F53366" w:rsidRPr="00F53366">
        <w:rPr>
          <w:rFonts w:ascii="Arial" w:hAnsi="Arial" w:cs="Arial"/>
          <w:b/>
          <w:color w:val="000000"/>
          <w:sz w:val="20"/>
          <w:szCs w:val="20"/>
        </w:rPr>
        <w:t>35</w:t>
      </w:r>
      <w:r w:rsidRPr="00F53366">
        <w:rPr>
          <w:rFonts w:ascii="Arial" w:hAnsi="Arial" w:cs="Arial"/>
          <w:b/>
          <w:color w:val="000000"/>
          <w:sz w:val="20"/>
          <w:szCs w:val="20"/>
        </w:rPr>
        <w:t>: Evidence to decision table supporting recommendations for mepolizumab for severe asthma in adults (decrease or withdraw OCS)</w:t>
      </w:r>
    </w:p>
    <w:tbl>
      <w:tblPr>
        <w:tblW w:w="0" w:type="auto"/>
        <w:tblCellMar>
          <w:left w:w="0" w:type="dxa"/>
          <w:right w:w="0" w:type="dxa"/>
        </w:tblCellMar>
        <w:tblLook w:val="04A0" w:firstRow="1" w:lastRow="0" w:firstColumn="1" w:lastColumn="0" w:noHBand="0" w:noVBand="1"/>
      </w:tblPr>
      <w:tblGrid>
        <w:gridCol w:w="2262"/>
        <w:gridCol w:w="1730"/>
        <w:gridCol w:w="2033"/>
        <w:gridCol w:w="2472"/>
        <w:gridCol w:w="1832"/>
        <w:gridCol w:w="1359"/>
        <w:gridCol w:w="602"/>
        <w:gridCol w:w="1128"/>
      </w:tblGrid>
      <w:tr w:rsidR="00FA6274" w:rsidRPr="00FA6274" w14:paraId="2910CB9D" w14:textId="77777777" w:rsidTr="00F53366">
        <w:trPr>
          <w:trHeight w:val="19"/>
        </w:trPr>
        <w:tc>
          <w:tcPr>
            <w:tcW w:w="0" w:type="auto"/>
            <w:tcBorders>
              <w:top w:val="single" w:sz="8" w:space="0" w:color="FFFFFF"/>
              <w:left w:val="single" w:sz="8" w:space="0" w:color="FFFFFF"/>
              <w:bottom w:val="single" w:sz="24" w:space="0" w:color="FFFFFF"/>
              <w:right w:val="single" w:sz="8" w:space="0" w:color="FFFFFF"/>
            </w:tcBorders>
            <w:shd w:val="clear" w:color="auto" w:fill="5B9BD5"/>
            <w:tcMar>
              <w:top w:w="74" w:type="dxa"/>
              <w:left w:w="74" w:type="dxa"/>
              <w:bottom w:w="74" w:type="dxa"/>
              <w:right w:w="74" w:type="dxa"/>
            </w:tcMar>
            <w:vAlign w:val="center"/>
            <w:hideMark/>
          </w:tcPr>
          <w:p w14:paraId="1348F092" w14:textId="77777777" w:rsidR="00FA6274" w:rsidRPr="00FA6274" w:rsidRDefault="00FA6274" w:rsidP="00FA6274">
            <w:pPr>
              <w:jc w:val="both"/>
              <w:rPr>
                <w:rFonts w:ascii="Arial" w:hAnsi="Arial" w:cs="Arial"/>
                <w:color w:val="000000"/>
                <w:sz w:val="16"/>
                <w:szCs w:val="16"/>
              </w:rPr>
            </w:pPr>
          </w:p>
        </w:tc>
        <w:tc>
          <w:tcPr>
            <w:tcW w:w="0" w:type="auto"/>
            <w:gridSpan w:val="7"/>
            <w:tcBorders>
              <w:top w:val="single" w:sz="8" w:space="0" w:color="FFFFFF"/>
              <w:left w:val="single" w:sz="8" w:space="0" w:color="FFFFFF"/>
              <w:bottom w:val="single" w:sz="24" w:space="0" w:color="FFFFFF"/>
              <w:right w:val="single" w:sz="8" w:space="0" w:color="FFFFFF"/>
            </w:tcBorders>
            <w:shd w:val="clear" w:color="auto" w:fill="5B9BD5"/>
            <w:tcMar>
              <w:top w:w="74" w:type="dxa"/>
              <w:left w:w="74" w:type="dxa"/>
              <w:bottom w:w="74" w:type="dxa"/>
              <w:right w:w="74" w:type="dxa"/>
            </w:tcMar>
            <w:vAlign w:val="center"/>
            <w:hideMark/>
          </w:tcPr>
          <w:p w14:paraId="7041D838" w14:textId="77777777" w:rsidR="00FA6274" w:rsidRPr="00FA6274" w:rsidRDefault="00FA6274" w:rsidP="00FA6274">
            <w:pPr>
              <w:jc w:val="both"/>
              <w:rPr>
                <w:rFonts w:ascii="Arial" w:hAnsi="Arial" w:cs="Arial"/>
                <w:color w:val="000000"/>
                <w:sz w:val="16"/>
                <w:szCs w:val="16"/>
              </w:rPr>
            </w:pPr>
            <w:r w:rsidRPr="00FA6274">
              <w:rPr>
                <w:rFonts w:ascii="Arial" w:hAnsi="Arial" w:cs="Arial"/>
                <w:b/>
                <w:bCs/>
                <w:color w:val="000000"/>
                <w:sz w:val="16"/>
                <w:szCs w:val="16"/>
              </w:rPr>
              <w:t>Judgement</w:t>
            </w:r>
          </w:p>
        </w:tc>
      </w:tr>
      <w:tr w:rsidR="00FA6274" w:rsidRPr="00FA6274" w14:paraId="0609CA4D" w14:textId="77777777" w:rsidTr="00F53366">
        <w:trPr>
          <w:trHeight w:val="19"/>
        </w:trPr>
        <w:tc>
          <w:tcPr>
            <w:tcW w:w="0" w:type="auto"/>
            <w:tcBorders>
              <w:top w:val="single" w:sz="24"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046015D6" w14:textId="77777777" w:rsidR="00FA6274" w:rsidRPr="00FA6274" w:rsidRDefault="00FA6274" w:rsidP="00FA6274">
            <w:pPr>
              <w:jc w:val="both"/>
              <w:rPr>
                <w:rFonts w:ascii="Arial" w:hAnsi="Arial" w:cs="Arial"/>
                <w:color w:val="000000"/>
                <w:sz w:val="16"/>
                <w:szCs w:val="16"/>
              </w:rPr>
            </w:pPr>
            <w:r w:rsidRPr="00FA6274">
              <w:rPr>
                <w:rFonts w:ascii="Arial" w:hAnsi="Arial" w:cs="Arial"/>
                <w:b/>
                <w:bCs/>
                <w:color w:val="000000"/>
                <w:sz w:val="16"/>
                <w:szCs w:val="16"/>
              </w:rPr>
              <w:t>Problem (importance)</w:t>
            </w:r>
          </w:p>
        </w:tc>
        <w:tc>
          <w:tcPr>
            <w:tcW w:w="0" w:type="auto"/>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5327760"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No</w:t>
            </w:r>
          </w:p>
        </w:tc>
        <w:tc>
          <w:tcPr>
            <w:tcW w:w="0" w:type="auto"/>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C1A8667"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Probably no</w:t>
            </w:r>
          </w:p>
        </w:tc>
        <w:tc>
          <w:tcPr>
            <w:tcW w:w="0" w:type="auto"/>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0A2DFE2"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Probably yes</w:t>
            </w:r>
          </w:p>
        </w:tc>
        <w:tc>
          <w:tcPr>
            <w:tcW w:w="0" w:type="auto"/>
            <w:tcBorders>
              <w:top w:val="single" w:sz="24"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537398FF"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Yes</w:t>
            </w:r>
          </w:p>
        </w:tc>
        <w:tc>
          <w:tcPr>
            <w:tcW w:w="0" w:type="auto"/>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4C15BCF" w14:textId="77777777" w:rsidR="00FA6274" w:rsidRPr="00FA6274" w:rsidRDefault="00FA6274" w:rsidP="00FA6274">
            <w:pPr>
              <w:jc w:val="both"/>
              <w:rPr>
                <w:rFonts w:ascii="Arial" w:hAnsi="Arial" w:cs="Arial"/>
                <w:color w:val="000000"/>
                <w:sz w:val="16"/>
                <w:szCs w:val="16"/>
              </w:rPr>
            </w:pPr>
          </w:p>
        </w:tc>
        <w:tc>
          <w:tcPr>
            <w:tcW w:w="0" w:type="auto"/>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8EBE0A0"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Varies</w:t>
            </w:r>
          </w:p>
        </w:tc>
        <w:tc>
          <w:tcPr>
            <w:tcW w:w="0" w:type="auto"/>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C153E74"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Don't know</w:t>
            </w:r>
          </w:p>
        </w:tc>
      </w:tr>
      <w:tr w:rsidR="00FA6274" w:rsidRPr="00FA6274" w14:paraId="5E1F8899" w14:textId="77777777" w:rsidTr="002311F8">
        <w:trPr>
          <w:trHeight w:val="74"/>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40A29DA7" w14:textId="77777777" w:rsidR="00FA6274" w:rsidRPr="00FA6274" w:rsidRDefault="00FA6274" w:rsidP="00FA6274">
            <w:pPr>
              <w:jc w:val="both"/>
              <w:rPr>
                <w:rFonts w:ascii="Arial" w:hAnsi="Arial" w:cs="Arial"/>
                <w:color w:val="000000"/>
                <w:sz w:val="16"/>
                <w:szCs w:val="16"/>
              </w:rPr>
            </w:pPr>
            <w:r w:rsidRPr="00FA6274">
              <w:rPr>
                <w:rFonts w:ascii="Arial" w:hAnsi="Arial" w:cs="Arial"/>
                <w:b/>
                <w:bCs/>
                <w:color w:val="000000"/>
                <w:sz w:val="16"/>
                <w:szCs w:val="16"/>
              </w:rPr>
              <w:t>Desirable Effects</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986D38E"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Trivial</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46EB7CB"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Small</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68DABFB"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Moderate</w:t>
            </w:r>
          </w:p>
        </w:tc>
        <w:tc>
          <w:tcPr>
            <w:tcW w:w="0" w:type="auto"/>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240B8FBB"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Large</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A95C0B6" w14:textId="77777777" w:rsidR="00FA6274" w:rsidRPr="00FA6274" w:rsidRDefault="00FA6274" w:rsidP="00FA6274">
            <w:pPr>
              <w:jc w:val="both"/>
              <w:rPr>
                <w:rFonts w:ascii="Arial" w:hAnsi="Arial" w:cs="Arial"/>
                <w:color w:val="000000"/>
                <w:sz w:val="16"/>
                <w:szCs w:val="16"/>
              </w:rPr>
            </w:pP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E0F06C6"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Varies</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18388AF"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Don't know</w:t>
            </w:r>
          </w:p>
        </w:tc>
      </w:tr>
      <w:tr w:rsidR="00FA6274" w:rsidRPr="00FA6274" w14:paraId="49DBC41E" w14:textId="77777777" w:rsidTr="002311F8">
        <w:trPr>
          <w:trHeight w:val="1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7AC84C7D" w14:textId="77777777" w:rsidR="00FA6274" w:rsidRPr="00FA6274" w:rsidRDefault="00FA6274" w:rsidP="00FA6274">
            <w:pPr>
              <w:jc w:val="both"/>
              <w:rPr>
                <w:rFonts w:ascii="Arial" w:hAnsi="Arial" w:cs="Arial"/>
                <w:color w:val="000000"/>
                <w:sz w:val="16"/>
                <w:szCs w:val="16"/>
              </w:rPr>
            </w:pPr>
            <w:r w:rsidRPr="00FA6274">
              <w:rPr>
                <w:rFonts w:ascii="Arial" w:hAnsi="Arial" w:cs="Arial"/>
                <w:b/>
                <w:bCs/>
                <w:color w:val="000000"/>
                <w:sz w:val="16"/>
                <w:szCs w:val="16"/>
              </w:rPr>
              <w:t>Undesirable Effects</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12B61BA"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Large</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8510266"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Moderate</w:t>
            </w:r>
          </w:p>
        </w:tc>
        <w:tc>
          <w:tcPr>
            <w:tcW w:w="0" w:type="auto"/>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46D5D733"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Small</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4AD98B2"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Trivial</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2C79DFB" w14:textId="77777777" w:rsidR="00FA6274" w:rsidRPr="00FA6274" w:rsidRDefault="00FA6274" w:rsidP="00FA6274">
            <w:pPr>
              <w:jc w:val="both"/>
              <w:rPr>
                <w:rFonts w:ascii="Arial" w:hAnsi="Arial" w:cs="Arial"/>
                <w:color w:val="000000"/>
                <w:sz w:val="16"/>
                <w:szCs w:val="16"/>
              </w:rPr>
            </w:pP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F04A4AA"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Varies</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02DD89D"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Don't know</w:t>
            </w:r>
          </w:p>
        </w:tc>
      </w:tr>
      <w:tr w:rsidR="00FA6274" w:rsidRPr="00FA6274" w14:paraId="1C6E3D45" w14:textId="77777777" w:rsidTr="002311F8">
        <w:trPr>
          <w:trHeight w:val="1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0EFF9EE0" w14:textId="77777777" w:rsidR="00FA6274" w:rsidRPr="00FA6274" w:rsidRDefault="00FA6274" w:rsidP="00FA6274">
            <w:pPr>
              <w:jc w:val="both"/>
              <w:rPr>
                <w:rFonts w:ascii="Arial" w:hAnsi="Arial" w:cs="Arial"/>
                <w:color w:val="000000"/>
                <w:sz w:val="16"/>
                <w:szCs w:val="16"/>
              </w:rPr>
            </w:pPr>
            <w:r w:rsidRPr="00FA6274">
              <w:rPr>
                <w:rFonts w:ascii="Arial" w:hAnsi="Arial" w:cs="Arial"/>
                <w:b/>
                <w:bCs/>
                <w:color w:val="000000"/>
                <w:sz w:val="16"/>
                <w:szCs w:val="16"/>
              </w:rPr>
              <w:t>Certainty of evidence</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F7EA108"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Very low</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7F4AFCF"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Low</w:t>
            </w:r>
          </w:p>
        </w:tc>
        <w:tc>
          <w:tcPr>
            <w:tcW w:w="0" w:type="auto"/>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41097470"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Moderate</w:t>
            </w:r>
          </w:p>
        </w:tc>
        <w:tc>
          <w:tcPr>
            <w:tcW w:w="0" w:type="auto"/>
            <w:tcBorders>
              <w:top w:val="single" w:sz="8" w:space="0" w:color="FFFFFF"/>
              <w:left w:val="single" w:sz="8" w:space="0" w:color="FFFFFF"/>
              <w:bottom w:val="single" w:sz="8" w:space="0" w:color="FFFFFF"/>
              <w:right w:val="single" w:sz="8" w:space="0" w:color="FFFFFF"/>
            </w:tcBorders>
            <w:shd w:val="clear" w:color="auto" w:fill="auto"/>
            <w:tcMar>
              <w:top w:w="74" w:type="dxa"/>
              <w:left w:w="74" w:type="dxa"/>
              <w:bottom w:w="74" w:type="dxa"/>
              <w:right w:w="74" w:type="dxa"/>
            </w:tcMar>
            <w:vAlign w:val="center"/>
            <w:hideMark/>
          </w:tcPr>
          <w:p w14:paraId="22C4B72B"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High</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FB3B539" w14:textId="77777777" w:rsidR="00FA6274" w:rsidRPr="00FA6274" w:rsidRDefault="00FA6274" w:rsidP="00FA6274">
            <w:pPr>
              <w:jc w:val="both"/>
              <w:rPr>
                <w:rFonts w:ascii="Arial" w:hAnsi="Arial" w:cs="Arial"/>
                <w:color w:val="000000"/>
                <w:sz w:val="16"/>
                <w:szCs w:val="16"/>
              </w:rPr>
            </w:pP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C3C4C48" w14:textId="77777777" w:rsidR="00FA6274" w:rsidRPr="00FA6274" w:rsidRDefault="00FA6274" w:rsidP="00FA6274">
            <w:pPr>
              <w:jc w:val="both"/>
              <w:rPr>
                <w:rFonts w:ascii="Arial" w:hAnsi="Arial" w:cs="Arial"/>
                <w:color w:val="000000"/>
                <w:sz w:val="16"/>
                <w:szCs w:val="16"/>
              </w:rPr>
            </w:pP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0475AAC"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No included studies</w:t>
            </w:r>
          </w:p>
        </w:tc>
      </w:tr>
      <w:tr w:rsidR="00FA6274" w:rsidRPr="00FA6274" w14:paraId="776B5D9C" w14:textId="77777777" w:rsidTr="002311F8">
        <w:trPr>
          <w:trHeight w:val="1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4C31502A" w14:textId="77777777" w:rsidR="00FA6274" w:rsidRPr="00FA6274" w:rsidRDefault="00FA6274" w:rsidP="00FA6274">
            <w:pPr>
              <w:jc w:val="both"/>
              <w:rPr>
                <w:rFonts w:ascii="Arial" w:hAnsi="Arial" w:cs="Arial"/>
                <w:color w:val="000000"/>
                <w:sz w:val="16"/>
                <w:szCs w:val="16"/>
              </w:rPr>
            </w:pPr>
            <w:r w:rsidRPr="00FA6274">
              <w:rPr>
                <w:rFonts w:ascii="Arial" w:hAnsi="Arial" w:cs="Arial"/>
                <w:b/>
                <w:bCs/>
                <w:color w:val="000000"/>
                <w:sz w:val="16"/>
                <w:szCs w:val="16"/>
              </w:rPr>
              <w:t>Values</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ADD3BC5"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Important uncertainty or variability</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44AA63F"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Possibly important uncertainty or variability</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ED882C6"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Probably no important uncertainty or variability</w:t>
            </w:r>
          </w:p>
        </w:tc>
        <w:tc>
          <w:tcPr>
            <w:tcW w:w="0" w:type="auto"/>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431DAF23"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no important uncertainty or variability</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4D496F2" w14:textId="77777777" w:rsidR="00FA6274" w:rsidRPr="00FA6274" w:rsidRDefault="00FA6274" w:rsidP="00FA6274">
            <w:pPr>
              <w:jc w:val="both"/>
              <w:rPr>
                <w:rFonts w:ascii="Arial" w:hAnsi="Arial" w:cs="Arial"/>
                <w:color w:val="000000"/>
                <w:sz w:val="16"/>
                <w:szCs w:val="16"/>
              </w:rPr>
            </w:pP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AAFBBD2" w14:textId="77777777" w:rsidR="00FA6274" w:rsidRPr="00FA6274" w:rsidRDefault="00FA6274" w:rsidP="00FA6274">
            <w:pPr>
              <w:jc w:val="both"/>
              <w:rPr>
                <w:rFonts w:ascii="Arial" w:hAnsi="Arial" w:cs="Arial"/>
                <w:color w:val="000000"/>
                <w:sz w:val="16"/>
                <w:szCs w:val="16"/>
              </w:rPr>
            </w:pP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2C5556F" w14:textId="77777777" w:rsidR="00FA6274" w:rsidRPr="00FA6274" w:rsidRDefault="00FA6274" w:rsidP="00FA6274">
            <w:pPr>
              <w:jc w:val="both"/>
              <w:rPr>
                <w:rFonts w:ascii="Arial" w:hAnsi="Arial" w:cs="Arial"/>
                <w:color w:val="000000"/>
                <w:sz w:val="16"/>
                <w:szCs w:val="16"/>
              </w:rPr>
            </w:pPr>
          </w:p>
        </w:tc>
      </w:tr>
      <w:tr w:rsidR="00FA6274" w:rsidRPr="00FA6274" w14:paraId="49654D31" w14:textId="77777777" w:rsidTr="002311F8">
        <w:trPr>
          <w:trHeight w:val="1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6CF32527" w14:textId="77777777" w:rsidR="00FA6274" w:rsidRPr="00FA6274" w:rsidRDefault="00FA6274" w:rsidP="00FA6274">
            <w:pPr>
              <w:jc w:val="both"/>
              <w:rPr>
                <w:rFonts w:ascii="Arial" w:hAnsi="Arial" w:cs="Arial"/>
                <w:color w:val="000000"/>
                <w:sz w:val="16"/>
                <w:szCs w:val="16"/>
              </w:rPr>
            </w:pPr>
            <w:r w:rsidRPr="00FA6274">
              <w:rPr>
                <w:rFonts w:ascii="Arial" w:hAnsi="Arial" w:cs="Arial"/>
                <w:b/>
                <w:bCs/>
                <w:color w:val="000000"/>
                <w:sz w:val="16"/>
                <w:szCs w:val="16"/>
              </w:rPr>
              <w:t>Balance of effects</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6E53032"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Favors the comparison</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176BEB6"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Probably favors the comparison</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37F3013"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Does not favor either the intervention or the comparison</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1640837"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Probably favors the intervention</w:t>
            </w:r>
          </w:p>
        </w:tc>
        <w:tc>
          <w:tcPr>
            <w:tcW w:w="0" w:type="auto"/>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559C127A"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Favors the intervention</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F7DACC2"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Varies</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3597187"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Don't know</w:t>
            </w:r>
          </w:p>
        </w:tc>
      </w:tr>
      <w:tr w:rsidR="00FA6274" w:rsidRPr="00FA6274" w14:paraId="4F74A09D" w14:textId="77777777" w:rsidTr="002311F8">
        <w:trPr>
          <w:trHeight w:val="1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4E4F2219" w14:textId="77777777" w:rsidR="00FA6274" w:rsidRPr="00FA6274" w:rsidRDefault="00FA6274" w:rsidP="00FA6274">
            <w:pPr>
              <w:jc w:val="both"/>
              <w:rPr>
                <w:rFonts w:ascii="Arial" w:hAnsi="Arial" w:cs="Arial"/>
                <w:color w:val="000000"/>
                <w:sz w:val="16"/>
                <w:szCs w:val="16"/>
              </w:rPr>
            </w:pPr>
            <w:r w:rsidRPr="00FA6274">
              <w:rPr>
                <w:rFonts w:ascii="Arial" w:hAnsi="Arial" w:cs="Arial"/>
                <w:b/>
                <w:bCs/>
                <w:color w:val="000000"/>
                <w:sz w:val="16"/>
                <w:szCs w:val="16"/>
              </w:rPr>
              <w:t>Resources required</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CDBF5FE"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Large costs</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D78F41B"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Moderate costs</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43979B1"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Negligible costs and savings</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BFE3285"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Moderate savings</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1E5137F"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Large savings</w:t>
            </w:r>
          </w:p>
        </w:tc>
        <w:tc>
          <w:tcPr>
            <w:tcW w:w="0" w:type="auto"/>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2C29E0A8"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Varies</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D9C47A0"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Don't know</w:t>
            </w:r>
          </w:p>
        </w:tc>
      </w:tr>
      <w:tr w:rsidR="00FA6274" w:rsidRPr="00FA6274" w14:paraId="5A332DBD" w14:textId="77777777" w:rsidTr="002311F8">
        <w:trPr>
          <w:trHeight w:val="1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4842788F" w14:textId="77777777" w:rsidR="00FA6274" w:rsidRPr="00FA6274" w:rsidRDefault="00FA6274" w:rsidP="00FA6274">
            <w:pPr>
              <w:jc w:val="both"/>
              <w:rPr>
                <w:rFonts w:ascii="Arial" w:hAnsi="Arial" w:cs="Arial"/>
                <w:color w:val="000000"/>
                <w:sz w:val="16"/>
                <w:szCs w:val="16"/>
              </w:rPr>
            </w:pPr>
            <w:r w:rsidRPr="00FA6274">
              <w:rPr>
                <w:rFonts w:ascii="Arial" w:hAnsi="Arial" w:cs="Arial"/>
                <w:b/>
                <w:bCs/>
                <w:color w:val="000000"/>
                <w:sz w:val="16"/>
                <w:szCs w:val="16"/>
              </w:rPr>
              <w:t>Certainty of evidence of required resources</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917D167"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Very low</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1C932E2"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Low</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EB1F977"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Moderate</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CBC439E"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High</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D7AC1C4" w14:textId="77777777" w:rsidR="00FA6274" w:rsidRPr="00FA6274" w:rsidRDefault="00FA6274" w:rsidP="00FA6274">
            <w:pPr>
              <w:jc w:val="both"/>
              <w:rPr>
                <w:rFonts w:ascii="Arial" w:hAnsi="Arial" w:cs="Arial"/>
                <w:color w:val="000000"/>
                <w:sz w:val="16"/>
                <w:szCs w:val="16"/>
              </w:rPr>
            </w:pP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9684CF9" w14:textId="77777777" w:rsidR="00FA6274" w:rsidRPr="00FA6274" w:rsidRDefault="00FA6274" w:rsidP="00FA6274">
            <w:pPr>
              <w:jc w:val="both"/>
              <w:rPr>
                <w:rFonts w:ascii="Arial" w:hAnsi="Arial" w:cs="Arial"/>
                <w:color w:val="000000"/>
                <w:sz w:val="16"/>
                <w:szCs w:val="16"/>
              </w:rPr>
            </w:pPr>
          </w:p>
        </w:tc>
        <w:tc>
          <w:tcPr>
            <w:tcW w:w="0" w:type="auto"/>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115DE552"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No included studies</w:t>
            </w:r>
          </w:p>
        </w:tc>
      </w:tr>
      <w:tr w:rsidR="00FA6274" w:rsidRPr="00FA6274" w14:paraId="6EF3850F" w14:textId="77777777" w:rsidTr="002311F8">
        <w:trPr>
          <w:trHeight w:val="1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786E9947" w14:textId="77777777" w:rsidR="00FA6274" w:rsidRPr="00FA6274" w:rsidRDefault="00FA6274" w:rsidP="00FA6274">
            <w:pPr>
              <w:jc w:val="both"/>
              <w:rPr>
                <w:rFonts w:ascii="Arial" w:hAnsi="Arial" w:cs="Arial"/>
                <w:color w:val="000000"/>
                <w:sz w:val="16"/>
                <w:szCs w:val="16"/>
              </w:rPr>
            </w:pPr>
            <w:r w:rsidRPr="00FA6274">
              <w:rPr>
                <w:rFonts w:ascii="Arial" w:hAnsi="Arial" w:cs="Arial"/>
                <w:b/>
                <w:bCs/>
                <w:color w:val="000000"/>
                <w:sz w:val="16"/>
                <w:szCs w:val="16"/>
              </w:rPr>
              <w:t>Cost effectiveness</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5FB2F08"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Favors the comparison</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04811A8"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Probably favors the comparison</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7DA4C5E"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Does not favor either the intervention or the comparison</w:t>
            </w:r>
          </w:p>
        </w:tc>
        <w:tc>
          <w:tcPr>
            <w:tcW w:w="0" w:type="auto"/>
            <w:tcBorders>
              <w:top w:val="single" w:sz="8" w:space="0" w:color="FFFFFF"/>
              <w:left w:val="single" w:sz="8" w:space="0" w:color="FFFFFF"/>
              <w:bottom w:val="single" w:sz="8" w:space="0" w:color="FFFFFF"/>
              <w:right w:val="single" w:sz="8" w:space="0" w:color="FFFFFF"/>
            </w:tcBorders>
            <w:shd w:val="clear" w:color="auto" w:fill="E7E6E6" w:themeFill="background2"/>
            <w:tcMar>
              <w:top w:w="74" w:type="dxa"/>
              <w:left w:w="74" w:type="dxa"/>
              <w:bottom w:w="74" w:type="dxa"/>
              <w:right w:w="74" w:type="dxa"/>
            </w:tcMar>
            <w:vAlign w:val="center"/>
            <w:hideMark/>
          </w:tcPr>
          <w:p w14:paraId="0CB0B966"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Probably favors the intervention</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2C52C48"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Favors the intervention</w:t>
            </w:r>
          </w:p>
        </w:tc>
        <w:tc>
          <w:tcPr>
            <w:tcW w:w="0" w:type="auto"/>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1140C922"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Varies</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D70E44E"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No included studies</w:t>
            </w:r>
          </w:p>
        </w:tc>
      </w:tr>
      <w:tr w:rsidR="00FA6274" w:rsidRPr="00FA6274" w14:paraId="3BF20BE8" w14:textId="77777777" w:rsidTr="002311F8">
        <w:trPr>
          <w:trHeight w:val="1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0F44930D" w14:textId="77777777" w:rsidR="00FA6274" w:rsidRPr="00FA6274" w:rsidRDefault="00FA6274" w:rsidP="00FA6274">
            <w:pPr>
              <w:jc w:val="both"/>
              <w:rPr>
                <w:rFonts w:ascii="Arial" w:hAnsi="Arial" w:cs="Arial"/>
                <w:color w:val="000000"/>
                <w:sz w:val="16"/>
                <w:szCs w:val="16"/>
              </w:rPr>
            </w:pPr>
            <w:r w:rsidRPr="00FA6274">
              <w:rPr>
                <w:rFonts w:ascii="Arial" w:hAnsi="Arial" w:cs="Arial"/>
                <w:b/>
                <w:bCs/>
                <w:color w:val="000000"/>
                <w:sz w:val="16"/>
                <w:szCs w:val="16"/>
              </w:rPr>
              <w:t>Equity</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4CA2446"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Reduced</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9DE875D"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Probably reduced</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8FBF73E"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Probably no impact</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548D40D"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Probably increased</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5FBB7FD"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Increased</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4CE2067"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Varies</w:t>
            </w:r>
          </w:p>
        </w:tc>
        <w:tc>
          <w:tcPr>
            <w:tcW w:w="0" w:type="auto"/>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32BDF1CD"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Don't know</w:t>
            </w:r>
          </w:p>
        </w:tc>
      </w:tr>
      <w:tr w:rsidR="00FA6274" w:rsidRPr="00FA6274" w14:paraId="12FF3F9C" w14:textId="77777777" w:rsidTr="002311F8">
        <w:trPr>
          <w:trHeight w:val="1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4FBF933B" w14:textId="77777777" w:rsidR="00FA6274" w:rsidRPr="00FA6274" w:rsidRDefault="00FA6274" w:rsidP="00FA6274">
            <w:pPr>
              <w:jc w:val="both"/>
              <w:rPr>
                <w:rFonts w:ascii="Arial" w:hAnsi="Arial" w:cs="Arial"/>
                <w:color w:val="000000"/>
                <w:sz w:val="16"/>
                <w:szCs w:val="16"/>
              </w:rPr>
            </w:pPr>
            <w:r w:rsidRPr="00FA6274">
              <w:rPr>
                <w:rFonts w:ascii="Arial" w:hAnsi="Arial" w:cs="Arial"/>
                <w:b/>
                <w:bCs/>
                <w:color w:val="000000"/>
                <w:sz w:val="16"/>
                <w:szCs w:val="16"/>
              </w:rPr>
              <w:t>Acceptability</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3801102"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No</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31933A5"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Probably no</w:t>
            </w:r>
          </w:p>
        </w:tc>
        <w:tc>
          <w:tcPr>
            <w:tcW w:w="0" w:type="auto"/>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58DF2A70"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Probably yes</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46C014E"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Yes</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E7AAF0E" w14:textId="77777777" w:rsidR="00FA6274" w:rsidRPr="00FA6274" w:rsidRDefault="00FA6274" w:rsidP="00FA6274">
            <w:pPr>
              <w:jc w:val="both"/>
              <w:rPr>
                <w:rFonts w:ascii="Arial" w:hAnsi="Arial" w:cs="Arial"/>
                <w:color w:val="000000"/>
                <w:sz w:val="16"/>
                <w:szCs w:val="16"/>
              </w:rPr>
            </w:pP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39A7BE3"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Varies</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88F7819"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Don't know</w:t>
            </w:r>
          </w:p>
        </w:tc>
      </w:tr>
      <w:tr w:rsidR="00FA6274" w:rsidRPr="00FA6274" w14:paraId="285F903E" w14:textId="77777777" w:rsidTr="002311F8">
        <w:trPr>
          <w:trHeight w:val="1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6538060E" w14:textId="77777777" w:rsidR="00FA6274" w:rsidRPr="00FA6274" w:rsidRDefault="00FA6274" w:rsidP="00FA6274">
            <w:pPr>
              <w:jc w:val="both"/>
              <w:rPr>
                <w:rFonts w:ascii="Arial" w:hAnsi="Arial" w:cs="Arial"/>
                <w:color w:val="000000"/>
                <w:sz w:val="16"/>
                <w:szCs w:val="16"/>
              </w:rPr>
            </w:pPr>
            <w:r w:rsidRPr="00FA6274">
              <w:rPr>
                <w:rFonts w:ascii="Arial" w:hAnsi="Arial" w:cs="Arial"/>
                <w:b/>
                <w:bCs/>
                <w:color w:val="000000"/>
                <w:sz w:val="16"/>
                <w:szCs w:val="16"/>
              </w:rPr>
              <w:t>Feasibility</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14D44BE"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No</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C52F7F3"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Probably no</w:t>
            </w:r>
          </w:p>
        </w:tc>
        <w:tc>
          <w:tcPr>
            <w:tcW w:w="0" w:type="auto"/>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15FF17B2"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Probably yes</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63CC939"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Yes</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5008D71" w14:textId="77777777" w:rsidR="00FA6274" w:rsidRPr="00FA6274" w:rsidRDefault="00FA6274" w:rsidP="00FA6274">
            <w:pPr>
              <w:jc w:val="both"/>
              <w:rPr>
                <w:rFonts w:ascii="Arial" w:hAnsi="Arial" w:cs="Arial"/>
                <w:color w:val="000000"/>
                <w:sz w:val="16"/>
                <w:szCs w:val="16"/>
              </w:rPr>
            </w:pP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13ED3BC"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Varies</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24DA929"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Don't know</w:t>
            </w:r>
          </w:p>
        </w:tc>
      </w:tr>
    </w:tbl>
    <w:p w14:paraId="6633ACED" w14:textId="677DFFB3" w:rsidR="00FA6274" w:rsidRDefault="00FA6274" w:rsidP="00596BE0">
      <w:pPr>
        <w:jc w:val="both"/>
        <w:rPr>
          <w:rFonts w:ascii="Arial" w:hAnsi="Arial" w:cs="Arial"/>
          <w:color w:val="000000"/>
        </w:rPr>
      </w:pPr>
    </w:p>
    <w:p w14:paraId="5A28FAA3" w14:textId="10B98273" w:rsidR="00FA6274" w:rsidRPr="00BC0EB8" w:rsidRDefault="00FA6274" w:rsidP="00596BE0">
      <w:pPr>
        <w:jc w:val="both"/>
        <w:rPr>
          <w:rFonts w:ascii="Arial" w:hAnsi="Arial" w:cs="Arial"/>
          <w:b/>
          <w:color w:val="000000"/>
          <w:sz w:val="20"/>
          <w:szCs w:val="20"/>
        </w:rPr>
      </w:pPr>
      <w:r w:rsidRPr="002311F8">
        <w:rPr>
          <w:rFonts w:ascii="Arial" w:hAnsi="Arial" w:cs="Arial"/>
          <w:b/>
          <w:color w:val="000000"/>
          <w:sz w:val="20"/>
          <w:szCs w:val="20"/>
        </w:rPr>
        <w:t>Table S</w:t>
      </w:r>
      <w:r w:rsidR="002311F8" w:rsidRPr="002311F8">
        <w:rPr>
          <w:rFonts w:ascii="Arial" w:hAnsi="Arial" w:cs="Arial"/>
          <w:b/>
          <w:color w:val="000000"/>
          <w:sz w:val="20"/>
          <w:szCs w:val="20"/>
        </w:rPr>
        <w:t>36</w:t>
      </w:r>
      <w:r w:rsidRPr="002311F8">
        <w:rPr>
          <w:rFonts w:ascii="Arial" w:hAnsi="Arial" w:cs="Arial"/>
          <w:b/>
          <w:color w:val="000000"/>
          <w:sz w:val="20"/>
          <w:szCs w:val="20"/>
        </w:rPr>
        <w:t xml:space="preserve">: Evidence to decision table supporting recommendations for mepolizumab for severe asthma in adults (asthma control and </w:t>
      </w:r>
      <w:r w:rsidR="002311F8">
        <w:rPr>
          <w:rFonts w:ascii="Arial" w:hAnsi="Arial" w:cs="Arial"/>
          <w:b/>
          <w:color w:val="000000"/>
          <w:sz w:val="20"/>
          <w:szCs w:val="20"/>
        </w:rPr>
        <w:t>QoL)</w:t>
      </w:r>
      <w:r w:rsidRPr="002311F8">
        <w:rPr>
          <w:rFonts w:ascii="Arial" w:hAnsi="Arial" w:cs="Arial"/>
          <w:b/>
          <w:color w:val="000000"/>
          <w:sz w:val="20"/>
          <w:szCs w:val="20"/>
        </w:rPr>
        <w:t xml:space="preserve"> </w:t>
      </w:r>
    </w:p>
    <w:tbl>
      <w:tblPr>
        <w:tblW w:w="0" w:type="auto"/>
        <w:tblCellMar>
          <w:left w:w="0" w:type="dxa"/>
          <w:right w:w="0" w:type="dxa"/>
        </w:tblCellMar>
        <w:tblLook w:val="04A0" w:firstRow="1" w:lastRow="0" w:firstColumn="1" w:lastColumn="0" w:noHBand="0" w:noVBand="1"/>
      </w:tblPr>
      <w:tblGrid>
        <w:gridCol w:w="2179"/>
        <w:gridCol w:w="1673"/>
        <w:gridCol w:w="1952"/>
        <w:gridCol w:w="2358"/>
        <w:gridCol w:w="1767"/>
        <w:gridCol w:w="976"/>
        <w:gridCol w:w="709"/>
        <w:gridCol w:w="1804"/>
      </w:tblGrid>
      <w:tr w:rsidR="00FA6274" w:rsidRPr="00FA6274" w14:paraId="783B0767" w14:textId="77777777" w:rsidTr="002311F8">
        <w:trPr>
          <w:trHeight w:val="19"/>
        </w:trPr>
        <w:tc>
          <w:tcPr>
            <w:tcW w:w="0" w:type="auto"/>
            <w:tcBorders>
              <w:top w:val="single" w:sz="8" w:space="0" w:color="FFFFFF"/>
              <w:left w:val="single" w:sz="8" w:space="0" w:color="FFFFFF"/>
              <w:bottom w:val="single" w:sz="24" w:space="0" w:color="FFFFFF"/>
              <w:right w:val="single" w:sz="8" w:space="0" w:color="FFFFFF"/>
            </w:tcBorders>
            <w:shd w:val="clear" w:color="auto" w:fill="5B9BD5"/>
            <w:tcMar>
              <w:top w:w="74" w:type="dxa"/>
              <w:left w:w="74" w:type="dxa"/>
              <w:bottom w:w="74" w:type="dxa"/>
              <w:right w:w="74" w:type="dxa"/>
            </w:tcMar>
            <w:vAlign w:val="center"/>
            <w:hideMark/>
          </w:tcPr>
          <w:p w14:paraId="3FB5A33E" w14:textId="77777777" w:rsidR="00FA6274" w:rsidRPr="00FA6274" w:rsidRDefault="00FA6274" w:rsidP="00FA6274">
            <w:pPr>
              <w:jc w:val="both"/>
              <w:rPr>
                <w:rFonts w:ascii="Arial" w:hAnsi="Arial" w:cs="Arial"/>
                <w:color w:val="000000"/>
                <w:sz w:val="16"/>
                <w:szCs w:val="16"/>
              </w:rPr>
            </w:pPr>
          </w:p>
        </w:tc>
        <w:tc>
          <w:tcPr>
            <w:tcW w:w="0" w:type="auto"/>
            <w:gridSpan w:val="7"/>
            <w:tcBorders>
              <w:top w:val="single" w:sz="8" w:space="0" w:color="FFFFFF"/>
              <w:left w:val="single" w:sz="8" w:space="0" w:color="FFFFFF"/>
              <w:bottom w:val="single" w:sz="24" w:space="0" w:color="FFFFFF"/>
              <w:right w:val="single" w:sz="8" w:space="0" w:color="FFFFFF"/>
            </w:tcBorders>
            <w:shd w:val="clear" w:color="auto" w:fill="5B9BD5"/>
            <w:tcMar>
              <w:top w:w="74" w:type="dxa"/>
              <w:left w:w="74" w:type="dxa"/>
              <w:bottom w:w="74" w:type="dxa"/>
              <w:right w:w="74" w:type="dxa"/>
            </w:tcMar>
            <w:vAlign w:val="center"/>
            <w:hideMark/>
          </w:tcPr>
          <w:p w14:paraId="3644609C" w14:textId="77777777" w:rsidR="00FA6274" w:rsidRPr="00FA6274" w:rsidRDefault="00FA6274" w:rsidP="00FA6274">
            <w:pPr>
              <w:jc w:val="both"/>
              <w:rPr>
                <w:rFonts w:ascii="Arial" w:hAnsi="Arial" w:cs="Arial"/>
                <w:color w:val="000000"/>
                <w:sz w:val="16"/>
                <w:szCs w:val="16"/>
              </w:rPr>
            </w:pPr>
            <w:r w:rsidRPr="00FA6274">
              <w:rPr>
                <w:rFonts w:ascii="Arial" w:hAnsi="Arial" w:cs="Arial"/>
                <w:b/>
                <w:bCs/>
                <w:color w:val="000000"/>
                <w:sz w:val="16"/>
                <w:szCs w:val="16"/>
              </w:rPr>
              <w:t>Judgement</w:t>
            </w:r>
          </w:p>
        </w:tc>
      </w:tr>
      <w:tr w:rsidR="00FA6274" w:rsidRPr="00FA6274" w14:paraId="3EB80E56" w14:textId="77777777" w:rsidTr="002311F8">
        <w:trPr>
          <w:trHeight w:val="19"/>
        </w:trPr>
        <w:tc>
          <w:tcPr>
            <w:tcW w:w="0" w:type="auto"/>
            <w:tcBorders>
              <w:top w:val="single" w:sz="24"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0B97E63E" w14:textId="77777777" w:rsidR="00FA6274" w:rsidRPr="00FA6274" w:rsidRDefault="00FA6274" w:rsidP="00FA6274">
            <w:pPr>
              <w:jc w:val="both"/>
              <w:rPr>
                <w:rFonts w:ascii="Arial" w:hAnsi="Arial" w:cs="Arial"/>
                <w:color w:val="000000"/>
                <w:sz w:val="16"/>
                <w:szCs w:val="16"/>
              </w:rPr>
            </w:pPr>
            <w:r w:rsidRPr="00FA6274">
              <w:rPr>
                <w:rFonts w:ascii="Arial" w:hAnsi="Arial" w:cs="Arial"/>
                <w:b/>
                <w:bCs/>
                <w:color w:val="000000"/>
                <w:sz w:val="16"/>
                <w:szCs w:val="16"/>
              </w:rPr>
              <w:t>Problem (importance)</w:t>
            </w:r>
          </w:p>
        </w:tc>
        <w:tc>
          <w:tcPr>
            <w:tcW w:w="0" w:type="auto"/>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D689AAF"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No</w:t>
            </w:r>
          </w:p>
        </w:tc>
        <w:tc>
          <w:tcPr>
            <w:tcW w:w="0" w:type="auto"/>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1031454"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Probably no</w:t>
            </w:r>
          </w:p>
        </w:tc>
        <w:tc>
          <w:tcPr>
            <w:tcW w:w="0" w:type="auto"/>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E2F8B72"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Probably yes</w:t>
            </w:r>
          </w:p>
        </w:tc>
        <w:tc>
          <w:tcPr>
            <w:tcW w:w="0" w:type="auto"/>
            <w:tcBorders>
              <w:top w:val="single" w:sz="24"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41055F58"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Yes</w:t>
            </w:r>
          </w:p>
        </w:tc>
        <w:tc>
          <w:tcPr>
            <w:tcW w:w="976"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6277F06" w14:textId="77777777" w:rsidR="00FA6274" w:rsidRPr="00FA6274" w:rsidRDefault="00FA6274" w:rsidP="00FA6274">
            <w:pPr>
              <w:jc w:val="both"/>
              <w:rPr>
                <w:rFonts w:ascii="Arial" w:hAnsi="Arial" w:cs="Arial"/>
                <w:color w:val="000000"/>
                <w:sz w:val="16"/>
                <w:szCs w:val="16"/>
              </w:rPr>
            </w:pPr>
          </w:p>
        </w:tc>
        <w:tc>
          <w:tcPr>
            <w:tcW w:w="709"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440CAAB"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Varies</w:t>
            </w:r>
          </w:p>
        </w:tc>
        <w:tc>
          <w:tcPr>
            <w:tcW w:w="1804"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4ABD285"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Don't know</w:t>
            </w:r>
          </w:p>
        </w:tc>
      </w:tr>
      <w:tr w:rsidR="00FA6274" w:rsidRPr="00FA6274" w14:paraId="41B535F6" w14:textId="77777777" w:rsidTr="002311F8">
        <w:trPr>
          <w:trHeight w:val="1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360AC0CD" w14:textId="77777777" w:rsidR="00FA6274" w:rsidRPr="00FA6274" w:rsidRDefault="00FA6274" w:rsidP="00FA6274">
            <w:pPr>
              <w:jc w:val="both"/>
              <w:rPr>
                <w:rFonts w:ascii="Arial" w:hAnsi="Arial" w:cs="Arial"/>
                <w:color w:val="000000"/>
                <w:sz w:val="16"/>
                <w:szCs w:val="16"/>
              </w:rPr>
            </w:pPr>
            <w:r w:rsidRPr="00FA6274">
              <w:rPr>
                <w:rFonts w:ascii="Arial" w:hAnsi="Arial" w:cs="Arial"/>
                <w:b/>
                <w:bCs/>
                <w:color w:val="000000"/>
                <w:sz w:val="16"/>
                <w:szCs w:val="16"/>
              </w:rPr>
              <w:t>Desirable Effects</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5933DDB"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Trivial</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CB8DC0B"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Small</w:t>
            </w:r>
          </w:p>
        </w:tc>
        <w:tc>
          <w:tcPr>
            <w:tcW w:w="0" w:type="auto"/>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2ADE5189"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Moderate</w:t>
            </w:r>
          </w:p>
        </w:tc>
        <w:tc>
          <w:tcPr>
            <w:tcW w:w="0" w:type="auto"/>
            <w:tcBorders>
              <w:top w:val="single" w:sz="8" w:space="0" w:color="FFFFFF"/>
              <w:left w:val="single" w:sz="8" w:space="0" w:color="FFFFFF"/>
              <w:bottom w:val="single" w:sz="8" w:space="0" w:color="FFFFFF"/>
              <w:right w:val="single" w:sz="8" w:space="0" w:color="FFFFFF"/>
            </w:tcBorders>
            <w:shd w:val="clear" w:color="auto" w:fill="E7E6E6"/>
            <w:tcMar>
              <w:top w:w="74" w:type="dxa"/>
              <w:left w:w="74" w:type="dxa"/>
              <w:bottom w:w="74" w:type="dxa"/>
              <w:right w:w="74" w:type="dxa"/>
            </w:tcMar>
            <w:vAlign w:val="center"/>
            <w:hideMark/>
          </w:tcPr>
          <w:p w14:paraId="2DEACFCF"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Large</w:t>
            </w:r>
          </w:p>
        </w:tc>
        <w:tc>
          <w:tcPr>
            <w:tcW w:w="9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4330647" w14:textId="77777777" w:rsidR="00FA6274" w:rsidRPr="00FA6274" w:rsidRDefault="00FA6274" w:rsidP="00FA6274">
            <w:pPr>
              <w:jc w:val="both"/>
              <w:rPr>
                <w:rFonts w:ascii="Arial" w:hAnsi="Arial" w:cs="Arial"/>
                <w:color w:val="000000"/>
                <w:sz w:val="16"/>
                <w:szCs w:val="16"/>
              </w:rPr>
            </w:pPr>
          </w:p>
        </w:tc>
        <w:tc>
          <w:tcPr>
            <w:tcW w:w="709"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4848F9C"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Varies</w:t>
            </w:r>
          </w:p>
        </w:tc>
        <w:tc>
          <w:tcPr>
            <w:tcW w:w="180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C8627E3"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Don't know</w:t>
            </w:r>
          </w:p>
        </w:tc>
      </w:tr>
      <w:tr w:rsidR="00FA6274" w:rsidRPr="00FA6274" w14:paraId="13F92F4B" w14:textId="77777777" w:rsidTr="002311F8">
        <w:trPr>
          <w:trHeight w:val="41"/>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5FE3FA01" w14:textId="77777777" w:rsidR="00FA6274" w:rsidRPr="00FA6274" w:rsidRDefault="00FA6274" w:rsidP="00FA6274">
            <w:pPr>
              <w:jc w:val="both"/>
              <w:rPr>
                <w:rFonts w:ascii="Arial" w:hAnsi="Arial" w:cs="Arial"/>
                <w:color w:val="000000"/>
                <w:sz w:val="16"/>
                <w:szCs w:val="16"/>
              </w:rPr>
            </w:pPr>
            <w:r w:rsidRPr="00FA6274">
              <w:rPr>
                <w:rFonts w:ascii="Arial" w:hAnsi="Arial" w:cs="Arial"/>
                <w:b/>
                <w:bCs/>
                <w:color w:val="000000"/>
                <w:sz w:val="16"/>
                <w:szCs w:val="16"/>
              </w:rPr>
              <w:t>Undesirable Effects</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7FAD7D2"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Large</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D367CDC"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Moderate</w:t>
            </w:r>
          </w:p>
        </w:tc>
        <w:tc>
          <w:tcPr>
            <w:tcW w:w="0" w:type="auto"/>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2E610181"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Small</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A8375D2"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Trivial</w:t>
            </w:r>
          </w:p>
        </w:tc>
        <w:tc>
          <w:tcPr>
            <w:tcW w:w="97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04BEFD4" w14:textId="77777777" w:rsidR="00FA6274" w:rsidRPr="00FA6274" w:rsidRDefault="00FA6274" w:rsidP="00FA6274">
            <w:pPr>
              <w:jc w:val="both"/>
              <w:rPr>
                <w:rFonts w:ascii="Arial" w:hAnsi="Arial" w:cs="Arial"/>
                <w:color w:val="000000"/>
                <w:sz w:val="16"/>
                <w:szCs w:val="16"/>
              </w:rPr>
            </w:pPr>
          </w:p>
        </w:tc>
        <w:tc>
          <w:tcPr>
            <w:tcW w:w="709"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C3C5920"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Varies</w:t>
            </w:r>
          </w:p>
        </w:tc>
        <w:tc>
          <w:tcPr>
            <w:tcW w:w="180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2341AE9"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Don't know</w:t>
            </w:r>
          </w:p>
        </w:tc>
      </w:tr>
      <w:tr w:rsidR="00FA6274" w:rsidRPr="00FA6274" w14:paraId="450EE195" w14:textId="77777777" w:rsidTr="002311F8">
        <w:trPr>
          <w:trHeight w:val="1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59981122" w14:textId="77777777" w:rsidR="00FA6274" w:rsidRPr="00FA6274" w:rsidRDefault="00FA6274" w:rsidP="00FA6274">
            <w:pPr>
              <w:jc w:val="both"/>
              <w:rPr>
                <w:rFonts w:ascii="Arial" w:hAnsi="Arial" w:cs="Arial"/>
                <w:color w:val="000000"/>
                <w:sz w:val="16"/>
                <w:szCs w:val="16"/>
              </w:rPr>
            </w:pPr>
            <w:r w:rsidRPr="00FA6274">
              <w:rPr>
                <w:rFonts w:ascii="Arial" w:hAnsi="Arial" w:cs="Arial"/>
                <w:b/>
                <w:bCs/>
                <w:color w:val="000000"/>
                <w:sz w:val="16"/>
                <w:szCs w:val="16"/>
              </w:rPr>
              <w:t>Certainty of evidence</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9D62ABB"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Very low</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832188E"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Low</w:t>
            </w:r>
          </w:p>
        </w:tc>
        <w:tc>
          <w:tcPr>
            <w:tcW w:w="0" w:type="auto"/>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64E4EA82"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Moderate</w:t>
            </w:r>
          </w:p>
        </w:tc>
        <w:tc>
          <w:tcPr>
            <w:tcW w:w="0" w:type="auto"/>
            <w:tcBorders>
              <w:top w:val="single" w:sz="8" w:space="0" w:color="FFFFFF"/>
              <w:left w:val="single" w:sz="8" w:space="0" w:color="FFFFFF"/>
              <w:bottom w:val="single" w:sz="8" w:space="0" w:color="FFFFFF"/>
              <w:right w:val="single" w:sz="8" w:space="0" w:color="FFFFFF"/>
            </w:tcBorders>
            <w:shd w:val="clear" w:color="auto" w:fill="auto"/>
            <w:tcMar>
              <w:top w:w="74" w:type="dxa"/>
              <w:left w:w="74" w:type="dxa"/>
              <w:bottom w:w="74" w:type="dxa"/>
              <w:right w:w="74" w:type="dxa"/>
            </w:tcMar>
            <w:vAlign w:val="center"/>
            <w:hideMark/>
          </w:tcPr>
          <w:p w14:paraId="3D055EC9"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High</w:t>
            </w:r>
          </w:p>
        </w:tc>
        <w:tc>
          <w:tcPr>
            <w:tcW w:w="9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2120B88" w14:textId="77777777" w:rsidR="00FA6274" w:rsidRPr="00FA6274" w:rsidRDefault="00FA6274" w:rsidP="00FA6274">
            <w:pPr>
              <w:jc w:val="both"/>
              <w:rPr>
                <w:rFonts w:ascii="Arial" w:hAnsi="Arial" w:cs="Arial"/>
                <w:color w:val="000000"/>
                <w:sz w:val="16"/>
                <w:szCs w:val="16"/>
              </w:rPr>
            </w:pPr>
          </w:p>
        </w:tc>
        <w:tc>
          <w:tcPr>
            <w:tcW w:w="709"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95110F5" w14:textId="77777777" w:rsidR="00FA6274" w:rsidRPr="00FA6274" w:rsidRDefault="00FA6274" w:rsidP="00FA6274">
            <w:pPr>
              <w:jc w:val="both"/>
              <w:rPr>
                <w:rFonts w:ascii="Arial" w:hAnsi="Arial" w:cs="Arial"/>
                <w:color w:val="000000"/>
                <w:sz w:val="16"/>
                <w:szCs w:val="16"/>
              </w:rPr>
            </w:pPr>
          </w:p>
        </w:tc>
        <w:tc>
          <w:tcPr>
            <w:tcW w:w="180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6047BD2" w14:textId="22C9950F"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 xml:space="preserve">No </w:t>
            </w:r>
            <w:r w:rsidR="002311F8" w:rsidRPr="00FA6274">
              <w:rPr>
                <w:rFonts w:ascii="Arial" w:hAnsi="Arial" w:cs="Arial"/>
                <w:color w:val="000000"/>
                <w:sz w:val="16"/>
                <w:szCs w:val="16"/>
              </w:rPr>
              <w:t xml:space="preserve">studies </w:t>
            </w:r>
            <w:r w:rsidRPr="00FA6274">
              <w:rPr>
                <w:rFonts w:ascii="Arial" w:hAnsi="Arial" w:cs="Arial"/>
                <w:color w:val="000000"/>
                <w:sz w:val="16"/>
                <w:szCs w:val="16"/>
              </w:rPr>
              <w:t xml:space="preserve">included </w:t>
            </w:r>
          </w:p>
        </w:tc>
      </w:tr>
      <w:tr w:rsidR="00FA6274" w:rsidRPr="00FA6274" w14:paraId="255F34A9" w14:textId="77777777" w:rsidTr="002311F8">
        <w:trPr>
          <w:trHeight w:val="198"/>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66F0F71B" w14:textId="77777777" w:rsidR="00FA6274" w:rsidRPr="00FA6274" w:rsidRDefault="00FA6274" w:rsidP="00FA6274">
            <w:pPr>
              <w:jc w:val="both"/>
              <w:rPr>
                <w:rFonts w:ascii="Arial" w:hAnsi="Arial" w:cs="Arial"/>
                <w:color w:val="000000"/>
                <w:sz w:val="16"/>
                <w:szCs w:val="16"/>
              </w:rPr>
            </w:pPr>
            <w:r w:rsidRPr="00FA6274">
              <w:rPr>
                <w:rFonts w:ascii="Arial" w:hAnsi="Arial" w:cs="Arial"/>
                <w:b/>
                <w:bCs/>
                <w:color w:val="000000"/>
                <w:sz w:val="16"/>
                <w:szCs w:val="16"/>
              </w:rPr>
              <w:t>Values</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544A8D1"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Important uncertainty or variability</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60D23E1"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Possibly important uncertainty or variability</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126534A"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Probably no important uncertainty or variability</w:t>
            </w:r>
          </w:p>
        </w:tc>
        <w:tc>
          <w:tcPr>
            <w:tcW w:w="0" w:type="auto"/>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66563517"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no important uncertainty or variability</w:t>
            </w:r>
          </w:p>
        </w:tc>
        <w:tc>
          <w:tcPr>
            <w:tcW w:w="97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43FB343" w14:textId="77777777" w:rsidR="00FA6274" w:rsidRPr="00FA6274" w:rsidRDefault="00FA6274" w:rsidP="00FA6274">
            <w:pPr>
              <w:jc w:val="both"/>
              <w:rPr>
                <w:rFonts w:ascii="Arial" w:hAnsi="Arial" w:cs="Arial"/>
                <w:color w:val="000000"/>
                <w:sz w:val="16"/>
                <w:szCs w:val="16"/>
              </w:rPr>
            </w:pPr>
          </w:p>
        </w:tc>
        <w:tc>
          <w:tcPr>
            <w:tcW w:w="709"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ACCC723" w14:textId="77777777" w:rsidR="00FA6274" w:rsidRPr="00FA6274" w:rsidRDefault="00FA6274" w:rsidP="00FA6274">
            <w:pPr>
              <w:jc w:val="both"/>
              <w:rPr>
                <w:rFonts w:ascii="Arial" w:hAnsi="Arial" w:cs="Arial"/>
                <w:color w:val="000000"/>
                <w:sz w:val="16"/>
                <w:szCs w:val="16"/>
              </w:rPr>
            </w:pPr>
          </w:p>
        </w:tc>
        <w:tc>
          <w:tcPr>
            <w:tcW w:w="180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D007397" w14:textId="77777777" w:rsidR="00FA6274" w:rsidRPr="00FA6274" w:rsidRDefault="00FA6274" w:rsidP="00FA6274">
            <w:pPr>
              <w:jc w:val="both"/>
              <w:rPr>
                <w:rFonts w:ascii="Arial" w:hAnsi="Arial" w:cs="Arial"/>
                <w:color w:val="000000"/>
                <w:sz w:val="16"/>
                <w:szCs w:val="16"/>
              </w:rPr>
            </w:pPr>
          </w:p>
        </w:tc>
      </w:tr>
      <w:tr w:rsidR="00FA6274" w:rsidRPr="00FA6274" w14:paraId="57641DDE" w14:textId="77777777" w:rsidTr="002311F8">
        <w:trPr>
          <w:trHeight w:val="1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5073F1D7" w14:textId="77777777" w:rsidR="00FA6274" w:rsidRPr="00FA6274" w:rsidRDefault="00FA6274" w:rsidP="00FA6274">
            <w:pPr>
              <w:jc w:val="both"/>
              <w:rPr>
                <w:rFonts w:ascii="Arial" w:hAnsi="Arial" w:cs="Arial"/>
                <w:color w:val="000000"/>
                <w:sz w:val="16"/>
                <w:szCs w:val="16"/>
              </w:rPr>
            </w:pPr>
            <w:r w:rsidRPr="00FA6274">
              <w:rPr>
                <w:rFonts w:ascii="Arial" w:hAnsi="Arial" w:cs="Arial"/>
                <w:b/>
                <w:bCs/>
                <w:color w:val="000000"/>
                <w:sz w:val="16"/>
                <w:szCs w:val="16"/>
              </w:rPr>
              <w:lastRenderedPageBreak/>
              <w:t>Balance of effects</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B1192A9"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Favors the comparison</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C3410CC"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Probably favors the comparison</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4752CD0"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Does not favor either the intervention or the comparison</w:t>
            </w:r>
          </w:p>
        </w:tc>
        <w:tc>
          <w:tcPr>
            <w:tcW w:w="0" w:type="auto"/>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0E450514"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Probably favors the intervention</w:t>
            </w:r>
          </w:p>
        </w:tc>
        <w:tc>
          <w:tcPr>
            <w:tcW w:w="976" w:type="dxa"/>
            <w:tcBorders>
              <w:top w:val="single" w:sz="8" w:space="0" w:color="FFFFFF"/>
              <w:left w:val="single" w:sz="8" w:space="0" w:color="FFFFFF"/>
              <w:bottom w:val="single" w:sz="8" w:space="0" w:color="FFFFFF"/>
              <w:right w:val="single" w:sz="8" w:space="0" w:color="FFFFFF"/>
            </w:tcBorders>
            <w:shd w:val="clear" w:color="auto" w:fill="D6DCE5"/>
            <w:tcMar>
              <w:top w:w="74" w:type="dxa"/>
              <w:left w:w="74" w:type="dxa"/>
              <w:bottom w:w="74" w:type="dxa"/>
              <w:right w:w="74" w:type="dxa"/>
            </w:tcMar>
            <w:vAlign w:val="center"/>
            <w:hideMark/>
          </w:tcPr>
          <w:p w14:paraId="08E077C2"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Favors the intervention</w:t>
            </w:r>
          </w:p>
        </w:tc>
        <w:tc>
          <w:tcPr>
            <w:tcW w:w="709"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65EF664"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Varies</w:t>
            </w:r>
          </w:p>
        </w:tc>
        <w:tc>
          <w:tcPr>
            <w:tcW w:w="180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41F148D"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Don't know</w:t>
            </w:r>
          </w:p>
        </w:tc>
      </w:tr>
      <w:tr w:rsidR="00FA6274" w:rsidRPr="00FA6274" w14:paraId="2C3E0BCA" w14:textId="77777777" w:rsidTr="002311F8">
        <w:trPr>
          <w:trHeight w:val="1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36DAB3C7" w14:textId="77777777" w:rsidR="00FA6274" w:rsidRPr="00FA6274" w:rsidRDefault="00FA6274" w:rsidP="00FA6274">
            <w:pPr>
              <w:jc w:val="both"/>
              <w:rPr>
                <w:rFonts w:ascii="Arial" w:hAnsi="Arial" w:cs="Arial"/>
                <w:color w:val="000000"/>
                <w:sz w:val="16"/>
                <w:szCs w:val="16"/>
              </w:rPr>
            </w:pPr>
            <w:r w:rsidRPr="00FA6274">
              <w:rPr>
                <w:rFonts w:ascii="Arial" w:hAnsi="Arial" w:cs="Arial"/>
                <w:b/>
                <w:bCs/>
                <w:color w:val="000000"/>
                <w:sz w:val="16"/>
                <w:szCs w:val="16"/>
              </w:rPr>
              <w:t>Resources required</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F2FA2DE"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Large costs</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1882D16"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Moderate costs</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0368A5F"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Negligible costs and savings</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7672F23"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Moderate savings</w:t>
            </w:r>
          </w:p>
        </w:tc>
        <w:tc>
          <w:tcPr>
            <w:tcW w:w="97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C881647"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Large savings</w:t>
            </w:r>
          </w:p>
        </w:tc>
        <w:tc>
          <w:tcPr>
            <w:tcW w:w="709"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2BCB5CFD"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Varies</w:t>
            </w:r>
          </w:p>
        </w:tc>
        <w:tc>
          <w:tcPr>
            <w:tcW w:w="180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3BB1C6B"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Don't know</w:t>
            </w:r>
          </w:p>
        </w:tc>
      </w:tr>
      <w:tr w:rsidR="00FA6274" w:rsidRPr="00FA6274" w14:paraId="5E49BD34" w14:textId="77777777" w:rsidTr="002311F8">
        <w:trPr>
          <w:trHeight w:val="1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635712D5" w14:textId="77777777" w:rsidR="00FA6274" w:rsidRPr="00FA6274" w:rsidRDefault="00FA6274" w:rsidP="00FA6274">
            <w:pPr>
              <w:jc w:val="both"/>
              <w:rPr>
                <w:rFonts w:ascii="Arial" w:hAnsi="Arial" w:cs="Arial"/>
                <w:color w:val="000000"/>
                <w:sz w:val="16"/>
                <w:szCs w:val="16"/>
              </w:rPr>
            </w:pPr>
            <w:r w:rsidRPr="00FA6274">
              <w:rPr>
                <w:rFonts w:ascii="Arial" w:hAnsi="Arial" w:cs="Arial"/>
                <w:b/>
                <w:bCs/>
                <w:color w:val="000000"/>
                <w:sz w:val="16"/>
                <w:szCs w:val="16"/>
              </w:rPr>
              <w:t>Certainty of evidence of required resources</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E7A560A"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Very low</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6437D3F"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Low</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628BBE4"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Moderate</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3BD0A26"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High</w:t>
            </w:r>
          </w:p>
        </w:tc>
        <w:tc>
          <w:tcPr>
            <w:tcW w:w="9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63B1212" w14:textId="77777777" w:rsidR="00FA6274" w:rsidRPr="00FA6274" w:rsidRDefault="00FA6274" w:rsidP="00FA6274">
            <w:pPr>
              <w:jc w:val="both"/>
              <w:rPr>
                <w:rFonts w:ascii="Arial" w:hAnsi="Arial" w:cs="Arial"/>
                <w:color w:val="000000"/>
                <w:sz w:val="16"/>
                <w:szCs w:val="16"/>
              </w:rPr>
            </w:pPr>
          </w:p>
        </w:tc>
        <w:tc>
          <w:tcPr>
            <w:tcW w:w="709"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3311435" w14:textId="77777777" w:rsidR="00FA6274" w:rsidRPr="00FA6274" w:rsidRDefault="00FA6274" w:rsidP="00FA6274">
            <w:pPr>
              <w:jc w:val="both"/>
              <w:rPr>
                <w:rFonts w:ascii="Arial" w:hAnsi="Arial" w:cs="Arial"/>
                <w:color w:val="000000"/>
                <w:sz w:val="16"/>
                <w:szCs w:val="16"/>
              </w:rPr>
            </w:pPr>
          </w:p>
        </w:tc>
        <w:tc>
          <w:tcPr>
            <w:tcW w:w="1804"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7CE0FCA8" w14:textId="6A3C75A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 xml:space="preserve">No </w:t>
            </w:r>
            <w:r w:rsidR="002311F8" w:rsidRPr="00FA6274">
              <w:rPr>
                <w:rFonts w:ascii="Arial" w:hAnsi="Arial" w:cs="Arial"/>
                <w:color w:val="000000"/>
                <w:sz w:val="16"/>
                <w:szCs w:val="16"/>
              </w:rPr>
              <w:t xml:space="preserve">studies </w:t>
            </w:r>
            <w:r w:rsidRPr="00FA6274">
              <w:rPr>
                <w:rFonts w:ascii="Arial" w:hAnsi="Arial" w:cs="Arial"/>
                <w:color w:val="000000"/>
                <w:sz w:val="16"/>
                <w:szCs w:val="16"/>
              </w:rPr>
              <w:t xml:space="preserve">included </w:t>
            </w:r>
          </w:p>
        </w:tc>
      </w:tr>
      <w:tr w:rsidR="00FA6274" w:rsidRPr="00FA6274" w14:paraId="7835D671" w14:textId="77777777" w:rsidTr="002311F8">
        <w:trPr>
          <w:trHeight w:val="1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4DEC5D9D" w14:textId="77777777" w:rsidR="00FA6274" w:rsidRPr="00FA6274" w:rsidRDefault="00FA6274" w:rsidP="00FA6274">
            <w:pPr>
              <w:jc w:val="both"/>
              <w:rPr>
                <w:rFonts w:ascii="Arial" w:hAnsi="Arial" w:cs="Arial"/>
                <w:color w:val="000000"/>
                <w:sz w:val="16"/>
                <w:szCs w:val="16"/>
              </w:rPr>
            </w:pPr>
            <w:r w:rsidRPr="00FA6274">
              <w:rPr>
                <w:rFonts w:ascii="Arial" w:hAnsi="Arial" w:cs="Arial"/>
                <w:b/>
                <w:bCs/>
                <w:color w:val="000000"/>
                <w:sz w:val="16"/>
                <w:szCs w:val="16"/>
              </w:rPr>
              <w:t>Cost effectiveness</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FD0352F"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Favors the comparison</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1955484"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Probably favors the comparison</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8D84351"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Does not favor either the intervention or the comparison</w:t>
            </w:r>
          </w:p>
        </w:tc>
        <w:tc>
          <w:tcPr>
            <w:tcW w:w="0" w:type="auto"/>
            <w:tcBorders>
              <w:top w:val="single" w:sz="8" w:space="0" w:color="FFFFFF"/>
              <w:left w:val="single" w:sz="8" w:space="0" w:color="FFFFFF"/>
              <w:bottom w:val="single" w:sz="8" w:space="0" w:color="FFFFFF"/>
              <w:right w:val="single" w:sz="8" w:space="0" w:color="FFFFFF"/>
            </w:tcBorders>
            <w:shd w:val="clear" w:color="auto" w:fill="E7E6E6"/>
            <w:tcMar>
              <w:top w:w="74" w:type="dxa"/>
              <w:left w:w="74" w:type="dxa"/>
              <w:bottom w:w="74" w:type="dxa"/>
              <w:right w:w="74" w:type="dxa"/>
            </w:tcMar>
            <w:vAlign w:val="center"/>
            <w:hideMark/>
          </w:tcPr>
          <w:p w14:paraId="6B9B3B89"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Probably favors the intervention</w:t>
            </w:r>
          </w:p>
        </w:tc>
        <w:tc>
          <w:tcPr>
            <w:tcW w:w="97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D47F10E"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Favors the intervention</w:t>
            </w:r>
          </w:p>
        </w:tc>
        <w:tc>
          <w:tcPr>
            <w:tcW w:w="709"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BF76A59"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Varies</w:t>
            </w:r>
          </w:p>
        </w:tc>
        <w:tc>
          <w:tcPr>
            <w:tcW w:w="1804"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2DB79E04" w14:textId="77960E3E"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 xml:space="preserve">No </w:t>
            </w:r>
            <w:r w:rsidR="002311F8" w:rsidRPr="00FA6274">
              <w:rPr>
                <w:rFonts w:ascii="Arial" w:hAnsi="Arial" w:cs="Arial"/>
                <w:color w:val="000000"/>
                <w:sz w:val="16"/>
                <w:szCs w:val="16"/>
              </w:rPr>
              <w:t xml:space="preserve">studies </w:t>
            </w:r>
            <w:r w:rsidRPr="00FA6274">
              <w:rPr>
                <w:rFonts w:ascii="Arial" w:hAnsi="Arial" w:cs="Arial"/>
                <w:color w:val="000000"/>
                <w:sz w:val="16"/>
                <w:szCs w:val="16"/>
              </w:rPr>
              <w:t xml:space="preserve">included </w:t>
            </w:r>
          </w:p>
        </w:tc>
      </w:tr>
      <w:tr w:rsidR="00FA6274" w:rsidRPr="00FA6274" w14:paraId="08469C3C" w14:textId="77777777" w:rsidTr="002311F8">
        <w:trPr>
          <w:trHeight w:val="1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4470A8D5" w14:textId="77777777" w:rsidR="00FA6274" w:rsidRPr="00FA6274" w:rsidRDefault="00FA6274" w:rsidP="00FA6274">
            <w:pPr>
              <w:jc w:val="both"/>
              <w:rPr>
                <w:rFonts w:ascii="Arial" w:hAnsi="Arial" w:cs="Arial"/>
                <w:color w:val="000000"/>
                <w:sz w:val="16"/>
                <w:szCs w:val="16"/>
              </w:rPr>
            </w:pPr>
            <w:r w:rsidRPr="00FA6274">
              <w:rPr>
                <w:rFonts w:ascii="Arial" w:hAnsi="Arial" w:cs="Arial"/>
                <w:b/>
                <w:bCs/>
                <w:color w:val="000000"/>
                <w:sz w:val="16"/>
                <w:szCs w:val="16"/>
              </w:rPr>
              <w:t>Equity</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109CFEB"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Reduced</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07A2A5C"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Probably reduced</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9B7E9E8"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Probably no impact</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F9544FF"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Probably increased</w:t>
            </w:r>
          </w:p>
        </w:tc>
        <w:tc>
          <w:tcPr>
            <w:tcW w:w="9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C84AAB4"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Increased</w:t>
            </w:r>
          </w:p>
        </w:tc>
        <w:tc>
          <w:tcPr>
            <w:tcW w:w="709"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8957A7B"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Varies</w:t>
            </w:r>
          </w:p>
        </w:tc>
        <w:tc>
          <w:tcPr>
            <w:tcW w:w="1804"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79889846"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Don't know</w:t>
            </w:r>
          </w:p>
        </w:tc>
      </w:tr>
      <w:tr w:rsidR="00FA6274" w:rsidRPr="00FA6274" w14:paraId="51E36F9D" w14:textId="77777777" w:rsidTr="002311F8">
        <w:trPr>
          <w:trHeight w:val="1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17E4655E" w14:textId="77777777" w:rsidR="00FA6274" w:rsidRPr="00FA6274" w:rsidRDefault="00FA6274" w:rsidP="00FA6274">
            <w:pPr>
              <w:jc w:val="both"/>
              <w:rPr>
                <w:rFonts w:ascii="Arial" w:hAnsi="Arial" w:cs="Arial"/>
                <w:color w:val="000000"/>
                <w:sz w:val="16"/>
                <w:szCs w:val="16"/>
              </w:rPr>
            </w:pPr>
            <w:r w:rsidRPr="00FA6274">
              <w:rPr>
                <w:rFonts w:ascii="Arial" w:hAnsi="Arial" w:cs="Arial"/>
                <w:b/>
                <w:bCs/>
                <w:color w:val="000000"/>
                <w:sz w:val="16"/>
                <w:szCs w:val="16"/>
              </w:rPr>
              <w:t>Acceptability</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0118A23"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No</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BED2307"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Probably no</w:t>
            </w:r>
          </w:p>
        </w:tc>
        <w:tc>
          <w:tcPr>
            <w:tcW w:w="0" w:type="auto"/>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436593DE"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Probably yes</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AE67AB3"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Yes</w:t>
            </w:r>
          </w:p>
        </w:tc>
        <w:tc>
          <w:tcPr>
            <w:tcW w:w="97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6FDF0B4" w14:textId="77777777" w:rsidR="00FA6274" w:rsidRPr="00FA6274" w:rsidRDefault="00FA6274" w:rsidP="00FA6274">
            <w:pPr>
              <w:jc w:val="both"/>
              <w:rPr>
                <w:rFonts w:ascii="Arial" w:hAnsi="Arial" w:cs="Arial"/>
                <w:color w:val="000000"/>
                <w:sz w:val="16"/>
                <w:szCs w:val="16"/>
              </w:rPr>
            </w:pPr>
          </w:p>
        </w:tc>
        <w:tc>
          <w:tcPr>
            <w:tcW w:w="709"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70814C4"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Varies</w:t>
            </w:r>
          </w:p>
        </w:tc>
        <w:tc>
          <w:tcPr>
            <w:tcW w:w="180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C1161D8"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Don't know</w:t>
            </w:r>
          </w:p>
        </w:tc>
      </w:tr>
      <w:tr w:rsidR="00FA6274" w:rsidRPr="00FA6274" w14:paraId="2F39D01F" w14:textId="77777777" w:rsidTr="002311F8">
        <w:trPr>
          <w:trHeight w:val="1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1D3DB334" w14:textId="77777777" w:rsidR="00FA6274" w:rsidRPr="00FA6274" w:rsidRDefault="00FA6274" w:rsidP="00FA6274">
            <w:pPr>
              <w:jc w:val="both"/>
              <w:rPr>
                <w:rFonts w:ascii="Arial" w:hAnsi="Arial" w:cs="Arial"/>
                <w:color w:val="000000"/>
                <w:sz w:val="16"/>
                <w:szCs w:val="16"/>
              </w:rPr>
            </w:pPr>
            <w:r w:rsidRPr="00FA6274">
              <w:rPr>
                <w:rFonts w:ascii="Arial" w:hAnsi="Arial" w:cs="Arial"/>
                <w:b/>
                <w:bCs/>
                <w:color w:val="000000"/>
                <w:sz w:val="16"/>
                <w:szCs w:val="16"/>
              </w:rPr>
              <w:t>Feasibility</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3108B35"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No</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CB96EBC"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Probably no</w:t>
            </w:r>
          </w:p>
        </w:tc>
        <w:tc>
          <w:tcPr>
            <w:tcW w:w="0" w:type="auto"/>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40D9ED27"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Probably yes</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36BB642"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Yes</w:t>
            </w:r>
          </w:p>
        </w:tc>
        <w:tc>
          <w:tcPr>
            <w:tcW w:w="9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63BA138" w14:textId="77777777" w:rsidR="00FA6274" w:rsidRPr="00FA6274" w:rsidRDefault="00FA6274" w:rsidP="00FA6274">
            <w:pPr>
              <w:jc w:val="both"/>
              <w:rPr>
                <w:rFonts w:ascii="Arial" w:hAnsi="Arial" w:cs="Arial"/>
                <w:color w:val="000000"/>
                <w:sz w:val="16"/>
                <w:szCs w:val="16"/>
              </w:rPr>
            </w:pPr>
          </w:p>
        </w:tc>
        <w:tc>
          <w:tcPr>
            <w:tcW w:w="709"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8A4D7BB"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Varies</w:t>
            </w:r>
          </w:p>
        </w:tc>
        <w:tc>
          <w:tcPr>
            <w:tcW w:w="180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6F4FA78" w14:textId="77777777" w:rsidR="00FA6274" w:rsidRPr="00FA6274" w:rsidRDefault="00FA6274" w:rsidP="00FA6274">
            <w:pPr>
              <w:jc w:val="both"/>
              <w:rPr>
                <w:rFonts w:ascii="Arial" w:hAnsi="Arial" w:cs="Arial"/>
                <w:color w:val="000000"/>
                <w:sz w:val="16"/>
                <w:szCs w:val="16"/>
              </w:rPr>
            </w:pPr>
            <w:r w:rsidRPr="00FA6274">
              <w:rPr>
                <w:rFonts w:ascii="Arial" w:hAnsi="Arial" w:cs="Arial"/>
                <w:color w:val="000000"/>
                <w:sz w:val="16"/>
                <w:szCs w:val="16"/>
              </w:rPr>
              <w:t>Don't know</w:t>
            </w:r>
          </w:p>
        </w:tc>
      </w:tr>
    </w:tbl>
    <w:p w14:paraId="136302EC" w14:textId="77777777" w:rsidR="00FA6274" w:rsidRDefault="00FA6274" w:rsidP="00596BE0">
      <w:pPr>
        <w:jc w:val="both"/>
        <w:rPr>
          <w:rFonts w:ascii="Arial" w:hAnsi="Arial" w:cs="Arial"/>
          <w:color w:val="000000"/>
        </w:rPr>
      </w:pPr>
    </w:p>
    <w:p w14:paraId="43468193" w14:textId="37CE2DF9" w:rsidR="00143376" w:rsidRPr="00BC0EB8" w:rsidRDefault="00143376" w:rsidP="00596BE0">
      <w:pPr>
        <w:jc w:val="both"/>
        <w:rPr>
          <w:rFonts w:ascii="Arial" w:hAnsi="Arial" w:cs="Arial"/>
          <w:b/>
          <w:color w:val="000000" w:themeColor="text1"/>
          <w:sz w:val="20"/>
          <w:szCs w:val="20"/>
        </w:rPr>
      </w:pPr>
      <w:r w:rsidRPr="002311F8">
        <w:rPr>
          <w:rFonts w:ascii="Arial" w:hAnsi="Arial" w:cs="Arial"/>
          <w:b/>
          <w:color w:val="000000" w:themeColor="text1"/>
          <w:sz w:val="20"/>
          <w:szCs w:val="20"/>
        </w:rPr>
        <w:t>Table S</w:t>
      </w:r>
      <w:r w:rsidR="002311F8" w:rsidRPr="002311F8">
        <w:rPr>
          <w:rFonts w:ascii="Arial" w:hAnsi="Arial" w:cs="Arial"/>
          <w:b/>
          <w:color w:val="000000" w:themeColor="text1"/>
          <w:sz w:val="20"/>
          <w:szCs w:val="20"/>
        </w:rPr>
        <w:t>37</w:t>
      </w:r>
      <w:r w:rsidRPr="002311F8">
        <w:rPr>
          <w:rFonts w:ascii="Arial" w:hAnsi="Arial" w:cs="Arial"/>
          <w:b/>
          <w:color w:val="000000" w:themeColor="text1"/>
          <w:sz w:val="20"/>
          <w:szCs w:val="20"/>
        </w:rPr>
        <w:t>: Evidence to decision table supporting recommendations for mepolizumab for severe asthma in adults (lung function – FEV1)</w:t>
      </w:r>
    </w:p>
    <w:tbl>
      <w:tblPr>
        <w:tblW w:w="0" w:type="auto"/>
        <w:tblCellMar>
          <w:left w:w="0" w:type="dxa"/>
          <w:right w:w="0" w:type="dxa"/>
        </w:tblCellMar>
        <w:tblLook w:val="04A0" w:firstRow="1" w:lastRow="0" w:firstColumn="1" w:lastColumn="0" w:noHBand="0" w:noVBand="1"/>
      </w:tblPr>
      <w:tblGrid>
        <w:gridCol w:w="2141"/>
        <w:gridCol w:w="1535"/>
        <w:gridCol w:w="1843"/>
        <w:gridCol w:w="2374"/>
        <w:gridCol w:w="1843"/>
        <w:gridCol w:w="1134"/>
        <w:gridCol w:w="602"/>
        <w:gridCol w:w="1946"/>
      </w:tblGrid>
      <w:tr w:rsidR="00143376" w:rsidRPr="00143376" w14:paraId="35809012" w14:textId="77777777" w:rsidTr="00AD5B79">
        <w:trPr>
          <w:trHeight w:val="19"/>
        </w:trPr>
        <w:tc>
          <w:tcPr>
            <w:tcW w:w="0" w:type="auto"/>
            <w:tcBorders>
              <w:top w:val="single" w:sz="8" w:space="0" w:color="FFFFFF"/>
              <w:left w:val="single" w:sz="8" w:space="0" w:color="FFFFFF"/>
              <w:bottom w:val="single" w:sz="24" w:space="0" w:color="FFFFFF"/>
              <w:right w:val="single" w:sz="8" w:space="0" w:color="FFFFFF"/>
            </w:tcBorders>
            <w:shd w:val="clear" w:color="auto" w:fill="5B9BD5"/>
            <w:tcMar>
              <w:top w:w="74" w:type="dxa"/>
              <w:left w:w="74" w:type="dxa"/>
              <w:bottom w:w="74" w:type="dxa"/>
              <w:right w:w="74" w:type="dxa"/>
            </w:tcMar>
            <w:vAlign w:val="center"/>
            <w:hideMark/>
          </w:tcPr>
          <w:p w14:paraId="2E44F073" w14:textId="77777777" w:rsidR="00143376" w:rsidRPr="00143376" w:rsidRDefault="00143376" w:rsidP="00143376">
            <w:pPr>
              <w:jc w:val="both"/>
              <w:rPr>
                <w:rFonts w:ascii="Arial" w:hAnsi="Arial" w:cs="Arial"/>
                <w:color w:val="000000"/>
                <w:sz w:val="16"/>
                <w:szCs w:val="16"/>
              </w:rPr>
            </w:pPr>
          </w:p>
        </w:tc>
        <w:tc>
          <w:tcPr>
            <w:tcW w:w="0" w:type="auto"/>
            <w:gridSpan w:val="7"/>
            <w:tcBorders>
              <w:top w:val="single" w:sz="8" w:space="0" w:color="FFFFFF"/>
              <w:left w:val="single" w:sz="8" w:space="0" w:color="FFFFFF"/>
              <w:bottom w:val="single" w:sz="24" w:space="0" w:color="FFFFFF"/>
              <w:right w:val="single" w:sz="8" w:space="0" w:color="FFFFFF"/>
            </w:tcBorders>
            <w:shd w:val="clear" w:color="auto" w:fill="5B9BD5"/>
            <w:tcMar>
              <w:top w:w="74" w:type="dxa"/>
              <w:left w:w="74" w:type="dxa"/>
              <w:bottom w:w="74" w:type="dxa"/>
              <w:right w:w="74" w:type="dxa"/>
            </w:tcMar>
            <w:vAlign w:val="center"/>
            <w:hideMark/>
          </w:tcPr>
          <w:p w14:paraId="25C9459E" w14:textId="77777777" w:rsidR="00143376" w:rsidRPr="00143376" w:rsidRDefault="00143376" w:rsidP="00143376">
            <w:pPr>
              <w:jc w:val="both"/>
              <w:rPr>
                <w:rFonts w:ascii="Arial" w:hAnsi="Arial" w:cs="Arial"/>
                <w:color w:val="000000"/>
                <w:sz w:val="16"/>
                <w:szCs w:val="16"/>
              </w:rPr>
            </w:pPr>
            <w:r w:rsidRPr="00143376">
              <w:rPr>
                <w:rFonts w:ascii="Arial" w:hAnsi="Arial" w:cs="Arial"/>
                <w:b/>
                <w:bCs/>
                <w:color w:val="000000"/>
                <w:sz w:val="16"/>
                <w:szCs w:val="16"/>
              </w:rPr>
              <w:t>Judgement</w:t>
            </w:r>
          </w:p>
        </w:tc>
      </w:tr>
      <w:tr w:rsidR="00143376" w:rsidRPr="00143376" w14:paraId="3115D2A4" w14:textId="77777777" w:rsidTr="0033289E">
        <w:trPr>
          <w:trHeight w:val="19"/>
        </w:trPr>
        <w:tc>
          <w:tcPr>
            <w:tcW w:w="0" w:type="auto"/>
            <w:tcBorders>
              <w:top w:val="single" w:sz="24"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2023DBEE" w14:textId="77777777" w:rsidR="00143376" w:rsidRPr="00143376" w:rsidRDefault="00143376" w:rsidP="00143376">
            <w:pPr>
              <w:jc w:val="both"/>
              <w:rPr>
                <w:rFonts w:ascii="Arial" w:hAnsi="Arial" w:cs="Arial"/>
                <w:color w:val="000000"/>
                <w:sz w:val="16"/>
                <w:szCs w:val="16"/>
              </w:rPr>
            </w:pPr>
            <w:r w:rsidRPr="00143376">
              <w:rPr>
                <w:rFonts w:ascii="Arial" w:hAnsi="Arial" w:cs="Arial"/>
                <w:b/>
                <w:bCs/>
                <w:color w:val="000000"/>
                <w:sz w:val="16"/>
                <w:szCs w:val="16"/>
              </w:rPr>
              <w:t>Problem (importance)</w:t>
            </w:r>
          </w:p>
        </w:tc>
        <w:tc>
          <w:tcPr>
            <w:tcW w:w="1535"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AB907B0" w14:textId="77777777" w:rsidR="00143376" w:rsidRPr="00143376" w:rsidRDefault="00143376" w:rsidP="00143376">
            <w:pPr>
              <w:jc w:val="both"/>
              <w:rPr>
                <w:rFonts w:ascii="Arial" w:hAnsi="Arial" w:cs="Arial"/>
                <w:color w:val="000000"/>
                <w:sz w:val="16"/>
                <w:szCs w:val="16"/>
              </w:rPr>
            </w:pPr>
            <w:r w:rsidRPr="00143376">
              <w:rPr>
                <w:rFonts w:ascii="Arial" w:hAnsi="Arial" w:cs="Arial"/>
                <w:color w:val="000000"/>
                <w:sz w:val="16"/>
                <w:szCs w:val="16"/>
              </w:rPr>
              <w:t>No</w:t>
            </w:r>
          </w:p>
        </w:tc>
        <w:tc>
          <w:tcPr>
            <w:tcW w:w="1843"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768B6B1" w14:textId="77777777" w:rsidR="00143376" w:rsidRPr="00143376" w:rsidRDefault="00143376" w:rsidP="00143376">
            <w:pPr>
              <w:jc w:val="both"/>
              <w:rPr>
                <w:rFonts w:ascii="Arial" w:hAnsi="Arial" w:cs="Arial"/>
                <w:color w:val="000000"/>
                <w:sz w:val="16"/>
                <w:szCs w:val="16"/>
              </w:rPr>
            </w:pPr>
            <w:r w:rsidRPr="00143376">
              <w:rPr>
                <w:rFonts w:ascii="Arial" w:hAnsi="Arial" w:cs="Arial"/>
                <w:color w:val="000000"/>
                <w:sz w:val="16"/>
                <w:szCs w:val="16"/>
              </w:rPr>
              <w:t>Probably no</w:t>
            </w:r>
          </w:p>
        </w:tc>
        <w:tc>
          <w:tcPr>
            <w:tcW w:w="2374"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7357048" w14:textId="77777777" w:rsidR="00143376" w:rsidRPr="00143376" w:rsidRDefault="00143376" w:rsidP="00143376">
            <w:pPr>
              <w:jc w:val="both"/>
              <w:rPr>
                <w:rFonts w:ascii="Arial" w:hAnsi="Arial" w:cs="Arial"/>
                <w:color w:val="000000"/>
                <w:sz w:val="16"/>
                <w:szCs w:val="16"/>
              </w:rPr>
            </w:pPr>
            <w:r w:rsidRPr="00143376">
              <w:rPr>
                <w:rFonts w:ascii="Arial" w:hAnsi="Arial" w:cs="Arial"/>
                <w:color w:val="000000"/>
                <w:sz w:val="16"/>
                <w:szCs w:val="16"/>
              </w:rPr>
              <w:t>Probably yes</w:t>
            </w:r>
          </w:p>
        </w:tc>
        <w:tc>
          <w:tcPr>
            <w:tcW w:w="1843" w:type="dxa"/>
            <w:tcBorders>
              <w:top w:val="single" w:sz="24" w:space="0" w:color="FFFFFF"/>
              <w:left w:val="single" w:sz="8" w:space="0" w:color="FFFFFF"/>
              <w:bottom w:val="single" w:sz="8" w:space="0" w:color="FFFFFF"/>
              <w:right w:val="single" w:sz="8" w:space="0" w:color="FFFFFF"/>
            </w:tcBorders>
            <w:shd w:val="clear" w:color="auto" w:fill="D6DCE5"/>
            <w:tcMar>
              <w:top w:w="74" w:type="dxa"/>
              <w:left w:w="74" w:type="dxa"/>
              <w:bottom w:w="74" w:type="dxa"/>
              <w:right w:w="74" w:type="dxa"/>
            </w:tcMar>
            <w:vAlign w:val="center"/>
            <w:hideMark/>
          </w:tcPr>
          <w:p w14:paraId="782134AC" w14:textId="77777777" w:rsidR="00143376" w:rsidRPr="00143376" w:rsidRDefault="00143376" w:rsidP="00143376">
            <w:pPr>
              <w:jc w:val="both"/>
              <w:rPr>
                <w:rFonts w:ascii="Arial" w:hAnsi="Arial" w:cs="Arial"/>
                <w:color w:val="000000"/>
                <w:sz w:val="16"/>
                <w:szCs w:val="16"/>
              </w:rPr>
            </w:pPr>
            <w:r w:rsidRPr="00143376">
              <w:rPr>
                <w:rFonts w:ascii="Arial" w:hAnsi="Arial" w:cs="Arial"/>
                <w:color w:val="000000"/>
                <w:sz w:val="16"/>
                <w:szCs w:val="16"/>
              </w:rPr>
              <w:t>Yes</w:t>
            </w:r>
          </w:p>
        </w:tc>
        <w:tc>
          <w:tcPr>
            <w:tcW w:w="1134"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CEEA55E" w14:textId="77777777" w:rsidR="00143376" w:rsidRPr="00143376" w:rsidRDefault="00143376" w:rsidP="00143376">
            <w:pPr>
              <w:jc w:val="both"/>
              <w:rPr>
                <w:rFonts w:ascii="Arial" w:hAnsi="Arial" w:cs="Arial"/>
                <w:color w:val="000000"/>
                <w:sz w:val="16"/>
                <w:szCs w:val="16"/>
              </w:rPr>
            </w:pPr>
          </w:p>
        </w:tc>
        <w:tc>
          <w:tcPr>
            <w:tcW w:w="602" w:type="dxa"/>
            <w:tcBorders>
              <w:top w:val="single" w:sz="24"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5A4ADCCA" w14:textId="77777777" w:rsidR="00143376" w:rsidRPr="00143376" w:rsidRDefault="00143376" w:rsidP="00143376">
            <w:pPr>
              <w:jc w:val="both"/>
              <w:rPr>
                <w:rFonts w:ascii="Arial" w:hAnsi="Arial" w:cs="Arial"/>
                <w:color w:val="000000"/>
                <w:sz w:val="16"/>
                <w:szCs w:val="16"/>
              </w:rPr>
            </w:pPr>
            <w:r w:rsidRPr="00143376">
              <w:rPr>
                <w:rFonts w:ascii="Arial" w:hAnsi="Arial" w:cs="Arial"/>
                <w:color w:val="000000"/>
                <w:sz w:val="16"/>
                <w:szCs w:val="16"/>
              </w:rPr>
              <w:t>Varies</w:t>
            </w:r>
          </w:p>
        </w:tc>
        <w:tc>
          <w:tcPr>
            <w:tcW w:w="1946"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50522D4" w14:textId="77777777" w:rsidR="00143376" w:rsidRPr="00143376" w:rsidRDefault="00143376" w:rsidP="00143376">
            <w:pPr>
              <w:jc w:val="both"/>
              <w:rPr>
                <w:rFonts w:ascii="Arial" w:hAnsi="Arial" w:cs="Arial"/>
                <w:color w:val="000000"/>
                <w:sz w:val="16"/>
                <w:szCs w:val="16"/>
              </w:rPr>
            </w:pPr>
            <w:r w:rsidRPr="00143376">
              <w:rPr>
                <w:rFonts w:ascii="Arial" w:hAnsi="Arial" w:cs="Arial"/>
                <w:color w:val="000000"/>
                <w:sz w:val="16"/>
                <w:szCs w:val="16"/>
              </w:rPr>
              <w:t>Don't know</w:t>
            </w:r>
          </w:p>
        </w:tc>
      </w:tr>
      <w:tr w:rsidR="00143376" w:rsidRPr="00143376" w14:paraId="48ABCEE9" w14:textId="77777777" w:rsidTr="0033289E">
        <w:trPr>
          <w:trHeight w:val="47"/>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2D3EBD30" w14:textId="77777777" w:rsidR="00143376" w:rsidRPr="00143376" w:rsidRDefault="00143376" w:rsidP="00143376">
            <w:pPr>
              <w:jc w:val="both"/>
              <w:rPr>
                <w:rFonts w:ascii="Arial" w:hAnsi="Arial" w:cs="Arial"/>
                <w:color w:val="000000"/>
                <w:sz w:val="16"/>
                <w:szCs w:val="16"/>
              </w:rPr>
            </w:pPr>
            <w:r w:rsidRPr="00143376">
              <w:rPr>
                <w:rFonts w:ascii="Arial" w:hAnsi="Arial" w:cs="Arial"/>
                <w:b/>
                <w:bCs/>
                <w:color w:val="000000"/>
                <w:sz w:val="16"/>
                <w:szCs w:val="16"/>
              </w:rPr>
              <w:t>Desirable Effects</w:t>
            </w:r>
          </w:p>
        </w:tc>
        <w:tc>
          <w:tcPr>
            <w:tcW w:w="153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AECAB95" w14:textId="77777777" w:rsidR="00143376" w:rsidRPr="00143376" w:rsidRDefault="00143376" w:rsidP="00143376">
            <w:pPr>
              <w:jc w:val="both"/>
              <w:rPr>
                <w:rFonts w:ascii="Arial" w:hAnsi="Arial" w:cs="Arial"/>
                <w:color w:val="000000"/>
                <w:sz w:val="16"/>
                <w:szCs w:val="16"/>
              </w:rPr>
            </w:pPr>
            <w:r w:rsidRPr="00143376">
              <w:rPr>
                <w:rFonts w:ascii="Arial" w:hAnsi="Arial" w:cs="Arial"/>
                <w:color w:val="000000"/>
                <w:sz w:val="16"/>
                <w:szCs w:val="16"/>
              </w:rPr>
              <w:t>Trivial</w:t>
            </w:r>
          </w:p>
        </w:tc>
        <w:tc>
          <w:tcPr>
            <w:tcW w:w="1843" w:type="dxa"/>
            <w:tcBorders>
              <w:top w:val="single" w:sz="8" w:space="0" w:color="FFFFFF"/>
              <w:left w:val="single" w:sz="8" w:space="0" w:color="FFFFFF"/>
              <w:bottom w:val="single" w:sz="8" w:space="0" w:color="FFFFFF"/>
              <w:right w:val="single" w:sz="8" w:space="0" w:color="FFFFFF"/>
            </w:tcBorders>
            <w:shd w:val="clear" w:color="auto" w:fill="D0CECE"/>
            <w:tcMar>
              <w:top w:w="74" w:type="dxa"/>
              <w:left w:w="74" w:type="dxa"/>
              <w:bottom w:w="74" w:type="dxa"/>
              <w:right w:w="74" w:type="dxa"/>
            </w:tcMar>
            <w:vAlign w:val="center"/>
            <w:hideMark/>
          </w:tcPr>
          <w:p w14:paraId="447F6877" w14:textId="77777777" w:rsidR="00143376" w:rsidRPr="00143376" w:rsidRDefault="00143376" w:rsidP="00143376">
            <w:pPr>
              <w:jc w:val="both"/>
              <w:rPr>
                <w:rFonts w:ascii="Arial" w:hAnsi="Arial" w:cs="Arial"/>
                <w:color w:val="000000"/>
                <w:sz w:val="16"/>
                <w:szCs w:val="16"/>
              </w:rPr>
            </w:pPr>
            <w:r w:rsidRPr="00143376">
              <w:rPr>
                <w:rFonts w:ascii="Arial" w:hAnsi="Arial" w:cs="Arial"/>
                <w:color w:val="000000"/>
                <w:sz w:val="16"/>
                <w:szCs w:val="16"/>
              </w:rPr>
              <w:t>Small</w:t>
            </w:r>
          </w:p>
        </w:tc>
        <w:tc>
          <w:tcPr>
            <w:tcW w:w="2374"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66D7884D" w14:textId="77777777" w:rsidR="00143376" w:rsidRPr="00143376" w:rsidRDefault="00143376" w:rsidP="00143376">
            <w:pPr>
              <w:jc w:val="both"/>
              <w:rPr>
                <w:rFonts w:ascii="Arial" w:hAnsi="Arial" w:cs="Arial"/>
                <w:color w:val="000000"/>
                <w:sz w:val="16"/>
                <w:szCs w:val="16"/>
              </w:rPr>
            </w:pPr>
            <w:r w:rsidRPr="00143376">
              <w:rPr>
                <w:rFonts w:ascii="Arial" w:hAnsi="Arial" w:cs="Arial"/>
                <w:color w:val="000000"/>
                <w:sz w:val="16"/>
                <w:szCs w:val="16"/>
              </w:rPr>
              <w:t>Moderate</w:t>
            </w:r>
          </w:p>
        </w:tc>
        <w:tc>
          <w:tcPr>
            <w:tcW w:w="1843" w:type="dxa"/>
            <w:tcBorders>
              <w:top w:val="single" w:sz="8" w:space="0" w:color="FFFFFF"/>
              <w:left w:val="single" w:sz="8" w:space="0" w:color="FFFFFF"/>
              <w:bottom w:val="single" w:sz="8" w:space="0" w:color="FFFFFF"/>
              <w:right w:val="single" w:sz="8" w:space="0" w:color="FFFFFF"/>
            </w:tcBorders>
            <w:shd w:val="clear" w:color="auto" w:fill="E7E6E6"/>
            <w:tcMar>
              <w:top w:w="74" w:type="dxa"/>
              <w:left w:w="74" w:type="dxa"/>
              <w:bottom w:w="74" w:type="dxa"/>
              <w:right w:w="74" w:type="dxa"/>
            </w:tcMar>
            <w:vAlign w:val="center"/>
            <w:hideMark/>
          </w:tcPr>
          <w:p w14:paraId="7594E177" w14:textId="77777777" w:rsidR="00143376" w:rsidRPr="00143376" w:rsidRDefault="00143376" w:rsidP="00143376">
            <w:pPr>
              <w:jc w:val="both"/>
              <w:rPr>
                <w:rFonts w:ascii="Arial" w:hAnsi="Arial" w:cs="Arial"/>
                <w:color w:val="000000"/>
                <w:sz w:val="16"/>
                <w:szCs w:val="16"/>
              </w:rPr>
            </w:pPr>
            <w:r w:rsidRPr="00143376">
              <w:rPr>
                <w:rFonts w:ascii="Arial" w:hAnsi="Arial" w:cs="Arial"/>
                <w:color w:val="000000"/>
                <w:sz w:val="16"/>
                <w:szCs w:val="16"/>
              </w:rPr>
              <w:t>Large</w:t>
            </w:r>
          </w:p>
        </w:tc>
        <w:tc>
          <w:tcPr>
            <w:tcW w:w="113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B9A76DB" w14:textId="77777777" w:rsidR="00143376" w:rsidRPr="00143376" w:rsidRDefault="00143376" w:rsidP="00143376">
            <w:pPr>
              <w:jc w:val="both"/>
              <w:rPr>
                <w:rFonts w:ascii="Arial" w:hAnsi="Arial" w:cs="Arial"/>
                <w:color w:val="000000"/>
                <w:sz w:val="16"/>
                <w:szCs w:val="16"/>
              </w:rPr>
            </w:pPr>
          </w:p>
        </w:tc>
        <w:tc>
          <w:tcPr>
            <w:tcW w:w="602"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FCEADAA" w14:textId="77777777" w:rsidR="00143376" w:rsidRPr="00143376" w:rsidRDefault="00143376" w:rsidP="00143376">
            <w:pPr>
              <w:jc w:val="both"/>
              <w:rPr>
                <w:rFonts w:ascii="Arial" w:hAnsi="Arial" w:cs="Arial"/>
                <w:color w:val="000000"/>
                <w:sz w:val="16"/>
                <w:szCs w:val="16"/>
              </w:rPr>
            </w:pPr>
            <w:r w:rsidRPr="00143376">
              <w:rPr>
                <w:rFonts w:ascii="Arial" w:hAnsi="Arial" w:cs="Arial"/>
                <w:color w:val="000000"/>
                <w:sz w:val="16"/>
                <w:szCs w:val="16"/>
              </w:rPr>
              <w:t>Varies</w:t>
            </w:r>
          </w:p>
        </w:tc>
        <w:tc>
          <w:tcPr>
            <w:tcW w:w="194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6E92135" w14:textId="77777777" w:rsidR="00143376" w:rsidRPr="00143376" w:rsidRDefault="00143376" w:rsidP="00143376">
            <w:pPr>
              <w:jc w:val="both"/>
              <w:rPr>
                <w:rFonts w:ascii="Arial" w:hAnsi="Arial" w:cs="Arial"/>
                <w:color w:val="000000"/>
                <w:sz w:val="16"/>
                <w:szCs w:val="16"/>
              </w:rPr>
            </w:pPr>
            <w:r w:rsidRPr="00143376">
              <w:rPr>
                <w:rFonts w:ascii="Arial" w:hAnsi="Arial" w:cs="Arial"/>
                <w:color w:val="000000"/>
                <w:sz w:val="16"/>
                <w:szCs w:val="16"/>
              </w:rPr>
              <w:t>Don't know</w:t>
            </w:r>
          </w:p>
        </w:tc>
      </w:tr>
      <w:tr w:rsidR="00143376" w:rsidRPr="00143376" w14:paraId="3D9933EF" w14:textId="77777777" w:rsidTr="0033289E">
        <w:trPr>
          <w:trHeight w:val="1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022DA6A0" w14:textId="77777777" w:rsidR="00143376" w:rsidRPr="00143376" w:rsidRDefault="00143376" w:rsidP="00143376">
            <w:pPr>
              <w:jc w:val="both"/>
              <w:rPr>
                <w:rFonts w:ascii="Arial" w:hAnsi="Arial" w:cs="Arial"/>
                <w:color w:val="000000"/>
                <w:sz w:val="16"/>
                <w:szCs w:val="16"/>
              </w:rPr>
            </w:pPr>
            <w:r w:rsidRPr="00143376">
              <w:rPr>
                <w:rFonts w:ascii="Arial" w:hAnsi="Arial" w:cs="Arial"/>
                <w:b/>
                <w:bCs/>
                <w:color w:val="000000"/>
                <w:sz w:val="16"/>
                <w:szCs w:val="16"/>
              </w:rPr>
              <w:t>Undesirable Effects</w:t>
            </w:r>
          </w:p>
        </w:tc>
        <w:tc>
          <w:tcPr>
            <w:tcW w:w="1535"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C5E03C5" w14:textId="77777777" w:rsidR="00143376" w:rsidRPr="00143376" w:rsidRDefault="00143376" w:rsidP="00143376">
            <w:pPr>
              <w:jc w:val="both"/>
              <w:rPr>
                <w:rFonts w:ascii="Arial" w:hAnsi="Arial" w:cs="Arial"/>
                <w:color w:val="000000"/>
                <w:sz w:val="16"/>
                <w:szCs w:val="16"/>
              </w:rPr>
            </w:pPr>
            <w:r w:rsidRPr="00143376">
              <w:rPr>
                <w:rFonts w:ascii="Arial" w:hAnsi="Arial" w:cs="Arial"/>
                <w:color w:val="000000"/>
                <w:sz w:val="16"/>
                <w:szCs w:val="16"/>
              </w:rPr>
              <w:t>Large</w:t>
            </w:r>
          </w:p>
        </w:tc>
        <w:tc>
          <w:tcPr>
            <w:tcW w:w="1843"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DC36686" w14:textId="77777777" w:rsidR="00143376" w:rsidRPr="00143376" w:rsidRDefault="00143376" w:rsidP="00143376">
            <w:pPr>
              <w:jc w:val="both"/>
              <w:rPr>
                <w:rFonts w:ascii="Arial" w:hAnsi="Arial" w:cs="Arial"/>
                <w:color w:val="000000"/>
                <w:sz w:val="16"/>
                <w:szCs w:val="16"/>
              </w:rPr>
            </w:pPr>
            <w:r w:rsidRPr="00143376">
              <w:rPr>
                <w:rFonts w:ascii="Arial" w:hAnsi="Arial" w:cs="Arial"/>
                <w:color w:val="000000"/>
                <w:sz w:val="16"/>
                <w:szCs w:val="16"/>
              </w:rPr>
              <w:t>Moderate</w:t>
            </w:r>
          </w:p>
        </w:tc>
        <w:tc>
          <w:tcPr>
            <w:tcW w:w="2374"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3C40F7E0" w14:textId="77777777" w:rsidR="00143376" w:rsidRPr="00143376" w:rsidRDefault="00143376" w:rsidP="00143376">
            <w:pPr>
              <w:jc w:val="both"/>
              <w:rPr>
                <w:rFonts w:ascii="Arial" w:hAnsi="Arial" w:cs="Arial"/>
                <w:color w:val="000000"/>
                <w:sz w:val="16"/>
                <w:szCs w:val="16"/>
              </w:rPr>
            </w:pPr>
            <w:r w:rsidRPr="00143376">
              <w:rPr>
                <w:rFonts w:ascii="Arial" w:hAnsi="Arial" w:cs="Arial"/>
                <w:color w:val="000000"/>
                <w:sz w:val="16"/>
                <w:szCs w:val="16"/>
              </w:rPr>
              <w:t>Small</w:t>
            </w:r>
          </w:p>
        </w:tc>
        <w:tc>
          <w:tcPr>
            <w:tcW w:w="1843"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3721402" w14:textId="77777777" w:rsidR="00143376" w:rsidRPr="00143376" w:rsidRDefault="00143376" w:rsidP="00143376">
            <w:pPr>
              <w:jc w:val="both"/>
              <w:rPr>
                <w:rFonts w:ascii="Arial" w:hAnsi="Arial" w:cs="Arial"/>
                <w:color w:val="000000"/>
                <w:sz w:val="16"/>
                <w:szCs w:val="16"/>
              </w:rPr>
            </w:pPr>
            <w:r w:rsidRPr="00143376">
              <w:rPr>
                <w:rFonts w:ascii="Arial" w:hAnsi="Arial" w:cs="Arial"/>
                <w:color w:val="000000"/>
                <w:sz w:val="16"/>
                <w:szCs w:val="16"/>
              </w:rPr>
              <w:t>Trivial</w:t>
            </w:r>
          </w:p>
        </w:tc>
        <w:tc>
          <w:tcPr>
            <w:tcW w:w="113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A765D14" w14:textId="77777777" w:rsidR="00143376" w:rsidRPr="00143376" w:rsidRDefault="00143376" w:rsidP="00143376">
            <w:pPr>
              <w:jc w:val="both"/>
              <w:rPr>
                <w:rFonts w:ascii="Arial" w:hAnsi="Arial" w:cs="Arial"/>
                <w:color w:val="000000"/>
                <w:sz w:val="16"/>
                <w:szCs w:val="16"/>
              </w:rPr>
            </w:pPr>
          </w:p>
        </w:tc>
        <w:tc>
          <w:tcPr>
            <w:tcW w:w="602"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9DDA5A0" w14:textId="77777777" w:rsidR="00143376" w:rsidRPr="00143376" w:rsidRDefault="00143376" w:rsidP="00143376">
            <w:pPr>
              <w:jc w:val="both"/>
              <w:rPr>
                <w:rFonts w:ascii="Arial" w:hAnsi="Arial" w:cs="Arial"/>
                <w:color w:val="000000"/>
                <w:sz w:val="16"/>
                <w:szCs w:val="16"/>
              </w:rPr>
            </w:pPr>
            <w:r w:rsidRPr="00143376">
              <w:rPr>
                <w:rFonts w:ascii="Arial" w:hAnsi="Arial" w:cs="Arial"/>
                <w:color w:val="000000"/>
                <w:sz w:val="16"/>
                <w:szCs w:val="16"/>
              </w:rPr>
              <w:t>Varies</w:t>
            </w:r>
          </w:p>
        </w:tc>
        <w:tc>
          <w:tcPr>
            <w:tcW w:w="194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727D167" w14:textId="77777777" w:rsidR="00143376" w:rsidRPr="00143376" w:rsidRDefault="00143376" w:rsidP="00143376">
            <w:pPr>
              <w:jc w:val="both"/>
              <w:rPr>
                <w:rFonts w:ascii="Arial" w:hAnsi="Arial" w:cs="Arial"/>
                <w:color w:val="000000"/>
                <w:sz w:val="16"/>
                <w:szCs w:val="16"/>
              </w:rPr>
            </w:pPr>
            <w:r w:rsidRPr="00143376">
              <w:rPr>
                <w:rFonts w:ascii="Arial" w:hAnsi="Arial" w:cs="Arial"/>
                <w:color w:val="000000"/>
                <w:sz w:val="16"/>
                <w:szCs w:val="16"/>
              </w:rPr>
              <w:t>Don't know</w:t>
            </w:r>
          </w:p>
        </w:tc>
      </w:tr>
      <w:tr w:rsidR="00143376" w:rsidRPr="00143376" w14:paraId="1ADD402B" w14:textId="77777777" w:rsidTr="0033289E">
        <w:trPr>
          <w:trHeight w:val="58"/>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396A37A9" w14:textId="77777777" w:rsidR="00143376" w:rsidRPr="00143376" w:rsidRDefault="00143376" w:rsidP="00143376">
            <w:pPr>
              <w:jc w:val="both"/>
              <w:rPr>
                <w:rFonts w:ascii="Arial" w:hAnsi="Arial" w:cs="Arial"/>
                <w:color w:val="000000"/>
                <w:sz w:val="16"/>
                <w:szCs w:val="16"/>
              </w:rPr>
            </w:pPr>
            <w:r w:rsidRPr="00143376">
              <w:rPr>
                <w:rFonts w:ascii="Arial" w:hAnsi="Arial" w:cs="Arial"/>
                <w:b/>
                <w:bCs/>
                <w:color w:val="000000"/>
                <w:sz w:val="16"/>
                <w:szCs w:val="16"/>
              </w:rPr>
              <w:t>Certainty of evidence</w:t>
            </w:r>
          </w:p>
        </w:tc>
        <w:tc>
          <w:tcPr>
            <w:tcW w:w="153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AE60E16" w14:textId="77777777" w:rsidR="00143376" w:rsidRPr="00143376" w:rsidRDefault="00143376" w:rsidP="00143376">
            <w:pPr>
              <w:jc w:val="both"/>
              <w:rPr>
                <w:rFonts w:ascii="Arial" w:hAnsi="Arial" w:cs="Arial"/>
                <w:color w:val="000000"/>
                <w:sz w:val="16"/>
                <w:szCs w:val="16"/>
              </w:rPr>
            </w:pPr>
            <w:r w:rsidRPr="00143376">
              <w:rPr>
                <w:rFonts w:ascii="Arial" w:hAnsi="Arial" w:cs="Arial"/>
                <w:color w:val="000000"/>
                <w:sz w:val="16"/>
                <w:szCs w:val="16"/>
              </w:rPr>
              <w:t>Very low</w:t>
            </w:r>
          </w:p>
        </w:tc>
        <w:tc>
          <w:tcPr>
            <w:tcW w:w="1843"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26B7249B" w14:textId="77777777" w:rsidR="00143376" w:rsidRPr="00143376" w:rsidRDefault="00143376" w:rsidP="00143376">
            <w:pPr>
              <w:jc w:val="both"/>
              <w:rPr>
                <w:rFonts w:ascii="Arial" w:hAnsi="Arial" w:cs="Arial"/>
                <w:color w:val="000000"/>
                <w:sz w:val="16"/>
                <w:szCs w:val="16"/>
              </w:rPr>
            </w:pPr>
            <w:r w:rsidRPr="00143376">
              <w:rPr>
                <w:rFonts w:ascii="Arial" w:hAnsi="Arial" w:cs="Arial"/>
                <w:color w:val="000000"/>
                <w:sz w:val="16"/>
                <w:szCs w:val="16"/>
              </w:rPr>
              <w:t>Low</w:t>
            </w:r>
          </w:p>
        </w:tc>
        <w:tc>
          <w:tcPr>
            <w:tcW w:w="2374" w:type="dxa"/>
            <w:tcBorders>
              <w:top w:val="single" w:sz="8" w:space="0" w:color="FFFFFF"/>
              <w:left w:val="single" w:sz="8" w:space="0" w:color="FFFFFF"/>
              <w:bottom w:val="single" w:sz="8" w:space="0" w:color="FFFFFF"/>
              <w:right w:val="single" w:sz="8" w:space="0" w:color="FFFFFF"/>
            </w:tcBorders>
            <w:shd w:val="clear" w:color="auto" w:fill="D6DCE5"/>
            <w:tcMar>
              <w:top w:w="74" w:type="dxa"/>
              <w:left w:w="74" w:type="dxa"/>
              <w:bottom w:w="74" w:type="dxa"/>
              <w:right w:w="74" w:type="dxa"/>
            </w:tcMar>
            <w:vAlign w:val="center"/>
            <w:hideMark/>
          </w:tcPr>
          <w:p w14:paraId="5B041424" w14:textId="77777777" w:rsidR="00143376" w:rsidRPr="00143376" w:rsidRDefault="00143376" w:rsidP="00143376">
            <w:pPr>
              <w:jc w:val="both"/>
              <w:rPr>
                <w:rFonts w:ascii="Arial" w:hAnsi="Arial" w:cs="Arial"/>
                <w:color w:val="000000"/>
                <w:sz w:val="16"/>
                <w:szCs w:val="16"/>
              </w:rPr>
            </w:pPr>
            <w:r w:rsidRPr="00143376">
              <w:rPr>
                <w:rFonts w:ascii="Arial" w:hAnsi="Arial" w:cs="Arial"/>
                <w:color w:val="000000"/>
                <w:sz w:val="16"/>
                <w:szCs w:val="16"/>
              </w:rPr>
              <w:t>Moderate</w:t>
            </w:r>
          </w:p>
        </w:tc>
        <w:tc>
          <w:tcPr>
            <w:tcW w:w="1843" w:type="dxa"/>
            <w:tcBorders>
              <w:top w:val="single" w:sz="8" w:space="0" w:color="FFFFFF"/>
              <w:left w:val="single" w:sz="8" w:space="0" w:color="FFFFFF"/>
              <w:bottom w:val="single" w:sz="8" w:space="0" w:color="FFFFFF"/>
              <w:right w:val="single" w:sz="8" w:space="0" w:color="FFFFFF"/>
            </w:tcBorders>
            <w:shd w:val="clear" w:color="auto" w:fill="auto"/>
            <w:tcMar>
              <w:top w:w="74" w:type="dxa"/>
              <w:left w:w="74" w:type="dxa"/>
              <w:bottom w:w="74" w:type="dxa"/>
              <w:right w:w="74" w:type="dxa"/>
            </w:tcMar>
            <w:vAlign w:val="center"/>
            <w:hideMark/>
          </w:tcPr>
          <w:p w14:paraId="46858E02" w14:textId="77777777" w:rsidR="00143376" w:rsidRPr="00143376" w:rsidRDefault="00143376" w:rsidP="00143376">
            <w:pPr>
              <w:jc w:val="both"/>
              <w:rPr>
                <w:rFonts w:ascii="Arial" w:hAnsi="Arial" w:cs="Arial"/>
                <w:color w:val="000000"/>
                <w:sz w:val="16"/>
                <w:szCs w:val="16"/>
              </w:rPr>
            </w:pPr>
            <w:r w:rsidRPr="00143376">
              <w:rPr>
                <w:rFonts w:ascii="Arial" w:hAnsi="Arial" w:cs="Arial"/>
                <w:color w:val="000000"/>
                <w:sz w:val="16"/>
                <w:szCs w:val="16"/>
              </w:rPr>
              <w:t>High</w:t>
            </w:r>
          </w:p>
        </w:tc>
        <w:tc>
          <w:tcPr>
            <w:tcW w:w="113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CA5AFE8" w14:textId="77777777" w:rsidR="00143376" w:rsidRPr="00143376" w:rsidRDefault="00143376" w:rsidP="00143376">
            <w:pPr>
              <w:jc w:val="both"/>
              <w:rPr>
                <w:rFonts w:ascii="Arial" w:hAnsi="Arial" w:cs="Arial"/>
                <w:color w:val="000000"/>
                <w:sz w:val="16"/>
                <w:szCs w:val="16"/>
              </w:rPr>
            </w:pPr>
          </w:p>
        </w:tc>
        <w:tc>
          <w:tcPr>
            <w:tcW w:w="602"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B5A0E34" w14:textId="77777777" w:rsidR="00143376" w:rsidRPr="00143376" w:rsidRDefault="00143376" w:rsidP="00143376">
            <w:pPr>
              <w:jc w:val="both"/>
              <w:rPr>
                <w:rFonts w:ascii="Arial" w:hAnsi="Arial" w:cs="Arial"/>
                <w:color w:val="000000"/>
                <w:sz w:val="16"/>
                <w:szCs w:val="16"/>
              </w:rPr>
            </w:pPr>
          </w:p>
        </w:tc>
        <w:tc>
          <w:tcPr>
            <w:tcW w:w="194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8DFC033" w14:textId="4AFF68AC" w:rsidR="00143376" w:rsidRPr="00143376" w:rsidRDefault="00143376" w:rsidP="00143376">
            <w:pPr>
              <w:jc w:val="both"/>
              <w:rPr>
                <w:rFonts w:ascii="Arial" w:hAnsi="Arial" w:cs="Arial"/>
                <w:color w:val="000000"/>
                <w:sz w:val="16"/>
                <w:szCs w:val="16"/>
              </w:rPr>
            </w:pPr>
            <w:r w:rsidRPr="00143376">
              <w:rPr>
                <w:rFonts w:ascii="Arial" w:hAnsi="Arial" w:cs="Arial"/>
                <w:color w:val="000000"/>
                <w:sz w:val="16"/>
                <w:szCs w:val="16"/>
              </w:rPr>
              <w:t xml:space="preserve">No </w:t>
            </w:r>
            <w:r w:rsidR="00AD5B79" w:rsidRPr="00143376">
              <w:rPr>
                <w:rFonts w:ascii="Arial" w:hAnsi="Arial" w:cs="Arial"/>
                <w:color w:val="000000"/>
                <w:sz w:val="16"/>
                <w:szCs w:val="16"/>
              </w:rPr>
              <w:t xml:space="preserve">studies </w:t>
            </w:r>
            <w:r w:rsidRPr="00143376">
              <w:rPr>
                <w:rFonts w:ascii="Arial" w:hAnsi="Arial" w:cs="Arial"/>
                <w:color w:val="000000"/>
                <w:sz w:val="16"/>
                <w:szCs w:val="16"/>
              </w:rPr>
              <w:t xml:space="preserve">included </w:t>
            </w:r>
          </w:p>
        </w:tc>
      </w:tr>
      <w:tr w:rsidR="00143376" w:rsidRPr="00143376" w14:paraId="6EEB6463" w14:textId="77777777" w:rsidTr="0033289E">
        <w:trPr>
          <w:trHeight w:val="94"/>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34F36AB8" w14:textId="77777777" w:rsidR="00143376" w:rsidRPr="00143376" w:rsidRDefault="00143376" w:rsidP="00143376">
            <w:pPr>
              <w:jc w:val="both"/>
              <w:rPr>
                <w:rFonts w:ascii="Arial" w:hAnsi="Arial" w:cs="Arial"/>
                <w:color w:val="000000"/>
                <w:sz w:val="16"/>
                <w:szCs w:val="16"/>
              </w:rPr>
            </w:pPr>
            <w:r w:rsidRPr="00143376">
              <w:rPr>
                <w:rFonts w:ascii="Arial" w:hAnsi="Arial" w:cs="Arial"/>
                <w:b/>
                <w:bCs/>
                <w:color w:val="000000"/>
                <w:sz w:val="16"/>
                <w:szCs w:val="16"/>
              </w:rPr>
              <w:t>Values</w:t>
            </w:r>
          </w:p>
        </w:tc>
        <w:tc>
          <w:tcPr>
            <w:tcW w:w="1535"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951D80D" w14:textId="77777777" w:rsidR="00143376" w:rsidRPr="00143376" w:rsidRDefault="00143376" w:rsidP="00143376">
            <w:pPr>
              <w:jc w:val="both"/>
              <w:rPr>
                <w:rFonts w:ascii="Arial" w:hAnsi="Arial" w:cs="Arial"/>
                <w:color w:val="000000"/>
                <w:sz w:val="16"/>
                <w:szCs w:val="16"/>
              </w:rPr>
            </w:pPr>
            <w:r w:rsidRPr="00143376">
              <w:rPr>
                <w:rFonts w:ascii="Arial" w:hAnsi="Arial" w:cs="Arial"/>
                <w:color w:val="000000"/>
                <w:sz w:val="16"/>
                <w:szCs w:val="16"/>
              </w:rPr>
              <w:t>Important uncertainty or variability</w:t>
            </w:r>
          </w:p>
        </w:tc>
        <w:tc>
          <w:tcPr>
            <w:tcW w:w="1843"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3DA684D" w14:textId="77777777" w:rsidR="00143376" w:rsidRPr="00143376" w:rsidRDefault="00143376" w:rsidP="00143376">
            <w:pPr>
              <w:jc w:val="both"/>
              <w:rPr>
                <w:rFonts w:ascii="Arial" w:hAnsi="Arial" w:cs="Arial"/>
                <w:color w:val="000000"/>
                <w:sz w:val="16"/>
                <w:szCs w:val="16"/>
              </w:rPr>
            </w:pPr>
            <w:r w:rsidRPr="00143376">
              <w:rPr>
                <w:rFonts w:ascii="Arial" w:hAnsi="Arial" w:cs="Arial"/>
                <w:color w:val="000000"/>
                <w:sz w:val="16"/>
                <w:szCs w:val="16"/>
              </w:rPr>
              <w:t>Possibly important uncertainty or variability</w:t>
            </w:r>
          </w:p>
        </w:tc>
        <w:tc>
          <w:tcPr>
            <w:tcW w:w="237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CE03C4B" w14:textId="77777777" w:rsidR="00143376" w:rsidRPr="00143376" w:rsidRDefault="00143376" w:rsidP="00143376">
            <w:pPr>
              <w:jc w:val="both"/>
              <w:rPr>
                <w:rFonts w:ascii="Arial" w:hAnsi="Arial" w:cs="Arial"/>
                <w:color w:val="000000"/>
                <w:sz w:val="16"/>
                <w:szCs w:val="16"/>
              </w:rPr>
            </w:pPr>
            <w:r w:rsidRPr="00143376">
              <w:rPr>
                <w:rFonts w:ascii="Arial" w:hAnsi="Arial" w:cs="Arial"/>
                <w:color w:val="000000"/>
                <w:sz w:val="16"/>
                <w:szCs w:val="16"/>
              </w:rPr>
              <w:t>Probably no important uncertainty or variability</w:t>
            </w:r>
          </w:p>
        </w:tc>
        <w:tc>
          <w:tcPr>
            <w:tcW w:w="1843"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4175FFC8" w14:textId="77777777" w:rsidR="00143376" w:rsidRPr="00143376" w:rsidRDefault="00143376" w:rsidP="00143376">
            <w:pPr>
              <w:jc w:val="both"/>
              <w:rPr>
                <w:rFonts w:ascii="Arial" w:hAnsi="Arial" w:cs="Arial"/>
                <w:color w:val="000000"/>
                <w:sz w:val="16"/>
                <w:szCs w:val="16"/>
              </w:rPr>
            </w:pPr>
            <w:r w:rsidRPr="00143376">
              <w:rPr>
                <w:rFonts w:ascii="Arial" w:hAnsi="Arial" w:cs="Arial"/>
                <w:color w:val="000000"/>
                <w:sz w:val="16"/>
                <w:szCs w:val="16"/>
              </w:rPr>
              <w:t>no important uncertainty or variability</w:t>
            </w:r>
          </w:p>
        </w:tc>
        <w:tc>
          <w:tcPr>
            <w:tcW w:w="113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6E28348" w14:textId="77777777" w:rsidR="00143376" w:rsidRPr="00143376" w:rsidRDefault="00143376" w:rsidP="00143376">
            <w:pPr>
              <w:jc w:val="both"/>
              <w:rPr>
                <w:rFonts w:ascii="Arial" w:hAnsi="Arial" w:cs="Arial"/>
                <w:color w:val="000000"/>
                <w:sz w:val="16"/>
                <w:szCs w:val="16"/>
              </w:rPr>
            </w:pPr>
          </w:p>
        </w:tc>
        <w:tc>
          <w:tcPr>
            <w:tcW w:w="602"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AD34304" w14:textId="77777777" w:rsidR="00143376" w:rsidRPr="00143376" w:rsidRDefault="00143376" w:rsidP="00143376">
            <w:pPr>
              <w:jc w:val="both"/>
              <w:rPr>
                <w:rFonts w:ascii="Arial" w:hAnsi="Arial" w:cs="Arial"/>
                <w:color w:val="000000"/>
                <w:sz w:val="16"/>
                <w:szCs w:val="16"/>
              </w:rPr>
            </w:pPr>
          </w:p>
        </w:tc>
        <w:tc>
          <w:tcPr>
            <w:tcW w:w="194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5BEAC79" w14:textId="77777777" w:rsidR="00143376" w:rsidRPr="00143376" w:rsidRDefault="00143376" w:rsidP="00143376">
            <w:pPr>
              <w:jc w:val="both"/>
              <w:rPr>
                <w:rFonts w:ascii="Arial" w:hAnsi="Arial" w:cs="Arial"/>
                <w:color w:val="000000"/>
                <w:sz w:val="16"/>
                <w:szCs w:val="16"/>
              </w:rPr>
            </w:pPr>
          </w:p>
        </w:tc>
      </w:tr>
      <w:tr w:rsidR="00143376" w:rsidRPr="00143376" w14:paraId="1B4D9899" w14:textId="77777777" w:rsidTr="0033289E">
        <w:trPr>
          <w:trHeight w:val="116"/>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57772047" w14:textId="77777777" w:rsidR="00143376" w:rsidRPr="00143376" w:rsidRDefault="00143376" w:rsidP="00143376">
            <w:pPr>
              <w:jc w:val="both"/>
              <w:rPr>
                <w:rFonts w:ascii="Arial" w:hAnsi="Arial" w:cs="Arial"/>
                <w:color w:val="000000"/>
                <w:sz w:val="16"/>
                <w:szCs w:val="16"/>
              </w:rPr>
            </w:pPr>
            <w:r w:rsidRPr="00143376">
              <w:rPr>
                <w:rFonts w:ascii="Arial" w:hAnsi="Arial" w:cs="Arial"/>
                <w:b/>
                <w:bCs/>
                <w:color w:val="000000"/>
                <w:sz w:val="16"/>
                <w:szCs w:val="16"/>
              </w:rPr>
              <w:t>Balance of effects</w:t>
            </w:r>
          </w:p>
        </w:tc>
        <w:tc>
          <w:tcPr>
            <w:tcW w:w="153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01E1671" w14:textId="77777777" w:rsidR="00143376" w:rsidRPr="00143376" w:rsidRDefault="00143376" w:rsidP="00143376">
            <w:pPr>
              <w:jc w:val="both"/>
              <w:rPr>
                <w:rFonts w:ascii="Arial" w:hAnsi="Arial" w:cs="Arial"/>
                <w:color w:val="000000"/>
                <w:sz w:val="16"/>
                <w:szCs w:val="16"/>
              </w:rPr>
            </w:pPr>
            <w:r w:rsidRPr="00143376">
              <w:rPr>
                <w:rFonts w:ascii="Arial" w:hAnsi="Arial" w:cs="Arial"/>
                <w:color w:val="000000"/>
                <w:sz w:val="16"/>
                <w:szCs w:val="16"/>
              </w:rPr>
              <w:t>Favors the comparison</w:t>
            </w:r>
          </w:p>
        </w:tc>
        <w:tc>
          <w:tcPr>
            <w:tcW w:w="1843"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D4FADF0" w14:textId="77777777" w:rsidR="00143376" w:rsidRPr="00143376" w:rsidRDefault="00143376" w:rsidP="00143376">
            <w:pPr>
              <w:jc w:val="both"/>
              <w:rPr>
                <w:rFonts w:ascii="Arial" w:hAnsi="Arial" w:cs="Arial"/>
                <w:color w:val="000000"/>
                <w:sz w:val="16"/>
                <w:szCs w:val="16"/>
              </w:rPr>
            </w:pPr>
            <w:r w:rsidRPr="00143376">
              <w:rPr>
                <w:rFonts w:ascii="Arial" w:hAnsi="Arial" w:cs="Arial"/>
                <w:color w:val="000000"/>
                <w:sz w:val="16"/>
                <w:szCs w:val="16"/>
              </w:rPr>
              <w:t>Probably favors the comparison</w:t>
            </w:r>
          </w:p>
        </w:tc>
        <w:tc>
          <w:tcPr>
            <w:tcW w:w="237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4D0B591" w14:textId="77777777" w:rsidR="00143376" w:rsidRPr="00143376" w:rsidRDefault="00143376" w:rsidP="00143376">
            <w:pPr>
              <w:jc w:val="both"/>
              <w:rPr>
                <w:rFonts w:ascii="Arial" w:hAnsi="Arial" w:cs="Arial"/>
                <w:color w:val="000000"/>
                <w:sz w:val="16"/>
                <w:szCs w:val="16"/>
              </w:rPr>
            </w:pPr>
            <w:r w:rsidRPr="00143376">
              <w:rPr>
                <w:rFonts w:ascii="Arial" w:hAnsi="Arial" w:cs="Arial"/>
                <w:color w:val="000000"/>
                <w:sz w:val="16"/>
                <w:szCs w:val="16"/>
              </w:rPr>
              <w:t>Does not favor either the intervention or the comparison</w:t>
            </w:r>
          </w:p>
        </w:tc>
        <w:tc>
          <w:tcPr>
            <w:tcW w:w="1843"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75D24C5F" w14:textId="77777777" w:rsidR="00143376" w:rsidRPr="00143376" w:rsidRDefault="00143376" w:rsidP="00143376">
            <w:pPr>
              <w:jc w:val="both"/>
              <w:rPr>
                <w:rFonts w:ascii="Arial" w:hAnsi="Arial" w:cs="Arial"/>
                <w:color w:val="000000"/>
                <w:sz w:val="16"/>
                <w:szCs w:val="16"/>
              </w:rPr>
            </w:pPr>
            <w:r w:rsidRPr="00143376">
              <w:rPr>
                <w:rFonts w:ascii="Arial" w:hAnsi="Arial" w:cs="Arial"/>
                <w:color w:val="000000"/>
                <w:sz w:val="16"/>
                <w:szCs w:val="16"/>
              </w:rPr>
              <w:t>Probably favors the intervention</w:t>
            </w:r>
          </w:p>
        </w:tc>
        <w:tc>
          <w:tcPr>
            <w:tcW w:w="1134" w:type="dxa"/>
            <w:tcBorders>
              <w:top w:val="single" w:sz="8" w:space="0" w:color="FFFFFF"/>
              <w:left w:val="single" w:sz="8" w:space="0" w:color="FFFFFF"/>
              <w:bottom w:val="single" w:sz="8" w:space="0" w:color="FFFFFF"/>
              <w:right w:val="single" w:sz="8" w:space="0" w:color="FFFFFF"/>
            </w:tcBorders>
            <w:shd w:val="clear" w:color="auto" w:fill="D6DCE5"/>
            <w:tcMar>
              <w:top w:w="74" w:type="dxa"/>
              <w:left w:w="74" w:type="dxa"/>
              <w:bottom w:w="74" w:type="dxa"/>
              <w:right w:w="74" w:type="dxa"/>
            </w:tcMar>
            <w:vAlign w:val="center"/>
            <w:hideMark/>
          </w:tcPr>
          <w:p w14:paraId="1FC8CA68" w14:textId="77777777" w:rsidR="00143376" w:rsidRPr="00143376" w:rsidRDefault="00143376" w:rsidP="00143376">
            <w:pPr>
              <w:jc w:val="both"/>
              <w:rPr>
                <w:rFonts w:ascii="Arial" w:hAnsi="Arial" w:cs="Arial"/>
                <w:color w:val="000000"/>
                <w:sz w:val="16"/>
                <w:szCs w:val="16"/>
              </w:rPr>
            </w:pPr>
            <w:r w:rsidRPr="00143376">
              <w:rPr>
                <w:rFonts w:ascii="Arial" w:hAnsi="Arial" w:cs="Arial"/>
                <w:color w:val="000000"/>
                <w:sz w:val="16"/>
                <w:szCs w:val="16"/>
              </w:rPr>
              <w:t>Favors the intervention</w:t>
            </w:r>
          </w:p>
        </w:tc>
        <w:tc>
          <w:tcPr>
            <w:tcW w:w="602"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509AEDA" w14:textId="77777777" w:rsidR="00143376" w:rsidRPr="00143376" w:rsidRDefault="00143376" w:rsidP="00143376">
            <w:pPr>
              <w:jc w:val="both"/>
              <w:rPr>
                <w:rFonts w:ascii="Arial" w:hAnsi="Arial" w:cs="Arial"/>
                <w:color w:val="000000"/>
                <w:sz w:val="16"/>
                <w:szCs w:val="16"/>
              </w:rPr>
            </w:pPr>
            <w:r w:rsidRPr="00143376">
              <w:rPr>
                <w:rFonts w:ascii="Arial" w:hAnsi="Arial" w:cs="Arial"/>
                <w:color w:val="000000"/>
                <w:sz w:val="16"/>
                <w:szCs w:val="16"/>
              </w:rPr>
              <w:t>Varies</w:t>
            </w:r>
          </w:p>
        </w:tc>
        <w:tc>
          <w:tcPr>
            <w:tcW w:w="194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F85CE72" w14:textId="77777777" w:rsidR="00143376" w:rsidRPr="00143376" w:rsidRDefault="00143376" w:rsidP="00143376">
            <w:pPr>
              <w:jc w:val="both"/>
              <w:rPr>
                <w:rFonts w:ascii="Arial" w:hAnsi="Arial" w:cs="Arial"/>
                <w:color w:val="000000"/>
                <w:sz w:val="16"/>
                <w:szCs w:val="16"/>
              </w:rPr>
            </w:pPr>
            <w:r w:rsidRPr="00143376">
              <w:rPr>
                <w:rFonts w:ascii="Arial" w:hAnsi="Arial" w:cs="Arial"/>
                <w:color w:val="000000"/>
                <w:sz w:val="16"/>
                <w:szCs w:val="16"/>
              </w:rPr>
              <w:t>Don't know</w:t>
            </w:r>
          </w:p>
        </w:tc>
      </w:tr>
      <w:tr w:rsidR="00143376" w:rsidRPr="00143376" w14:paraId="18093212" w14:textId="77777777" w:rsidTr="0033289E">
        <w:trPr>
          <w:trHeight w:val="1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0AE3ED5E" w14:textId="77777777" w:rsidR="00143376" w:rsidRPr="00143376" w:rsidRDefault="00143376" w:rsidP="00143376">
            <w:pPr>
              <w:jc w:val="both"/>
              <w:rPr>
                <w:rFonts w:ascii="Arial" w:hAnsi="Arial" w:cs="Arial"/>
                <w:color w:val="000000"/>
                <w:sz w:val="16"/>
                <w:szCs w:val="16"/>
              </w:rPr>
            </w:pPr>
            <w:r w:rsidRPr="00143376">
              <w:rPr>
                <w:rFonts w:ascii="Arial" w:hAnsi="Arial" w:cs="Arial"/>
                <w:b/>
                <w:bCs/>
                <w:color w:val="000000"/>
                <w:sz w:val="16"/>
                <w:szCs w:val="16"/>
              </w:rPr>
              <w:t>Resources required</w:t>
            </w:r>
          </w:p>
        </w:tc>
        <w:tc>
          <w:tcPr>
            <w:tcW w:w="1535"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515E312" w14:textId="77777777" w:rsidR="00143376" w:rsidRPr="00143376" w:rsidRDefault="00143376" w:rsidP="00143376">
            <w:pPr>
              <w:jc w:val="both"/>
              <w:rPr>
                <w:rFonts w:ascii="Arial" w:hAnsi="Arial" w:cs="Arial"/>
                <w:color w:val="000000"/>
                <w:sz w:val="16"/>
                <w:szCs w:val="16"/>
              </w:rPr>
            </w:pPr>
            <w:r w:rsidRPr="00143376">
              <w:rPr>
                <w:rFonts w:ascii="Arial" w:hAnsi="Arial" w:cs="Arial"/>
                <w:color w:val="000000"/>
                <w:sz w:val="16"/>
                <w:szCs w:val="16"/>
              </w:rPr>
              <w:t>Large costs</w:t>
            </w:r>
          </w:p>
        </w:tc>
        <w:tc>
          <w:tcPr>
            <w:tcW w:w="1843"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3B52506" w14:textId="77777777" w:rsidR="00143376" w:rsidRPr="00143376" w:rsidRDefault="00143376" w:rsidP="00143376">
            <w:pPr>
              <w:jc w:val="both"/>
              <w:rPr>
                <w:rFonts w:ascii="Arial" w:hAnsi="Arial" w:cs="Arial"/>
                <w:color w:val="000000"/>
                <w:sz w:val="16"/>
                <w:szCs w:val="16"/>
              </w:rPr>
            </w:pPr>
            <w:r w:rsidRPr="00143376">
              <w:rPr>
                <w:rFonts w:ascii="Arial" w:hAnsi="Arial" w:cs="Arial"/>
                <w:color w:val="000000"/>
                <w:sz w:val="16"/>
                <w:szCs w:val="16"/>
              </w:rPr>
              <w:t>Moderate costs</w:t>
            </w:r>
          </w:p>
        </w:tc>
        <w:tc>
          <w:tcPr>
            <w:tcW w:w="237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75A17D8" w14:textId="77777777" w:rsidR="00143376" w:rsidRPr="00143376" w:rsidRDefault="00143376" w:rsidP="00143376">
            <w:pPr>
              <w:jc w:val="both"/>
              <w:rPr>
                <w:rFonts w:ascii="Arial" w:hAnsi="Arial" w:cs="Arial"/>
                <w:color w:val="000000"/>
                <w:sz w:val="16"/>
                <w:szCs w:val="16"/>
              </w:rPr>
            </w:pPr>
            <w:r w:rsidRPr="00143376">
              <w:rPr>
                <w:rFonts w:ascii="Arial" w:hAnsi="Arial" w:cs="Arial"/>
                <w:color w:val="000000"/>
                <w:sz w:val="16"/>
                <w:szCs w:val="16"/>
              </w:rPr>
              <w:t>Negligible costs and savings</w:t>
            </w:r>
          </w:p>
        </w:tc>
        <w:tc>
          <w:tcPr>
            <w:tcW w:w="1843"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65189F1" w14:textId="77777777" w:rsidR="00143376" w:rsidRPr="00143376" w:rsidRDefault="00143376" w:rsidP="00143376">
            <w:pPr>
              <w:jc w:val="both"/>
              <w:rPr>
                <w:rFonts w:ascii="Arial" w:hAnsi="Arial" w:cs="Arial"/>
                <w:color w:val="000000"/>
                <w:sz w:val="16"/>
                <w:szCs w:val="16"/>
              </w:rPr>
            </w:pPr>
            <w:r w:rsidRPr="00143376">
              <w:rPr>
                <w:rFonts w:ascii="Arial" w:hAnsi="Arial" w:cs="Arial"/>
                <w:color w:val="000000"/>
                <w:sz w:val="16"/>
                <w:szCs w:val="16"/>
              </w:rPr>
              <w:t>Moderate savings</w:t>
            </w:r>
          </w:p>
        </w:tc>
        <w:tc>
          <w:tcPr>
            <w:tcW w:w="113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125BF89" w14:textId="77777777" w:rsidR="00143376" w:rsidRPr="00143376" w:rsidRDefault="00143376" w:rsidP="00143376">
            <w:pPr>
              <w:jc w:val="both"/>
              <w:rPr>
                <w:rFonts w:ascii="Arial" w:hAnsi="Arial" w:cs="Arial"/>
                <w:color w:val="000000"/>
                <w:sz w:val="16"/>
                <w:szCs w:val="16"/>
              </w:rPr>
            </w:pPr>
            <w:r w:rsidRPr="00143376">
              <w:rPr>
                <w:rFonts w:ascii="Arial" w:hAnsi="Arial" w:cs="Arial"/>
                <w:color w:val="000000"/>
                <w:sz w:val="16"/>
                <w:szCs w:val="16"/>
              </w:rPr>
              <w:t>Large savings</w:t>
            </w:r>
          </w:p>
        </w:tc>
        <w:tc>
          <w:tcPr>
            <w:tcW w:w="602"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6031D491" w14:textId="77777777" w:rsidR="00143376" w:rsidRPr="00143376" w:rsidRDefault="00143376" w:rsidP="00143376">
            <w:pPr>
              <w:jc w:val="both"/>
              <w:rPr>
                <w:rFonts w:ascii="Arial" w:hAnsi="Arial" w:cs="Arial"/>
                <w:color w:val="000000"/>
                <w:sz w:val="16"/>
                <w:szCs w:val="16"/>
              </w:rPr>
            </w:pPr>
            <w:r w:rsidRPr="00143376">
              <w:rPr>
                <w:rFonts w:ascii="Arial" w:hAnsi="Arial" w:cs="Arial"/>
                <w:color w:val="000000"/>
                <w:sz w:val="16"/>
                <w:szCs w:val="16"/>
              </w:rPr>
              <w:t>Varies</w:t>
            </w:r>
          </w:p>
        </w:tc>
        <w:tc>
          <w:tcPr>
            <w:tcW w:w="194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2B4AACB" w14:textId="77777777" w:rsidR="00143376" w:rsidRPr="00143376" w:rsidRDefault="00143376" w:rsidP="00143376">
            <w:pPr>
              <w:jc w:val="both"/>
              <w:rPr>
                <w:rFonts w:ascii="Arial" w:hAnsi="Arial" w:cs="Arial"/>
                <w:color w:val="000000"/>
                <w:sz w:val="16"/>
                <w:szCs w:val="16"/>
              </w:rPr>
            </w:pPr>
            <w:r w:rsidRPr="00143376">
              <w:rPr>
                <w:rFonts w:ascii="Arial" w:hAnsi="Arial" w:cs="Arial"/>
                <w:color w:val="000000"/>
                <w:sz w:val="16"/>
                <w:szCs w:val="16"/>
              </w:rPr>
              <w:t>Don't know</w:t>
            </w:r>
          </w:p>
        </w:tc>
      </w:tr>
      <w:tr w:rsidR="00143376" w:rsidRPr="00143376" w14:paraId="4D88A5F1" w14:textId="77777777" w:rsidTr="0033289E">
        <w:trPr>
          <w:trHeight w:val="704"/>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33D2ADFD" w14:textId="77777777" w:rsidR="00143376" w:rsidRPr="00143376" w:rsidRDefault="00143376" w:rsidP="00143376">
            <w:pPr>
              <w:jc w:val="both"/>
              <w:rPr>
                <w:rFonts w:ascii="Arial" w:hAnsi="Arial" w:cs="Arial"/>
                <w:color w:val="000000"/>
                <w:sz w:val="16"/>
                <w:szCs w:val="16"/>
              </w:rPr>
            </w:pPr>
            <w:r w:rsidRPr="00143376">
              <w:rPr>
                <w:rFonts w:ascii="Arial" w:hAnsi="Arial" w:cs="Arial"/>
                <w:b/>
                <w:bCs/>
                <w:color w:val="000000"/>
                <w:sz w:val="16"/>
                <w:szCs w:val="16"/>
              </w:rPr>
              <w:t>Certainty of evidence of required resources</w:t>
            </w:r>
          </w:p>
        </w:tc>
        <w:tc>
          <w:tcPr>
            <w:tcW w:w="153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4698765" w14:textId="77777777" w:rsidR="00143376" w:rsidRPr="00143376" w:rsidRDefault="00143376" w:rsidP="00143376">
            <w:pPr>
              <w:jc w:val="both"/>
              <w:rPr>
                <w:rFonts w:ascii="Arial" w:hAnsi="Arial" w:cs="Arial"/>
                <w:color w:val="000000"/>
                <w:sz w:val="16"/>
                <w:szCs w:val="16"/>
              </w:rPr>
            </w:pPr>
            <w:r w:rsidRPr="00143376">
              <w:rPr>
                <w:rFonts w:ascii="Arial" w:hAnsi="Arial" w:cs="Arial"/>
                <w:color w:val="000000"/>
                <w:sz w:val="16"/>
                <w:szCs w:val="16"/>
              </w:rPr>
              <w:t>Very low</w:t>
            </w:r>
          </w:p>
        </w:tc>
        <w:tc>
          <w:tcPr>
            <w:tcW w:w="1843"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F7C0847" w14:textId="77777777" w:rsidR="00143376" w:rsidRPr="00143376" w:rsidRDefault="00143376" w:rsidP="00143376">
            <w:pPr>
              <w:jc w:val="both"/>
              <w:rPr>
                <w:rFonts w:ascii="Arial" w:hAnsi="Arial" w:cs="Arial"/>
                <w:color w:val="000000"/>
                <w:sz w:val="16"/>
                <w:szCs w:val="16"/>
              </w:rPr>
            </w:pPr>
            <w:r w:rsidRPr="00143376">
              <w:rPr>
                <w:rFonts w:ascii="Arial" w:hAnsi="Arial" w:cs="Arial"/>
                <w:color w:val="000000"/>
                <w:sz w:val="16"/>
                <w:szCs w:val="16"/>
              </w:rPr>
              <w:t>Low</w:t>
            </w:r>
          </w:p>
        </w:tc>
        <w:tc>
          <w:tcPr>
            <w:tcW w:w="237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4567CC8" w14:textId="77777777" w:rsidR="00143376" w:rsidRPr="00143376" w:rsidRDefault="00143376" w:rsidP="00143376">
            <w:pPr>
              <w:jc w:val="both"/>
              <w:rPr>
                <w:rFonts w:ascii="Arial" w:hAnsi="Arial" w:cs="Arial"/>
                <w:color w:val="000000"/>
                <w:sz w:val="16"/>
                <w:szCs w:val="16"/>
              </w:rPr>
            </w:pPr>
            <w:r w:rsidRPr="00143376">
              <w:rPr>
                <w:rFonts w:ascii="Arial" w:hAnsi="Arial" w:cs="Arial"/>
                <w:color w:val="000000"/>
                <w:sz w:val="16"/>
                <w:szCs w:val="16"/>
              </w:rPr>
              <w:t>Moderate</w:t>
            </w:r>
          </w:p>
        </w:tc>
        <w:tc>
          <w:tcPr>
            <w:tcW w:w="1843"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4FE018F" w14:textId="77777777" w:rsidR="00143376" w:rsidRPr="00143376" w:rsidRDefault="00143376" w:rsidP="00143376">
            <w:pPr>
              <w:jc w:val="both"/>
              <w:rPr>
                <w:rFonts w:ascii="Arial" w:hAnsi="Arial" w:cs="Arial"/>
                <w:color w:val="000000"/>
                <w:sz w:val="16"/>
                <w:szCs w:val="16"/>
              </w:rPr>
            </w:pPr>
            <w:r w:rsidRPr="00143376">
              <w:rPr>
                <w:rFonts w:ascii="Arial" w:hAnsi="Arial" w:cs="Arial"/>
                <w:color w:val="000000"/>
                <w:sz w:val="16"/>
                <w:szCs w:val="16"/>
              </w:rPr>
              <w:t>High</w:t>
            </w:r>
          </w:p>
        </w:tc>
        <w:tc>
          <w:tcPr>
            <w:tcW w:w="113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F8EC348" w14:textId="77777777" w:rsidR="00143376" w:rsidRPr="00143376" w:rsidRDefault="00143376" w:rsidP="00143376">
            <w:pPr>
              <w:jc w:val="both"/>
              <w:rPr>
                <w:rFonts w:ascii="Arial" w:hAnsi="Arial" w:cs="Arial"/>
                <w:color w:val="000000"/>
                <w:sz w:val="16"/>
                <w:szCs w:val="16"/>
              </w:rPr>
            </w:pPr>
          </w:p>
        </w:tc>
        <w:tc>
          <w:tcPr>
            <w:tcW w:w="602"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2E6966C" w14:textId="77777777" w:rsidR="00143376" w:rsidRPr="00143376" w:rsidRDefault="00143376" w:rsidP="00143376">
            <w:pPr>
              <w:jc w:val="both"/>
              <w:rPr>
                <w:rFonts w:ascii="Arial" w:hAnsi="Arial" w:cs="Arial"/>
                <w:color w:val="000000"/>
                <w:sz w:val="16"/>
                <w:szCs w:val="16"/>
              </w:rPr>
            </w:pPr>
          </w:p>
        </w:tc>
        <w:tc>
          <w:tcPr>
            <w:tcW w:w="1946"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03256B0E" w14:textId="143F1E50" w:rsidR="00143376" w:rsidRPr="00143376" w:rsidRDefault="00143376" w:rsidP="00143376">
            <w:pPr>
              <w:jc w:val="both"/>
              <w:rPr>
                <w:rFonts w:ascii="Arial" w:hAnsi="Arial" w:cs="Arial"/>
                <w:color w:val="000000"/>
                <w:sz w:val="16"/>
                <w:szCs w:val="16"/>
              </w:rPr>
            </w:pPr>
            <w:r w:rsidRPr="00143376">
              <w:rPr>
                <w:rFonts w:ascii="Arial" w:hAnsi="Arial" w:cs="Arial"/>
                <w:color w:val="000000"/>
                <w:sz w:val="16"/>
                <w:szCs w:val="16"/>
              </w:rPr>
              <w:t xml:space="preserve">No </w:t>
            </w:r>
            <w:r w:rsidR="00AD5B79" w:rsidRPr="00143376">
              <w:rPr>
                <w:rFonts w:ascii="Arial" w:hAnsi="Arial" w:cs="Arial"/>
                <w:color w:val="000000"/>
                <w:sz w:val="16"/>
                <w:szCs w:val="16"/>
              </w:rPr>
              <w:t xml:space="preserve">studies </w:t>
            </w:r>
            <w:r w:rsidRPr="00143376">
              <w:rPr>
                <w:rFonts w:ascii="Arial" w:hAnsi="Arial" w:cs="Arial"/>
                <w:color w:val="000000"/>
                <w:sz w:val="16"/>
                <w:szCs w:val="16"/>
              </w:rPr>
              <w:t xml:space="preserve">included </w:t>
            </w:r>
          </w:p>
        </w:tc>
      </w:tr>
      <w:tr w:rsidR="00143376" w:rsidRPr="00143376" w14:paraId="422E1C06" w14:textId="77777777" w:rsidTr="0033289E">
        <w:trPr>
          <w:trHeight w:val="198"/>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0E52EEB1" w14:textId="77777777" w:rsidR="00143376" w:rsidRPr="00143376" w:rsidRDefault="00143376" w:rsidP="00143376">
            <w:pPr>
              <w:jc w:val="both"/>
              <w:rPr>
                <w:rFonts w:ascii="Arial" w:hAnsi="Arial" w:cs="Arial"/>
                <w:color w:val="000000"/>
                <w:sz w:val="16"/>
                <w:szCs w:val="16"/>
              </w:rPr>
            </w:pPr>
            <w:r w:rsidRPr="00143376">
              <w:rPr>
                <w:rFonts w:ascii="Arial" w:hAnsi="Arial" w:cs="Arial"/>
                <w:b/>
                <w:bCs/>
                <w:color w:val="000000"/>
                <w:sz w:val="16"/>
                <w:szCs w:val="16"/>
              </w:rPr>
              <w:t>Cost effectiveness</w:t>
            </w:r>
          </w:p>
        </w:tc>
        <w:tc>
          <w:tcPr>
            <w:tcW w:w="1535"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E9BA224" w14:textId="77777777" w:rsidR="00143376" w:rsidRPr="00143376" w:rsidRDefault="00143376" w:rsidP="00143376">
            <w:pPr>
              <w:jc w:val="both"/>
              <w:rPr>
                <w:rFonts w:ascii="Arial" w:hAnsi="Arial" w:cs="Arial"/>
                <w:color w:val="000000"/>
                <w:sz w:val="16"/>
                <w:szCs w:val="16"/>
              </w:rPr>
            </w:pPr>
            <w:r w:rsidRPr="00143376">
              <w:rPr>
                <w:rFonts w:ascii="Arial" w:hAnsi="Arial" w:cs="Arial"/>
                <w:color w:val="000000"/>
                <w:sz w:val="16"/>
                <w:szCs w:val="16"/>
              </w:rPr>
              <w:t>Favors the comparison</w:t>
            </w:r>
          </w:p>
        </w:tc>
        <w:tc>
          <w:tcPr>
            <w:tcW w:w="1843"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3A80E80" w14:textId="77777777" w:rsidR="00143376" w:rsidRPr="00143376" w:rsidRDefault="00143376" w:rsidP="00143376">
            <w:pPr>
              <w:jc w:val="both"/>
              <w:rPr>
                <w:rFonts w:ascii="Arial" w:hAnsi="Arial" w:cs="Arial"/>
                <w:color w:val="000000"/>
                <w:sz w:val="16"/>
                <w:szCs w:val="16"/>
              </w:rPr>
            </w:pPr>
            <w:r w:rsidRPr="00143376">
              <w:rPr>
                <w:rFonts w:ascii="Arial" w:hAnsi="Arial" w:cs="Arial"/>
                <w:color w:val="000000"/>
                <w:sz w:val="16"/>
                <w:szCs w:val="16"/>
              </w:rPr>
              <w:t>Probably favors the comparison</w:t>
            </w:r>
          </w:p>
        </w:tc>
        <w:tc>
          <w:tcPr>
            <w:tcW w:w="237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1413304" w14:textId="77777777" w:rsidR="00143376" w:rsidRPr="00143376" w:rsidRDefault="00143376" w:rsidP="00143376">
            <w:pPr>
              <w:jc w:val="both"/>
              <w:rPr>
                <w:rFonts w:ascii="Arial" w:hAnsi="Arial" w:cs="Arial"/>
                <w:color w:val="000000"/>
                <w:sz w:val="16"/>
                <w:szCs w:val="16"/>
              </w:rPr>
            </w:pPr>
            <w:r w:rsidRPr="00143376">
              <w:rPr>
                <w:rFonts w:ascii="Arial" w:hAnsi="Arial" w:cs="Arial"/>
                <w:color w:val="000000"/>
                <w:sz w:val="16"/>
                <w:szCs w:val="16"/>
              </w:rPr>
              <w:t>Does not favor either the intervention or the comparison</w:t>
            </w:r>
          </w:p>
        </w:tc>
        <w:tc>
          <w:tcPr>
            <w:tcW w:w="1843" w:type="dxa"/>
            <w:tcBorders>
              <w:top w:val="single" w:sz="8" w:space="0" w:color="FFFFFF"/>
              <w:left w:val="single" w:sz="8" w:space="0" w:color="FFFFFF"/>
              <w:bottom w:val="single" w:sz="8" w:space="0" w:color="FFFFFF"/>
              <w:right w:val="single" w:sz="8" w:space="0" w:color="FFFFFF"/>
            </w:tcBorders>
            <w:shd w:val="clear" w:color="auto" w:fill="E7E6E6"/>
            <w:tcMar>
              <w:top w:w="74" w:type="dxa"/>
              <w:left w:w="74" w:type="dxa"/>
              <w:bottom w:w="74" w:type="dxa"/>
              <w:right w:w="74" w:type="dxa"/>
            </w:tcMar>
            <w:vAlign w:val="center"/>
            <w:hideMark/>
          </w:tcPr>
          <w:p w14:paraId="6D4F1D95" w14:textId="77777777" w:rsidR="00143376" w:rsidRPr="00143376" w:rsidRDefault="00143376" w:rsidP="00143376">
            <w:pPr>
              <w:jc w:val="both"/>
              <w:rPr>
                <w:rFonts w:ascii="Arial" w:hAnsi="Arial" w:cs="Arial"/>
                <w:color w:val="000000"/>
                <w:sz w:val="16"/>
                <w:szCs w:val="16"/>
              </w:rPr>
            </w:pPr>
            <w:r w:rsidRPr="00143376">
              <w:rPr>
                <w:rFonts w:ascii="Arial" w:hAnsi="Arial" w:cs="Arial"/>
                <w:color w:val="000000"/>
                <w:sz w:val="16"/>
                <w:szCs w:val="16"/>
              </w:rPr>
              <w:t>Probably favors the intervention</w:t>
            </w:r>
          </w:p>
        </w:tc>
        <w:tc>
          <w:tcPr>
            <w:tcW w:w="113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F2EC429" w14:textId="77777777" w:rsidR="00143376" w:rsidRPr="00143376" w:rsidRDefault="00143376" w:rsidP="00143376">
            <w:pPr>
              <w:jc w:val="both"/>
              <w:rPr>
                <w:rFonts w:ascii="Arial" w:hAnsi="Arial" w:cs="Arial"/>
                <w:color w:val="000000"/>
                <w:sz w:val="16"/>
                <w:szCs w:val="16"/>
              </w:rPr>
            </w:pPr>
            <w:r w:rsidRPr="00143376">
              <w:rPr>
                <w:rFonts w:ascii="Arial" w:hAnsi="Arial" w:cs="Arial"/>
                <w:color w:val="000000"/>
                <w:sz w:val="16"/>
                <w:szCs w:val="16"/>
              </w:rPr>
              <w:t>Favors the intervention</w:t>
            </w:r>
          </w:p>
        </w:tc>
        <w:tc>
          <w:tcPr>
            <w:tcW w:w="602"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0280315" w14:textId="77777777" w:rsidR="00143376" w:rsidRPr="00143376" w:rsidRDefault="00143376" w:rsidP="00143376">
            <w:pPr>
              <w:jc w:val="both"/>
              <w:rPr>
                <w:rFonts w:ascii="Arial" w:hAnsi="Arial" w:cs="Arial"/>
                <w:color w:val="000000"/>
                <w:sz w:val="16"/>
                <w:szCs w:val="16"/>
              </w:rPr>
            </w:pPr>
            <w:r w:rsidRPr="00143376">
              <w:rPr>
                <w:rFonts w:ascii="Arial" w:hAnsi="Arial" w:cs="Arial"/>
                <w:color w:val="000000"/>
                <w:sz w:val="16"/>
                <w:szCs w:val="16"/>
              </w:rPr>
              <w:t>Varies</w:t>
            </w:r>
          </w:p>
        </w:tc>
        <w:tc>
          <w:tcPr>
            <w:tcW w:w="1946"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6A0AFA38" w14:textId="49E0C4CC" w:rsidR="00143376" w:rsidRPr="00143376" w:rsidRDefault="00143376" w:rsidP="00143376">
            <w:pPr>
              <w:jc w:val="both"/>
              <w:rPr>
                <w:rFonts w:ascii="Arial" w:hAnsi="Arial" w:cs="Arial"/>
                <w:color w:val="000000"/>
                <w:sz w:val="16"/>
                <w:szCs w:val="16"/>
              </w:rPr>
            </w:pPr>
            <w:r w:rsidRPr="00143376">
              <w:rPr>
                <w:rFonts w:ascii="Arial" w:hAnsi="Arial" w:cs="Arial"/>
                <w:color w:val="000000"/>
                <w:sz w:val="16"/>
                <w:szCs w:val="16"/>
              </w:rPr>
              <w:t xml:space="preserve">No </w:t>
            </w:r>
            <w:r w:rsidR="0033289E" w:rsidRPr="00143376">
              <w:rPr>
                <w:rFonts w:ascii="Arial" w:hAnsi="Arial" w:cs="Arial"/>
                <w:color w:val="000000"/>
                <w:sz w:val="16"/>
                <w:szCs w:val="16"/>
              </w:rPr>
              <w:t xml:space="preserve">studies </w:t>
            </w:r>
            <w:r w:rsidRPr="00143376">
              <w:rPr>
                <w:rFonts w:ascii="Arial" w:hAnsi="Arial" w:cs="Arial"/>
                <w:color w:val="000000"/>
                <w:sz w:val="16"/>
                <w:szCs w:val="16"/>
              </w:rPr>
              <w:t xml:space="preserve">included </w:t>
            </w:r>
          </w:p>
        </w:tc>
      </w:tr>
      <w:tr w:rsidR="00143376" w:rsidRPr="00143376" w14:paraId="44AC8F44" w14:textId="77777777" w:rsidTr="0033289E">
        <w:trPr>
          <w:trHeight w:val="1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7DF5D84F" w14:textId="77777777" w:rsidR="00143376" w:rsidRPr="00143376" w:rsidRDefault="00143376" w:rsidP="00143376">
            <w:pPr>
              <w:jc w:val="both"/>
              <w:rPr>
                <w:rFonts w:ascii="Arial" w:hAnsi="Arial" w:cs="Arial"/>
                <w:color w:val="000000"/>
                <w:sz w:val="16"/>
                <w:szCs w:val="16"/>
              </w:rPr>
            </w:pPr>
            <w:r w:rsidRPr="00143376">
              <w:rPr>
                <w:rFonts w:ascii="Arial" w:hAnsi="Arial" w:cs="Arial"/>
                <w:b/>
                <w:bCs/>
                <w:color w:val="000000"/>
                <w:sz w:val="16"/>
                <w:szCs w:val="16"/>
              </w:rPr>
              <w:t>Equity</w:t>
            </w:r>
          </w:p>
        </w:tc>
        <w:tc>
          <w:tcPr>
            <w:tcW w:w="153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B784F80" w14:textId="77777777" w:rsidR="00143376" w:rsidRPr="00143376" w:rsidRDefault="00143376" w:rsidP="00143376">
            <w:pPr>
              <w:jc w:val="both"/>
              <w:rPr>
                <w:rFonts w:ascii="Arial" w:hAnsi="Arial" w:cs="Arial"/>
                <w:color w:val="000000"/>
                <w:sz w:val="16"/>
                <w:szCs w:val="16"/>
              </w:rPr>
            </w:pPr>
            <w:r w:rsidRPr="00143376">
              <w:rPr>
                <w:rFonts w:ascii="Arial" w:hAnsi="Arial" w:cs="Arial"/>
                <w:color w:val="000000"/>
                <w:sz w:val="16"/>
                <w:szCs w:val="16"/>
              </w:rPr>
              <w:t>Reduced</w:t>
            </w:r>
          </w:p>
        </w:tc>
        <w:tc>
          <w:tcPr>
            <w:tcW w:w="1843"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18EC4A2" w14:textId="77777777" w:rsidR="00143376" w:rsidRPr="00143376" w:rsidRDefault="00143376" w:rsidP="00143376">
            <w:pPr>
              <w:jc w:val="both"/>
              <w:rPr>
                <w:rFonts w:ascii="Arial" w:hAnsi="Arial" w:cs="Arial"/>
                <w:color w:val="000000"/>
                <w:sz w:val="16"/>
                <w:szCs w:val="16"/>
              </w:rPr>
            </w:pPr>
            <w:r w:rsidRPr="00143376">
              <w:rPr>
                <w:rFonts w:ascii="Arial" w:hAnsi="Arial" w:cs="Arial"/>
                <w:color w:val="000000"/>
                <w:sz w:val="16"/>
                <w:szCs w:val="16"/>
              </w:rPr>
              <w:t>Probably reduced</w:t>
            </w:r>
          </w:p>
        </w:tc>
        <w:tc>
          <w:tcPr>
            <w:tcW w:w="237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D1A3A3E" w14:textId="77777777" w:rsidR="00143376" w:rsidRPr="00143376" w:rsidRDefault="00143376" w:rsidP="00143376">
            <w:pPr>
              <w:jc w:val="both"/>
              <w:rPr>
                <w:rFonts w:ascii="Arial" w:hAnsi="Arial" w:cs="Arial"/>
                <w:color w:val="000000"/>
                <w:sz w:val="16"/>
                <w:szCs w:val="16"/>
              </w:rPr>
            </w:pPr>
            <w:r w:rsidRPr="00143376">
              <w:rPr>
                <w:rFonts w:ascii="Arial" w:hAnsi="Arial" w:cs="Arial"/>
                <w:color w:val="000000"/>
                <w:sz w:val="16"/>
                <w:szCs w:val="16"/>
              </w:rPr>
              <w:t>Probably no impact</w:t>
            </w:r>
          </w:p>
        </w:tc>
        <w:tc>
          <w:tcPr>
            <w:tcW w:w="1843"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23929A1" w14:textId="77777777" w:rsidR="00143376" w:rsidRPr="00143376" w:rsidRDefault="00143376" w:rsidP="00143376">
            <w:pPr>
              <w:jc w:val="both"/>
              <w:rPr>
                <w:rFonts w:ascii="Arial" w:hAnsi="Arial" w:cs="Arial"/>
                <w:color w:val="000000"/>
                <w:sz w:val="16"/>
                <w:szCs w:val="16"/>
              </w:rPr>
            </w:pPr>
            <w:r w:rsidRPr="00143376">
              <w:rPr>
                <w:rFonts w:ascii="Arial" w:hAnsi="Arial" w:cs="Arial"/>
                <w:color w:val="000000"/>
                <w:sz w:val="16"/>
                <w:szCs w:val="16"/>
              </w:rPr>
              <w:t>Probably increased</w:t>
            </w:r>
          </w:p>
        </w:tc>
        <w:tc>
          <w:tcPr>
            <w:tcW w:w="113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5FEB571" w14:textId="77777777" w:rsidR="00143376" w:rsidRPr="00143376" w:rsidRDefault="00143376" w:rsidP="00143376">
            <w:pPr>
              <w:jc w:val="both"/>
              <w:rPr>
                <w:rFonts w:ascii="Arial" w:hAnsi="Arial" w:cs="Arial"/>
                <w:color w:val="000000"/>
                <w:sz w:val="16"/>
                <w:szCs w:val="16"/>
              </w:rPr>
            </w:pPr>
            <w:r w:rsidRPr="00143376">
              <w:rPr>
                <w:rFonts w:ascii="Arial" w:hAnsi="Arial" w:cs="Arial"/>
                <w:color w:val="000000"/>
                <w:sz w:val="16"/>
                <w:szCs w:val="16"/>
              </w:rPr>
              <w:t>Increased</w:t>
            </w:r>
          </w:p>
        </w:tc>
        <w:tc>
          <w:tcPr>
            <w:tcW w:w="602"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783937B" w14:textId="77777777" w:rsidR="00143376" w:rsidRPr="00143376" w:rsidRDefault="00143376" w:rsidP="00143376">
            <w:pPr>
              <w:jc w:val="both"/>
              <w:rPr>
                <w:rFonts w:ascii="Arial" w:hAnsi="Arial" w:cs="Arial"/>
                <w:color w:val="000000"/>
                <w:sz w:val="16"/>
                <w:szCs w:val="16"/>
              </w:rPr>
            </w:pPr>
            <w:r w:rsidRPr="00143376">
              <w:rPr>
                <w:rFonts w:ascii="Arial" w:hAnsi="Arial" w:cs="Arial"/>
                <w:color w:val="000000"/>
                <w:sz w:val="16"/>
                <w:szCs w:val="16"/>
              </w:rPr>
              <w:t>Varies</w:t>
            </w:r>
          </w:p>
        </w:tc>
        <w:tc>
          <w:tcPr>
            <w:tcW w:w="1946"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0DBDC7F4" w14:textId="77777777" w:rsidR="00143376" w:rsidRPr="00143376" w:rsidRDefault="00143376" w:rsidP="00143376">
            <w:pPr>
              <w:jc w:val="both"/>
              <w:rPr>
                <w:rFonts w:ascii="Arial" w:hAnsi="Arial" w:cs="Arial"/>
                <w:color w:val="000000"/>
                <w:sz w:val="16"/>
                <w:szCs w:val="16"/>
              </w:rPr>
            </w:pPr>
            <w:r w:rsidRPr="00143376">
              <w:rPr>
                <w:rFonts w:ascii="Arial" w:hAnsi="Arial" w:cs="Arial"/>
                <w:color w:val="000000"/>
                <w:sz w:val="16"/>
                <w:szCs w:val="16"/>
              </w:rPr>
              <w:t>Don't know</w:t>
            </w:r>
          </w:p>
        </w:tc>
      </w:tr>
      <w:tr w:rsidR="00143376" w:rsidRPr="00143376" w14:paraId="1DDB9F47" w14:textId="77777777" w:rsidTr="0033289E">
        <w:trPr>
          <w:trHeight w:val="1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2B010350" w14:textId="77777777" w:rsidR="00143376" w:rsidRPr="00143376" w:rsidRDefault="00143376" w:rsidP="00143376">
            <w:pPr>
              <w:jc w:val="both"/>
              <w:rPr>
                <w:rFonts w:ascii="Arial" w:hAnsi="Arial" w:cs="Arial"/>
                <w:color w:val="000000"/>
                <w:sz w:val="16"/>
                <w:szCs w:val="16"/>
              </w:rPr>
            </w:pPr>
            <w:r w:rsidRPr="00143376">
              <w:rPr>
                <w:rFonts w:ascii="Arial" w:hAnsi="Arial" w:cs="Arial"/>
                <w:b/>
                <w:bCs/>
                <w:color w:val="000000"/>
                <w:sz w:val="16"/>
                <w:szCs w:val="16"/>
              </w:rPr>
              <w:lastRenderedPageBreak/>
              <w:t>Acceptability</w:t>
            </w:r>
          </w:p>
        </w:tc>
        <w:tc>
          <w:tcPr>
            <w:tcW w:w="1535"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0E8E535" w14:textId="77777777" w:rsidR="00143376" w:rsidRPr="00143376" w:rsidRDefault="00143376" w:rsidP="00143376">
            <w:pPr>
              <w:jc w:val="both"/>
              <w:rPr>
                <w:rFonts w:ascii="Arial" w:hAnsi="Arial" w:cs="Arial"/>
                <w:color w:val="000000"/>
                <w:sz w:val="16"/>
                <w:szCs w:val="16"/>
              </w:rPr>
            </w:pPr>
            <w:r w:rsidRPr="00143376">
              <w:rPr>
                <w:rFonts w:ascii="Arial" w:hAnsi="Arial" w:cs="Arial"/>
                <w:color w:val="000000"/>
                <w:sz w:val="16"/>
                <w:szCs w:val="16"/>
              </w:rPr>
              <w:t>No</w:t>
            </w:r>
          </w:p>
        </w:tc>
        <w:tc>
          <w:tcPr>
            <w:tcW w:w="1843"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1AE1797" w14:textId="77777777" w:rsidR="00143376" w:rsidRPr="00143376" w:rsidRDefault="00143376" w:rsidP="00143376">
            <w:pPr>
              <w:jc w:val="both"/>
              <w:rPr>
                <w:rFonts w:ascii="Arial" w:hAnsi="Arial" w:cs="Arial"/>
                <w:color w:val="000000"/>
                <w:sz w:val="16"/>
                <w:szCs w:val="16"/>
              </w:rPr>
            </w:pPr>
            <w:r w:rsidRPr="00143376">
              <w:rPr>
                <w:rFonts w:ascii="Arial" w:hAnsi="Arial" w:cs="Arial"/>
                <w:color w:val="000000"/>
                <w:sz w:val="16"/>
                <w:szCs w:val="16"/>
              </w:rPr>
              <w:t>Probably no</w:t>
            </w:r>
          </w:p>
        </w:tc>
        <w:tc>
          <w:tcPr>
            <w:tcW w:w="2374"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6ECBE6ED" w14:textId="77777777" w:rsidR="00143376" w:rsidRPr="00143376" w:rsidRDefault="00143376" w:rsidP="00143376">
            <w:pPr>
              <w:jc w:val="both"/>
              <w:rPr>
                <w:rFonts w:ascii="Arial" w:hAnsi="Arial" w:cs="Arial"/>
                <w:color w:val="000000"/>
                <w:sz w:val="16"/>
                <w:szCs w:val="16"/>
              </w:rPr>
            </w:pPr>
            <w:r w:rsidRPr="00143376">
              <w:rPr>
                <w:rFonts w:ascii="Arial" w:hAnsi="Arial" w:cs="Arial"/>
                <w:color w:val="000000"/>
                <w:sz w:val="16"/>
                <w:szCs w:val="16"/>
              </w:rPr>
              <w:t>Probably yes</w:t>
            </w:r>
          </w:p>
        </w:tc>
        <w:tc>
          <w:tcPr>
            <w:tcW w:w="1843"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F670198" w14:textId="77777777" w:rsidR="00143376" w:rsidRPr="00143376" w:rsidRDefault="00143376" w:rsidP="00143376">
            <w:pPr>
              <w:jc w:val="both"/>
              <w:rPr>
                <w:rFonts w:ascii="Arial" w:hAnsi="Arial" w:cs="Arial"/>
                <w:color w:val="000000"/>
                <w:sz w:val="16"/>
                <w:szCs w:val="16"/>
              </w:rPr>
            </w:pPr>
            <w:r w:rsidRPr="00143376">
              <w:rPr>
                <w:rFonts w:ascii="Arial" w:hAnsi="Arial" w:cs="Arial"/>
                <w:color w:val="000000"/>
                <w:sz w:val="16"/>
                <w:szCs w:val="16"/>
              </w:rPr>
              <w:t>Yes</w:t>
            </w:r>
          </w:p>
        </w:tc>
        <w:tc>
          <w:tcPr>
            <w:tcW w:w="113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DB4E27C" w14:textId="77777777" w:rsidR="00143376" w:rsidRPr="00143376" w:rsidRDefault="00143376" w:rsidP="00143376">
            <w:pPr>
              <w:jc w:val="both"/>
              <w:rPr>
                <w:rFonts w:ascii="Arial" w:hAnsi="Arial" w:cs="Arial"/>
                <w:color w:val="000000"/>
                <w:sz w:val="16"/>
                <w:szCs w:val="16"/>
              </w:rPr>
            </w:pPr>
          </w:p>
        </w:tc>
        <w:tc>
          <w:tcPr>
            <w:tcW w:w="602"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F6186B7" w14:textId="77777777" w:rsidR="00143376" w:rsidRPr="00143376" w:rsidRDefault="00143376" w:rsidP="00143376">
            <w:pPr>
              <w:jc w:val="both"/>
              <w:rPr>
                <w:rFonts w:ascii="Arial" w:hAnsi="Arial" w:cs="Arial"/>
                <w:color w:val="000000"/>
                <w:sz w:val="16"/>
                <w:szCs w:val="16"/>
              </w:rPr>
            </w:pPr>
            <w:r w:rsidRPr="00143376">
              <w:rPr>
                <w:rFonts w:ascii="Arial" w:hAnsi="Arial" w:cs="Arial"/>
                <w:color w:val="000000"/>
                <w:sz w:val="16"/>
                <w:szCs w:val="16"/>
              </w:rPr>
              <w:t>Varies</w:t>
            </w:r>
          </w:p>
        </w:tc>
        <w:tc>
          <w:tcPr>
            <w:tcW w:w="194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B79E1E3" w14:textId="77777777" w:rsidR="00143376" w:rsidRPr="00143376" w:rsidRDefault="00143376" w:rsidP="00143376">
            <w:pPr>
              <w:jc w:val="both"/>
              <w:rPr>
                <w:rFonts w:ascii="Arial" w:hAnsi="Arial" w:cs="Arial"/>
                <w:color w:val="000000"/>
                <w:sz w:val="16"/>
                <w:szCs w:val="16"/>
              </w:rPr>
            </w:pPr>
            <w:r w:rsidRPr="00143376">
              <w:rPr>
                <w:rFonts w:ascii="Arial" w:hAnsi="Arial" w:cs="Arial"/>
                <w:color w:val="000000"/>
                <w:sz w:val="16"/>
                <w:szCs w:val="16"/>
              </w:rPr>
              <w:t>Don't know</w:t>
            </w:r>
          </w:p>
        </w:tc>
      </w:tr>
      <w:tr w:rsidR="00143376" w:rsidRPr="00143376" w14:paraId="17EACEF6" w14:textId="77777777" w:rsidTr="0033289E">
        <w:trPr>
          <w:trHeight w:val="1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0D7A2A28" w14:textId="77777777" w:rsidR="00143376" w:rsidRPr="00143376" w:rsidRDefault="00143376" w:rsidP="00143376">
            <w:pPr>
              <w:jc w:val="both"/>
              <w:rPr>
                <w:rFonts w:ascii="Arial" w:hAnsi="Arial" w:cs="Arial"/>
                <w:color w:val="000000"/>
                <w:sz w:val="16"/>
                <w:szCs w:val="16"/>
              </w:rPr>
            </w:pPr>
            <w:r w:rsidRPr="00143376">
              <w:rPr>
                <w:rFonts w:ascii="Arial" w:hAnsi="Arial" w:cs="Arial"/>
                <w:b/>
                <w:bCs/>
                <w:color w:val="000000"/>
                <w:sz w:val="16"/>
                <w:szCs w:val="16"/>
              </w:rPr>
              <w:t>Feasibility</w:t>
            </w:r>
          </w:p>
        </w:tc>
        <w:tc>
          <w:tcPr>
            <w:tcW w:w="153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2AFFF53" w14:textId="77777777" w:rsidR="00143376" w:rsidRPr="00143376" w:rsidRDefault="00143376" w:rsidP="00143376">
            <w:pPr>
              <w:jc w:val="both"/>
              <w:rPr>
                <w:rFonts w:ascii="Arial" w:hAnsi="Arial" w:cs="Arial"/>
                <w:color w:val="000000"/>
                <w:sz w:val="16"/>
                <w:szCs w:val="16"/>
              </w:rPr>
            </w:pPr>
            <w:r w:rsidRPr="00143376">
              <w:rPr>
                <w:rFonts w:ascii="Arial" w:hAnsi="Arial" w:cs="Arial"/>
                <w:color w:val="000000"/>
                <w:sz w:val="16"/>
                <w:szCs w:val="16"/>
              </w:rPr>
              <w:t>No</w:t>
            </w:r>
          </w:p>
        </w:tc>
        <w:tc>
          <w:tcPr>
            <w:tcW w:w="1843"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4E2CEDF" w14:textId="77777777" w:rsidR="00143376" w:rsidRPr="00143376" w:rsidRDefault="00143376" w:rsidP="00143376">
            <w:pPr>
              <w:jc w:val="both"/>
              <w:rPr>
                <w:rFonts w:ascii="Arial" w:hAnsi="Arial" w:cs="Arial"/>
                <w:color w:val="000000"/>
                <w:sz w:val="16"/>
                <w:szCs w:val="16"/>
              </w:rPr>
            </w:pPr>
            <w:r w:rsidRPr="00143376">
              <w:rPr>
                <w:rFonts w:ascii="Arial" w:hAnsi="Arial" w:cs="Arial"/>
                <w:color w:val="000000"/>
                <w:sz w:val="16"/>
                <w:szCs w:val="16"/>
              </w:rPr>
              <w:t>Probably no</w:t>
            </w:r>
          </w:p>
        </w:tc>
        <w:tc>
          <w:tcPr>
            <w:tcW w:w="2374"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1C2711F0" w14:textId="77777777" w:rsidR="00143376" w:rsidRPr="00143376" w:rsidRDefault="00143376" w:rsidP="00143376">
            <w:pPr>
              <w:jc w:val="both"/>
              <w:rPr>
                <w:rFonts w:ascii="Arial" w:hAnsi="Arial" w:cs="Arial"/>
                <w:color w:val="000000"/>
                <w:sz w:val="16"/>
                <w:szCs w:val="16"/>
              </w:rPr>
            </w:pPr>
            <w:r w:rsidRPr="00143376">
              <w:rPr>
                <w:rFonts w:ascii="Arial" w:hAnsi="Arial" w:cs="Arial"/>
                <w:color w:val="000000"/>
                <w:sz w:val="16"/>
                <w:szCs w:val="16"/>
              </w:rPr>
              <w:t>Probably yes</w:t>
            </w:r>
          </w:p>
        </w:tc>
        <w:tc>
          <w:tcPr>
            <w:tcW w:w="1843"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1E7DE42" w14:textId="77777777" w:rsidR="00143376" w:rsidRPr="00143376" w:rsidRDefault="00143376" w:rsidP="00143376">
            <w:pPr>
              <w:jc w:val="both"/>
              <w:rPr>
                <w:rFonts w:ascii="Arial" w:hAnsi="Arial" w:cs="Arial"/>
                <w:color w:val="000000"/>
                <w:sz w:val="16"/>
                <w:szCs w:val="16"/>
              </w:rPr>
            </w:pPr>
            <w:r w:rsidRPr="00143376">
              <w:rPr>
                <w:rFonts w:ascii="Arial" w:hAnsi="Arial" w:cs="Arial"/>
                <w:color w:val="000000"/>
                <w:sz w:val="16"/>
                <w:szCs w:val="16"/>
              </w:rPr>
              <w:t>Yes</w:t>
            </w:r>
          </w:p>
        </w:tc>
        <w:tc>
          <w:tcPr>
            <w:tcW w:w="113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7465B0C" w14:textId="77777777" w:rsidR="00143376" w:rsidRPr="00143376" w:rsidRDefault="00143376" w:rsidP="00143376">
            <w:pPr>
              <w:jc w:val="both"/>
              <w:rPr>
                <w:rFonts w:ascii="Arial" w:hAnsi="Arial" w:cs="Arial"/>
                <w:color w:val="000000"/>
                <w:sz w:val="16"/>
                <w:szCs w:val="16"/>
              </w:rPr>
            </w:pPr>
          </w:p>
        </w:tc>
        <w:tc>
          <w:tcPr>
            <w:tcW w:w="602"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11FC9BB" w14:textId="77777777" w:rsidR="00143376" w:rsidRPr="00143376" w:rsidRDefault="00143376" w:rsidP="00143376">
            <w:pPr>
              <w:jc w:val="both"/>
              <w:rPr>
                <w:rFonts w:ascii="Arial" w:hAnsi="Arial" w:cs="Arial"/>
                <w:color w:val="000000"/>
                <w:sz w:val="16"/>
                <w:szCs w:val="16"/>
              </w:rPr>
            </w:pPr>
            <w:r w:rsidRPr="00143376">
              <w:rPr>
                <w:rFonts w:ascii="Arial" w:hAnsi="Arial" w:cs="Arial"/>
                <w:color w:val="000000"/>
                <w:sz w:val="16"/>
                <w:szCs w:val="16"/>
              </w:rPr>
              <w:t>Varies</w:t>
            </w:r>
          </w:p>
        </w:tc>
        <w:tc>
          <w:tcPr>
            <w:tcW w:w="194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B8AD3C3" w14:textId="77777777" w:rsidR="00143376" w:rsidRPr="00143376" w:rsidRDefault="00143376" w:rsidP="00143376">
            <w:pPr>
              <w:jc w:val="both"/>
              <w:rPr>
                <w:rFonts w:ascii="Arial" w:hAnsi="Arial" w:cs="Arial"/>
                <w:color w:val="000000"/>
                <w:sz w:val="16"/>
                <w:szCs w:val="16"/>
              </w:rPr>
            </w:pPr>
            <w:r w:rsidRPr="00143376">
              <w:rPr>
                <w:rFonts w:ascii="Arial" w:hAnsi="Arial" w:cs="Arial"/>
                <w:color w:val="000000"/>
                <w:sz w:val="16"/>
                <w:szCs w:val="16"/>
              </w:rPr>
              <w:t>Don't know</w:t>
            </w:r>
          </w:p>
        </w:tc>
      </w:tr>
    </w:tbl>
    <w:p w14:paraId="41BA8DF7" w14:textId="77777777" w:rsidR="00143376" w:rsidRDefault="00143376" w:rsidP="00596BE0">
      <w:pPr>
        <w:jc w:val="both"/>
        <w:rPr>
          <w:rFonts w:ascii="Arial" w:hAnsi="Arial" w:cs="Arial"/>
          <w:color w:val="000000"/>
          <w:sz w:val="16"/>
          <w:szCs w:val="16"/>
        </w:rPr>
      </w:pPr>
    </w:p>
    <w:p w14:paraId="44680B73" w14:textId="668C17FC" w:rsidR="00143376" w:rsidRDefault="00143376" w:rsidP="00596BE0">
      <w:pPr>
        <w:jc w:val="both"/>
        <w:rPr>
          <w:rFonts w:ascii="Arial" w:hAnsi="Arial" w:cs="Arial"/>
          <w:color w:val="000000"/>
          <w:sz w:val="16"/>
          <w:szCs w:val="16"/>
        </w:rPr>
      </w:pPr>
    </w:p>
    <w:p w14:paraId="27811D41" w14:textId="74C36A86" w:rsidR="00143376" w:rsidRDefault="00143376" w:rsidP="00596BE0">
      <w:pPr>
        <w:jc w:val="both"/>
        <w:rPr>
          <w:rFonts w:ascii="Arial" w:hAnsi="Arial" w:cs="Arial"/>
          <w:color w:val="000000"/>
          <w:sz w:val="16"/>
          <w:szCs w:val="16"/>
        </w:rPr>
      </w:pPr>
    </w:p>
    <w:p w14:paraId="3F0139B6" w14:textId="5E740215" w:rsidR="00E177F8" w:rsidRPr="0033289E" w:rsidRDefault="00E177F8" w:rsidP="00E177F8">
      <w:pPr>
        <w:rPr>
          <w:rFonts w:ascii="Arial" w:hAnsi="Arial" w:cs="Arial"/>
          <w:b/>
          <w:sz w:val="20"/>
          <w:szCs w:val="20"/>
        </w:rPr>
      </w:pPr>
      <w:r w:rsidRPr="0033289E">
        <w:rPr>
          <w:rFonts w:ascii="Arial" w:hAnsi="Arial" w:cs="Arial"/>
          <w:b/>
          <w:sz w:val="20"/>
          <w:szCs w:val="20"/>
        </w:rPr>
        <w:t xml:space="preserve">Table </w:t>
      </w:r>
      <w:r w:rsidR="0033289E" w:rsidRPr="0033289E">
        <w:rPr>
          <w:rFonts w:ascii="Arial" w:hAnsi="Arial" w:cs="Arial"/>
          <w:b/>
          <w:sz w:val="20"/>
          <w:szCs w:val="20"/>
        </w:rPr>
        <w:t>S38</w:t>
      </w:r>
      <w:r w:rsidRPr="0033289E">
        <w:rPr>
          <w:rFonts w:ascii="Arial" w:hAnsi="Arial" w:cs="Arial"/>
          <w:b/>
          <w:sz w:val="20"/>
          <w:szCs w:val="20"/>
        </w:rPr>
        <w:t>: Reduction in asthma exacerbation</w:t>
      </w:r>
      <w:r w:rsidR="0033289E" w:rsidRPr="0033289E">
        <w:rPr>
          <w:rFonts w:ascii="Arial" w:hAnsi="Arial" w:cs="Arial"/>
          <w:b/>
          <w:sz w:val="20"/>
          <w:szCs w:val="20"/>
        </w:rPr>
        <w:t>s</w:t>
      </w:r>
      <w:r w:rsidRPr="0033289E">
        <w:rPr>
          <w:rFonts w:ascii="Arial" w:hAnsi="Arial" w:cs="Arial"/>
          <w:b/>
          <w:sz w:val="20"/>
          <w:szCs w:val="20"/>
        </w:rPr>
        <w:t xml:space="preserve"> following mepolizumab stratified by blood eosinophils</w:t>
      </w:r>
    </w:p>
    <w:p w14:paraId="2D0FD795" w14:textId="77777777" w:rsidR="00E177F8" w:rsidRDefault="00E177F8" w:rsidP="00E177F8"/>
    <w:tbl>
      <w:tblPr>
        <w:tblW w:w="4111" w:type="dxa"/>
        <w:tblCellMar>
          <w:left w:w="0" w:type="dxa"/>
          <w:right w:w="0" w:type="dxa"/>
        </w:tblCellMar>
        <w:tblLook w:val="0420" w:firstRow="1" w:lastRow="0" w:firstColumn="0" w:lastColumn="0" w:noHBand="0" w:noVBand="1"/>
      </w:tblPr>
      <w:tblGrid>
        <w:gridCol w:w="1276"/>
        <w:gridCol w:w="2835"/>
      </w:tblGrid>
      <w:tr w:rsidR="00E177F8" w:rsidRPr="00193A44" w14:paraId="0B39C37C" w14:textId="77777777" w:rsidTr="0033289E">
        <w:trPr>
          <w:trHeight w:val="343"/>
        </w:trPr>
        <w:tc>
          <w:tcPr>
            <w:tcW w:w="1276" w:type="dxa"/>
            <w:tcBorders>
              <w:top w:val="single" w:sz="18" w:space="0" w:color="000000"/>
              <w:left w:val="nil"/>
              <w:bottom w:val="single" w:sz="8" w:space="0" w:color="FFFFFF"/>
              <w:right w:val="single" w:sz="8" w:space="0" w:color="FFFFFF"/>
            </w:tcBorders>
            <w:shd w:val="clear" w:color="auto" w:fill="92D050"/>
            <w:tcMar>
              <w:top w:w="72" w:type="dxa"/>
              <w:left w:w="144" w:type="dxa"/>
              <w:bottom w:w="72" w:type="dxa"/>
              <w:right w:w="144" w:type="dxa"/>
            </w:tcMar>
            <w:vAlign w:val="center"/>
            <w:hideMark/>
          </w:tcPr>
          <w:p w14:paraId="53CE2826" w14:textId="77777777" w:rsidR="00E177F8" w:rsidRPr="00193A44" w:rsidRDefault="00E177F8" w:rsidP="00B647EA">
            <w:pPr>
              <w:rPr>
                <w:sz w:val="20"/>
                <w:szCs w:val="20"/>
              </w:rPr>
            </w:pPr>
            <w:r w:rsidRPr="00193A44">
              <w:rPr>
                <w:b/>
                <w:bCs/>
                <w:sz w:val="20"/>
                <w:szCs w:val="20"/>
                <w:lang w:val="es-ES"/>
              </w:rPr>
              <w:t xml:space="preserve">Blood eos </w:t>
            </w:r>
          </w:p>
        </w:tc>
        <w:tc>
          <w:tcPr>
            <w:tcW w:w="2835" w:type="dxa"/>
            <w:tcBorders>
              <w:top w:val="single" w:sz="18" w:space="0" w:color="000000"/>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vAlign w:val="center"/>
            <w:hideMark/>
          </w:tcPr>
          <w:p w14:paraId="26E71C6A" w14:textId="7504CDFE" w:rsidR="00E177F8" w:rsidRPr="00193A44" w:rsidRDefault="0033289E" w:rsidP="00B647EA">
            <w:pPr>
              <w:rPr>
                <w:sz w:val="20"/>
                <w:szCs w:val="20"/>
              </w:rPr>
            </w:pPr>
            <w:r>
              <w:rPr>
                <w:b/>
                <w:bCs/>
                <w:sz w:val="20"/>
                <w:szCs w:val="20"/>
                <w:lang w:val="es-ES"/>
              </w:rPr>
              <w:t>Incidence rate ratio</w:t>
            </w:r>
            <w:r w:rsidR="00E177F8">
              <w:rPr>
                <w:b/>
                <w:bCs/>
                <w:sz w:val="20"/>
                <w:szCs w:val="20"/>
                <w:lang w:val="es-ES"/>
              </w:rPr>
              <w:t xml:space="preserve"> </w:t>
            </w:r>
            <w:r w:rsidR="00E177F8" w:rsidRPr="00193A44">
              <w:rPr>
                <w:b/>
                <w:bCs/>
                <w:sz w:val="20"/>
                <w:szCs w:val="20"/>
                <w:lang w:val="es-ES"/>
              </w:rPr>
              <w:t>(95% CI)</w:t>
            </w:r>
          </w:p>
        </w:tc>
      </w:tr>
      <w:tr w:rsidR="00E177F8" w:rsidRPr="00193A44" w14:paraId="22852994" w14:textId="77777777" w:rsidTr="00B647EA">
        <w:trPr>
          <w:trHeight w:val="129"/>
        </w:trPr>
        <w:tc>
          <w:tcPr>
            <w:tcW w:w="1276" w:type="dxa"/>
            <w:tcBorders>
              <w:top w:val="single" w:sz="8" w:space="0" w:color="FFFFFF"/>
              <w:left w:val="nil"/>
              <w:bottom w:val="single" w:sz="8" w:space="0" w:color="FFFFFF"/>
              <w:right w:val="single" w:sz="8" w:space="0" w:color="FFFFFF"/>
            </w:tcBorders>
            <w:shd w:val="clear" w:color="auto" w:fill="E7E7E7"/>
            <w:tcMar>
              <w:top w:w="72" w:type="dxa"/>
              <w:left w:w="144" w:type="dxa"/>
              <w:bottom w:w="72" w:type="dxa"/>
              <w:right w:w="144" w:type="dxa"/>
            </w:tcMar>
            <w:hideMark/>
          </w:tcPr>
          <w:p w14:paraId="420D2FA2" w14:textId="77777777" w:rsidR="00E177F8" w:rsidRPr="00193A44" w:rsidRDefault="00E177F8" w:rsidP="00B647EA">
            <w:pPr>
              <w:rPr>
                <w:sz w:val="20"/>
                <w:szCs w:val="20"/>
              </w:rPr>
            </w:pPr>
            <w:r w:rsidRPr="00193A44">
              <w:rPr>
                <w:sz w:val="20"/>
                <w:szCs w:val="20"/>
                <w:lang w:val="es-ES"/>
              </w:rPr>
              <w:t>150-300</w:t>
            </w:r>
          </w:p>
        </w:tc>
        <w:tc>
          <w:tcPr>
            <w:tcW w:w="2835"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0EE92D8D" w14:textId="77777777" w:rsidR="00E177F8" w:rsidRPr="00193A44" w:rsidRDefault="00E177F8" w:rsidP="00B647EA">
            <w:pPr>
              <w:rPr>
                <w:sz w:val="20"/>
                <w:szCs w:val="20"/>
              </w:rPr>
            </w:pPr>
            <w:r w:rsidRPr="00193A44">
              <w:rPr>
                <w:sz w:val="20"/>
                <w:szCs w:val="20"/>
                <w:lang w:val="es-ES"/>
              </w:rPr>
              <w:t>0.50 (0.38 to 0.66)</w:t>
            </w:r>
          </w:p>
        </w:tc>
      </w:tr>
      <w:tr w:rsidR="00E177F8" w:rsidRPr="00193A44" w14:paraId="679EBCF1" w14:textId="77777777" w:rsidTr="00B647EA">
        <w:trPr>
          <w:trHeight w:val="22"/>
        </w:trPr>
        <w:tc>
          <w:tcPr>
            <w:tcW w:w="1276" w:type="dxa"/>
            <w:tcBorders>
              <w:top w:val="single" w:sz="8" w:space="0" w:color="FFFFFF"/>
              <w:left w:val="nil"/>
              <w:bottom w:val="single" w:sz="8" w:space="0" w:color="FFFFFF"/>
              <w:right w:val="single" w:sz="8" w:space="0" w:color="FFFFFF"/>
            </w:tcBorders>
            <w:shd w:val="clear" w:color="auto" w:fill="FFFFFF"/>
            <w:tcMar>
              <w:top w:w="72" w:type="dxa"/>
              <w:left w:w="144" w:type="dxa"/>
              <w:bottom w:w="72" w:type="dxa"/>
              <w:right w:w="144" w:type="dxa"/>
            </w:tcMar>
            <w:hideMark/>
          </w:tcPr>
          <w:p w14:paraId="6998E4CF" w14:textId="77777777" w:rsidR="00E177F8" w:rsidRPr="00193A44" w:rsidRDefault="00E177F8" w:rsidP="00B647EA">
            <w:pPr>
              <w:rPr>
                <w:sz w:val="20"/>
                <w:szCs w:val="20"/>
              </w:rPr>
            </w:pPr>
            <w:r w:rsidRPr="00193A44">
              <w:rPr>
                <w:sz w:val="20"/>
                <w:szCs w:val="20"/>
                <w:lang w:val="ca-ES"/>
              </w:rPr>
              <w:t>300-500</w:t>
            </w:r>
          </w:p>
        </w:tc>
        <w:tc>
          <w:tcPr>
            <w:tcW w:w="2835"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298ED56F" w14:textId="77777777" w:rsidR="00E177F8" w:rsidRPr="00193A44" w:rsidRDefault="00E177F8" w:rsidP="00B647EA">
            <w:pPr>
              <w:rPr>
                <w:sz w:val="20"/>
                <w:szCs w:val="20"/>
              </w:rPr>
            </w:pPr>
            <w:r w:rsidRPr="00193A44">
              <w:rPr>
                <w:sz w:val="20"/>
                <w:szCs w:val="20"/>
                <w:lang w:val="es-ES"/>
              </w:rPr>
              <w:t xml:space="preserve">0.68 (0.47 to 0.98) </w:t>
            </w:r>
          </w:p>
        </w:tc>
      </w:tr>
      <w:tr w:rsidR="00E177F8" w:rsidRPr="00193A44" w14:paraId="307FA63B" w14:textId="77777777" w:rsidTr="00B647EA">
        <w:trPr>
          <w:trHeight w:val="69"/>
        </w:trPr>
        <w:tc>
          <w:tcPr>
            <w:tcW w:w="1276" w:type="dxa"/>
            <w:tcBorders>
              <w:top w:val="single" w:sz="8" w:space="0" w:color="FFFFFF"/>
              <w:left w:val="nil"/>
              <w:bottom w:val="single" w:sz="8" w:space="0" w:color="FFFFFF"/>
              <w:right w:val="single" w:sz="8" w:space="0" w:color="FFFFFF"/>
            </w:tcBorders>
            <w:shd w:val="clear" w:color="auto" w:fill="E7E7E7"/>
            <w:tcMar>
              <w:top w:w="72" w:type="dxa"/>
              <w:left w:w="144" w:type="dxa"/>
              <w:bottom w:w="72" w:type="dxa"/>
              <w:right w:w="144" w:type="dxa"/>
            </w:tcMar>
            <w:hideMark/>
          </w:tcPr>
          <w:p w14:paraId="4FC35D8A" w14:textId="77777777" w:rsidR="00E177F8" w:rsidRPr="00193A44" w:rsidRDefault="00E177F8" w:rsidP="00B647EA">
            <w:pPr>
              <w:rPr>
                <w:sz w:val="20"/>
                <w:szCs w:val="20"/>
              </w:rPr>
            </w:pPr>
            <w:r w:rsidRPr="00193A44">
              <w:rPr>
                <w:sz w:val="20"/>
                <w:szCs w:val="20"/>
                <w:lang w:val="ca-ES"/>
              </w:rPr>
              <w:t>&gt;500</w:t>
            </w:r>
          </w:p>
        </w:tc>
        <w:tc>
          <w:tcPr>
            <w:tcW w:w="2835"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14E857DE" w14:textId="77777777" w:rsidR="00E177F8" w:rsidRPr="00193A44" w:rsidRDefault="00E177F8" w:rsidP="00B647EA">
            <w:pPr>
              <w:rPr>
                <w:sz w:val="20"/>
                <w:szCs w:val="20"/>
              </w:rPr>
            </w:pPr>
            <w:r w:rsidRPr="00193A44">
              <w:rPr>
                <w:sz w:val="20"/>
                <w:szCs w:val="20"/>
                <w:lang w:val="ca-ES"/>
              </w:rPr>
              <w:t>0.44 (0.35 to 0.55)</w:t>
            </w:r>
            <w:r w:rsidRPr="00193A44">
              <w:rPr>
                <w:sz w:val="20"/>
                <w:szCs w:val="20"/>
                <w:lang w:val="es-ES"/>
              </w:rPr>
              <w:t xml:space="preserve"> </w:t>
            </w:r>
          </w:p>
        </w:tc>
      </w:tr>
    </w:tbl>
    <w:p w14:paraId="07DA91A4" w14:textId="6711F6E6" w:rsidR="00E177F8" w:rsidRDefault="00E177F8" w:rsidP="00596BE0">
      <w:pPr>
        <w:jc w:val="both"/>
        <w:rPr>
          <w:rFonts w:ascii="Arial" w:hAnsi="Arial" w:cs="Arial"/>
          <w:color w:val="000000"/>
          <w:sz w:val="16"/>
          <w:szCs w:val="16"/>
        </w:rPr>
      </w:pPr>
    </w:p>
    <w:p w14:paraId="3739C9D8" w14:textId="77777777" w:rsidR="00E177F8" w:rsidRPr="00601402" w:rsidRDefault="00E177F8" w:rsidP="00596BE0">
      <w:pPr>
        <w:jc w:val="both"/>
        <w:rPr>
          <w:rFonts w:ascii="Arial" w:hAnsi="Arial" w:cs="Arial"/>
          <w:color w:val="000000"/>
          <w:sz w:val="16"/>
          <w:szCs w:val="16"/>
        </w:rPr>
      </w:pPr>
    </w:p>
    <w:tbl>
      <w:tblPr>
        <w:tblW w:w="5000" w:type="pct"/>
        <w:tblCellMar>
          <w:top w:w="75" w:type="dxa"/>
          <w:left w:w="75" w:type="dxa"/>
          <w:bottom w:w="75" w:type="dxa"/>
          <w:right w:w="75" w:type="dxa"/>
        </w:tblCellMar>
        <w:tblLook w:val="00A0" w:firstRow="1" w:lastRow="0" w:firstColumn="1" w:lastColumn="0" w:noHBand="0" w:noVBand="0"/>
      </w:tblPr>
      <w:tblGrid>
        <w:gridCol w:w="3687"/>
        <w:gridCol w:w="2298"/>
        <w:gridCol w:w="1844"/>
        <w:gridCol w:w="1535"/>
        <w:gridCol w:w="1873"/>
        <w:gridCol w:w="2201"/>
      </w:tblGrid>
      <w:tr w:rsidR="00596BE0" w:rsidRPr="00601402" w14:paraId="4A66AEC5" w14:textId="77777777" w:rsidTr="00596BE0">
        <w:trPr>
          <w:cantSplit/>
          <w:tblHeader/>
        </w:trPr>
        <w:tc>
          <w:tcPr>
            <w:tcW w:w="0" w:type="auto"/>
            <w:gridSpan w:val="6"/>
            <w:tcBorders>
              <w:top w:val="single" w:sz="6" w:space="0" w:color="000000"/>
              <w:left w:val="nil"/>
              <w:bottom w:val="single" w:sz="6" w:space="0" w:color="000000"/>
              <w:right w:val="nil"/>
            </w:tcBorders>
            <w:shd w:val="clear" w:color="auto" w:fill="92D050"/>
          </w:tcPr>
          <w:p w14:paraId="29E4D25B" w14:textId="01DC01BF" w:rsidR="00596BE0" w:rsidRPr="00601402" w:rsidRDefault="00596BE0" w:rsidP="00596BE0">
            <w:pPr>
              <w:pStyle w:val="Ttol1"/>
              <w:spacing w:before="0" w:beforeAutospacing="0" w:after="0" w:afterAutospacing="0"/>
              <w:rPr>
                <w:rFonts w:ascii="Arial" w:hAnsi="Arial" w:cs="Arial"/>
                <w:b/>
                <w:sz w:val="16"/>
                <w:szCs w:val="16"/>
              </w:rPr>
            </w:pPr>
            <w:r w:rsidRPr="00601402">
              <w:rPr>
                <w:rFonts w:ascii="Arial" w:hAnsi="Arial" w:cs="Arial"/>
                <w:b/>
                <w:sz w:val="16"/>
                <w:szCs w:val="16"/>
                <w:shd w:val="clear" w:color="auto" w:fill="FFFFFF"/>
              </w:rPr>
              <w:t xml:space="preserve">Table </w:t>
            </w:r>
            <w:r>
              <w:rPr>
                <w:rFonts w:ascii="Arial" w:hAnsi="Arial" w:cs="Arial"/>
                <w:b/>
                <w:sz w:val="16"/>
                <w:szCs w:val="16"/>
                <w:shd w:val="clear" w:color="auto" w:fill="FFFFFF"/>
              </w:rPr>
              <w:t>S</w:t>
            </w:r>
            <w:r w:rsidR="0033289E">
              <w:rPr>
                <w:rFonts w:ascii="Arial" w:hAnsi="Arial" w:cs="Arial"/>
                <w:b/>
                <w:sz w:val="16"/>
                <w:szCs w:val="16"/>
                <w:shd w:val="clear" w:color="auto" w:fill="FFFFFF"/>
              </w:rPr>
              <w:t>39</w:t>
            </w:r>
            <w:r w:rsidRPr="00601402">
              <w:rPr>
                <w:rFonts w:ascii="Arial" w:hAnsi="Arial" w:cs="Arial"/>
                <w:b/>
                <w:sz w:val="16"/>
                <w:szCs w:val="16"/>
                <w:shd w:val="clear" w:color="auto" w:fill="FFFFFF"/>
              </w:rPr>
              <w:t xml:space="preserve">: Summary of findings </w:t>
            </w:r>
            <w:proofErr w:type="gramStart"/>
            <w:r w:rsidRPr="00601402">
              <w:rPr>
                <w:rFonts w:ascii="Arial" w:hAnsi="Arial" w:cs="Arial"/>
                <w:b/>
                <w:sz w:val="16"/>
                <w:szCs w:val="16"/>
                <w:shd w:val="clear" w:color="auto" w:fill="FFFFFF"/>
              </w:rPr>
              <w:t xml:space="preserve">of  </w:t>
            </w:r>
            <w:r w:rsidRPr="00601402">
              <w:rPr>
                <w:rFonts w:ascii="Arial" w:hAnsi="Arial" w:cs="Arial"/>
                <w:b/>
                <w:bCs/>
                <w:sz w:val="16"/>
                <w:szCs w:val="16"/>
              </w:rPr>
              <w:t>Omalizumab</w:t>
            </w:r>
            <w:proofErr w:type="gramEnd"/>
            <w:r w:rsidRPr="00601402">
              <w:rPr>
                <w:rFonts w:ascii="Arial" w:hAnsi="Arial" w:cs="Arial"/>
                <w:b/>
                <w:bCs/>
                <w:sz w:val="16"/>
                <w:szCs w:val="16"/>
              </w:rPr>
              <w:t xml:space="preserve"> compared to standard of care for eosinophilic asthma</w:t>
            </w:r>
          </w:p>
        </w:tc>
      </w:tr>
      <w:tr w:rsidR="00596BE0" w:rsidRPr="00601402" w14:paraId="3EDBA2F9" w14:textId="77777777" w:rsidTr="00596BE0">
        <w:trPr>
          <w:cantSplit/>
          <w:tblHeader/>
        </w:trPr>
        <w:tc>
          <w:tcPr>
            <w:tcW w:w="1372" w:type="pct"/>
            <w:vMerge w:val="restart"/>
            <w:tcBorders>
              <w:top w:val="single" w:sz="12" w:space="0" w:color="000000"/>
              <w:left w:val="nil"/>
              <w:bottom w:val="single" w:sz="6" w:space="0" w:color="000000"/>
              <w:right w:val="nil"/>
            </w:tcBorders>
            <w:shd w:val="clear" w:color="auto" w:fill="3271AA"/>
            <w:vAlign w:val="center"/>
          </w:tcPr>
          <w:p w14:paraId="604BA0DE" w14:textId="77777777" w:rsidR="00596BE0" w:rsidRPr="00601402" w:rsidRDefault="00596BE0" w:rsidP="00596BE0">
            <w:pPr>
              <w:pStyle w:val="NormalWeb"/>
              <w:spacing w:before="0" w:beforeAutospacing="0" w:after="0" w:afterAutospacing="0"/>
              <w:rPr>
                <w:rFonts w:ascii="Arial" w:hAnsi="Arial" w:cs="Arial"/>
                <w:b/>
                <w:bCs/>
                <w:color w:val="FFFFFF"/>
                <w:sz w:val="16"/>
                <w:szCs w:val="16"/>
              </w:rPr>
            </w:pPr>
            <w:r w:rsidRPr="00601402">
              <w:rPr>
                <w:rFonts w:ascii="Arial" w:hAnsi="Arial" w:cs="Arial"/>
                <w:b/>
                <w:bCs/>
                <w:color w:val="FFFFFF"/>
                <w:sz w:val="16"/>
                <w:szCs w:val="16"/>
              </w:rPr>
              <w:t>Outcomes</w:t>
            </w:r>
          </w:p>
        </w:tc>
        <w:tc>
          <w:tcPr>
            <w:tcW w:w="855" w:type="pct"/>
            <w:vMerge w:val="restart"/>
            <w:tcBorders>
              <w:top w:val="single" w:sz="12" w:space="0" w:color="000000"/>
              <w:left w:val="nil"/>
              <w:bottom w:val="single" w:sz="6" w:space="0" w:color="000000"/>
              <w:right w:val="nil"/>
            </w:tcBorders>
            <w:shd w:val="clear" w:color="auto" w:fill="3271AA"/>
            <w:vAlign w:val="center"/>
          </w:tcPr>
          <w:p w14:paraId="506754AA" w14:textId="77777777" w:rsidR="00596BE0" w:rsidRPr="00601402" w:rsidRDefault="00596BE0" w:rsidP="00596BE0">
            <w:pPr>
              <w:pStyle w:val="NormalWeb"/>
              <w:spacing w:before="0" w:beforeAutospacing="0" w:after="0" w:afterAutospacing="0"/>
              <w:rPr>
                <w:rFonts w:ascii="Arial" w:hAnsi="Arial" w:cs="Arial"/>
                <w:b/>
                <w:bCs/>
                <w:color w:val="FFFFFF"/>
                <w:sz w:val="16"/>
                <w:szCs w:val="16"/>
              </w:rPr>
            </w:pPr>
            <w:r w:rsidRPr="00601402">
              <w:rPr>
                <w:rFonts w:ascii="Arial" w:hAnsi="Arial" w:cs="Arial"/>
                <w:b/>
                <w:bCs/>
                <w:color w:val="FFFFFF"/>
                <w:sz w:val="16"/>
                <w:szCs w:val="16"/>
              </w:rPr>
              <w:t>№ of participants</w:t>
            </w:r>
            <w:r w:rsidRPr="00601402">
              <w:rPr>
                <w:rFonts w:ascii="Arial" w:hAnsi="Arial" w:cs="Arial"/>
                <w:b/>
                <w:bCs/>
                <w:color w:val="FFFFFF"/>
                <w:sz w:val="16"/>
                <w:szCs w:val="16"/>
              </w:rPr>
              <w:br/>
              <w:t>(studies)</w:t>
            </w:r>
            <w:r w:rsidRPr="00601402">
              <w:rPr>
                <w:rFonts w:ascii="Arial" w:hAnsi="Arial" w:cs="Arial"/>
                <w:b/>
                <w:bCs/>
                <w:color w:val="FFFFFF"/>
                <w:sz w:val="16"/>
                <w:szCs w:val="16"/>
              </w:rPr>
              <w:br/>
              <w:t>Follow-up (range)</w:t>
            </w:r>
          </w:p>
        </w:tc>
        <w:tc>
          <w:tcPr>
            <w:tcW w:w="0" w:type="auto"/>
            <w:vMerge w:val="restart"/>
            <w:tcBorders>
              <w:top w:val="single" w:sz="12" w:space="0" w:color="000000"/>
              <w:left w:val="nil"/>
              <w:bottom w:val="single" w:sz="6" w:space="0" w:color="000000"/>
              <w:right w:val="nil"/>
            </w:tcBorders>
            <w:shd w:val="clear" w:color="auto" w:fill="3271AA"/>
            <w:vAlign w:val="center"/>
          </w:tcPr>
          <w:p w14:paraId="2727ECCE" w14:textId="77777777" w:rsidR="00596BE0" w:rsidRPr="00601402" w:rsidRDefault="00596BE0" w:rsidP="00596BE0">
            <w:pPr>
              <w:pStyle w:val="NormalWeb"/>
              <w:spacing w:before="0" w:beforeAutospacing="0" w:after="0" w:afterAutospacing="0"/>
              <w:rPr>
                <w:rFonts w:ascii="Arial" w:hAnsi="Arial" w:cs="Arial"/>
                <w:b/>
                <w:bCs/>
                <w:color w:val="FFFFFF"/>
                <w:sz w:val="16"/>
                <w:szCs w:val="16"/>
              </w:rPr>
            </w:pPr>
            <w:r w:rsidRPr="00601402">
              <w:rPr>
                <w:rFonts w:ascii="Arial" w:hAnsi="Arial" w:cs="Arial"/>
                <w:b/>
                <w:bCs/>
                <w:color w:val="FFFFFF"/>
                <w:sz w:val="16"/>
                <w:szCs w:val="16"/>
              </w:rPr>
              <w:t>Certainty of the evidence</w:t>
            </w:r>
            <w:r w:rsidRPr="00601402">
              <w:rPr>
                <w:rFonts w:ascii="Arial" w:hAnsi="Arial" w:cs="Arial"/>
                <w:b/>
                <w:bCs/>
                <w:color w:val="FFFFFF"/>
                <w:sz w:val="16"/>
                <w:szCs w:val="16"/>
              </w:rPr>
              <w:br/>
              <w:t>(GRADE)</w:t>
            </w:r>
          </w:p>
        </w:tc>
        <w:tc>
          <w:tcPr>
            <w:tcW w:w="0" w:type="auto"/>
            <w:vMerge w:val="restart"/>
            <w:tcBorders>
              <w:top w:val="single" w:sz="12" w:space="0" w:color="000000"/>
              <w:left w:val="nil"/>
              <w:bottom w:val="single" w:sz="6" w:space="0" w:color="000000"/>
              <w:right w:val="nil"/>
            </w:tcBorders>
            <w:shd w:val="clear" w:color="auto" w:fill="3271AA"/>
            <w:vAlign w:val="center"/>
          </w:tcPr>
          <w:p w14:paraId="41B455A8" w14:textId="77777777" w:rsidR="00596BE0" w:rsidRPr="00601402" w:rsidRDefault="00596BE0" w:rsidP="00596BE0">
            <w:pPr>
              <w:pStyle w:val="NormalWeb"/>
              <w:spacing w:before="0" w:beforeAutospacing="0" w:after="0" w:afterAutospacing="0"/>
              <w:rPr>
                <w:rFonts w:ascii="Arial" w:hAnsi="Arial" w:cs="Arial"/>
                <w:b/>
                <w:bCs/>
                <w:color w:val="FFFFFF"/>
                <w:sz w:val="16"/>
                <w:szCs w:val="16"/>
              </w:rPr>
            </w:pPr>
            <w:r w:rsidRPr="00601402">
              <w:rPr>
                <w:rFonts w:ascii="Arial" w:hAnsi="Arial" w:cs="Arial"/>
                <w:b/>
                <w:bCs/>
                <w:color w:val="FFFFFF"/>
                <w:sz w:val="16"/>
                <w:szCs w:val="16"/>
              </w:rPr>
              <w:t>Relative effect</w:t>
            </w:r>
            <w:r w:rsidRPr="00601402">
              <w:rPr>
                <w:rFonts w:ascii="Arial" w:hAnsi="Arial" w:cs="Arial"/>
                <w:b/>
                <w:bCs/>
                <w:color w:val="FFFFFF"/>
                <w:sz w:val="16"/>
                <w:szCs w:val="16"/>
              </w:rPr>
              <w:br/>
              <w:t>(95% CI)</w:t>
            </w:r>
          </w:p>
        </w:tc>
        <w:tc>
          <w:tcPr>
            <w:tcW w:w="0" w:type="auto"/>
            <w:gridSpan w:val="2"/>
            <w:tcBorders>
              <w:top w:val="single" w:sz="12" w:space="0" w:color="000000"/>
              <w:left w:val="nil"/>
              <w:bottom w:val="single" w:sz="6" w:space="0" w:color="000000"/>
              <w:right w:val="nil"/>
            </w:tcBorders>
            <w:shd w:val="clear" w:color="auto" w:fill="D3D3D3"/>
            <w:vAlign w:val="center"/>
          </w:tcPr>
          <w:p w14:paraId="3E46D810" w14:textId="77777777" w:rsidR="00596BE0" w:rsidRPr="00601402" w:rsidRDefault="00596BE0" w:rsidP="00596BE0">
            <w:pPr>
              <w:pStyle w:val="NormalWeb"/>
              <w:spacing w:before="0" w:beforeAutospacing="0" w:after="0" w:afterAutospacing="0"/>
              <w:rPr>
                <w:rFonts w:ascii="Arial" w:hAnsi="Arial" w:cs="Arial"/>
                <w:b/>
                <w:bCs/>
                <w:color w:val="000000"/>
                <w:sz w:val="16"/>
                <w:szCs w:val="16"/>
              </w:rPr>
            </w:pPr>
            <w:r w:rsidRPr="00601402">
              <w:rPr>
                <w:rFonts w:ascii="Arial" w:hAnsi="Arial" w:cs="Arial"/>
                <w:b/>
                <w:bCs/>
                <w:color w:val="000000"/>
                <w:sz w:val="16"/>
                <w:szCs w:val="16"/>
              </w:rPr>
              <w:t>Anticipated absolute effects</w:t>
            </w:r>
          </w:p>
        </w:tc>
      </w:tr>
      <w:tr w:rsidR="00596BE0" w:rsidRPr="00601402" w14:paraId="753C5853" w14:textId="77777777" w:rsidTr="00596BE0">
        <w:trPr>
          <w:cantSplit/>
          <w:tblHeader/>
        </w:trPr>
        <w:tc>
          <w:tcPr>
            <w:tcW w:w="1372" w:type="pct"/>
            <w:vMerge/>
            <w:tcBorders>
              <w:top w:val="single" w:sz="12" w:space="0" w:color="000000"/>
              <w:left w:val="nil"/>
              <w:bottom w:val="single" w:sz="6" w:space="0" w:color="000000"/>
              <w:right w:val="nil"/>
            </w:tcBorders>
            <w:vAlign w:val="center"/>
          </w:tcPr>
          <w:p w14:paraId="0B07F70A" w14:textId="77777777" w:rsidR="00596BE0" w:rsidRPr="00601402" w:rsidRDefault="00596BE0" w:rsidP="00596BE0">
            <w:pPr>
              <w:rPr>
                <w:rFonts w:ascii="Arial" w:hAnsi="Arial" w:cs="Arial"/>
                <w:b/>
                <w:bCs/>
                <w:color w:val="FFFFFF"/>
                <w:sz w:val="16"/>
                <w:szCs w:val="16"/>
              </w:rPr>
            </w:pPr>
          </w:p>
        </w:tc>
        <w:tc>
          <w:tcPr>
            <w:tcW w:w="855" w:type="pct"/>
            <w:vMerge/>
            <w:tcBorders>
              <w:top w:val="single" w:sz="12" w:space="0" w:color="000000"/>
              <w:left w:val="nil"/>
              <w:bottom w:val="single" w:sz="6" w:space="0" w:color="000000"/>
              <w:right w:val="nil"/>
            </w:tcBorders>
            <w:vAlign w:val="center"/>
          </w:tcPr>
          <w:p w14:paraId="4B9CE02C" w14:textId="77777777" w:rsidR="00596BE0" w:rsidRPr="00601402" w:rsidRDefault="00596BE0" w:rsidP="00596BE0">
            <w:pPr>
              <w:rPr>
                <w:rFonts w:ascii="Arial" w:hAnsi="Arial" w:cs="Arial"/>
                <w:b/>
                <w:bCs/>
                <w:color w:val="FFFFFF"/>
                <w:sz w:val="16"/>
                <w:szCs w:val="16"/>
              </w:rPr>
            </w:pPr>
          </w:p>
        </w:tc>
        <w:tc>
          <w:tcPr>
            <w:tcW w:w="0" w:type="auto"/>
            <w:vMerge/>
            <w:tcBorders>
              <w:top w:val="single" w:sz="12" w:space="0" w:color="000000"/>
              <w:left w:val="nil"/>
              <w:bottom w:val="single" w:sz="6" w:space="0" w:color="000000"/>
              <w:right w:val="nil"/>
            </w:tcBorders>
            <w:vAlign w:val="center"/>
          </w:tcPr>
          <w:p w14:paraId="5C50D1E6" w14:textId="77777777" w:rsidR="00596BE0" w:rsidRPr="00601402" w:rsidRDefault="00596BE0" w:rsidP="00596BE0">
            <w:pPr>
              <w:rPr>
                <w:rFonts w:ascii="Arial" w:hAnsi="Arial" w:cs="Arial"/>
                <w:b/>
                <w:bCs/>
                <w:color w:val="FFFFFF"/>
                <w:sz w:val="16"/>
                <w:szCs w:val="16"/>
              </w:rPr>
            </w:pPr>
          </w:p>
        </w:tc>
        <w:tc>
          <w:tcPr>
            <w:tcW w:w="0" w:type="auto"/>
            <w:vMerge/>
            <w:tcBorders>
              <w:top w:val="single" w:sz="12" w:space="0" w:color="000000"/>
              <w:left w:val="nil"/>
              <w:bottom w:val="single" w:sz="6" w:space="0" w:color="000000"/>
              <w:right w:val="nil"/>
            </w:tcBorders>
            <w:vAlign w:val="center"/>
          </w:tcPr>
          <w:p w14:paraId="23913D32" w14:textId="77777777" w:rsidR="00596BE0" w:rsidRPr="00601402" w:rsidRDefault="00596BE0" w:rsidP="00596BE0">
            <w:pPr>
              <w:rPr>
                <w:rFonts w:ascii="Arial" w:hAnsi="Arial" w:cs="Arial"/>
                <w:b/>
                <w:bCs/>
                <w:color w:val="FFFFFF"/>
                <w:sz w:val="16"/>
                <w:szCs w:val="16"/>
              </w:rPr>
            </w:pPr>
          </w:p>
        </w:tc>
        <w:tc>
          <w:tcPr>
            <w:tcW w:w="0" w:type="auto"/>
            <w:tcBorders>
              <w:top w:val="single" w:sz="12" w:space="0" w:color="000000"/>
              <w:left w:val="nil"/>
              <w:bottom w:val="single" w:sz="6" w:space="0" w:color="000000"/>
              <w:right w:val="nil"/>
            </w:tcBorders>
            <w:shd w:val="clear" w:color="auto" w:fill="D3D3D3"/>
            <w:vAlign w:val="center"/>
          </w:tcPr>
          <w:p w14:paraId="15E57C6F" w14:textId="77777777" w:rsidR="00596BE0" w:rsidRPr="00601402" w:rsidRDefault="00596BE0" w:rsidP="00596BE0">
            <w:pPr>
              <w:pStyle w:val="NormalWeb"/>
              <w:spacing w:before="0" w:beforeAutospacing="0" w:after="0" w:afterAutospacing="0"/>
              <w:rPr>
                <w:rFonts w:ascii="Arial" w:hAnsi="Arial" w:cs="Arial"/>
                <w:b/>
                <w:bCs/>
                <w:color w:val="000000"/>
                <w:sz w:val="16"/>
                <w:szCs w:val="16"/>
              </w:rPr>
            </w:pPr>
            <w:r w:rsidRPr="00601402">
              <w:rPr>
                <w:rFonts w:ascii="Arial" w:hAnsi="Arial" w:cs="Arial"/>
                <w:b/>
                <w:bCs/>
                <w:color w:val="000000"/>
                <w:sz w:val="16"/>
                <w:szCs w:val="16"/>
              </w:rPr>
              <w:t>Risk with standard of care</w:t>
            </w:r>
          </w:p>
        </w:tc>
        <w:tc>
          <w:tcPr>
            <w:tcW w:w="0" w:type="auto"/>
            <w:tcBorders>
              <w:top w:val="single" w:sz="12" w:space="0" w:color="000000"/>
              <w:left w:val="nil"/>
              <w:bottom w:val="single" w:sz="6" w:space="0" w:color="000000"/>
              <w:right w:val="nil"/>
            </w:tcBorders>
            <w:shd w:val="clear" w:color="auto" w:fill="D3D3D3"/>
            <w:vAlign w:val="center"/>
          </w:tcPr>
          <w:p w14:paraId="1FE37CED" w14:textId="77777777" w:rsidR="00596BE0" w:rsidRPr="00601402" w:rsidRDefault="00596BE0" w:rsidP="00596BE0">
            <w:pPr>
              <w:pStyle w:val="NormalWeb"/>
              <w:spacing w:before="0" w:beforeAutospacing="0" w:after="0" w:afterAutospacing="0"/>
              <w:rPr>
                <w:rFonts w:ascii="Arial" w:hAnsi="Arial" w:cs="Arial"/>
                <w:b/>
                <w:bCs/>
                <w:color w:val="000000"/>
                <w:sz w:val="16"/>
                <w:szCs w:val="16"/>
              </w:rPr>
            </w:pPr>
            <w:r w:rsidRPr="00601402">
              <w:rPr>
                <w:rFonts w:ascii="Arial" w:hAnsi="Arial" w:cs="Arial"/>
                <w:b/>
                <w:bCs/>
                <w:color w:val="000000"/>
                <w:sz w:val="16"/>
                <w:szCs w:val="16"/>
              </w:rPr>
              <w:t>Risk difference with omalizumab</w:t>
            </w:r>
          </w:p>
        </w:tc>
      </w:tr>
      <w:tr w:rsidR="00596BE0" w:rsidRPr="00601402" w14:paraId="31EB60C4" w14:textId="77777777" w:rsidTr="00596BE0">
        <w:trPr>
          <w:cantSplit/>
          <w:trHeight w:val="901"/>
        </w:trPr>
        <w:tc>
          <w:tcPr>
            <w:tcW w:w="1372" w:type="pct"/>
            <w:tcBorders>
              <w:top w:val="single" w:sz="6" w:space="0" w:color="000000"/>
              <w:left w:val="nil"/>
              <w:bottom w:val="single" w:sz="6" w:space="0" w:color="000000"/>
              <w:right w:val="nil"/>
            </w:tcBorders>
            <w:vAlign w:val="center"/>
          </w:tcPr>
          <w:p w14:paraId="27156C41" w14:textId="77777777" w:rsidR="00596BE0" w:rsidRPr="00601402" w:rsidRDefault="00596BE0" w:rsidP="00596BE0">
            <w:pPr>
              <w:rPr>
                <w:rFonts w:ascii="Arial" w:hAnsi="Arial" w:cs="Arial"/>
                <w:sz w:val="16"/>
                <w:szCs w:val="16"/>
              </w:rPr>
            </w:pPr>
            <w:r w:rsidRPr="00601402">
              <w:rPr>
                <w:rStyle w:val="label"/>
                <w:rFonts w:ascii="Arial" w:hAnsi="Arial" w:cs="Arial"/>
                <w:b/>
                <w:sz w:val="16"/>
                <w:szCs w:val="16"/>
              </w:rPr>
              <w:t>Exacerbations</w:t>
            </w:r>
            <w:r w:rsidRPr="00601402">
              <w:rPr>
                <w:rFonts w:ascii="Arial" w:hAnsi="Arial" w:cs="Arial"/>
                <w:sz w:val="16"/>
                <w:szCs w:val="16"/>
              </w:rPr>
              <w:br/>
            </w:r>
            <w:r w:rsidRPr="00601402">
              <w:rPr>
                <w:rStyle w:val="label"/>
                <w:rFonts w:ascii="Arial" w:hAnsi="Arial" w:cs="Arial"/>
                <w:sz w:val="16"/>
                <w:szCs w:val="16"/>
              </w:rPr>
              <w:t>Assessed with annual asthma exacerbations rate</w:t>
            </w:r>
            <w:r w:rsidRPr="00601402">
              <w:rPr>
                <w:rFonts w:ascii="Arial" w:hAnsi="Arial" w:cs="Arial"/>
                <w:sz w:val="16"/>
                <w:szCs w:val="16"/>
              </w:rPr>
              <w:br/>
            </w:r>
          </w:p>
        </w:tc>
        <w:tc>
          <w:tcPr>
            <w:tcW w:w="855" w:type="pct"/>
            <w:tcBorders>
              <w:top w:val="single" w:sz="6" w:space="0" w:color="000000"/>
              <w:left w:val="nil"/>
              <w:bottom w:val="single" w:sz="6" w:space="0" w:color="000000"/>
              <w:right w:val="nil"/>
            </w:tcBorders>
            <w:vAlign w:val="center"/>
          </w:tcPr>
          <w:p w14:paraId="7BE6B614" w14:textId="77777777" w:rsidR="00596BE0" w:rsidRPr="00601402" w:rsidRDefault="00596BE0" w:rsidP="00596BE0">
            <w:pPr>
              <w:rPr>
                <w:rFonts w:ascii="Arial" w:hAnsi="Arial" w:cs="Arial"/>
                <w:sz w:val="16"/>
                <w:szCs w:val="16"/>
                <w:vertAlign w:val="superscript"/>
              </w:rPr>
            </w:pPr>
            <w:r w:rsidRPr="00601402">
              <w:rPr>
                <w:rFonts w:ascii="Arial" w:hAnsi="Arial" w:cs="Arial"/>
                <w:sz w:val="16"/>
                <w:szCs w:val="16"/>
              </w:rPr>
              <w:t>779</w:t>
            </w:r>
            <w:r w:rsidRPr="00601402">
              <w:rPr>
                <w:rFonts w:ascii="Arial" w:hAnsi="Arial" w:cs="Arial"/>
                <w:sz w:val="16"/>
                <w:szCs w:val="16"/>
              </w:rPr>
              <w:br/>
              <w:t xml:space="preserve">(3 RCTs) </w:t>
            </w:r>
            <w:r w:rsidRPr="00601402">
              <w:rPr>
                <w:rFonts w:ascii="Arial" w:hAnsi="Arial" w:cs="Arial"/>
                <w:sz w:val="16"/>
                <w:szCs w:val="16"/>
                <w:vertAlign w:val="superscript"/>
              </w:rPr>
              <w:t>48,50,51</w:t>
            </w:r>
          </w:p>
          <w:p w14:paraId="5CE40D82" w14:textId="77777777" w:rsidR="00596BE0" w:rsidRPr="00601402" w:rsidRDefault="00596BE0" w:rsidP="00596BE0">
            <w:pPr>
              <w:rPr>
                <w:rFonts w:ascii="Arial" w:hAnsi="Arial" w:cs="Arial"/>
                <w:sz w:val="16"/>
                <w:szCs w:val="16"/>
              </w:rPr>
            </w:pPr>
            <w:r w:rsidRPr="00601402">
              <w:rPr>
                <w:rStyle w:val="label"/>
                <w:rFonts w:ascii="Arial" w:hAnsi="Arial" w:cs="Arial"/>
                <w:sz w:val="16"/>
                <w:szCs w:val="16"/>
              </w:rPr>
              <w:t>16 to 48 weeks</w:t>
            </w:r>
          </w:p>
        </w:tc>
        <w:tc>
          <w:tcPr>
            <w:tcW w:w="686" w:type="pct"/>
            <w:tcBorders>
              <w:top w:val="single" w:sz="6" w:space="0" w:color="000000"/>
              <w:left w:val="nil"/>
              <w:bottom w:val="single" w:sz="6" w:space="0" w:color="000000"/>
              <w:right w:val="nil"/>
            </w:tcBorders>
            <w:vAlign w:val="center"/>
          </w:tcPr>
          <w:p w14:paraId="33E711F7" w14:textId="77777777" w:rsidR="00596BE0" w:rsidRPr="00601402" w:rsidRDefault="00596BE0" w:rsidP="00596BE0">
            <w:pPr>
              <w:rPr>
                <w:rFonts w:ascii="Arial" w:hAnsi="Arial" w:cs="Arial"/>
                <w:sz w:val="16"/>
                <w:szCs w:val="16"/>
              </w:rPr>
            </w:pPr>
            <w:r w:rsidRPr="00601402">
              <w:rPr>
                <w:rStyle w:val="quality-sign"/>
                <w:rFonts w:ascii="Cambria Math" w:hAnsi="Cambria Math" w:cs="Cambria Math"/>
                <w:sz w:val="16"/>
                <w:szCs w:val="16"/>
              </w:rPr>
              <w:t>⨁⨁⨁⨁</w:t>
            </w:r>
            <w:r w:rsidRPr="00601402">
              <w:rPr>
                <w:rFonts w:ascii="Arial" w:hAnsi="Arial" w:cs="Arial"/>
                <w:sz w:val="16"/>
                <w:szCs w:val="16"/>
              </w:rPr>
              <w:br/>
            </w:r>
            <w:r w:rsidRPr="00601402">
              <w:rPr>
                <w:rStyle w:val="quality-text"/>
                <w:rFonts w:ascii="Arial" w:hAnsi="Arial" w:cs="Arial"/>
                <w:sz w:val="16"/>
                <w:szCs w:val="16"/>
              </w:rPr>
              <w:t>HIGH</w:t>
            </w:r>
            <w:r w:rsidRPr="00601402">
              <w:rPr>
                <w:rFonts w:ascii="Arial" w:hAnsi="Arial" w:cs="Arial"/>
                <w:sz w:val="16"/>
                <w:szCs w:val="16"/>
              </w:rPr>
              <w:t xml:space="preserve"> </w:t>
            </w:r>
            <w:proofErr w:type="gramStart"/>
            <w:r w:rsidRPr="00601402">
              <w:rPr>
                <w:rFonts w:ascii="Arial" w:hAnsi="Arial" w:cs="Arial"/>
                <w:sz w:val="16"/>
                <w:szCs w:val="16"/>
                <w:vertAlign w:val="superscript"/>
              </w:rPr>
              <w:t>4</w:t>
            </w:r>
            <w:r w:rsidRPr="00601402">
              <w:rPr>
                <w:rStyle w:val="comma"/>
                <w:rFonts w:ascii="Arial" w:hAnsi="Arial" w:cs="Arial"/>
                <w:sz w:val="16"/>
                <w:szCs w:val="16"/>
                <w:vertAlign w:val="superscript"/>
              </w:rPr>
              <w:t>,</w:t>
            </w:r>
            <w:r w:rsidRPr="00601402">
              <w:rPr>
                <w:rFonts w:ascii="Arial" w:hAnsi="Arial" w:cs="Arial"/>
                <w:sz w:val="16"/>
                <w:szCs w:val="16"/>
                <w:vertAlign w:val="superscript"/>
              </w:rPr>
              <w:t>a</w:t>
            </w:r>
            <w:proofErr w:type="gramEnd"/>
            <w:r w:rsidRPr="00601402">
              <w:rPr>
                <w:rStyle w:val="comma"/>
                <w:rFonts w:ascii="Arial" w:hAnsi="Arial" w:cs="Arial"/>
                <w:sz w:val="16"/>
                <w:szCs w:val="16"/>
                <w:vertAlign w:val="superscript"/>
              </w:rPr>
              <w:t>,</w:t>
            </w:r>
            <w:r w:rsidRPr="00601402">
              <w:rPr>
                <w:rFonts w:ascii="Arial" w:hAnsi="Arial" w:cs="Arial"/>
                <w:sz w:val="16"/>
                <w:szCs w:val="16"/>
                <w:vertAlign w:val="superscript"/>
              </w:rPr>
              <w:t>b</w:t>
            </w:r>
          </w:p>
        </w:tc>
        <w:tc>
          <w:tcPr>
            <w:tcW w:w="571" w:type="pct"/>
            <w:tcBorders>
              <w:top w:val="single" w:sz="6" w:space="0" w:color="000000"/>
              <w:left w:val="nil"/>
              <w:bottom w:val="single" w:sz="6" w:space="0" w:color="000000"/>
              <w:right w:val="nil"/>
            </w:tcBorders>
            <w:vAlign w:val="center"/>
          </w:tcPr>
          <w:p w14:paraId="42A8ED1F" w14:textId="5A75CBF2" w:rsidR="00596BE0" w:rsidRPr="00601402" w:rsidRDefault="00256864" w:rsidP="00596BE0">
            <w:pPr>
              <w:rPr>
                <w:rFonts w:ascii="Arial" w:hAnsi="Arial" w:cs="Arial"/>
                <w:sz w:val="16"/>
                <w:szCs w:val="16"/>
              </w:rPr>
            </w:pPr>
            <w:r>
              <w:rPr>
                <w:rStyle w:val="block"/>
                <w:rFonts w:ascii="Arial" w:hAnsi="Arial" w:cs="Arial"/>
                <w:b/>
                <w:bCs/>
                <w:sz w:val="16"/>
                <w:szCs w:val="16"/>
              </w:rPr>
              <w:t>Incidence r</w:t>
            </w:r>
            <w:r w:rsidR="00596BE0" w:rsidRPr="00601402">
              <w:rPr>
                <w:rStyle w:val="block"/>
                <w:rFonts w:ascii="Arial" w:hAnsi="Arial" w:cs="Arial"/>
                <w:b/>
                <w:bCs/>
                <w:sz w:val="16"/>
                <w:szCs w:val="16"/>
              </w:rPr>
              <w:t>ate ratio 0.56</w:t>
            </w:r>
            <w:r w:rsidR="00596BE0" w:rsidRPr="00601402">
              <w:rPr>
                <w:rFonts w:ascii="Arial" w:hAnsi="Arial" w:cs="Arial"/>
                <w:sz w:val="16"/>
                <w:szCs w:val="16"/>
              </w:rPr>
              <w:br/>
            </w:r>
            <w:r w:rsidR="00596BE0" w:rsidRPr="00601402">
              <w:rPr>
                <w:rStyle w:val="cell"/>
                <w:rFonts w:ascii="Arial" w:hAnsi="Arial" w:cs="Arial"/>
                <w:sz w:val="16"/>
                <w:szCs w:val="16"/>
              </w:rPr>
              <w:t>(0.40 to 0.77)</w:t>
            </w:r>
            <w:r w:rsidR="00596BE0" w:rsidRPr="00601402">
              <w:rPr>
                <w:rFonts w:ascii="Arial" w:hAnsi="Arial" w:cs="Arial"/>
                <w:sz w:val="16"/>
                <w:szCs w:val="16"/>
              </w:rPr>
              <w:t xml:space="preserve"> </w:t>
            </w:r>
          </w:p>
        </w:tc>
        <w:tc>
          <w:tcPr>
            <w:tcW w:w="0" w:type="auto"/>
            <w:tcBorders>
              <w:top w:val="single" w:sz="6" w:space="0" w:color="000000"/>
              <w:left w:val="nil"/>
              <w:right w:val="nil"/>
            </w:tcBorders>
            <w:shd w:val="clear" w:color="auto" w:fill="E0E0E0"/>
            <w:vAlign w:val="center"/>
          </w:tcPr>
          <w:p w14:paraId="659DA789" w14:textId="77777777" w:rsidR="00596BE0" w:rsidRPr="00601402" w:rsidRDefault="00596BE0" w:rsidP="00596BE0">
            <w:pPr>
              <w:rPr>
                <w:rFonts w:ascii="Arial" w:hAnsi="Arial" w:cs="Arial"/>
                <w:sz w:val="16"/>
                <w:szCs w:val="16"/>
              </w:rPr>
            </w:pPr>
            <w:r w:rsidRPr="00601402">
              <w:rPr>
                <w:rFonts w:ascii="Arial" w:hAnsi="Arial" w:cs="Arial"/>
                <w:sz w:val="16"/>
                <w:szCs w:val="16"/>
              </w:rPr>
              <w:t xml:space="preserve">660 exacerbations per 1000 patients per year  </w:t>
            </w:r>
          </w:p>
        </w:tc>
        <w:tc>
          <w:tcPr>
            <w:tcW w:w="0" w:type="auto"/>
            <w:tcBorders>
              <w:top w:val="single" w:sz="6" w:space="0" w:color="000000"/>
              <w:left w:val="nil"/>
              <w:right w:val="nil"/>
            </w:tcBorders>
            <w:shd w:val="clear" w:color="auto" w:fill="E0E0E0"/>
            <w:vAlign w:val="center"/>
          </w:tcPr>
          <w:p w14:paraId="6C311479" w14:textId="77777777" w:rsidR="00596BE0" w:rsidRPr="00601402" w:rsidRDefault="00596BE0" w:rsidP="00596BE0">
            <w:pPr>
              <w:rPr>
                <w:rFonts w:ascii="Arial" w:hAnsi="Arial" w:cs="Arial"/>
                <w:b/>
                <w:bCs/>
                <w:sz w:val="16"/>
                <w:szCs w:val="16"/>
              </w:rPr>
            </w:pPr>
            <w:r w:rsidRPr="00601402">
              <w:rPr>
                <w:rStyle w:val="cell-value"/>
                <w:rFonts w:ascii="Arial" w:hAnsi="Arial" w:cs="Arial"/>
                <w:b/>
                <w:bCs/>
                <w:sz w:val="16"/>
                <w:szCs w:val="16"/>
              </w:rPr>
              <w:t>290 fewer exacerbations per 1.000 patients per year</w:t>
            </w:r>
            <w:r w:rsidRPr="00601402">
              <w:rPr>
                <w:rFonts w:ascii="Arial" w:hAnsi="Arial" w:cs="Arial"/>
                <w:sz w:val="16"/>
                <w:szCs w:val="16"/>
              </w:rPr>
              <w:br/>
            </w:r>
            <w:r w:rsidRPr="00601402">
              <w:rPr>
                <w:rStyle w:val="cell-value"/>
                <w:rFonts w:ascii="Arial" w:hAnsi="Arial" w:cs="Arial"/>
                <w:sz w:val="16"/>
                <w:szCs w:val="16"/>
              </w:rPr>
              <w:t>(396 fewer to 152 fewer)</w:t>
            </w:r>
            <w:r w:rsidRPr="00601402">
              <w:rPr>
                <w:rFonts w:ascii="Arial" w:hAnsi="Arial" w:cs="Arial"/>
                <w:sz w:val="16"/>
                <w:szCs w:val="16"/>
              </w:rPr>
              <w:t xml:space="preserve"> </w:t>
            </w:r>
          </w:p>
        </w:tc>
      </w:tr>
      <w:tr w:rsidR="00596BE0" w:rsidRPr="00601402" w14:paraId="4BC1F173" w14:textId="77777777" w:rsidTr="00596BE0">
        <w:trPr>
          <w:cantSplit/>
        </w:trPr>
        <w:tc>
          <w:tcPr>
            <w:tcW w:w="1372" w:type="pct"/>
            <w:tcBorders>
              <w:top w:val="single" w:sz="6" w:space="0" w:color="000000"/>
              <w:left w:val="nil"/>
              <w:bottom w:val="single" w:sz="6" w:space="0" w:color="000000"/>
              <w:right w:val="nil"/>
            </w:tcBorders>
            <w:vAlign w:val="center"/>
          </w:tcPr>
          <w:p w14:paraId="2DEC0DF4" w14:textId="77777777" w:rsidR="00596BE0" w:rsidRPr="00601402" w:rsidRDefault="00596BE0" w:rsidP="00596BE0">
            <w:pPr>
              <w:rPr>
                <w:rFonts w:ascii="Arial" w:hAnsi="Arial" w:cs="Arial"/>
                <w:sz w:val="16"/>
                <w:szCs w:val="16"/>
              </w:rPr>
            </w:pPr>
            <w:r w:rsidRPr="00601402">
              <w:rPr>
                <w:rStyle w:val="label"/>
                <w:rFonts w:ascii="Arial" w:hAnsi="Arial" w:cs="Arial"/>
                <w:b/>
                <w:sz w:val="16"/>
                <w:szCs w:val="16"/>
              </w:rPr>
              <w:t>Asthma Control</w:t>
            </w:r>
            <w:r w:rsidRPr="00601402">
              <w:rPr>
                <w:rFonts w:ascii="Arial" w:hAnsi="Arial" w:cs="Arial"/>
                <w:sz w:val="16"/>
                <w:szCs w:val="16"/>
              </w:rPr>
              <w:br/>
            </w:r>
            <w:r w:rsidRPr="00601402">
              <w:rPr>
                <w:rStyle w:val="label"/>
                <w:rFonts w:ascii="Arial" w:hAnsi="Arial" w:cs="Arial"/>
                <w:sz w:val="16"/>
                <w:szCs w:val="16"/>
              </w:rPr>
              <w:t xml:space="preserve">Assessed with Total Asthma Symptoms Score </w:t>
            </w:r>
          </w:p>
        </w:tc>
        <w:tc>
          <w:tcPr>
            <w:tcW w:w="855" w:type="pct"/>
            <w:tcBorders>
              <w:top w:val="single" w:sz="6" w:space="0" w:color="000000"/>
              <w:left w:val="nil"/>
              <w:bottom w:val="single" w:sz="6" w:space="0" w:color="000000"/>
              <w:right w:val="nil"/>
            </w:tcBorders>
            <w:vAlign w:val="center"/>
          </w:tcPr>
          <w:p w14:paraId="53E01FCF" w14:textId="77777777" w:rsidR="00596BE0" w:rsidRPr="00601402" w:rsidRDefault="00596BE0" w:rsidP="00596BE0">
            <w:pPr>
              <w:rPr>
                <w:rFonts w:ascii="Arial" w:hAnsi="Arial" w:cs="Arial"/>
                <w:sz w:val="16"/>
                <w:szCs w:val="16"/>
                <w:vertAlign w:val="superscript"/>
              </w:rPr>
            </w:pPr>
            <w:r w:rsidRPr="00601402">
              <w:rPr>
                <w:rFonts w:ascii="Arial" w:hAnsi="Arial" w:cs="Arial"/>
                <w:sz w:val="16"/>
                <w:szCs w:val="16"/>
              </w:rPr>
              <w:t>414</w:t>
            </w:r>
            <w:r w:rsidRPr="00601402">
              <w:rPr>
                <w:rFonts w:ascii="Arial" w:hAnsi="Arial" w:cs="Arial"/>
                <w:sz w:val="16"/>
                <w:szCs w:val="16"/>
              </w:rPr>
              <w:br/>
              <w:t xml:space="preserve">(1 RCT) </w:t>
            </w:r>
            <w:r w:rsidRPr="00601402">
              <w:rPr>
                <w:rFonts w:ascii="Arial" w:hAnsi="Arial" w:cs="Arial"/>
                <w:sz w:val="16"/>
                <w:szCs w:val="16"/>
                <w:vertAlign w:val="superscript"/>
              </w:rPr>
              <w:t>48</w:t>
            </w:r>
          </w:p>
          <w:p w14:paraId="58311DB1" w14:textId="77777777" w:rsidR="00596BE0" w:rsidRPr="00601402" w:rsidRDefault="00596BE0" w:rsidP="00596BE0">
            <w:pPr>
              <w:rPr>
                <w:rFonts w:ascii="Arial" w:hAnsi="Arial" w:cs="Arial"/>
                <w:sz w:val="16"/>
                <w:szCs w:val="16"/>
              </w:rPr>
            </w:pPr>
            <w:r w:rsidRPr="00601402">
              <w:rPr>
                <w:rStyle w:val="label"/>
                <w:rFonts w:ascii="Arial" w:hAnsi="Arial" w:cs="Arial"/>
                <w:sz w:val="16"/>
                <w:szCs w:val="16"/>
              </w:rPr>
              <w:t>48 weeks</w:t>
            </w:r>
          </w:p>
        </w:tc>
        <w:tc>
          <w:tcPr>
            <w:tcW w:w="686" w:type="pct"/>
            <w:tcBorders>
              <w:top w:val="single" w:sz="6" w:space="0" w:color="000000"/>
              <w:left w:val="nil"/>
              <w:bottom w:val="single" w:sz="6" w:space="0" w:color="000000"/>
              <w:right w:val="nil"/>
            </w:tcBorders>
            <w:vAlign w:val="center"/>
          </w:tcPr>
          <w:p w14:paraId="6F4CF2CE" w14:textId="77777777" w:rsidR="00596BE0" w:rsidRPr="00601402" w:rsidRDefault="00596BE0" w:rsidP="00596BE0">
            <w:pPr>
              <w:rPr>
                <w:rFonts w:ascii="Arial" w:hAnsi="Arial" w:cs="Arial"/>
                <w:sz w:val="16"/>
                <w:szCs w:val="16"/>
              </w:rPr>
            </w:pPr>
            <w:r w:rsidRPr="00601402">
              <w:rPr>
                <w:rStyle w:val="quality-sign"/>
                <w:rFonts w:ascii="Cambria Math" w:hAnsi="Cambria Math" w:cs="Cambria Math"/>
                <w:sz w:val="16"/>
                <w:szCs w:val="16"/>
              </w:rPr>
              <w:t>⨁⨁</w:t>
            </w:r>
            <w:r w:rsidRPr="00601402">
              <w:rPr>
                <w:rStyle w:val="quality-sign"/>
                <w:rFonts w:ascii="Segoe UI Symbol" w:eastAsia="MS Mincho" w:hAnsi="Segoe UI Symbol" w:cs="Segoe UI Symbol"/>
                <w:sz w:val="16"/>
                <w:szCs w:val="16"/>
              </w:rPr>
              <w:t>◯◯</w:t>
            </w:r>
            <w:r w:rsidRPr="00601402">
              <w:rPr>
                <w:rFonts w:ascii="Arial" w:hAnsi="Arial" w:cs="Arial"/>
                <w:sz w:val="16"/>
                <w:szCs w:val="16"/>
              </w:rPr>
              <w:br/>
            </w:r>
            <w:r w:rsidRPr="00601402">
              <w:rPr>
                <w:rStyle w:val="quality-text"/>
                <w:rFonts w:ascii="Arial" w:hAnsi="Arial" w:cs="Arial"/>
                <w:sz w:val="16"/>
                <w:szCs w:val="16"/>
              </w:rPr>
              <w:t>LOW</w:t>
            </w:r>
            <w:r w:rsidRPr="00601402">
              <w:rPr>
                <w:rFonts w:ascii="Arial" w:hAnsi="Arial" w:cs="Arial"/>
                <w:sz w:val="16"/>
                <w:szCs w:val="16"/>
              </w:rPr>
              <w:t xml:space="preserve"> </w:t>
            </w:r>
            <w:proofErr w:type="gramStart"/>
            <w:r w:rsidRPr="00601402">
              <w:rPr>
                <w:rFonts w:ascii="Arial" w:hAnsi="Arial" w:cs="Arial"/>
                <w:sz w:val="16"/>
                <w:szCs w:val="16"/>
                <w:vertAlign w:val="superscript"/>
              </w:rPr>
              <w:t>4</w:t>
            </w:r>
            <w:r w:rsidRPr="00601402">
              <w:rPr>
                <w:rStyle w:val="comma"/>
                <w:rFonts w:ascii="Arial" w:hAnsi="Arial" w:cs="Arial"/>
                <w:sz w:val="16"/>
                <w:szCs w:val="16"/>
                <w:vertAlign w:val="superscript"/>
              </w:rPr>
              <w:t>,</w:t>
            </w:r>
            <w:r w:rsidRPr="00601402">
              <w:rPr>
                <w:rFonts w:ascii="Arial" w:hAnsi="Arial" w:cs="Arial"/>
                <w:sz w:val="16"/>
                <w:szCs w:val="16"/>
                <w:vertAlign w:val="superscript"/>
              </w:rPr>
              <w:t>a</w:t>
            </w:r>
            <w:proofErr w:type="gramEnd"/>
            <w:r w:rsidRPr="00601402">
              <w:rPr>
                <w:rStyle w:val="comma"/>
                <w:rFonts w:ascii="Arial" w:hAnsi="Arial" w:cs="Arial"/>
                <w:sz w:val="16"/>
                <w:szCs w:val="16"/>
                <w:vertAlign w:val="superscript"/>
              </w:rPr>
              <w:t>,</w:t>
            </w:r>
            <w:r w:rsidRPr="00601402">
              <w:rPr>
                <w:rFonts w:ascii="Arial" w:hAnsi="Arial" w:cs="Arial"/>
                <w:sz w:val="16"/>
                <w:szCs w:val="16"/>
                <w:vertAlign w:val="superscript"/>
              </w:rPr>
              <w:t>b</w:t>
            </w:r>
            <w:r w:rsidRPr="00601402">
              <w:rPr>
                <w:rStyle w:val="comma"/>
                <w:rFonts w:ascii="Arial" w:hAnsi="Arial" w:cs="Arial"/>
                <w:sz w:val="16"/>
                <w:szCs w:val="16"/>
                <w:vertAlign w:val="superscript"/>
              </w:rPr>
              <w:t>,</w:t>
            </w:r>
            <w:r w:rsidRPr="00601402">
              <w:rPr>
                <w:rFonts w:ascii="Arial" w:hAnsi="Arial" w:cs="Arial"/>
                <w:sz w:val="16"/>
                <w:szCs w:val="16"/>
                <w:vertAlign w:val="superscript"/>
              </w:rPr>
              <w:t>c</w:t>
            </w:r>
            <w:r w:rsidRPr="00601402">
              <w:rPr>
                <w:rStyle w:val="comma"/>
                <w:rFonts w:ascii="Arial" w:hAnsi="Arial" w:cs="Arial"/>
                <w:sz w:val="16"/>
                <w:szCs w:val="16"/>
                <w:vertAlign w:val="superscript"/>
              </w:rPr>
              <w:t>,</w:t>
            </w:r>
            <w:r w:rsidRPr="00601402">
              <w:rPr>
                <w:rFonts w:ascii="Arial" w:hAnsi="Arial" w:cs="Arial"/>
                <w:sz w:val="16"/>
                <w:szCs w:val="16"/>
                <w:vertAlign w:val="superscript"/>
              </w:rPr>
              <w:t>d</w:t>
            </w:r>
          </w:p>
        </w:tc>
        <w:tc>
          <w:tcPr>
            <w:tcW w:w="571" w:type="pct"/>
            <w:tcBorders>
              <w:top w:val="single" w:sz="6" w:space="0" w:color="000000"/>
              <w:left w:val="nil"/>
              <w:bottom w:val="single" w:sz="6" w:space="0" w:color="000000"/>
              <w:right w:val="nil"/>
            </w:tcBorders>
            <w:vAlign w:val="center"/>
          </w:tcPr>
          <w:p w14:paraId="760BAB10" w14:textId="77777777" w:rsidR="00596BE0" w:rsidRPr="00601402" w:rsidRDefault="00596BE0" w:rsidP="00596BE0">
            <w:pPr>
              <w:rPr>
                <w:rFonts w:ascii="Arial" w:hAnsi="Arial" w:cs="Arial"/>
                <w:sz w:val="16"/>
                <w:szCs w:val="16"/>
              </w:rPr>
            </w:pPr>
            <w:r w:rsidRPr="00601402">
              <w:rPr>
                <w:rStyle w:val="cell"/>
                <w:rFonts w:ascii="Arial" w:hAnsi="Arial" w:cs="Arial"/>
                <w:sz w:val="16"/>
                <w:szCs w:val="16"/>
              </w:rPr>
              <w:t>-</w:t>
            </w:r>
            <w:r w:rsidRPr="00601402">
              <w:rPr>
                <w:rFonts w:ascii="Arial" w:hAnsi="Arial" w:cs="Arial"/>
                <w:sz w:val="16"/>
                <w:szCs w:val="16"/>
              </w:rPr>
              <w:t xml:space="preserve"> </w:t>
            </w:r>
          </w:p>
        </w:tc>
        <w:tc>
          <w:tcPr>
            <w:tcW w:w="697" w:type="pct"/>
            <w:tcBorders>
              <w:top w:val="single" w:sz="6" w:space="0" w:color="000000"/>
              <w:left w:val="nil"/>
              <w:bottom w:val="single" w:sz="6" w:space="0" w:color="000000"/>
              <w:right w:val="nil"/>
            </w:tcBorders>
            <w:shd w:val="clear" w:color="auto" w:fill="EDEDED"/>
            <w:vAlign w:val="center"/>
          </w:tcPr>
          <w:p w14:paraId="38AE8A1C" w14:textId="77777777" w:rsidR="00596BE0" w:rsidRPr="00601402" w:rsidRDefault="00596BE0" w:rsidP="00596BE0">
            <w:pPr>
              <w:rPr>
                <w:rFonts w:ascii="Arial" w:hAnsi="Arial" w:cs="Arial"/>
                <w:sz w:val="16"/>
                <w:szCs w:val="16"/>
              </w:rPr>
            </w:pPr>
          </w:p>
        </w:tc>
        <w:tc>
          <w:tcPr>
            <w:tcW w:w="819" w:type="pct"/>
            <w:tcBorders>
              <w:top w:val="single" w:sz="6" w:space="0" w:color="000000"/>
              <w:left w:val="nil"/>
              <w:bottom w:val="single" w:sz="6" w:space="0" w:color="000000"/>
              <w:right w:val="nil"/>
            </w:tcBorders>
            <w:shd w:val="clear" w:color="auto" w:fill="EDEDED"/>
            <w:vAlign w:val="center"/>
          </w:tcPr>
          <w:p w14:paraId="1AF53369" w14:textId="77777777" w:rsidR="00596BE0" w:rsidRPr="00601402" w:rsidRDefault="00596BE0" w:rsidP="00596BE0">
            <w:pPr>
              <w:rPr>
                <w:rFonts w:ascii="Arial" w:hAnsi="Arial" w:cs="Arial"/>
                <w:sz w:val="16"/>
                <w:szCs w:val="16"/>
              </w:rPr>
            </w:pPr>
            <w:r w:rsidRPr="00601402">
              <w:rPr>
                <w:rStyle w:val="cell-value"/>
                <w:rFonts w:ascii="Arial" w:hAnsi="Arial" w:cs="Arial"/>
                <w:sz w:val="16"/>
                <w:szCs w:val="16"/>
              </w:rPr>
              <w:t xml:space="preserve">mean difference - </w:t>
            </w:r>
            <w:r w:rsidRPr="00601402">
              <w:rPr>
                <w:rStyle w:val="cell-value"/>
                <w:rFonts w:ascii="Arial" w:hAnsi="Arial" w:cs="Arial"/>
                <w:b/>
                <w:bCs/>
                <w:sz w:val="16"/>
                <w:szCs w:val="16"/>
              </w:rPr>
              <w:t xml:space="preserve">0.16 </w:t>
            </w:r>
            <w:r w:rsidRPr="00601402">
              <w:rPr>
                <w:rFonts w:ascii="Arial" w:hAnsi="Arial" w:cs="Arial"/>
                <w:sz w:val="16"/>
                <w:szCs w:val="16"/>
              </w:rPr>
              <w:br/>
            </w:r>
            <w:r w:rsidRPr="00601402">
              <w:rPr>
                <w:rStyle w:val="cell-value"/>
                <w:rFonts w:ascii="Arial" w:hAnsi="Arial" w:cs="Arial"/>
                <w:sz w:val="16"/>
                <w:szCs w:val="16"/>
              </w:rPr>
              <w:t>(- 0.51 to +0.19)</w:t>
            </w:r>
            <w:r w:rsidRPr="00601402">
              <w:rPr>
                <w:rFonts w:ascii="Arial" w:hAnsi="Arial" w:cs="Arial"/>
                <w:sz w:val="16"/>
                <w:szCs w:val="16"/>
              </w:rPr>
              <w:t xml:space="preserve"> </w:t>
            </w:r>
            <w:proofErr w:type="gramStart"/>
            <w:r w:rsidRPr="00601402">
              <w:rPr>
                <w:rFonts w:ascii="Arial" w:hAnsi="Arial" w:cs="Arial"/>
                <w:sz w:val="16"/>
                <w:szCs w:val="16"/>
                <w:vertAlign w:val="superscript"/>
              </w:rPr>
              <w:t>e</w:t>
            </w:r>
            <w:r w:rsidRPr="00601402">
              <w:rPr>
                <w:rStyle w:val="comma"/>
                <w:rFonts w:ascii="Arial" w:hAnsi="Arial" w:cs="Arial"/>
                <w:sz w:val="16"/>
                <w:szCs w:val="16"/>
                <w:vertAlign w:val="superscript"/>
              </w:rPr>
              <w:t>,</w:t>
            </w:r>
            <w:r w:rsidRPr="00601402">
              <w:rPr>
                <w:rFonts w:ascii="Arial" w:hAnsi="Arial" w:cs="Arial"/>
                <w:sz w:val="16"/>
                <w:szCs w:val="16"/>
                <w:vertAlign w:val="superscript"/>
              </w:rPr>
              <w:t>f</w:t>
            </w:r>
            <w:proofErr w:type="gramEnd"/>
          </w:p>
        </w:tc>
      </w:tr>
      <w:tr w:rsidR="00596BE0" w:rsidRPr="00601402" w14:paraId="285A165F" w14:textId="77777777" w:rsidTr="00596BE0">
        <w:trPr>
          <w:cantSplit/>
        </w:trPr>
        <w:tc>
          <w:tcPr>
            <w:tcW w:w="1372" w:type="pct"/>
            <w:tcBorders>
              <w:top w:val="single" w:sz="6" w:space="0" w:color="000000"/>
              <w:left w:val="nil"/>
              <w:bottom w:val="single" w:sz="6" w:space="0" w:color="000000"/>
              <w:right w:val="nil"/>
            </w:tcBorders>
            <w:vAlign w:val="center"/>
          </w:tcPr>
          <w:p w14:paraId="6A58AC5B" w14:textId="77777777" w:rsidR="00596BE0" w:rsidRPr="00601402" w:rsidRDefault="00596BE0" w:rsidP="00596BE0">
            <w:pPr>
              <w:rPr>
                <w:rStyle w:val="label"/>
                <w:rFonts w:ascii="Arial" w:hAnsi="Arial" w:cs="Arial"/>
                <w:sz w:val="16"/>
                <w:szCs w:val="16"/>
              </w:rPr>
            </w:pPr>
            <w:r w:rsidRPr="00601402">
              <w:rPr>
                <w:rStyle w:val="label"/>
                <w:rFonts w:ascii="Arial" w:hAnsi="Arial" w:cs="Arial"/>
                <w:b/>
                <w:sz w:val="16"/>
                <w:szCs w:val="16"/>
              </w:rPr>
              <w:t>Quality of Life</w:t>
            </w:r>
            <w:r w:rsidRPr="00601402">
              <w:rPr>
                <w:rStyle w:val="label"/>
                <w:rFonts w:ascii="Arial" w:hAnsi="Arial" w:cs="Arial"/>
                <w:sz w:val="16"/>
                <w:szCs w:val="16"/>
              </w:rPr>
              <w:t xml:space="preserve"> </w:t>
            </w:r>
            <w:r w:rsidRPr="00601402">
              <w:rPr>
                <w:rFonts w:ascii="Arial" w:hAnsi="Arial" w:cs="Arial"/>
                <w:sz w:val="16"/>
                <w:szCs w:val="16"/>
              </w:rPr>
              <w:br/>
            </w:r>
            <w:r w:rsidRPr="00601402">
              <w:rPr>
                <w:rStyle w:val="label"/>
                <w:rFonts w:ascii="Arial" w:hAnsi="Arial" w:cs="Arial"/>
                <w:sz w:val="16"/>
                <w:szCs w:val="16"/>
              </w:rPr>
              <w:t>Assessed with Asthma Quality of Life Questionnaire</w:t>
            </w:r>
          </w:p>
        </w:tc>
        <w:tc>
          <w:tcPr>
            <w:tcW w:w="855" w:type="pct"/>
            <w:tcBorders>
              <w:top w:val="single" w:sz="6" w:space="0" w:color="000000"/>
              <w:left w:val="nil"/>
              <w:bottom w:val="single" w:sz="6" w:space="0" w:color="000000"/>
              <w:right w:val="nil"/>
            </w:tcBorders>
            <w:vAlign w:val="center"/>
          </w:tcPr>
          <w:p w14:paraId="66D90842" w14:textId="77777777" w:rsidR="00596BE0" w:rsidRPr="00601402" w:rsidRDefault="00596BE0" w:rsidP="00596BE0">
            <w:pPr>
              <w:rPr>
                <w:rFonts w:ascii="Arial" w:hAnsi="Arial" w:cs="Arial"/>
                <w:sz w:val="16"/>
                <w:szCs w:val="16"/>
                <w:vertAlign w:val="superscript"/>
              </w:rPr>
            </w:pPr>
            <w:r w:rsidRPr="00601402">
              <w:rPr>
                <w:rFonts w:ascii="Arial" w:hAnsi="Arial" w:cs="Arial"/>
                <w:sz w:val="16"/>
                <w:szCs w:val="16"/>
              </w:rPr>
              <w:t>414</w:t>
            </w:r>
            <w:r w:rsidRPr="00601402">
              <w:rPr>
                <w:rFonts w:ascii="Arial" w:hAnsi="Arial" w:cs="Arial"/>
                <w:sz w:val="16"/>
                <w:szCs w:val="16"/>
              </w:rPr>
              <w:br/>
              <w:t xml:space="preserve">(1 RCT) </w:t>
            </w:r>
            <w:r w:rsidRPr="00601402">
              <w:rPr>
                <w:rFonts w:ascii="Arial" w:hAnsi="Arial" w:cs="Arial"/>
                <w:sz w:val="16"/>
                <w:szCs w:val="16"/>
                <w:vertAlign w:val="superscript"/>
              </w:rPr>
              <w:t>48</w:t>
            </w:r>
          </w:p>
          <w:p w14:paraId="2F1EA6B7" w14:textId="77777777" w:rsidR="00596BE0" w:rsidRPr="00601402" w:rsidRDefault="00596BE0" w:rsidP="00596BE0">
            <w:pPr>
              <w:rPr>
                <w:rFonts w:ascii="Arial" w:hAnsi="Arial" w:cs="Arial"/>
                <w:sz w:val="16"/>
                <w:szCs w:val="16"/>
              </w:rPr>
            </w:pPr>
            <w:r w:rsidRPr="00601402">
              <w:rPr>
                <w:rStyle w:val="label"/>
                <w:rFonts w:ascii="Arial" w:hAnsi="Arial" w:cs="Arial"/>
                <w:sz w:val="16"/>
                <w:szCs w:val="16"/>
              </w:rPr>
              <w:t>48 weeks</w:t>
            </w:r>
          </w:p>
        </w:tc>
        <w:tc>
          <w:tcPr>
            <w:tcW w:w="686" w:type="pct"/>
            <w:tcBorders>
              <w:top w:val="single" w:sz="6" w:space="0" w:color="000000"/>
              <w:left w:val="nil"/>
              <w:bottom w:val="single" w:sz="6" w:space="0" w:color="000000"/>
              <w:right w:val="nil"/>
            </w:tcBorders>
            <w:vAlign w:val="center"/>
          </w:tcPr>
          <w:p w14:paraId="45EE930C" w14:textId="77777777" w:rsidR="00596BE0" w:rsidRPr="00601402" w:rsidRDefault="00596BE0" w:rsidP="00596BE0">
            <w:pPr>
              <w:rPr>
                <w:rStyle w:val="quality-sign"/>
                <w:rFonts w:ascii="Arial" w:hAnsi="Arial" w:cs="Arial"/>
                <w:sz w:val="16"/>
                <w:szCs w:val="16"/>
              </w:rPr>
            </w:pPr>
            <w:r w:rsidRPr="00601402">
              <w:rPr>
                <w:rStyle w:val="quality-sign"/>
                <w:rFonts w:ascii="Cambria Math" w:hAnsi="Cambria Math" w:cs="Cambria Math"/>
                <w:sz w:val="16"/>
                <w:szCs w:val="16"/>
              </w:rPr>
              <w:t>⨁⨁⨁</w:t>
            </w:r>
            <w:r w:rsidRPr="00601402">
              <w:rPr>
                <w:rStyle w:val="quality-sign"/>
                <w:rFonts w:ascii="Segoe UI Symbol" w:eastAsia="MS Mincho" w:hAnsi="Segoe UI Symbol" w:cs="Segoe UI Symbol"/>
                <w:sz w:val="16"/>
                <w:szCs w:val="16"/>
              </w:rPr>
              <w:t>◯</w:t>
            </w:r>
            <w:r w:rsidRPr="00601402">
              <w:rPr>
                <w:rFonts w:ascii="Arial" w:hAnsi="Arial" w:cs="Arial"/>
                <w:sz w:val="16"/>
                <w:szCs w:val="16"/>
              </w:rPr>
              <w:br/>
            </w:r>
            <w:r w:rsidRPr="00601402">
              <w:rPr>
                <w:rStyle w:val="quality-text"/>
                <w:rFonts w:ascii="Arial" w:hAnsi="Arial" w:cs="Arial"/>
                <w:sz w:val="16"/>
                <w:szCs w:val="16"/>
              </w:rPr>
              <w:t>MODERATE</w:t>
            </w:r>
            <w:r w:rsidRPr="00601402">
              <w:rPr>
                <w:rFonts w:ascii="Arial" w:hAnsi="Arial" w:cs="Arial"/>
                <w:sz w:val="16"/>
                <w:szCs w:val="16"/>
              </w:rPr>
              <w:t xml:space="preserve"> </w:t>
            </w:r>
            <w:proofErr w:type="gramStart"/>
            <w:r w:rsidRPr="00601402">
              <w:rPr>
                <w:rFonts w:ascii="Arial" w:hAnsi="Arial" w:cs="Arial"/>
                <w:sz w:val="16"/>
                <w:szCs w:val="16"/>
                <w:vertAlign w:val="superscript"/>
              </w:rPr>
              <w:t>4</w:t>
            </w:r>
            <w:r w:rsidRPr="00601402">
              <w:rPr>
                <w:rStyle w:val="comma"/>
                <w:rFonts w:ascii="Arial" w:hAnsi="Arial" w:cs="Arial"/>
                <w:sz w:val="16"/>
                <w:szCs w:val="16"/>
                <w:vertAlign w:val="superscript"/>
              </w:rPr>
              <w:t>,</w:t>
            </w:r>
            <w:r w:rsidRPr="00601402">
              <w:rPr>
                <w:rFonts w:ascii="Arial" w:hAnsi="Arial" w:cs="Arial"/>
                <w:sz w:val="16"/>
                <w:szCs w:val="16"/>
                <w:vertAlign w:val="superscript"/>
              </w:rPr>
              <w:t>a</w:t>
            </w:r>
            <w:proofErr w:type="gramEnd"/>
            <w:r w:rsidRPr="00601402">
              <w:rPr>
                <w:rStyle w:val="comma"/>
                <w:rFonts w:ascii="Arial" w:hAnsi="Arial" w:cs="Arial"/>
                <w:sz w:val="16"/>
                <w:szCs w:val="16"/>
                <w:vertAlign w:val="superscript"/>
              </w:rPr>
              <w:t>,</w:t>
            </w:r>
            <w:r w:rsidRPr="00601402">
              <w:rPr>
                <w:rFonts w:ascii="Arial" w:hAnsi="Arial" w:cs="Arial"/>
                <w:sz w:val="16"/>
                <w:szCs w:val="16"/>
                <w:vertAlign w:val="superscript"/>
              </w:rPr>
              <w:t>b</w:t>
            </w:r>
            <w:r w:rsidRPr="00601402">
              <w:rPr>
                <w:rStyle w:val="comma"/>
                <w:rFonts w:ascii="Arial" w:hAnsi="Arial" w:cs="Arial"/>
                <w:sz w:val="16"/>
                <w:szCs w:val="16"/>
                <w:vertAlign w:val="superscript"/>
              </w:rPr>
              <w:t>,</w:t>
            </w:r>
            <w:r w:rsidRPr="00601402">
              <w:rPr>
                <w:rFonts w:ascii="Arial" w:hAnsi="Arial" w:cs="Arial"/>
                <w:sz w:val="16"/>
                <w:szCs w:val="16"/>
                <w:vertAlign w:val="superscript"/>
              </w:rPr>
              <w:t>d</w:t>
            </w:r>
          </w:p>
        </w:tc>
        <w:tc>
          <w:tcPr>
            <w:tcW w:w="571" w:type="pct"/>
            <w:tcBorders>
              <w:top w:val="single" w:sz="6" w:space="0" w:color="000000"/>
              <w:left w:val="nil"/>
              <w:bottom w:val="single" w:sz="6" w:space="0" w:color="000000"/>
              <w:right w:val="nil"/>
            </w:tcBorders>
            <w:vAlign w:val="center"/>
          </w:tcPr>
          <w:p w14:paraId="6C8C01A8" w14:textId="77777777" w:rsidR="00596BE0" w:rsidRPr="00601402" w:rsidRDefault="00596BE0" w:rsidP="00596BE0">
            <w:pPr>
              <w:rPr>
                <w:rStyle w:val="cell"/>
                <w:rFonts w:ascii="Arial" w:hAnsi="Arial" w:cs="Arial"/>
                <w:sz w:val="16"/>
                <w:szCs w:val="16"/>
              </w:rPr>
            </w:pPr>
            <w:r w:rsidRPr="00601402">
              <w:rPr>
                <w:rStyle w:val="cell"/>
                <w:rFonts w:ascii="Arial" w:hAnsi="Arial" w:cs="Arial"/>
                <w:sz w:val="16"/>
                <w:szCs w:val="16"/>
              </w:rPr>
              <w:t>-</w:t>
            </w:r>
            <w:r w:rsidRPr="00601402">
              <w:rPr>
                <w:rFonts w:ascii="Arial" w:hAnsi="Arial" w:cs="Arial"/>
                <w:sz w:val="16"/>
                <w:szCs w:val="16"/>
              </w:rPr>
              <w:t xml:space="preserve"> </w:t>
            </w:r>
          </w:p>
        </w:tc>
        <w:tc>
          <w:tcPr>
            <w:tcW w:w="697" w:type="pct"/>
            <w:tcBorders>
              <w:top w:val="single" w:sz="6" w:space="0" w:color="000000"/>
              <w:left w:val="nil"/>
              <w:bottom w:val="single" w:sz="6" w:space="0" w:color="000000"/>
              <w:right w:val="nil"/>
            </w:tcBorders>
            <w:shd w:val="clear" w:color="auto" w:fill="EDEDED"/>
            <w:vAlign w:val="center"/>
          </w:tcPr>
          <w:p w14:paraId="5228831D" w14:textId="77777777" w:rsidR="00596BE0" w:rsidRPr="00601402" w:rsidRDefault="00596BE0" w:rsidP="00596BE0">
            <w:pPr>
              <w:rPr>
                <w:rFonts w:ascii="Arial" w:hAnsi="Arial" w:cs="Arial"/>
                <w:sz w:val="16"/>
                <w:szCs w:val="16"/>
              </w:rPr>
            </w:pPr>
          </w:p>
        </w:tc>
        <w:tc>
          <w:tcPr>
            <w:tcW w:w="819" w:type="pct"/>
            <w:tcBorders>
              <w:top w:val="single" w:sz="6" w:space="0" w:color="000000"/>
              <w:left w:val="nil"/>
              <w:bottom w:val="single" w:sz="6" w:space="0" w:color="000000"/>
              <w:right w:val="nil"/>
            </w:tcBorders>
            <w:shd w:val="clear" w:color="auto" w:fill="EDEDED"/>
            <w:vAlign w:val="center"/>
          </w:tcPr>
          <w:p w14:paraId="773ADDC0" w14:textId="77777777" w:rsidR="00596BE0" w:rsidRPr="00601402" w:rsidRDefault="00596BE0" w:rsidP="00596BE0">
            <w:pPr>
              <w:rPr>
                <w:rStyle w:val="cell-value"/>
                <w:rFonts w:ascii="Arial" w:hAnsi="Arial" w:cs="Arial"/>
                <w:sz w:val="16"/>
                <w:szCs w:val="16"/>
              </w:rPr>
            </w:pPr>
            <w:r w:rsidRPr="00601402">
              <w:rPr>
                <w:rStyle w:val="cell-value"/>
                <w:rFonts w:ascii="Arial" w:hAnsi="Arial" w:cs="Arial"/>
                <w:sz w:val="16"/>
                <w:szCs w:val="16"/>
              </w:rPr>
              <w:t>mean difference +</w:t>
            </w:r>
            <w:r w:rsidRPr="00601402">
              <w:rPr>
                <w:rStyle w:val="cell-value"/>
              </w:rPr>
              <w:t xml:space="preserve"> </w:t>
            </w:r>
            <w:r w:rsidRPr="00601402">
              <w:rPr>
                <w:rStyle w:val="cell-value"/>
                <w:rFonts w:ascii="Arial" w:hAnsi="Arial" w:cs="Arial"/>
                <w:sz w:val="16"/>
                <w:szCs w:val="16"/>
              </w:rPr>
              <w:t>0.13</w:t>
            </w:r>
            <w:r w:rsidRPr="00601402">
              <w:rPr>
                <w:rStyle w:val="cell-value"/>
                <w:rFonts w:ascii="Arial" w:hAnsi="Arial" w:cs="Arial"/>
                <w:b/>
                <w:bCs/>
                <w:sz w:val="16"/>
                <w:szCs w:val="16"/>
              </w:rPr>
              <w:t xml:space="preserve"> </w:t>
            </w:r>
            <w:r w:rsidRPr="00601402">
              <w:rPr>
                <w:rFonts w:ascii="Arial" w:hAnsi="Arial" w:cs="Arial"/>
                <w:sz w:val="16"/>
                <w:szCs w:val="16"/>
              </w:rPr>
              <w:br/>
            </w:r>
            <w:r w:rsidRPr="00601402">
              <w:rPr>
                <w:rStyle w:val="cell-value"/>
                <w:rFonts w:ascii="Arial" w:hAnsi="Arial" w:cs="Arial"/>
                <w:sz w:val="16"/>
                <w:szCs w:val="16"/>
              </w:rPr>
              <w:t>(-0.11 to +</w:t>
            </w:r>
            <w:r w:rsidRPr="00601402">
              <w:rPr>
                <w:rStyle w:val="cell-value"/>
              </w:rPr>
              <w:t xml:space="preserve"> </w:t>
            </w:r>
            <w:r w:rsidRPr="00601402">
              <w:rPr>
                <w:rStyle w:val="cell-value"/>
                <w:rFonts w:ascii="Arial" w:hAnsi="Arial" w:cs="Arial"/>
                <w:sz w:val="16"/>
                <w:szCs w:val="16"/>
              </w:rPr>
              <w:t>0.37)</w:t>
            </w:r>
            <w:r w:rsidRPr="00601402">
              <w:rPr>
                <w:rFonts w:ascii="Arial" w:hAnsi="Arial" w:cs="Arial"/>
                <w:sz w:val="16"/>
                <w:szCs w:val="16"/>
              </w:rPr>
              <w:t xml:space="preserve"> </w:t>
            </w:r>
            <w:r w:rsidRPr="00601402">
              <w:rPr>
                <w:rFonts w:ascii="Arial" w:hAnsi="Arial" w:cs="Arial"/>
                <w:sz w:val="16"/>
                <w:szCs w:val="16"/>
                <w:vertAlign w:val="superscript"/>
              </w:rPr>
              <w:t>l</w:t>
            </w:r>
          </w:p>
        </w:tc>
      </w:tr>
      <w:tr w:rsidR="00596BE0" w:rsidRPr="00601402" w14:paraId="23380D7A" w14:textId="77777777" w:rsidTr="00596BE0">
        <w:trPr>
          <w:cantSplit/>
        </w:trPr>
        <w:tc>
          <w:tcPr>
            <w:tcW w:w="1372" w:type="pct"/>
            <w:tcBorders>
              <w:top w:val="single" w:sz="6" w:space="0" w:color="000000"/>
              <w:left w:val="nil"/>
              <w:bottom w:val="single" w:sz="6" w:space="0" w:color="000000"/>
              <w:right w:val="nil"/>
            </w:tcBorders>
            <w:vAlign w:val="center"/>
          </w:tcPr>
          <w:p w14:paraId="23190BA9" w14:textId="77777777" w:rsidR="00596BE0" w:rsidRPr="00601402" w:rsidRDefault="00596BE0" w:rsidP="00596BE0">
            <w:pPr>
              <w:rPr>
                <w:rFonts w:ascii="Arial" w:hAnsi="Arial" w:cs="Arial"/>
                <w:sz w:val="16"/>
                <w:szCs w:val="16"/>
              </w:rPr>
            </w:pPr>
            <w:r w:rsidRPr="00601402">
              <w:rPr>
                <w:rStyle w:val="label"/>
                <w:rFonts w:ascii="Arial" w:hAnsi="Arial" w:cs="Arial"/>
                <w:b/>
                <w:sz w:val="16"/>
                <w:szCs w:val="16"/>
              </w:rPr>
              <w:t>Any adverse event</w:t>
            </w:r>
            <w:r w:rsidRPr="00601402">
              <w:rPr>
                <w:rStyle w:val="label"/>
                <w:rFonts w:ascii="Arial" w:hAnsi="Arial" w:cs="Arial"/>
                <w:sz w:val="16"/>
                <w:szCs w:val="16"/>
              </w:rPr>
              <w:t xml:space="preserve"> </w:t>
            </w:r>
            <w:r w:rsidRPr="00601402">
              <w:rPr>
                <w:rFonts w:ascii="Arial" w:hAnsi="Arial" w:cs="Arial"/>
                <w:sz w:val="16"/>
                <w:szCs w:val="16"/>
              </w:rPr>
              <w:br/>
            </w:r>
            <w:r w:rsidRPr="00601402">
              <w:rPr>
                <w:rStyle w:val="label"/>
                <w:rFonts w:ascii="Arial" w:hAnsi="Arial" w:cs="Arial"/>
                <w:sz w:val="16"/>
                <w:szCs w:val="16"/>
              </w:rPr>
              <w:t>Assessed with number of events</w:t>
            </w:r>
            <w:r w:rsidRPr="00601402">
              <w:rPr>
                <w:rFonts w:ascii="Arial" w:hAnsi="Arial" w:cs="Arial"/>
                <w:sz w:val="16"/>
                <w:szCs w:val="16"/>
              </w:rPr>
              <w:br/>
            </w:r>
          </w:p>
        </w:tc>
        <w:tc>
          <w:tcPr>
            <w:tcW w:w="855" w:type="pct"/>
            <w:tcBorders>
              <w:top w:val="single" w:sz="6" w:space="0" w:color="000000"/>
              <w:left w:val="nil"/>
              <w:bottom w:val="single" w:sz="6" w:space="0" w:color="000000"/>
              <w:right w:val="nil"/>
            </w:tcBorders>
            <w:vAlign w:val="center"/>
          </w:tcPr>
          <w:p w14:paraId="12E1215F" w14:textId="77777777" w:rsidR="00596BE0" w:rsidRPr="00601402" w:rsidRDefault="00596BE0" w:rsidP="00596BE0">
            <w:pPr>
              <w:rPr>
                <w:rFonts w:ascii="Arial" w:hAnsi="Arial" w:cs="Arial"/>
                <w:sz w:val="16"/>
                <w:szCs w:val="16"/>
                <w:vertAlign w:val="superscript"/>
              </w:rPr>
            </w:pPr>
            <w:r w:rsidRPr="00601402">
              <w:rPr>
                <w:rFonts w:ascii="Arial" w:hAnsi="Arial" w:cs="Arial"/>
                <w:sz w:val="16"/>
                <w:szCs w:val="16"/>
              </w:rPr>
              <w:t>414</w:t>
            </w:r>
            <w:r w:rsidRPr="00601402">
              <w:rPr>
                <w:rFonts w:ascii="Arial" w:hAnsi="Arial" w:cs="Arial"/>
                <w:sz w:val="16"/>
                <w:szCs w:val="16"/>
              </w:rPr>
              <w:br/>
              <w:t xml:space="preserve">(1 RCT) </w:t>
            </w:r>
            <w:r w:rsidRPr="00601402">
              <w:rPr>
                <w:rFonts w:ascii="Arial" w:hAnsi="Arial" w:cs="Arial"/>
                <w:sz w:val="16"/>
                <w:szCs w:val="16"/>
                <w:vertAlign w:val="superscript"/>
              </w:rPr>
              <w:t>48</w:t>
            </w:r>
          </w:p>
          <w:p w14:paraId="61C9FE38" w14:textId="77777777" w:rsidR="00596BE0" w:rsidRPr="00601402" w:rsidRDefault="00596BE0" w:rsidP="00596BE0">
            <w:pPr>
              <w:rPr>
                <w:rFonts w:ascii="Arial" w:hAnsi="Arial" w:cs="Arial"/>
                <w:sz w:val="16"/>
                <w:szCs w:val="16"/>
              </w:rPr>
            </w:pPr>
            <w:r w:rsidRPr="00601402">
              <w:rPr>
                <w:rStyle w:val="label"/>
                <w:rFonts w:ascii="Arial" w:hAnsi="Arial" w:cs="Arial"/>
                <w:sz w:val="16"/>
                <w:szCs w:val="16"/>
              </w:rPr>
              <w:t>48 weeks</w:t>
            </w:r>
          </w:p>
        </w:tc>
        <w:tc>
          <w:tcPr>
            <w:tcW w:w="686" w:type="pct"/>
            <w:tcBorders>
              <w:top w:val="single" w:sz="6" w:space="0" w:color="000000"/>
              <w:left w:val="nil"/>
              <w:bottom w:val="single" w:sz="6" w:space="0" w:color="000000"/>
              <w:right w:val="nil"/>
            </w:tcBorders>
            <w:vAlign w:val="center"/>
          </w:tcPr>
          <w:p w14:paraId="1D2A99D7" w14:textId="77777777" w:rsidR="00596BE0" w:rsidRPr="00601402" w:rsidRDefault="00596BE0" w:rsidP="00596BE0">
            <w:pPr>
              <w:rPr>
                <w:rFonts w:ascii="Arial" w:hAnsi="Arial" w:cs="Arial"/>
                <w:sz w:val="16"/>
                <w:szCs w:val="16"/>
              </w:rPr>
            </w:pPr>
            <w:r w:rsidRPr="00601402">
              <w:rPr>
                <w:rFonts w:ascii="Cambria Math" w:hAnsi="Cambria Math" w:cs="Cambria Math"/>
                <w:sz w:val="16"/>
                <w:szCs w:val="16"/>
              </w:rPr>
              <w:t>⨁⨁⨁</w:t>
            </w:r>
            <w:r w:rsidRPr="00601402">
              <w:rPr>
                <w:rFonts w:ascii="Segoe UI Symbol" w:hAnsi="Segoe UI Symbol" w:cs="Segoe UI Symbol"/>
                <w:sz w:val="16"/>
                <w:szCs w:val="16"/>
              </w:rPr>
              <w:t>◯</w:t>
            </w:r>
          </w:p>
          <w:p w14:paraId="065C8B60" w14:textId="77777777" w:rsidR="00596BE0" w:rsidRPr="00601402" w:rsidRDefault="00596BE0" w:rsidP="00596BE0">
            <w:pPr>
              <w:rPr>
                <w:rFonts w:ascii="Arial" w:hAnsi="Arial" w:cs="Arial"/>
                <w:sz w:val="16"/>
                <w:szCs w:val="16"/>
              </w:rPr>
            </w:pPr>
            <w:r w:rsidRPr="00601402">
              <w:rPr>
                <w:rFonts w:ascii="Arial" w:hAnsi="Arial" w:cs="Arial"/>
                <w:sz w:val="16"/>
                <w:szCs w:val="16"/>
              </w:rPr>
              <w:t>MODERATE</w:t>
            </w:r>
            <w:r w:rsidRPr="00601402">
              <w:rPr>
                <w:rFonts w:ascii="Arial" w:hAnsi="Arial" w:cs="Arial"/>
                <w:sz w:val="16"/>
                <w:szCs w:val="16"/>
                <w:vertAlign w:val="superscript"/>
              </w:rPr>
              <w:t xml:space="preserve"> </w:t>
            </w:r>
            <w:proofErr w:type="gramStart"/>
            <w:r w:rsidRPr="00601402">
              <w:rPr>
                <w:rFonts w:ascii="Arial" w:hAnsi="Arial" w:cs="Arial"/>
                <w:sz w:val="16"/>
                <w:szCs w:val="16"/>
                <w:vertAlign w:val="superscript"/>
              </w:rPr>
              <w:t>4,a</w:t>
            </w:r>
            <w:proofErr w:type="gramEnd"/>
            <w:r w:rsidRPr="00601402">
              <w:rPr>
                <w:rFonts w:ascii="Arial" w:hAnsi="Arial" w:cs="Arial"/>
                <w:sz w:val="16"/>
                <w:szCs w:val="16"/>
                <w:vertAlign w:val="superscript"/>
              </w:rPr>
              <w:t>,b,d</w:t>
            </w:r>
          </w:p>
        </w:tc>
        <w:tc>
          <w:tcPr>
            <w:tcW w:w="571" w:type="pct"/>
            <w:tcBorders>
              <w:top w:val="single" w:sz="6" w:space="0" w:color="000000"/>
              <w:left w:val="nil"/>
              <w:bottom w:val="single" w:sz="6" w:space="0" w:color="000000"/>
              <w:right w:val="nil"/>
            </w:tcBorders>
            <w:vAlign w:val="center"/>
          </w:tcPr>
          <w:p w14:paraId="275B932E" w14:textId="1EB5138C" w:rsidR="00596BE0" w:rsidRPr="00601402" w:rsidRDefault="00256864" w:rsidP="00596BE0">
            <w:pPr>
              <w:rPr>
                <w:rFonts w:ascii="Arial" w:hAnsi="Arial" w:cs="Arial"/>
                <w:b/>
                <w:sz w:val="16"/>
                <w:szCs w:val="16"/>
              </w:rPr>
            </w:pPr>
            <w:r>
              <w:rPr>
                <w:rFonts w:ascii="Arial" w:hAnsi="Arial" w:cs="Arial"/>
                <w:b/>
                <w:sz w:val="16"/>
                <w:szCs w:val="16"/>
              </w:rPr>
              <w:t>R</w:t>
            </w:r>
            <w:r>
              <w:t>isk</w:t>
            </w:r>
            <w:r w:rsidR="00596BE0" w:rsidRPr="00601402">
              <w:rPr>
                <w:rFonts w:ascii="Arial" w:hAnsi="Arial" w:cs="Arial"/>
                <w:b/>
                <w:sz w:val="16"/>
                <w:szCs w:val="16"/>
              </w:rPr>
              <w:t xml:space="preserve"> ratio 1.01</w:t>
            </w:r>
          </w:p>
          <w:p w14:paraId="7F2A131D" w14:textId="77777777" w:rsidR="00596BE0" w:rsidRPr="00601402" w:rsidRDefault="00596BE0" w:rsidP="00596BE0">
            <w:pPr>
              <w:rPr>
                <w:rFonts w:ascii="Arial" w:hAnsi="Arial" w:cs="Arial"/>
                <w:sz w:val="16"/>
                <w:szCs w:val="16"/>
              </w:rPr>
            </w:pPr>
            <w:r w:rsidRPr="00601402">
              <w:rPr>
                <w:rFonts w:ascii="Arial" w:hAnsi="Arial" w:cs="Arial"/>
                <w:sz w:val="16"/>
                <w:szCs w:val="16"/>
              </w:rPr>
              <w:t>(0.91 to 1.11)</w:t>
            </w:r>
          </w:p>
        </w:tc>
        <w:tc>
          <w:tcPr>
            <w:tcW w:w="697" w:type="pct"/>
            <w:tcBorders>
              <w:top w:val="single" w:sz="6" w:space="0" w:color="000000"/>
              <w:left w:val="nil"/>
              <w:bottom w:val="single" w:sz="6" w:space="0" w:color="000000"/>
              <w:right w:val="nil"/>
            </w:tcBorders>
            <w:shd w:val="clear" w:color="auto" w:fill="EDEDED"/>
            <w:vAlign w:val="center"/>
          </w:tcPr>
          <w:p w14:paraId="0C2C43B6" w14:textId="77777777" w:rsidR="00596BE0" w:rsidRPr="00601402" w:rsidRDefault="00596BE0" w:rsidP="00596BE0">
            <w:pPr>
              <w:rPr>
                <w:rFonts w:ascii="Arial" w:hAnsi="Arial" w:cs="Arial"/>
                <w:sz w:val="16"/>
                <w:szCs w:val="16"/>
              </w:rPr>
            </w:pPr>
            <w:r w:rsidRPr="00601402">
              <w:rPr>
                <w:rFonts w:ascii="Arial" w:hAnsi="Arial" w:cs="Arial"/>
                <w:sz w:val="16"/>
                <w:szCs w:val="16"/>
              </w:rPr>
              <w:t xml:space="preserve">794 per 1.000 </w:t>
            </w:r>
          </w:p>
        </w:tc>
        <w:tc>
          <w:tcPr>
            <w:tcW w:w="819" w:type="pct"/>
            <w:tcBorders>
              <w:top w:val="single" w:sz="6" w:space="0" w:color="000000"/>
              <w:left w:val="nil"/>
              <w:bottom w:val="single" w:sz="6" w:space="0" w:color="000000"/>
              <w:right w:val="nil"/>
            </w:tcBorders>
            <w:shd w:val="clear" w:color="auto" w:fill="EDEDED"/>
            <w:vAlign w:val="center"/>
          </w:tcPr>
          <w:p w14:paraId="192E607B" w14:textId="77777777" w:rsidR="00596BE0" w:rsidRPr="00601402" w:rsidRDefault="00596BE0" w:rsidP="00596BE0">
            <w:pPr>
              <w:rPr>
                <w:rFonts w:ascii="Arial" w:hAnsi="Arial" w:cs="Arial"/>
                <w:sz w:val="16"/>
                <w:szCs w:val="16"/>
              </w:rPr>
            </w:pPr>
            <w:r w:rsidRPr="00601402">
              <w:rPr>
                <w:rStyle w:val="cell-value"/>
                <w:rFonts w:ascii="Arial" w:hAnsi="Arial" w:cs="Arial"/>
                <w:b/>
                <w:bCs/>
                <w:sz w:val="16"/>
                <w:szCs w:val="16"/>
              </w:rPr>
              <w:t>8 more per 1.000</w:t>
            </w:r>
            <w:r w:rsidRPr="00601402">
              <w:rPr>
                <w:rFonts w:ascii="Arial" w:hAnsi="Arial" w:cs="Arial"/>
                <w:sz w:val="16"/>
                <w:szCs w:val="16"/>
              </w:rPr>
              <w:br/>
            </w:r>
            <w:r w:rsidRPr="00601402">
              <w:rPr>
                <w:rStyle w:val="cell-value"/>
                <w:rFonts w:ascii="Arial" w:hAnsi="Arial" w:cs="Arial"/>
                <w:sz w:val="16"/>
                <w:szCs w:val="16"/>
              </w:rPr>
              <w:t>(71 fewer to 87 more)</w:t>
            </w:r>
            <w:r w:rsidRPr="00601402">
              <w:rPr>
                <w:rFonts w:ascii="Arial" w:hAnsi="Arial" w:cs="Arial"/>
                <w:sz w:val="16"/>
                <w:szCs w:val="16"/>
              </w:rPr>
              <w:t xml:space="preserve"> </w:t>
            </w:r>
          </w:p>
        </w:tc>
      </w:tr>
      <w:tr w:rsidR="00596BE0" w:rsidRPr="00601402" w14:paraId="72BBE416" w14:textId="77777777" w:rsidTr="00596BE0">
        <w:trPr>
          <w:cantSplit/>
        </w:trPr>
        <w:tc>
          <w:tcPr>
            <w:tcW w:w="1372" w:type="pct"/>
            <w:tcBorders>
              <w:top w:val="single" w:sz="6" w:space="0" w:color="000000"/>
              <w:left w:val="nil"/>
              <w:bottom w:val="single" w:sz="6" w:space="0" w:color="000000"/>
              <w:right w:val="nil"/>
            </w:tcBorders>
            <w:vAlign w:val="center"/>
          </w:tcPr>
          <w:p w14:paraId="3869BD0A" w14:textId="77777777" w:rsidR="00596BE0" w:rsidRPr="00601402" w:rsidRDefault="00596BE0" w:rsidP="00596BE0">
            <w:pPr>
              <w:rPr>
                <w:rFonts w:ascii="Arial" w:hAnsi="Arial" w:cs="Arial"/>
                <w:sz w:val="16"/>
                <w:szCs w:val="16"/>
              </w:rPr>
            </w:pPr>
            <w:r w:rsidRPr="00601402">
              <w:rPr>
                <w:rStyle w:val="label"/>
                <w:rFonts w:ascii="Arial" w:hAnsi="Arial" w:cs="Arial"/>
                <w:b/>
                <w:sz w:val="16"/>
                <w:szCs w:val="16"/>
              </w:rPr>
              <w:lastRenderedPageBreak/>
              <w:t>Lung Function</w:t>
            </w:r>
            <w:r w:rsidRPr="00601402">
              <w:rPr>
                <w:rStyle w:val="label"/>
                <w:rFonts w:ascii="Arial" w:hAnsi="Arial" w:cs="Arial"/>
                <w:sz w:val="16"/>
                <w:szCs w:val="16"/>
              </w:rPr>
              <w:t xml:space="preserve"> </w:t>
            </w:r>
            <w:r w:rsidRPr="00601402">
              <w:rPr>
                <w:rFonts w:ascii="Arial" w:hAnsi="Arial" w:cs="Arial"/>
                <w:sz w:val="16"/>
                <w:szCs w:val="16"/>
              </w:rPr>
              <w:br/>
            </w:r>
            <w:r w:rsidRPr="00601402">
              <w:rPr>
                <w:rStyle w:val="label"/>
                <w:rFonts w:ascii="Arial" w:hAnsi="Arial" w:cs="Arial"/>
                <w:sz w:val="16"/>
                <w:szCs w:val="16"/>
              </w:rPr>
              <w:t>Assessed with % pre-bronchodilator FEV1 between-group-difference at the end of the study</w:t>
            </w:r>
          </w:p>
        </w:tc>
        <w:tc>
          <w:tcPr>
            <w:tcW w:w="855" w:type="pct"/>
            <w:tcBorders>
              <w:top w:val="single" w:sz="6" w:space="0" w:color="000000"/>
              <w:left w:val="nil"/>
              <w:bottom w:val="single" w:sz="6" w:space="0" w:color="000000"/>
              <w:right w:val="nil"/>
            </w:tcBorders>
            <w:vAlign w:val="center"/>
          </w:tcPr>
          <w:p w14:paraId="4B85F98E" w14:textId="77777777" w:rsidR="00596BE0" w:rsidRPr="00601402" w:rsidRDefault="00596BE0" w:rsidP="00596BE0">
            <w:pPr>
              <w:rPr>
                <w:rFonts w:ascii="Arial" w:hAnsi="Arial" w:cs="Arial"/>
                <w:sz w:val="16"/>
                <w:szCs w:val="16"/>
                <w:vertAlign w:val="superscript"/>
              </w:rPr>
            </w:pPr>
            <w:r w:rsidRPr="00601402">
              <w:rPr>
                <w:rFonts w:ascii="Arial" w:hAnsi="Arial" w:cs="Arial"/>
                <w:sz w:val="16"/>
                <w:szCs w:val="16"/>
              </w:rPr>
              <w:br/>
              <w:t xml:space="preserve">(2 RCTs) </w:t>
            </w:r>
            <w:r w:rsidRPr="00601402">
              <w:rPr>
                <w:rFonts w:ascii="Arial" w:hAnsi="Arial" w:cs="Arial"/>
                <w:sz w:val="16"/>
                <w:szCs w:val="16"/>
                <w:vertAlign w:val="superscript"/>
              </w:rPr>
              <w:t>48,50</w:t>
            </w:r>
          </w:p>
          <w:p w14:paraId="6DC39D04" w14:textId="77777777" w:rsidR="00596BE0" w:rsidRPr="00601402" w:rsidRDefault="00596BE0" w:rsidP="00596BE0">
            <w:pPr>
              <w:rPr>
                <w:rFonts w:ascii="Arial" w:hAnsi="Arial" w:cs="Arial"/>
                <w:sz w:val="16"/>
                <w:szCs w:val="16"/>
              </w:rPr>
            </w:pPr>
            <w:r w:rsidRPr="00601402">
              <w:rPr>
                <w:rStyle w:val="label"/>
                <w:rFonts w:ascii="Arial" w:hAnsi="Arial" w:cs="Arial"/>
                <w:sz w:val="16"/>
                <w:szCs w:val="16"/>
              </w:rPr>
              <w:t>24 weeks to 48 weeks</w:t>
            </w:r>
          </w:p>
        </w:tc>
        <w:tc>
          <w:tcPr>
            <w:tcW w:w="686" w:type="pct"/>
            <w:tcBorders>
              <w:top w:val="single" w:sz="6" w:space="0" w:color="000000"/>
              <w:left w:val="nil"/>
              <w:bottom w:val="single" w:sz="6" w:space="0" w:color="000000"/>
              <w:right w:val="nil"/>
            </w:tcBorders>
            <w:vAlign w:val="center"/>
          </w:tcPr>
          <w:p w14:paraId="046B99E5" w14:textId="77777777" w:rsidR="00596BE0" w:rsidRPr="00601402" w:rsidRDefault="00596BE0" w:rsidP="00596BE0">
            <w:pPr>
              <w:rPr>
                <w:rFonts w:ascii="Arial" w:hAnsi="Arial" w:cs="Arial"/>
                <w:sz w:val="16"/>
                <w:szCs w:val="16"/>
              </w:rPr>
            </w:pPr>
            <w:r w:rsidRPr="00601402">
              <w:rPr>
                <w:rStyle w:val="quality-sign"/>
                <w:rFonts w:ascii="Cambria Math" w:hAnsi="Cambria Math" w:cs="Cambria Math"/>
                <w:sz w:val="16"/>
                <w:szCs w:val="16"/>
              </w:rPr>
              <w:t>⨁⨁⨁</w:t>
            </w:r>
            <w:r w:rsidRPr="00601402">
              <w:rPr>
                <w:rStyle w:val="quality-sign"/>
                <w:rFonts w:ascii="Segoe UI Symbol" w:eastAsia="MS Mincho" w:hAnsi="Segoe UI Symbol" w:cs="Segoe UI Symbol"/>
                <w:sz w:val="16"/>
                <w:szCs w:val="16"/>
              </w:rPr>
              <w:t>◯</w:t>
            </w:r>
            <w:r w:rsidRPr="00601402">
              <w:rPr>
                <w:rFonts w:ascii="Arial" w:hAnsi="Arial" w:cs="Arial"/>
                <w:sz w:val="16"/>
                <w:szCs w:val="16"/>
              </w:rPr>
              <w:br/>
            </w:r>
            <w:r w:rsidRPr="00601402">
              <w:rPr>
                <w:rStyle w:val="quality-text"/>
                <w:rFonts w:ascii="Arial" w:hAnsi="Arial" w:cs="Arial"/>
                <w:sz w:val="16"/>
                <w:szCs w:val="16"/>
              </w:rPr>
              <w:t>MODERATE</w:t>
            </w:r>
            <w:r w:rsidRPr="00601402">
              <w:rPr>
                <w:rFonts w:ascii="Arial" w:hAnsi="Arial" w:cs="Arial"/>
                <w:sz w:val="16"/>
                <w:szCs w:val="16"/>
              </w:rPr>
              <w:t xml:space="preserve"> </w:t>
            </w:r>
            <w:r w:rsidRPr="00601402">
              <w:rPr>
                <w:rFonts w:ascii="Arial" w:hAnsi="Arial" w:cs="Arial"/>
                <w:sz w:val="16"/>
                <w:szCs w:val="16"/>
                <w:vertAlign w:val="superscript"/>
              </w:rPr>
              <w:t>4</w:t>
            </w:r>
            <w:r w:rsidRPr="00601402">
              <w:rPr>
                <w:rStyle w:val="comma"/>
                <w:rFonts w:ascii="Arial" w:hAnsi="Arial" w:cs="Arial"/>
                <w:sz w:val="16"/>
                <w:szCs w:val="16"/>
                <w:vertAlign w:val="superscript"/>
              </w:rPr>
              <w:t>,</w:t>
            </w:r>
            <w:proofErr w:type="gramStart"/>
            <w:r w:rsidRPr="00601402">
              <w:rPr>
                <w:rFonts w:ascii="Arial" w:hAnsi="Arial" w:cs="Arial"/>
                <w:sz w:val="16"/>
                <w:szCs w:val="16"/>
                <w:vertAlign w:val="superscript"/>
              </w:rPr>
              <w:t>5</w:t>
            </w:r>
            <w:r w:rsidRPr="00601402">
              <w:rPr>
                <w:rStyle w:val="comma"/>
                <w:rFonts w:ascii="Arial" w:hAnsi="Arial" w:cs="Arial"/>
                <w:sz w:val="16"/>
                <w:szCs w:val="16"/>
                <w:vertAlign w:val="superscript"/>
              </w:rPr>
              <w:t>,</w:t>
            </w:r>
            <w:r w:rsidRPr="00601402">
              <w:rPr>
                <w:rFonts w:ascii="Arial" w:hAnsi="Arial" w:cs="Arial"/>
                <w:sz w:val="16"/>
                <w:szCs w:val="16"/>
                <w:vertAlign w:val="superscript"/>
              </w:rPr>
              <w:t>a</w:t>
            </w:r>
            <w:proofErr w:type="gramEnd"/>
            <w:r w:rsidRPr="00601402">
              <w:rPr>
                <w:rStyle w:val="comma"/>
                <w:rFonts w:ascii="Arial" w:hAnsi="Arial" w:cs="Arial"/>
                <w:sz w:val="16"/>
                <w:szCs w:val="16"/>
                <w:vertAlign w:val="superscript"/>
              </w:rPr>
              <w:t>,</w:t>
            </w:r>
            <w:r w:rsidRPr="00601402">
              <w:rPr>
                <w:rFonts w:ascii="Arial" w:hAnsi="Arial" w:cs="Arial"/>
                <w:sz w:val="16"/>
                <w:szCs w:val="16"/>
                <w:vertAlign w:val="superscript"/>
              </w:rPr>
              <w:t>b</w:t>
            </w:r>
            <w:r w:rsidRPr="00601402">
              <w:rPr>
                <w:rStyle w:val="comma"/>
                <w:rFonts w:ascii="Arial" w:hAnsi="Arial" w:cs="Arial"/>
                <w:sz w:val="16"/>
                <w:szCs w:val="16"/>
                <w:vertAlign w:val="superscript"/>
              </w:rPr>
              <w:t>,</w:t>
            </w:r>
            <w:r w:rsidRPr="00601402">
              <w:rPr>
                <w:rFonts w:ascii="Arial" w:hAnsi="Arial" w:cs="Arial"/>
                <w:sz w:val="16"/>
                <w:szCs w:val="16"/>
                <w:vertAlign w:val="superscript"/>
              </w:rPr>
              <w:t>g</w:t>
            </w:r>
            <w:r w:rsidRPr="00601402">
              <w:rPr>
                <w:rStyle w:val="comma"/>
                <w:rFonts w:ascii="Arial" w:hAnsi="Arial" w:cs="Arial"/>
                <w:sz w:val="16"/>
                <w:szCs w:val="16"/>
                <w:vertAlign w:val="superscript"/>
              </w:rPr>
              <w:t>,</w:t>
            </w:r>
            <w:r w:rsidRPr="00601402">
              <w:rPr>
                <w:rFonts w:ascii="Arial" w:hAnsi="Arial" w:cs="Arial"/>
                <w:sz w:val="16"/>
                <w:szCs w:val="16"/>
                <w:vertAlign w:val="superscript"/>
              </w:rPr>
              <w:t>h</w:t>
            </w:r>
            <w:r w:rsidRPr="00601402">
              <w:rPr>
                <w:rStyle w:val="comma"/>
                <w:rFonts w:ascii="Arial" w:hAnsi="Arial" w:cs="Arial"/>
                <w:sz w:val="16"/>
                <w:szCs w:val="16"/>
                <w:vertAlign w:val="superscript"/>
              </w:rPr>
              <w:t>,</w:t>
            </w:r>
            <w:r w:rsidRPr="00601402">
              <w:rPr>
                <w:rFonts w:ascii="Arial" w:hAnsi="Arial" w:cs="Arial"/>
                <w:sz w:val="16"/>
                <w:szCs w:val="16"/>
                <w:vertAlign w:val="superscript"/>
              </w:rPr>
              <w:t>i</w:t>
            </w:r>
          </w:p>
        </w:tc>
        <w:tc>
          <w:tcPr>
            <w:tcW w:w="571" w:type="pct"/>
            <w:tcBorders>
              <w:top w:val="single" w:sz="6" w:space="0" w:color="000000"/>
              <w:left w:val="nil"/>
              <w:bottom w:val="single" w:sz="6" w:space="0" w:color="000000"/>
              <w:right w:val="nil"/>
            </w:tcBorders>
            <w:vAlign w:val="center"/>
          </w:tcPr>
          <w:p w14:paraId="2EFB87FC" w14:textId="77777777" w:rsidR="00596BE0" w:rsidRPr="00601402" w:rsidRDefault="00596BE0" w:rsidP="00596BE0">
            <w:pPr>
              <w:rPr>
                <w:rFonts w:ascii="Arial" w:hAnsi="Arial" w:cs="Arial"/>
                <w:sz w:val="16"/>
                <w:szCs w:val="16"/>
              </w:rPr>
            </w:pPr>
            <w:r w:rsidRPr="00601402">
              <w:rPr>
                <w:rStyle w:val="cell"/>
                <w:rFonts w:ascii="Arial" w:hAnsi="Arial" w:cs="Arial"/>
                <w:sz w:val="16"/>
                <w:szCs w:val="16"/>
              </w:rPr>
              <w:t>-</w:t>
            </w:r>
            <w:r w:rsidRPr="00601402">
              <w:rPr>
                <w:rFonts w:ascii="Arial" w:hAnsi="Arial" w:cs="Arial"/>
                <w:sz w:val="16"/>
                <w:szCs w:val="16"/>
              </w:rPr>
              <w:t xml:space="preserve"> </w:t>
            </w:r>
          </w:p>
        </w:tc>
        <w:tc>
          <w:tcPr>
            <w:tcW w:w="697" w:type="pct"/>
            <w:tcBorders>
              <w:top w:val="single" w:sz="6" w:space="0" w:color="000000"/>
              <w:left w:val="nil"/>
              <w:bottom w:val="single" w:sz="6" w:space="0" w:color="000000"/>
              <w:right w:val="nil"/>
            </w:tcBorders>
            <w:shd w:val="clear" w:color="auto" w:fill="EDEDED"/>
            <w:vAlign w:val="center"/>
          </w:tcPr>
          <w:p w14:paraId="029CA551" w14:textId="77777777" w:rsidR="00596BE0" w:rsidRPr="00601402" w:rsidRDefault="00596BE0" w:rsidP="00596BE0">
            <w:pPr>
              <w:rPr>
                <w:rFonts w:ascii="Arial" w:hAnsi="Arial" w:cs="Arial"/>
                <w:sz w:val="16"/>
                <w:szCs w:val="16"/>
              </w:rPr>
            </w:pPr>
          </w:p>
        </w:tc>
        <w:tc>
          <w:tcPr>
            <w:tcW w:w="819" w:type="pct"/>
            <w:tcBorders>
              <w:top w:val="single" w:sz="6" w:space="0" w:color="000000"/>
              <w:left w:val="nil"/>
              <w:bottom w:val="single" w:sz="6" w:space="0" w:color="000000"/>
              <w:right w:val="nil"/>
            </w:tcBorders>
            <w:shd w:val="clear" w:color="auto" w:fill="EDEDED"/>
            <w:vAlign w:val="center"/>
          </w:tcPr>
          <w:p w14:paraId="4E7ED4F0" w14:textId="545F71F3" w:rsidR="00596BE0" w:rsidRPr="00601402" w:rsidRDefault="00596BE0" w:rsidP="00596BE0">
            <w:pPr>
              <w:rPr>
                <w:rFonts w:ascii="Arial" w:hAnsi="Arial" w:cs="Arial"/>
                <w:sz w:val="16"/>
                <w:szCs w:val="16"/>
              </w:rPr>
            </w:pPr>
            <w:r w:rsidRPr="00601402">
              <w:rPr>
                <w:rStyle w:val="cell-value"/>
                <w:rFonts w:ascii="Arial" w:hAnsi="Arial" w:cs="Arial"/>
                <w:sz w:val="16"/>
                <w:szCs w:val="16"/>
              </w:rPr>
              <w:t>mean difference +</w:t>
            </w:r>
            <w:r w:rsidRPr="00601402">
              <w:rPr>
                <w:rStyle w:val="cell-value"/>
              </w:rPr>
              <w:t xml:space="preserve"> </w:t>
            </w:r>
            <w:r w:rsidRPr="00601402">
              <w:rPr>
                <w:rStyle w:val="cell-value"/>
                <w:rFonts w:ascii="Arial" w:hAnsi="Arial" w:cs="Arial"/>
                <w:b/>
                <w:bCs/>
                <w:sz w:val="16"/>
                <w:szCs w:val="16"/>
              </w:rPr>
              <w:t xml:space="preserve">3.7 % </w:t>
            </w:r>
            <w:r w:rsidRPr="00601402">
              <w:rPr>
                <w:rFonts w:ascii="Arial" w:hAnsi="Arial" w:cs="Arial"/>
                <w:sz w:val="16"/>
                <w:szCs w:val="16"/>
              </w:rPr>
              <w:br/>
            </w:r>
            <w:r w:rsidRPr="00601402">
              <w:rPr>
                <w:rStyle w:val="cell-value"/>
                <w:rFonts w:ascii="Arial" w:hAnsi="Arial" w:cs="Arial"/>
                <w:sz w:val="16"/>
                <w:szCs w:val="16"/>
              </w:rPr>
              <w:t xml:space="preserve">(-2.1 to </w:t>
            </w:r>
            <w:r w:rsidRPr="00601402">
              <w:rPr>
                <w:rStyle w:val="cell-value"/>
              </w:rPr>
              <w:t>+</w:t>
            </w:r>
            <w:r w:rsidRPr="00601402">
              <w:rPr>
                <w:rStyle w:val="cell-value"/>
                <w:rFonts w:ascii="Arial" w:hAnsi="Arial" w:cs="Arial"/>
                <w:sz w:val="16"/>
                <w:szCs w:val="16"/>
              </w:rPr>
              <w:t xml:space="preserve"> 9.5)</w:t>
            </w:r>
            <w:r w:rsidRPr="00601402">
              <w:rPr>
                <w:rFonts w:ascii="Arial" w:hAnsi="Arial" w:cs="Arial"/>
                <w:sz w:val="16"/>
                <w:szCs w:val="16"/>
              </w:rPr>
              <w:t xml:space="preserve"> </w:t>
            </w:r>
            <w:proofErr w:type="gramStart"/>
            <w:r w:rsidRPr="00601402">
              <w:rPr>
                <w:rFonts w:ascii="Arial" w:hAnsi="Arial" w:cs="Arial"/>
                <w:sz w:val="16"/>
                <w:szCs w:val="16"/>
                <w:vertAlign w:val="superscript"/>
              </w:rPr>
              <w:t>j</w:t>
            </w:r>
            <w:r w:rsidRPr="00601402">
              <w:rPr>
                <w:rStyle w:val="comma"/>
                <w:rFonts w:ascii="Arial" w:hAnsi="Arial" w:cs="Arial"/>
                <w:sz w:val="16"/>
                <w:szCs w:val="16"/>
                <w:vertAlign w:val="superscript"/>
              </w:rPr>
              <w:t>,</w:t>
            </w:r>
            <w:r w:rsidRPr="00601402">
              <w:rPr>
                <w:rFonts w:ascii="Arial" w:hAnsi="Arial" w:cs="Arial"/>
                <w:sz w:val="16"/>
                <w:szCs w:val="16"/>
                <w:vertAlign w:val="superscript"/>
              </w:rPr>
              <w:t>k</w:t>
            </w:r>
            <w:proofErr w:type="gramEnd"/>
          </w:p>
        </w:tc>
      </w:tr>
      <w:tr w:rsidR="00596BE0" w:rsidRPr="00601402" w14:paraId="2AF8FA82" w14:textId="77777777" w:rsidTr="00596BE0">
        <w:trPr>
          <w:cantSplit/>
        </w:trPr>
        <w:tc>
          <w:tcPr>
            <w:tcW w:w="1372" w:type="pct"/>
            <w:tcBorders>
              <w:top w:val="single" w:sz="6" w:space="0" w:color="000000"/>
              <w:left w:val="nil"/>
              <w:bottom w:val="single" w:sz="6" w:space="0" w:color="000000"/>
              <w:right w:val="nil"/>
            </w:tcBorders>
            <w:vAlign w:val="center"/>
          </w:tcPr>
          <w:p w14:paraId="2D2A1C3A" w14:textId="77777777" w:rsidR="00596BE0" w:rsidRPr="00601402" w:rsidRDefault="00596BE0" w:rsidP="00596BE0">
            <w:pPr>
              <w:rPr>
                <w:rStyle w:val="short-name"/>
                <w:b/>
              </w:rPr>
            </w:pPr>
            <w:r w:rsidRPr="00601402">
              <w:rPr>
                <w:rStyle w:val="label"/>
                <w:rFonts w:ascii="Arial" w:hAnsi="Arial" w:cs="Arial"/>
                <w:b/>
                <w:sz w:val="16"/>
                <w:szCs w:val="16"/>
              </w:rPr>
              <w:t xml:space="preserve">Rescue medication use </w:t>
            </w:r>
          </w:p>
          <w:p w14:paraId="438996D7" w14:textId="77777777" w:rsidR="00596BE0" w:rsidRPr="00601402" w:rsidRDefault="00596BE0" w:rsidP="00596BE0">
            <w:pPr>
              <w:rPr>
                <w:rFonts w:ascii="Arial" w:hAnsi="Arial" w:cs="Arial"/>
                <w:sz w:val="16"/>
                <w:szCs w:val="16"/>
              </w:rPr>
            </w:pPr>
            <w:r w:rsidRPr="00601402">
              <w:rPr>
                <w:rStyle w:val="label"/>
                <w:rFonts w:ascii="Arial" w:hAnsi="Arial" w:cs="Arial"/>
                <w:sz w:val="16"/>
                <w:szCs w:val="16"/>
              </w:rPr>
              <w:t xml:space="preserve">Assessed with puffs/day change from baseline </w:t>
            </w:r>
          </w:p>
        </w:tc>
        <w:tc>
          <w:tcPr>
            <w:tcW w:w="855" w:type="pct"/>
            <w:tcBorders>
              <w:top w:val="single" w:sz="6" w:space="0" w:color="000000"/>
              <w:left w:val="nil"/>
              <w:bottom w:val="single" w:sz="6" w:space="0" w:color="000000"/>
              <w:right w:val="nil"/>
            </w:tcBorders>
            <w:vAlign w:val="center"/>
          </w:tcPr>
          <w:p w14:paraId="106C91AC" w14:textId="77777777" w:rsidR="00596BE0" w:rsidRPr="00601402" w:rsidRDefault="00596BE0" w:rsidP="00596BE0">
            <w:pPr>
              <w:rPr>
                <w:rFonts w:ascii="Arial" w:hAnsi="Arial" w:cs="Arial"/>
                <w:sz w:val="16"/>
                <w:szCs w:val="16"/>
                <w:vertAlign w:val="superscript"/>
              </w:rPr>
            </w:pPr>
            <w:r w:rsidRPr="00601402">
              <w:rPr>
                <w:rFonts w:ascii="Arial" w:hAnsi="Arial" w:cs="Arial"/>
                <w:sz w:val="16"/>
                <w:szCs w:val="16"/>
              </w:rPr>
              <w:t>414</w:t>
            </w:r>
            <w:r w:rsidRPr="00601402">
              <w:rPr>
                <w:rFonts w:ascii="Arial" w:hAnsi="Arial" w:cs="Arial"/>
                <w:sz w:val="16"/>
                <w:szCs w:val="16"/>
              </w:rPr>
              <w:br/>
              <w:t xml:space="preserve">(1 RCT) </w:t>
            </w:r>
            <w:r w:rsidRPr="00601402">
              <w:rPr>
                <w:rFonts w:ascii="Arial" w:hAnsi="Arial" w:cs="Arial"/>
                <w:sz w:val="16"/>
                <w:szCs w:val="16"/>
                <w:vertAlign w:val="superscript"/>
              </w:rPr>
              <w:t>48</w:t>
            </w:r>
          </w:p>
          <w:p w14:paraId="301D259D" w14:textId="77777777" w:rsidR="00596BE0" w:rsidRPr="00601402" w:rsidRDefault="00596BE0" w:rsidP="00596BE0">
            <w:pPr>
              <w:rPr>
                <w:rFonts w:ascii="Arial" w:hAnsi="Arial" w:cs="Arial"/>
                <w:sz w:val="16"/>
                <w:szCs w:val="16"/>
              </w:rPr>
            </w:pPr>
            <w:r w:rsidRPr="00601402">
              <w:rPr>
                <w:rStyle w:val="label"/>
                <w:rFonts w:ascii="Arial" w:hAnsi="Arial" w:cs="Arial"/>
                <w:sz w:val="16"/>
                <w:szCs w:val="16"/>
              </w:rPr>
              <w:t>48 weeks</w:t>
            </w:r>
          </w:p>
        </w:tc>
        <w:tc>
          <w:tcPr>
            <w:tcW w:w="686" w:type="pct"/>
            <w:tcBorders>
              <w:top w:val="single" w:sz="6" w:space="0" w:color="000000"/>
              <w:left w:val="nil"/>
              <w:bottom w:val="single" w:sz="6" w:space="0" w:color="000000"/>
              <w:right w:val="nil"/>
            </w:tcBorders>
            <w:vAlign w:val="center"/>
          </w:tcPr>
          <w:p w14:paraId="6938BF5D" w14:textId="77777777" w:rsidR="00596BE0" w:rsidRPr="00601402" w:rsidRDefault="00596BE0" w:rsidP="00596BE0">
            <w:pPr>
              <w:rPr>
                <w:rFonts w:ascii="Arial" w:hAnsi="Arial" w:cs="Arial"/>
                <w:sz w:val="16"/>
                <w:szCs w:val="16"/>
              </w:rPr>
            </w:pPr>
            <w:r w:rsidRPr="00601402">
              <w:rPr>
                <w:rStyle w:val="quality-sign"/>
                <w:rFonts w:ascii="Cambria Math" w:hAnsi="Cambria Math" w:cs="Cambria Math"/>
                <w:sz w:val="16"/>
                <w:szCs w:val="16"/>
              </w:rPr>
              <w:t>⨁⨁⨁</w:t>
            </w:r>
            <w:r w:rsidRPr="00601402">
              <w:rPr>
                <w:rStyle w:val="quality-sign"/>
                <w:rFonts w:ascii="Segoe UI Symbol" w:eastAsia="MS Mincho" w:hAnsi="Segoe UI Symbol" w:cs="Segoe UI Symbol"/>
                <w:sz w:val="16"/>
                <w:szCs w:val="16"/>
              </w:rPr>
              <w:t>◯</w:t>
            </w:r>
            <w:r w:rsidRPr="00601402">
              <w:rPr>
                <w:rFonts w:ascii="Arial" w:hAnsi="Arial" w:cs="Arial"/>
                <w:sz w:val="16"/>
                <w:szCs w:val="16"/>
              </w:rPr>
              <w:br/>
            </w:r>
            <w:r w:rsidRPr="00601402">
              <w:rPr>
                <w:rStyle w:val="quality-text"/>
                <w:rFonts w:ascii="Arial" w:hAnsi="Arial" w:cs="Arial"/>
                <w:sz w:val="16"/>
                <w:szCs w:val="16"/>
              </w:rPr>
              <w:t>MODERATE</w:t>
            </w:r>
            <w:r w:rsidRPr="00601402">
              <w:rPr>
                <w:rFonts w:ascii="Arial" w:hAnsi="Arial" w:cs="Arial"/>
                <w:sz w:val="16"/>
                <w:szCs w:val="16"/>
              </w:rPr>
              <w:t xml:space="preserve"> </w:t>
            </w:r>
            <w:proofErr w:type="gramStart"/>
            <w:r w:rsidRPr="00601402">
              <w:rPr>
                <w:rFonts w:ascii="Arial" w:hAnsi="Arial" w:cs="Arial"/>
                <w:sz w:val="16"/>
                <w:szCs w:val="16"/>
                <w:vertAlign w:val="superscript"/>
              </w:rPr>
              <w:t>4</w:t>
            </w:r>
            <w:r w:rsidRPr="00601402">
              <w:rPr>
                <w:rStyle w:val="comma"/>
                <w:rFonts w:ascii="Arial" w:hAnsi="Arial" w:cs="Arial"/>
                <w:sz w:val="16"/>
                <w:szCs w:val="16"/>
                <w:vertAlign w:val="superscript"/>
              </w:rPr>
              <w:t>,</w:t>
            </w:r>
            <w:r w:rsidRPr="00601402">
              <w:rPr>
                <w:rFonts w:ascii="Arial" w:hAnsi="Arial" w:cs="Arial"/>
                <w:sz w:val="16"/>
                <w:szCs w:val="16"/>
                <w:vertAlign w:val="superscript"/>
              </w:rPr>
              <w:t>a</w:t>
            </w:r>
            <w:proofErr w:type="gramEnd"/>
            <w:r w:rsidRPr="00601402">
              <w:rPr>
                <w:rStyle w:val="comma"/>
                <w:rFonts w:ascii="Arial" w:hAnsi="Arial" w:cs="Arial"/>
                <w:sz w:val="16"/>
                <w:szCs w:val="16"/>
                <w:vertAlign w:val="superscript"/>
              </w:rPr>
              <w:t>,</w:t>
            </w:r>
            <w:r w:rsidRPr="00601402">
              <w:rPr>
                <w:rFonts w:ascii="Arial" w:hAnsi="Arial" w:cs="Arial"/>
                <w:sz w:val="16"/>
                <w:szCs w:val="16"/>
                <w:vertAlign w:val="superscript"/>
              </w:rPr>
              <w:t>b</w:t>
            </w:r>
            <w:r w:rsidRPr="00601402">
              <w:rPr>
                <w:rStyle w:val="comma"/>
                <w:rFonts w:ascii="Arial" w:hAnsi="Arial" w:cs="Arial"/>
                <w:sz w:val="16"/>
                <w:szCs w:val="16"/>
                <w:vertAlign w:val="superscript"/>
              </w:rPr>
              <w:t>,</w:t>
            </w:r>
            <w:r w:rsidRPr="00601402">
              <w:rPr>
                <w:rFonts w:ascii="Arial" w:hAnsi="Arial" w:cs="Arial"/>
                <w:sz w:val="16"/>
                <w:szCs w:val="16"/>
                <w:vertAlign w:val="superscript"/>
              </w:rPr>
              <w:t>d</w:t>
            </w:r>
          </w:p>
        </w:tc>
        <w:tc>
          <w:tcPr>
            <w:tcW w:w="571" w:type="pct"/>
            <w:tcBorders>
              <w:top w:val="single" w:sz="6" w:space="0" w:color="000000"/>
              <w:left w:val="nil"/>
              <w:bottom w:val="single" w:sz="6" w:space="0" w:color="000000"/>
              <w:right w:val="nil"/>
            </w:tcBorders>
            <w:vAlign w:val="center"/>
          </w:tcPr>
          <w:p w14:paraId="41124FFE" w14:textId="77777777" w:rsidR="00596BE0" w:rsidRPr="00601402" w:rsidRDefault="00596BE0" w:rsidP="00596BE0">
            <w:pPr>
              <w:rPr>
                <w:rFonts w:ascii="Arial" w:hAnsi="Arial" w:cs="Arial"/>
                <w:sz w:val="16"/>
                <w:szCs w:val="16"/>
              </w:rPr>
            </w:pPr>
            <w:r w:rsidRPr="00601402">
              <w:rPr>
                <w:rStyle w:val="cell"/>
                <w:rFonts w:ascii="Arial" w:hAnsi="Arial" w:cs="Arial"/>
                <w:sz w:val="16"/>
                <w:szCs w:val="16"/>
              </w:rPr>
              <w:t>-</w:t>
            </w:r>
            <w:r w:rsidRPr="00601402">
              <w:rPr>
                <w:rFonts w:ascii="Arial" w:hAnsi="Arial" w:cs="Arial"/>
                <w:sz w:val="16"/>
                <w:szCs w:val="16"/>
              </w:rPr>
              <w:t xml:space="preserve"> </w:t>
            </w:r>
          </w:p>
        </w:tc>
        <w:tc>
          <w:tcPr>
            <w:tcW w:w="697" w:type="pct"/>
            <w:tcBorders>
              <w:top w:val="single" w:sz="6" w:space="0" w:color="000000"/>
              <w:left w:val="nil"/>
              <w:bottom w:val="single" w:sz="6" w:space="0" w:color="000000"/>
              <w:right w:val="nil"/>
            </w:tcBorders>
            <w:shd w:val="clear" w:color="auto" w:fill="EDEDED"/>
            <w:vAlign w:val="center"/>
          </w:tcPr>
          <w:p w14:paraId="76938AC1" w14:textId="77777777" w:rsidR="00596BE0" w:rsidRPr="00601402" w:rsidRDefault="00596BE0" w:rsidP="00596BE0">
            <w:pPr>
              <w:rPr>
                <w:rFonts w:ascii="Arial" w:hAnsi="Arial" w:cs="Arial"/>
                <w:sz w:val="16"/>
                <w:szCs w:val="16"/>
              </w:rPr>
            </w:pPr>
          </w:p>
        </w:tc>
        <w:tc>
          <w:tcPr>
            <w:tcW w:w="819" w:type="pct"/>
            <w:tcBorders>
              <w:top w:val="single" w:sz="6" w:space="0" w:color="000000"/>
              <w:left w:val="nil"/>
              <w:bottom w:val="single" w:sz="6" w:space="0" w:color="000000"/>
              <w:right w:val="nil"/>
            </w:tcBorders>
            <w:shd w:val="clear" w:color="auto" w:fill="EDEDED"/>
            <w:vAlign w:val="center"/>
          </w:tcPr>
          <w:p w14:paraId="153EF2E5" w14:textId="77777777" w:rsidR="00596BE0" w:rsidRPr="00601402" w:rsidRDefault="00596BE0" w:rsidP="00596BE0">
            <w:pPr>
              <w:rPr>
                <w:rFonts w:ascii="Arial" w:hAnsi="Arial" w:cs="Arial"/>
                <w:sz w:val="16"/>
                <w:szCs w:val="16"/>
              </w:rPr>
            </w:pPr>
            <w:r w:rsidRPr="00601402">
              <w:rPr>
                <w:rStyle w:val="cell-value"/>
                <w:rFonts w:ascii="Arial" w:hAnsi="Arial" w:cs="Arial"/>
                <w:sz w:val="16"/>
                <w:szCs w:val="16"/>
              </w:rPr>
              <w:t>mean difference -</w:t>
            </w:r>
            <w:r w:rsidRPr="00601402">
              <w:rPr>
                <w:rStyle w:val="cell-value"/>
              </w:rPr>
              <w:t xml:space="preserve"> </w:t>
            </w:r>
            <w:r w:rsidRPr="00601402">
              <w:rPr>
                <w:rStyle w:val="cell-value"/>
                <w:rFonts w:ascii="Arial" w:hAnsi="Arial" w:cs="Arial"/>
                <w:b/>
                <w:bCs/>
                <w:sz w:val="16"/>
                <w:szCs w:val="16"/>
              </w:rPr>
              <w:t xml:space="preserve">0.34 </w:t>
            </w:r>
            <w:r w:rsidRPr="00601402">
              <w:rPr>
                <w:rFonts w:ascii="Arial" w:hAnsi="Arial" w:cs="Arial"/>
                <w:sz w:val="16"/>
                <w:szCs w:val="16"/>
              </w:rPr>
              <w:br/>
            </w:r>
            <w:r w:rsidRPr="00601402">
              <w:rPr>
                <w:rStyle w:val="cell-value"/>
                <w:rFonts w:ascii="Arial" w:hAnsi="Arial" w:cs="Arial"/>
                <w:sz w:val="16"/>
                <w:szCs w:val="16"/>
              </w:rPr>
              <w:t>(-0.83 to +0.15)</w:t>
            </w:r>
            <w:r w:rsidRPr="00601402">
              <w:rPr>
                <w:rFonts w:ascii="Arial" w:hAnsi="Arial" w:cs="Arial"/>
                <w:sz w:val="16"/>
                <w:szCs w:val="16"/>
              </w:rPr>
              <w:t xml:space="preserve"> </w:t>
            </w:r>
            <w:proofErr w:type="gramStart"/>
            <w:r w:rsidRPr="00601402">
              <w:rPr>
                <w:rFonts w:ascii="Arial" w:hAnsi="Arial" w:cs="Arial"/>
                <w:sz w:val="16"/>
                <w:szCs w:val="16"/>
                <w:vertAlign w:val="superscript"/>
              </w:rPr>
              <w:t>6</w:t>
            </w:r>
            <w:r w:rsidRPr="00601402">
              <w:rPr>
                <w:rStyle w:val="comma"/>
                <w:rFonts w:ascii="Arial" w:hAnsi="Arial" w:cs="Arial"/>
                <w:sz w:val="16"/>
                <w:szCs w:val="16"/>
                <w:vertAlign w:val="superscript"/>
              </w:rPr>
              <w:t>,</w:t>
            </w:r>
            <w:r w:rsidRPr="00601402">
              <w:rPr>
                <w:rFonts w:ascii="Arial" w:hAnsi="Arial" w:cs="Arial"/>
                <w:sz w:val="16"/>
                <w:szCs w:val="16"/>
                <w:vertAlign w:val="superscript"/>
              </w:rPr>
              <w:t>m</w:t>
            </w:r>
            <w:proofErr w:type="gramEnd"/>
            <w:r w:rsidRPr="00601402">
              <w:rPr>
                <w:rStyle w:val="comma"/>
                <w:rFonts w:ascii="Arial" w:hAnsi="Arial" w:cs="Arial"/>
                <w:sz w:val="16"/>
                <w:szCs w:val="16"/>
                <w:vertAlign w:val="superscript"/>
              </w:rPr>
              <w:t>,</w:t>
            </w:r>
            <w:r w:rsidRPr="00601402">
              <w:rPr>
                <w:rFonts w:ascii="Arial" w:hAnsi="Arial" w:cs="Arial"/>
                <w:sz w:val="16"/>
                <w:szCs w:val="16"/>
                <w:vertAlign w:val="superscript"/>
              </w:rPr>
              <w:t>n</w:t>
            </w:r>
          </w:p>
        </w:tc>
      </w:tr>
      <w:tr w:rsidR="00596BE0" w:rsidRPr="00601402" w14:paraId="53868ADC" w14:textId="77777777" w:rsidTr="00596BE0">
        <w:trPr>
          <w:cantSplit/>
        </w:trPr>
        <w:tc>
          <w:tcPr>
            <w:tcW w:w="0" w:type="auto"/>
            <w:gridSpan w:val="6"/>
            <w:tcBorders>
              <w:top w:val="single" w:sz="6" w:space="0" w:color="000000"/>
              <w:left w:val="nil"/>
              <w:bottom w:val="single" w:sz="6" w:space="0" w:color="000000"/>
              <w:right w:val="nil"/>
            </w:tcBorders>
          </w:tcPr>
          <w:p w14:paraId="2CAF135C" w14:textId="77777777" w:rsidR="00596BE0" w:rsidRPr="00601402" w:rsidRDefault="00596BE0" w:rsidP="00596BE0">
            <w:pPr>
              <w:rPr>
                <w:rFonts w:ascii="Arial" w:hAnsi="Arial" w:cs="Arial"/>
                <w:sz w:val="16"/>
                <w:szCs w:val="16"/>
              </w:rPr>
            </w:pPr>
            <w:r w:rsidRPr="00601402">
              <w:rPr>
                <w:rFonts w:ascii="Arial" w:hAnsi="Arial" w:cs="Arial"/>
                <w:b/>
                <w:bCs/>
                <w:sz w:val="16"/>
                <w:szCs w:val="16"/>
              </w:rPr>
              <w:t>GRADE Working Group grades of evidence</w:t>
            </w:r>
            <w:r w:rsidRPr="00601402">
              <w:rPr>
                <w:rFonts w:ascii="Arial" w:hAnsi="Arial" w:cs="Arial"/>
                <w:sz w:val="16"/>
                <w:szCs w:val="16"/>
              </w:rPr>
              <w:br/>
            </w:r>
            <w:r w:rsidRPr="00601402">
              <w:rPr>
                <w:rFonts w:ascii="Arial" w:hAnsi="Arial" w:cs="Arial"/>
                <w:b/>
                <w:bCs/>
                <w:sz w:val="16"/>
                <w:szCs w:val="16"/>
              </w:rPr>
              <w:t>High certainty:</w:t>
            </w:r>
            <w:r w:rsidRPr="00601402">
              <w:rPr>
                <w:rFonts w:ascii="Arial" w:hAnsi="Arial" w:cs="Arial"/>
                <w:sz w:val="16"/>
                <w:szCs w:val="16"/>
              </w:rPr>
              <w:t xml:space="preserve"> High confidence that the true effect lies close to that of the estimate of the effect</w:t>
            </w:r>
            <w:r w:rsidRPr="00601402">
              <w:rPr>
                <w:rFonts w:ascii="Arial" w:hAnsi="Arial" w:cs="Arial"/>
                <w:sz w:val="16"/>
                <w:szCs w:val="16"/>
              </w:rPr>
              <w:br/>
            </w:r>
            <w:r w:rsidRPr="00601402">
              <w:rPr>
                <w:rFonts w:ascii="Arial" w:hAnsi="Arial" w:cs="Arial"/>
                <w:b/>
                <w:bCs/>
                <w:sz w:val="16"/>
                <w:szCs w:val="16"/>
              </w:rPr>
              <w:t>Moderate certainty:</w:t>
            </w:r>
            <w:r w:rsidRPr="00601402">
              <w:rPr>
                <w:rFonts w:ascii="Arial" w:hAnsi="Arial" w:cs="Arial"/>
                <w:sz w:val="16"/>
                <w:szCs w:val="16"/>
              </w:rPr>
              <w:t xml:space="preserve"> Moderate confidence in the effect estimate: The true effect is likely to be close to the estimate of the effect, but there is a possibility that it is substantially different</w:t>
            </w:r>
            <w:r w:rsidRPr="00601402">
              <w:rPr>
                <w:rFonts w:ascii="Arial" w:hAnsi="Arial" w:cs="Arial"/>
                <w:sz w:val="16"/>
                <w:szCs w:val="16"/>
              </w:rPr>
              <w:br/>
            </w:r>
            <w:r w:rsidRPr="00601402">
              <w:rPr>
                <w:rFonts w:ascii="Arial" w:hAnsi="Arial" w:cs="Arial"/>
                <w:b/>
                <w:bCs/>
                <w:sz w:val="16"/>
                <w:szCs w:val="16"/>
              </w:rPr>
              <w:t>Low certainty:</w:t>
            </w:r>
            <w:r w:rsidRPr="00601402">
              <w:rPr>
                <w:rFonts w:ascii="Arial" w:hAnsi="Arial" w:cs="Arial"/>
                <w:sz w:val="16"/>
                <w:szCs w:val="16"/>
              </w:rPr>
              <w:t xml:space="preserve"> Limited confidence in the effect estimate: The true effect may be substantially different from the estimate of the effect</w:t>
            </w:r>
            <w:r w:rsidRPr="00601402">
              <w:rPr>
                <w:rFonts w:ascii="Arial" w:hAnsi="Arial" w:cs="Arial"/>
                <w:sz w:val="16"/>
                <w:szCs w:val="16"/>
              </w:rPr>
              <w:br/>
            </w:r>
            <w:r w:rsidRPr="00601402">
              <w:rPr>
                <w:rFonts w:ascii="Arial" w:hAnsi="Arial" w:cs="Arial"/>
                <w:b/>
                <w:bCs/>
                <w:sz w:val="16"/>
                <w:szCs w:val="16"/>
              </w:rPr>
              <w:t>Very low certainty:</w:t>
            </w:r>
            <w:r w:rsidRPr="00601402">
              <w:rPr>
                <w:rFonts w:ascii="Arial" w:hAnsi="Arial" w:cs="Arial"/>
                <w:sz w:val="16"/>
                <w:szCs w:val="16"/>
              </w:rPr>
              <w:t xml:space="preserve"> Little confidence in the effect estimate: The true effect is likely to be substantially different from the estimate of effect</w:t>
            </w:r>
          </w:p>
        </w:tc>
      </w:tr>
    </w:tbl>
    <w:p w14:paraId="6B89FCFA" w14:textId="77777777" w:rsidR="00596BE0" w:rsidRPr="00601402" w:rsidRDefault="00596BE0" w:rsidP="00596BE0">
      <w:pPr>
        <w:pStyle w:val="Heading4"/>
        <w:jc w:val="both"/>
        <w:rPr>
          <w:rFonts w:ascii="Arial" w:hAnsi="Arial" w:cs="Arial"/>
          <w:color w:val="000000"/>
          <w:sz w:val="24"/>
          <w:szCs w:val="24"/>
        </w:rPr>
      </w:pPr>
      <w:r w:rsidRPr="00601402">
        <w:rPr>
          <w:rFonts w:ascii="Arial" w:hAnsi="Arial" w:cs="Arial"/>
          <w:color w:val="000000"/>
        </w:rPr>
        <w:t>Explanations</w:t>
      </w:r>
    </w:p>
    <w:p w14:paraId="27BAE19B" w14:textId="77777777" w:rsidR="00596BE0" w:rsidRPr="00601402" w:rsidRDefault="00596BE0" w:rsidP="00596BE0">
      <w:pPr>
        <w:jc w:val="both"/>
        <w:rPr>
          <w:rFonts w:ascii="Arial" w:hAnsi="Arial" w:cs="Arial"/>
          <w:color w:val="000000"/>
          <w:sz w:val="16"/>
          <w:szCs w:val="16"/>
        </w:rPr>
      </w:pPr>
      <w:r w:rsidRPr="00601402">
        <w:rPr>
          <w:rFonts w:ascii="Arial" w:hAnsi="Arial" w:cs="Arial"/>
          <w:color w:val="000000"/>
          <w:sz w:val="16"/>
          <w:szCs w:val="16"/>
        </w:rPr>
        <w:t xml:space="preserve">a. Information of included studies from non-predefined subgroup analysis. </w:t>
      </w:r>
    </w:p>
    <w:p w14:paraId="476DC89B" w14:textId="77777777" w:rsidR="00596BE0" w:rsidRPr="00601402" w:rsidRDefault="00596BE0" w:rsidP="00596BE0">
      <w:pPr>
        <w:jc w:val="both"/>
        <w:rPr>
          <w:rFonts w:ascii="Arial" w:hAnsi="Arial" w:cs="Arial"/>
          <w:color w:val="000000"/>
          <w:sz w:val="16"/>
          <w:szCs w:val="16"/>
        </w:rPr>
      </w:pPr>
      <w:r w:rsidRPr="00601402">
        <w:rPr>
          <w:rFonts w:ascii="Arial" w:hAnsi="Arial" w:cs="Arial"/>
          <w:color w:val="000000"/>
          <w:sz w:val="16"/>
          <w:szCs w:val="16"/>
        </w:rPr>
        <w:t xml:space="preserve">b. Included studies were all funded by industry, and all showed positive results. We identified one industry-independent observational trial that showed similar effects with our meta-analysis (78). </w:t>
      </w:r>
    </w:p>
    <w:p w14:paraId="59B5BF38" w14:textId="77777777" w:rsidR="00596BE0" w:rsidRPr="00601402" w:rsidRDefault="00596BE0" w:rsidP="00596BE0">
      <w:pPr>
        <w:jc w:val="both"/>
        <w:rPr>
          <w:rFonts w:ascii="Arial" w:hAnsi="Arial" w:cs="Arial"/>
          <w:color w:val="000000"/>
          <w:sz w:val="16"/>
          <w:szCs w:val="16"/>
        </w:rPr>
      </w:pPr>
      <w:r w:rsidRPr="00601402">
        <w:rPr>
          <w:rFonts w:ascii="Arial" w:hAnsi="Arial" w:cs="Arial"/>
          <w:color w:val="000000"/>
          <w:sz w:val="16"/>
          <w:szCs w:val="16"/>
        </w:rPr>
        <w:t xml:space="preserve">c. The total asthma symptoms score is an unvalidated scale. </w:t>
      </w:r>
    </w:p>
    <w:p w14:paraId="2C75AA2D" w14:textId="77777777" w:rsidR="00596BE0" w:rsidRPr="00601402" w:rsidRDefault="00596BE0" w:rsidP="00596BE0">
      <w:pPr>
        <w:jc w:val="both"/>
        <w:rPr>
          <w:rFonts w:ascii="Arial" w:hAnsi="Arial" w:cs="Arial"/>
          <w:color w:val="000000"/>
          <w:sz w:val="16"/>
          <w:szCs w:val="16"/>
        </w:rPr>
      </w:pPr>
      <w:r w:rsidRPr="00601402">
        <w:rPr>
          <w:rFonts w:ascii="Arial" w:hAnsi="Arial" w:cs="Arial"/>
          <w:color w:val="000000"/>
          <w:sz w:val="16"/>
          <w:szCs w:val="16"/>
        </w:rPr>
        <w:t xml:space="preserve">d. The effect may both be harmful or beneficial. </w:t>
      </w:r>
    </w:p>
    <w:p w14:paraId="390E4A3A" w14:textId="77777777" w:rsidR="00596BE0" w:rsidRPr="00601402" w:rsidRDefault="00596BE0" w:rsidP="00596BE0">
      <w:pPr>
        <w:jc w:val="both"/>
        <w:rPr>
          <w:rFonts w:ascii="Arial" w:hAnsi="Arial" w:cs="Arial"/>
          <w:color w:val="000000"/>
          <w:sz w:val="16"/>
          <w:szCs w:val="16"/>
        </w:rPr>
      </w:pPr>
      <w:r w:rsidRPr="00601402">
        <w:rPr>
          <w:rFonts w:ascii="Arial" w:hAnsi="Arial" w:cs="Arial"/>
          <w:color w:val="000000"/>
          <w:sz w:val="16"/>
          <w:szCs w:val="16"/>
        </w:rPr>
        <w:t xml:space="preserve">e. Data from subgroup of patients with blood eosinophil count ≥ 260/ul. This study also reported total asthma symptoms score for the subgroup of FeNO ≥ 24ppb, the mean difference is -0.25 (CI 95% -0.77 to 0.27). </w:t>
      </w:r>
    </w:p>
    <w:p w14:paraId="744270A7" w14:textId="77777777" w:rsidR="00596BE0" w:rsidRPr="00601402" w:rsidRDefault="00596BE0" w:rsidP="00596BE0">
      <w:pPr>
        <w:jc w:val="both"/>
        <w:rPr>
          <w:rFonts w:ascii="Arial" w:hAnsi="Arial" w:cs="Arial"/>
          <w:color w:val="000000"/>
          <w:sz w:val="16"/>
          <w:szCs w:val="16"/>
        </w:rPr>
      </w:pPr>
      <w:r w:rsidRPr="00601402">
        <w:rPr>
          <w:rFonts w:ascii="Arial" w:hAnsi="Arial" w:cs="Arial"/>
          <w:color w:val="000000"/>
          <w:sz w:val="16"/>
          <w:szCs w:val="16"/>
        </w:rPr>
        <w:t xml:space="preserve">f. In the current systematic review we also included one study (49) reporting the effect on the symptom days over the previous 2 weeks at 48 weeks follow up, the mean difference is -0.45 (p=0.05) (see full text report). </w:t>
      </w:r>
    </w:p>
    <w:p w14:paraId="33E8B1DA" w14:textId="77777777" w:rsidR="00596BE0" w:rsidRPr="00601402" w:rsidRDefault="00596BE0" w:rsidP="00596BE0">
      <w:pPr>
        <w:jc w:val="both"/>
        <w:rPr>
          <w:rFonts w:ascii="Arial" w:hAnsi="Arial" w:cs="Arial"/>
          <w:color w:val="000000"/>
          <w:sz w:val="16"/>
          <w:szCs w:val="16"/>
        </w:rPr>
      </w:pPr>
      <w:r w:rsidRPr="00601402">
        <w:rPr>
          <w:rFonts w:ascii="Arial" w:hAnsi="Arial" w:cs="Arial"/>
          <w:color w:val="000000"/>
          <w:sz w:val="16"/>
          <w:szCs w:val="16"/>
        </w:rPr>
        <w:t xml:space="preserve">g. Statistically significant (I2=70%), but probably unimportant heterogeneity. </w:t>
      </w:r>
    </w:p>
    <w:p w14:paraId="00FBC35A" w14:textId="77777777" w:rsidR="00596BE0" w:rsidRPr="00601402" w:rsidRDefault="00596BE0" w:rsidP="00596BE0">
      <w:pPr>
        <w:jc w:val="both"/>
        <w:rPr>
          <w:rFonts w:ascii="Arial" w:hAnsi="Arial" w:cs="Arial"/>
          <w:color w:val="000000"/>
          <w:sz w:val="16"/>
          <w:szCs w:val="16"/>
        </w:rPr>
      </w:pPr>
      <w:r w:rsidRPr="00601402">
        <w:rPr>
          <w:rFonts w:ascii="Arial" w:hAnsi="Arial" w:cs="Arial"/>
          <w:color w:val="000000"/>
          <w:sz w:val="16"/>
          <w:szCs w:val="16"/>
        </w:rPr>
        <w:t xml:space="preserve">h. Downgraded because FEV1 is considered a surrogate outcome of asthma control of symptoms, with a variable correlation with asthma symptoms (72) </w:t>
      </w:r>
    </w:p>
    <w:p w14:paraId="55820E4A" w14:textId="77777777" w:rsidR="00596BE0" w:rsidRPr="00601402" w:rsidRDefault="00596BE0" w:rsidP="00596BE0">
      <w:pPr>
        <w:jc w:val="both"/>
        <w:rPr>
          <w:rFonts w:ascii="Arial" w:hAnsi="Arial" w:cs="Arial"/>
          <w:color w:val="000000"/>
          <w:sz w:val="16"/>
          <w:szCs w:val="16"/>
        </w:rPr>
      </w:pPr>
      <w:r w:rsidRPr="00601402">
        <w:rPr>
          <w:rFonts w:ascii="Arial" w:hAnsi="Arial" w:cs="Arial"/>
          <w:color w:val="000000"/>
          <w:sz w:val="16"/>
          <w:szCs w:val="16"/>
        </w:rPr>
        <w:t xml:space="preserve">i. The panel agreed that minimal important difference (MID) for FEV1 is 0.20 </w:t>
      </w:r>
      <w:proofErr w:type="gramStart"/>
      <w:r w:rsidRPr="00601402">
        <w:rPr>
          <w:rFonts w:ascii="Arial" w:hAnsi="Arial" w:cs="Arial"/>
          <w:color w:val="000000"/>
          <w:sz w:val="16"/>
          <w:szCs w:val="16"/>
        </w:rPr>
        <w:t>L  j.</w:t>
      </w:r>
      <w:proofErr w:type="gramEnd"/>
      <w:r w:rsidRPr="00601402">
        <w:rPr>
          <w:rFonts w:ascii="Arial" w:hAnsi="Arial" w:cs="Arial"/>
          <w:color w:val="000000"/>
          <w:sz w:val="16"/>
          <w:szCs w:val="16"/>
        </w:rPr>
        <w:t xml:space="preserve"> Population with different threshold of eosinophil counts across the studies: ≥ 200 cells/µl (51), ≥ 300 cells/µl (50) and ≥ 260 cells/µl (48). </w:t>
      </w:r>
    </w:p>
    <w:p w14:paraId="796B085E" w14:textId="77777777" w:rsidR="00596BE0" w:rsidRPr="00601402" w:rsidRDefault="00596BE0" w:rsidP="00596BE0">
      <w:pPr>
        <w:jc w:val="both"/>
        <w:rPr>
          <w:rFonts w:ascii="Arial" w:hAnsi="Arial" w:cs="Arial"/>
          <w:color w:val="000000"/>
          <w:sz w:val="16"/>
          <w:szCs w:val="16"/>
        </w:rPr>
      </w:pPr>
      <w:r w:rsidRPr="00601402">
        <w:rPr>
          <w:rFonts w:ascii="Arial" w:hAnsi="Arial" w:cs="Arial"/>
          <w:color w:val="000000"/>
          <w:sz w:val="16"/>
          <w:szCs w:val="16"/>
        </w:rPr>
        <w:t xml:space="preserve">k. One of the included studies (48) also reported the effect on FEV1 % change for a population with FeNO ≥ 24 ppb, the LS mean difference is 3.20 (CI 95% -0.74 to 0.27). The pooled effect evaluated at 48 weeks (48) and 24 weeks (50). </w:t>
      </w:r>
    </w:p>
    <w:p w14:paraId="1A2D0180" w14:textId="77777777" w:rsidR="00596BE0" w:rsidRPr="00601402" w:rsidRDefault="00596BE0" w:rsidP="00596BE0">
      <w:pPr>
        <w:jc w:val="both"/>
        <w:rPr>
          <w:rFonts w:ascii="Arial" w:hAnsi="Arial" w:cs="Arial"/>
          <w:color w:val="000000"/>
          <w:sz w:val="16"/>
          <w:szCs w:val="16"/>
        </w:rPr>
      </w:pPr>
      <w:r w:rsidRPr="00601402">
        <w:rPr>
          <w:rFonts w:ascii="Arial" w:hAnsi="Arial" w:cs="Arial"/>
          <w:color w:val="000000"/>
          <w:sz w:val="16"/>
          <w:szCs w:val="16"/>
        </w:rPr>
        <w:t>l. Data from subgroup of patients with blood eosinophil count ≥ 260/ul. This study also reported AQLQ for the subgroup of FeNO ≥ 24</w:t>
      </w:r>
      <w:proofErr w:type="gramStart"/>
      <w:r w:rsidRPr="00601402">
        <w:rPr>
          <w:rFonts w:ascii="Arial" w:hAnsi="Arial" w:cs="Arial"/>
          <w:color w:val="000000"/>
          <w:sz w:val="16"/>
          <w:szCs w:val="16"/>
        </w:rPr>
        <w:t>ppb ,</w:t>
      </w:r>
      <w:proofErr w:type="gramEnd"/>
      <w:r w:rsidRPr="00601402">
        <w:rPr>
          <w:rFonts w:ascii="Arial" w:hAnsi="Arial" w:cs="Arial"/>
          <w:color w:val="000000"/>
          <w:sz w:val="16"/>
          <w:szCs w:val="16"/>
        </w:rPr>
        <w:t xml:space="preserve"> the mean difference is 0.37 (CI 95% 0.01 to 0.73). </w:t>
      </w:r>
    </w:p>
    <w:p w14:paraId="4B9F4F03" w14:textId="77777777" w:rsidR="00596BE0" w:rsidRPr="00601402" w:rsidRDefault="00596BE0" w:rsidP="00596BE0">
      <w:pPr>
        <w:jc w:val="both"/>
        <w:rPr>
          <w:rFonts w:ascii="Arial" w:hAnsi="Arial" w:cs="Arial"/>
          <w:color w:val="000000"/>
          <w:sz w:val="16"/>
          <w:szCs w:val="16"/>
        </w:rPr>
      </w:pPr>
      <w:r w:rsidRPr="00601402">
        <w:rPr>
          <w:rFonts w:ascii="Arial" w:hAnsi="Arial" w:cs="Arial"/>
          <w:color w:val="000000"/>
          <w:sz w:val="16"/>
          <w:szCs w:val="16"/>
        </w:rPr>
        <w:t xml:space="preserve">m. This study also reported the effect on rescue medication use for the subgroup of FeNO ≥ 24 ppb, the mean difference is -0.49 (CI 95% -0.88 to -0.11). </w:t>
      </w:r>
    </w:p>
    <w:p w14:paraId="39A6F2D1" w14:textId="77777777" w:rsidR="00596BE0" w:rsidRPr="00601402" w:rsidRDefault="00596BE0" w:rsidP="00596BE0">
      <w:pPr>
        <w:jc w:val="both"/>
        <w:rPr>
          <w:rFonts w:ascii="Arial" w:hAnsi="Arial" w:cs="Arial"/>
          <w:color w:val="000000"/>
          <w:sz w:val="16"/>
          <w:szCs w:val="16"/>
        </w:rPr>
      </w:pPr>
      <w:r w:rsidRPr="00601402">
        <w:rPr>
          <w:rFonts w:ascii="Arial" w:hAnsi="Arial" w:cs="Arial"/>
          <w:color w:val="000000"/>
          <w:sz w:val="16"/>
          <w:szCs w:val="16"/>
        </w:rPr>
        <w:t xml:space="preserve">n. The MID for rescue medication use is 0.81 puffs/day (35). </w:t>
      </w:r>
    </w:p>
    <w:p w14:paraId="54BE15C4" w14:textId="77777777" w:rsidR="00596BE0" w:rsidRPr="00601402" w:rsidRDefault="00596BE0" w:rsidP="00596BE0">
      <w:pPr>
        <w:pStyle w:val="Heading4"/>
        <w:jc w:val="both"/>
        <w:rPr>
          <w:rFonts w:ascii="Arial" w:hAnsi="Arial" w:cs="Arial"/>
          <w:color w:val="000000"/>
          <w:sz w:val="24"/>
          <w:szCs w:val="24"/>
        </w:rPr>
      </w:pPr>
      <w:r w:rsidRPr="00601402">
        <w:rPr>
          <w:rFonts w:ascii="Arial" w:hAnsi="Arial" w:cs="Arial"/>
          <w:color w:val="000000"/>
        </w:rPr>
        <w:t>References</w:t>
      </w:r>
    </w:p>
    <w:p w14:paraId="1B55D1E1" w14:textId="77777777" w:rsidR="00596BE0" w:rsidRPr="00601402" w:rsidRDefault="00596BE0" w:rsidP="00596BE0">
      <w:pPr>
        <w:jc w:val="both"/>
        <w:rPr>
          <w:rFonts w:ascii="Arial" w:hAnsi="Arial" w:cs="Arial"/>
          <w:color w:val="000000"/>
          <w:sz w:val="16"/>
          <w:szCs w:val="16"/>
        </w:rPr>
      </w:pPr>
      <w:r w:rsidRPr="00601402">
        <w:rPr>
          <w:rFonts w:ascii="Arial" w:hAnsi="Arial" w:cs="Arial"/>
          <w:color w:val="000000"/>
          <w:sz w:val="16"/>
          <w:szCs w:val="16"/>
        </w:rPr>
        <w:t xml:space="preserve">1. Busse W, Spector </w:t>
      </w:r>
      <w:proofErr w:type="gramStart"/>
      <w:r w:rsidRPr="00601402">
        <w:rPr>
          <w:rFonts w:ascii="Arial" w:hAnsi="Arial" w:cs="Arial"/>
          <w:color w:val="000000"/>
          <w:sz w:val="16"/>
          <w:szCs w:val="16"/>
        </w:rPr>
        <w:t>S,Rosén</w:t>
      </w:r>
      <w:proofErr w:type="gramEnd"/>
      <w:r w:rsidRPr="00601402">
        <w:rPr>
          <w:rFonts w:ascii="Arial" w:hAnsi="Arial" w:cs="Arial"/>
          <w:color w:val="000000"/>
          <w:sz w:val="16"/>
          <w:szCs w:val="16"/>
        </w:rPr>
        <w:t xml:space="preserve"> K,Wang Y,Alpan O. High eosinophil count: a potential biomarker for assessing successful omalizumab treatment effects. </w:t>
      </w:r>
      <w:r w:rsidRPr="00601402">
        <w:rPr>
          <w:rFonts w:cs="Arial"/>
          <w:noProof/>
          <w:color w:val="000000"/>
          <w:szCs w:val="16"/>
        </w:rPr>
        <w:t xml:space="preserve"> </w:t>
      </w:r>
      <w:r w:rsidRPr="00601402">
        <w:rPr>
          <w:rFonts w:ascii="Arial" w:hAnsi="Arial" w:cs="Arial"/>
          <w:color w:val="000000"/>
          <w:sz w:val="16"/>
          <w:szCs w:val="16"/>
        </w:rPr>
        <w:t xml:space="preserve">J Allergy Clin Immunol 2013 </w:t>
      </w:r>
    </w:p>
    <w:p w14:paraId="466157C4" w14:textId="77777777" w:rsidR="00596BE0" w:rsidRPr="00601402" w:rsidRDefault="00596BE0" w:rsidP="00596BE0">
      <w:pPr>
        <w:jc w:val="both"/>
        <w:rPr>
          <w:rFonts w:ascii="Arial" w:hAnsi="Arial" w:cs="Arial"/>
          <w:color w:val="000000"/>
          <w:sz w:val="16"/>
          <w:szCs w:val="16"/>
        </w:rPr>
      </w:pPr>
      <w:r w:rsidRPr="00601402">
        <w:rPr>
          <w:rFonts w:ascii="Arial" w:hAnsi="Arial" w:cs="Arial"/>
          <w:color w:val="000000"/>
          <w:sz w:val="16"/>
          <w:szCs w:val="16"/>
        </w:rPr>
        <w:t xml:space="preserve">2. Hanania, NA, Wenzel, S, Rosen, K, Hsieh, HJ, Mosesova, S, Choy, DF, Lal, P, Arron, JR, Harris, JM, Busse, W. Exploring the effects of omalizumab in allergic asthma: An analysis of biomarkers in the EXTRA study. American Journal of Respiratory and Critical Care Medicine; 2013. </w:t>
      </w:r>
    </w:p>
    <w:p w14:paraId="1F70C86E" w14:textId="77777777" w:rsidR="00596BE0" w:rsidRPr="00601402" w:rsidRDefault="00596BE0" w:rsidP="00596BE0">
      <w:pPr>
        <w:jc w:val="both"/>
        <w:rPr>
          <w:rFonts w:ascii="Arial" w:hAnsi="Arial" w:cs="Arial"/>
          <w:color w:val="000000"/>
          <w:sz w:val="16"/>
          <w:szCs w:val="16"/>
        </w:rPr>
      </w:pPr>
      <w:r w:rsidRPr="00601402">
        <w:rPr>
          <w:rFonts w:ascii="Arial" w:hAnsi="Arial" w:cs="Arial"/>
          <w:color w:val="000000"/>
          <w:sz w:val="16"/>
          <w:szCs w:val="16"/>
        </w:rPr>
        <w:lastRenderedPageBreak/>
        <w:t xml:space="preserve">3. Casale, TB, Chipps, BE, Rosen, K, Trzaskoma, B, Haselkorn, T, Omachi, TA, Greenberg, S, Hanania, NA. Response to omalizumab using patient enrichment criteria from trials of novel biologics in asthma. Allergy; 2018. </w:t>
      </w:r>
    </w:p>
    <w:p w14:paraId="44C5EFB7" w14:textId="77777777" w:rsidR="00596BE0" w:rsidRPr="00601402" w:rsidRDefault="00596BE0" w:rsidP="00596BE0">
      <w:pPr>
        <w:jc w:val="both"/>
        <w:rPr>
          <w:rFonts w:ascii="Arial" w:hAnsi="Arial" w:cs="Arial"/>
          <w:color w:val="000000"/>
          <w:sz w:val="16"/>
          <w:szCs w:val="16"/>
        </w:rPr>
      </w:pPr>
      <w:r w:rsidRPr="00601402">
        <w:rPr>
          <w:rFonts w:ascii="Arial" w:hAnsi="Arial" w:cs="Arial"/>
          <w:color w:val="000000"/>
          <w:sz w:val="16"/>
          <w:szCs w:val="16"/>
        </w:rPr>
        <w:t xml:space="preserve">4. Pelaia, C, Busceti, MT, Solinas, S, Terracciano, R, Pelaia, G. Real-life evaluation of the clinical, functional, and hematological effects of mepolizumab in patients with severe eosinophilic asthma: Results of a single-centre observational study. Pulmonary pharmacology &amp; therapeutics; 2018. </w:t>
      </w:r>
    </w:p>
    <w:p w14:paraId="62E66862" w14:textId="2A4CB47D" w:rsidR="00596BE0" w:rsidRPr="0033289E" w:rsidRDefault="00596BE0" w:rsidP="0033289E">
      <w:pPr>
        <w:jc w:val="both"/>
        <w:rPr>
          <w:rFonts w:ascii="Arial" w:hAnsi="Arial" w:cs="Arial"/>
          <w:color w:val="000000"/>
          <w:sz w:val="16"/>
          <w:szCs w:val="16"/>
        </w:rPr>
      </w:pPr>
      <w:r w:rsidRPr="00601402">
        <w:rPr>
          <w:rFonts w:ascii="Arial" w:hAnsi="Arial" w:cs="Arial"/>
          <w:color w:val="000000"/>
          <w:sz w:val="16"/>
          <w:szCs w:val="16"/>
        </w:rPr>
        <w:t>5. Aburuz</w:t>
      </w:r>
      <w:proofErr w:type="gramStart"/>
      <w:r w:rsidRPr="00601402">
        <w:rPr>
          <w:rFonts w:ascii="Arial" w:hAnsi="Arial" w:cs="Arial"/>
          <w:color w:val="000000"/>
          <w:sz w:val="16"/>
          <w:szCs w:val="16"/>
        </w:rPr>
        <w:t>, .</w:t>
      </w:r>
      <w:proofErr w:type="gramEnd"/>
      <w:r w:rsidRPr="00601402">
        <w:rPr>
          <w:rFonts w:ascii="Arial" w:hAnsi="Arial" w:cs="Arial"/>
          <w:color w:val="000000"/>
          <w:sz w:val="16"/>
          <w:szCs w:val="16"/>
        </w:rPr>
        <w:t xml:space="preserve"> Relationship between lung fuction and asthma symptoms in patients with difficult to control asthma. 2005. </w:t>
      </w:r>
    </w:p>
    <w:p w14:paraId="47173F3F" w14:textId="77777777" w:rsidR="0033289E" w:rsidRDefault="0033289E" w:rsidP="00785188">
      <w:pPr>
        <w:rPr>
          <w:b/>
          <w:sz w:val="20"/>
          <w:szCs w:val="20"/>
        </w:rPr>
      </w:pPr>
    </w:p>
    <w:p w14:paraId="599ED141" w14:textId="25FF1D64" w:rsidR="00785188" w:rsidRPr="0033289E" w:rsidRDefault="00785188" w:rsidP="00785188">
      <w:pPr>
        <w:rPr>
          <w:b/>
          <w:sz w:val="20"/>
          <w:szCs w:val="20"/>
        </w:rPr>
      </w:pPr>
      <w:r w:rsidRPr="0033289E">
        <w:rPr>
          <w:b/>
          <w:sz w:val="20"/>
          <w:szCs w:val="20"/>
        </w:rPr>
        <w:t>Table S</w:t>
      </w:r>
      <w:r w:rsidR="0033289E" w:rsidRPr="0033289E">
        <w:rPr>
          <w:b/>
          <w:sz w:val="20"/>
          <w:szCs w:val="20"/>
        </w:rPr>
        <w:t>40</w:t>
      </w:r>
      <w:r w:rsidRPr="0033289E">
        <w:rPr>
          <w:b/>
          <w:sz w:val="20"/>
          <w:szCs w:val="20"/>
        </w:rPr>
        <w:t>- Evidence to decision table supporting recommendations for omalizumab for severe eosinophilic asthma in adults (exacerbations)</w:t>
      </w:r>
    </w:p>
    <w:tbl>
      <w:tblPr>
        <w:tblW w:w="0" w:type="auto"/>
        <w:tblCellMar>
          <w:left w:w="0" w:type="dxa"/>
          <w:right w:w="0" w:type="dxa"/>
        </w:tblCellMar>
        <w:tblLook w:val="04A0" w:firstRow="1" w:lastRow="0" w:firstColumn="1" w:lastColumn="0" w:noHBand="0" w:noVBand="1"/>
      </w:tblPr>
      <w:tblGrid>
        <w:gridCol w:w="1833"/>
        <w:gridCol w:w="1843"/>
        <w:gridCol w:w="1984"/>
        <w:gridCol w:w="1985"/>
        <w:gridCol w:w="1984"/>
        <w:gridCol w:w="1276"/>
        <w:gridCol w:w="709"/>
        <w:gridCol w:w="1804"/>
      </w:tblGrid>
      <w:tr w:rsidR="00785188" w:rsidRPr="005C1453" w14:paraId="04B0CD09" w14:textId="77777777" w:rsidTr="0033289E">
        <w:trPr>
          <w:trHeight w:val="19"/>
        </w:trPr>
        <w:tc>
          <w:tcPr>
            <w:tcW w:w="1833" w:type="dxa"/>
            <w:tcBorders>
              <w:top w:val="single" w:sz="8" w:space="0" w:color="FFFFFF"/>
              <w:left w:val="single" w:sz="8" w:space="0" w:color="FFFFFF"/>
              <w:bottom w:val="single" w:sz="24" w:space="0" w:color="FFFFFF"/>
              <w:right w:val="single" w:sz="8" w:space="0" w:color="FFFFFF"/>
            </w:tcBorders>
            <w:shd w:val="clear" w:color="auto" w:fill="5B9BD5"/>
            <w:tcMar>
              <w:top w:w="74" w:type="dxa"/>
              <w:left w:w="74" w:type="dxa"/>
              <w:bottom w:w="74" w:type="dxa"/>
              <w:right w:w="74" w:type="dxa"/>
            </w:tcMar>
            <w:vAlign w:val="center"/>
            <w:hideMark/>
          </w:tcPr>
          <w:p w14:paraId="3CCE87D3" w14:textId="77777777" w:rsidR="00785188" w:rsidRPr="005C1453" w:rsidRDefault="00785188" w:rsidP="0033289E">
            <w:pPr>
              <w:spacing w:line="276" w:lineRule="auto"/>
              <w:jc w:val="both"/>
              <w:rPr>
                <w:rFonts w:ascii="Arial" w:eastAsia="Calibri" w:hAnsi="Arial" w:cs="Arial"/>
                <w:color w:val="000000"/>
                <w:sz w:val="16"/>
                <w:szCs w:val="16"/>
              </w:rPr>
            </w:pPr>
          </w:p>
        </w:tc>
        <w:tc>
          <w:tcPr>
            <w:tcW w:w="11585" w:type="dxa"/>
            <w:gridSpan w:val="7"/>
            <w:tcBorders>
              <w:top w:val="single" w:sz="8" w:space="0" w:color="FFFFFF"/>
              <w:left w:val="single" w:sz="8" w:space="0" w:color="FFFFFF"/>
              <w:bottom w:val="single" w:sz="24" w:space="0" w:color="FFFFFF"/>
              <w:right w:val="single" w:sz="8" w:space="0" w:color="FFFFFF"/>
            </w:tcBorders>
            <w:shd w:val="clear" w:color="auto" w:fill="5B9BD5"/>
            <w:tcMar>
              <w:top w:w="74" w:type="dxa"/>
              <w:left w:w="74" w:type="dxa"/>
              <w:bottom w:w="74" w:type="dxa"/>
              <w:right w:w="74" w:type="dxa"/>
            </w:tcMar>
            <w:vAlign w:val="center"/>
            <w:hideMark/>
          </w:tcPr>
          <w:p w14:paraId="5A3D81FE"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Judgement</w:t>
            </w:r>
          </w:p>
        </w:tc>
      </w:tr>
      <w:tr w:rsidR="00785188" w:rsidRPr="005C1453" w14:paraId="587BDF64" w14:textId="77777777" w:rsidTr="0033289E">
        <w:trPr>
          <w:trHeight w:val="19"/>
        </w:trPr>
        <w:tc>
          <w:tcPr>
            <w:tcW w:w="1833" w:type="dxa"/>
            <w:tcBorders>
              <w:top w:val="single" w:sz="24"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0DB68AFE"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Problem (importance)</w:t>
            </w:r>
          </w:p>
        </w:tc>
        <w:tc>
          <w:tcPr>
            <w:tcW w:w="1843"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EFEF902"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No</w:t>
            </w:r>
          </w:p>
        </w:tc>
        <w:tc>
          <w:tcPr>
            <w:tcW w:w="1984"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6A38730"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no</w:t>
            </w:r>
          </w:p>
        </w:tc>
        <w:tc>
          <w:tcPr>
            <w:tcW w:w="1985"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A85FE86"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yes</w:t>
            </w:r>
          </w:p>
        </w:tc>
        <w:tc>
          <w:tcPr>
            <w:tcW w:w="1984" w:type="dxa"/>
            <w:tcBorders>
              <w:top w:val="single" w:sz="24"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11823C77"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Yes</w:t>
            </w:r>
          </w:p>
        </w:tc>
        <w:tc>
          <w:tcPr>
            <w:tcW w:w="1276"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C565647" w14:textId="77777777" w:rsidR="00785188" w:rsidRPr="005C1453" w:rsidRDefault="00785188" w:rsidP="0033289E">
            <w:pPr>
              <w:spacing w:line="276" w:lineRule="auto"/>
              <w:jc w:val="both"/>
              <w:rPr>
                <w:rFonts w:ascii="Arial" w:eastAsia="Calibri" w:hAnsi="Arial" w:cs="Arial"/>
                <w:color w:val="000000"/>
                <w:sz w:val="16"/>
                <w:szCs w:val="16"/>
              </w:rPr>
            </w:pPr>
          </w:p>
        </w:tc>
        <w:tc>
          <w:tcPr>
            <w:tcW w:w="709"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738D2B6"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Varies</w:t>
            </w:r>
          </w:p>
        </w:tc>
        <w:tc>
          <w:tcPr>
            <w:tcW w:w="1804"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9F85FB1"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Don't know</w:t>
            </w:r>
          </w:p>
        </w:tc>
      </w:tr>
      <w:tr w:rsidR="00785188" w:rsidRPr="005C1453" w14:paraId="1217AD7D" w14:textId="77777777" w:rsidTr="0033289E">
        <w:trPr>
          <w:trHeight w:val="19"/>
        </w:trPr>
        <w:tc>
          <w:tcPr>
            <w:tcW w:w="1833"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2335F438"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Desirable Effects</w:t>
            </w:r>
          </w:p>
        </w:tc>
        <w:tc>
          <w:tcPr>
            <w:tcW w:w="1843"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7E6C99B"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Trivial</w:t>
            </w:r>
          </w:p>
        </w:tc>
        <w:tc>
          <w:tcPr>
            <w:tcW w:w="198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BD1212B"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Small</w:t>
            </w:r>
          </w:p>
        </w:tc>
        <w:tc>
          <w:tcPr>
            <w:tcW w:w="198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0F22AA4"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Moderate</w:t>
            </w:r>
          </w:p>
        </w:tc>
        <w:tc>
          <w:tcPr>
            <w:tcW w:w="1984"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255A9C03"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Large</w:t>
            </w:r>
          </w:p>
        </w:tc>
        <w:tc>
          <w:tcPr>
            <w:tcW w:w="12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01FEF0A" w14:textId="77777777" w:rsidR="00785188" w:rsidRPr="005C1453" w:rsidRDefault="00785188" w:rsidP="0033289E">
            <w:pPr>
              <w:spacing w:line="276" w:lineRule="auto"/>
              <w:jc w:val="both"/>
              <w:rPr>
                <w:rFonts w:ascii="Arial" w:eastAsia="Calibri" w:hAnsi="Arial" w:cs="Arial"/>
                <w:color w:val="000000"/>
                <w:sz w:val="16"/>
                <w:szCs w:val="16"/>
              </w:rPr>
            </w:pPr>
          </w:p>
        </w:tc>
        <w:tc>
          <w:tcPr>
            <w:tcW w:w="709"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4222535"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Varies</w:t>
            </w:r>
          </w:p>
        </w:tc>
        <w:tc>
          <w:tcPr>
            <w:tcW w:w="180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CFA1C2D"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Don't know</w:t>
            </w:r>
          </w:p>
        </w:tc>
      </w:tr>
      <w:tr w:rsidR="00785188" w:rsidRPr="005C1453" w14:paraId="711E9C10" w14:textId="77777777" w:rsidTr="0033289E">
        <w:trPr>
          <w:trHeight w:val="19"/>
        </w:trPr>
        <w:tc>
          <w:tcPr>
            <w:tcW w:w="1833"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31673E4C"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Undesirable Effects</w:t>
            </w:r>
          </w:p>
        </w:tc>
        <w:tc>
          <w:tcPr>
            <w:tcW w:w="1843"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0CDB1B0"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Large</w:t>
            </w:r>
          </w:p>
        </w:tc>
        <w:tc>
          <w:tcPr>
            <w:tcW w:w="198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E26A319"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Moderate</w:t>
            </w:r>
          </w:p>
        </w:tc>
        <w:tc>
          <w:tcPr>
            <w:tcW w:w="1985"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3B4BE115"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Small</w:t>
            </w:r>
          </w:p>
        </w:tc>
        <w:tc>
          <w:tcPr>
            <w:tcW w:w="198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906A4CA"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Trivial</w:t>
            </w:r>
          </w:p>
        </w:tc>
        <w:tc>
          <w:tcPr>
            <w:tcW w:w="127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EECC222" w14:textId="77777777" w:rsidR="00785188" w:rsidRPr="005C1453" w:rsidRDefault="00785188" w:rsidP="0033289E">
            <w:pPr>
              <w:spacing w:line="276" w:lineRule="auto"/>
              <w:jc w:val="both"/>
              <w:rPr>
                <w:rFonts w:ascii="Arial" w:eastAsia="Calibri" w:hAnsi="Arial" w:cs="Arial"/>
                <w:color w:val="000000"/>
                <w:sz w:val="16"/>
                <w:szCs w:val="16"/>
              </w:rPr>
            </w:pPr>
          </w:p>
        </w:tc>
        <w:tc>
          <w:tcPr>
            <w:tcW w:w="709"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BE069A5"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Varies</w:t>
            </w:r>
          </w:p>
        </w:tc>
        <w:tc>
          <w:tcPr>
            <w:tcW w:w="180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B41A9E0"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Don't know</w:t>
            </w:r>
          </w:p>
        </w:tc>
      </w:tr>
      <w:tr w:rsidR="00785188" w:rsidRPr="005C1453" w14:paraId="676412EC" w14:textId="77777777" w:rsidTr="0033289E">
        <w:trPr>
          <w:trHeight w:val="19"/>
        </w:trPr>
        <w:tc>
          <w:tcPr>
            <w:tcW w:w="1833"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3E55F9AA"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Certainty of evidence</w:t>
            </w:r>
          </w:p>
        </w:tc>
        <w:tc>
          <w:tcPr>
            <w:tcW w:w="1843"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357BF4F"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Very low</w:t>
            </w:r>
          </w:p>
        </w:tc>
        <w:tc>
          <w:tcPr>
            <w:tcW w:w="198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852F74A"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Low</w:t>
            </w:r>
          </w:p>
        </w:tc>
        <w:tc>
          <w:tcPr>
            <w:tcW w:w="198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1E5B791"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Moderate</w:t>
            </w:r>
          </w:p>
        </w:tc>
        <w:tc>
          <w:tcPr>
            <w:tcW w:w="1984"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64BFD572"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High</w:t>
            </w:r>
          </w:p>
        </w:tc>
        <w:tc>
          <w:tcPr>
            <w:tcW w:w="12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E6C50DB" w14:textId="77777777" w:rsidR="00785188" w:rsidRPr="005C1453" w:rsidRDefault="00785188" w:rsidP="0033289E">
            <w:pPr>
              <w:spacing w:line="276" w:lineRule="auto"/>
              <w:jc w:val="both"/>
              <w:rPr>
                <w:rFonts w:ascii="Arial" w:eastAsia="Calibri" w:hAnsi="Arial" w:cs="Arial"/>
                <w:color w:val="000000"/>
                <w:sz w:val="16"/>
                <w:szCs w:val="16"/>
              </w:rPr>
            </w:pPr>
          </w:p>
        </w:tc>
        <w:tc>
          <w:tcPr>
            <w:tcW w:w="709"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C66B542" w14:textId="77777777" w:rsidR="00785188" w:rsidRPr="005C1453" w:rsidRDefault="00785188" w:rsidP="0033289E">
            <w:pPr>
              <w:spacing w:line="276" w:lineRule="auto"/>
              <w:jc w:val="both"/>
              <w:rPr>
                <w:rFonts w:ascii="Arial" w:eastAsia="Calibri" w:hAnsi="Arial" w:cs="Arial"/>
                <w:color w:val="000000"/>
                <w:sz w:val="16"/>
                <w:szCs w:val="16"/>
              </w:rPr>
            </w:pPr>
          </w:p>
        </w:tc>
        <w:tc>
          <w:tcPr>
            <w:tcW w:w="180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B445454" w14:textId="257C6BB2"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 xml:space="preserve">No </w:t>
            </w:r>
            <w:r w:rsidR="0033289E" w:rsidRPr="005C1453">
              <w:rPr>
                <w:rFonts w:ascii="Arial" w:eastAsia="Calibri" w:hAnsi="Arial" w:cs="Arial"/>
                <w:color w:val="000000"/>
                <w:sz w:val="16"/>
                <w:szCs w:val="16"/>
              </w:rPr>
              <w:t xml:space="preserve">studies </w:t>
            </w:r>
            <w:r w:rsidRPr="005C1453">
              <w:rPr>
                <w:rFonts w:ascii="Arial" w:eastAsia="Calibri" w:hAnsi="Arial" w:cs="Arial"/>
                <w:color w:val="000000"/>
                <w:sz w:val="16"/>
                <w:szCs w:val="16"/>
              </w:rPr>
              <w:t xml:space="preserve">included </w:t>
            </w:r>
          </w:p>
        </w:tc>
      </w:tr>
      <w:tr w:rsidR="00785188" w:rsidRPr="005C1453" w14:paraId="30798F14" w14:textId="77777777" w:rsidTr="0033289E">
        <w:trPr>
          <w:trHeight w:val="147"/>
        </w:trPr>
        <w:tc>
          <w:tcPr>
            <w:tcW w:w="1833"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0536E3F8"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Values</w:t>
            </w:r>
          </w:p>
        </w:tc>
        <w:tc>
          <w:tcPr>
            <w:tcW w:w="1843"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5D45AB7"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Important uncertainty or variability</w:t>
            </w:r>
          </w:p>
        </w:tc>
        <w:tc>
          <w:tcPr>
            <w:tcW w:w="198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EA8EC1B"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Possibly important uncertainty or variability</w:t>
            </w:r>
          </w:p>
        </w:tc>
        <w:tc>
          <w:tcPr>
            <w:tcW w:w="1985"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176A88B"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no important uncertainty or variability</w:t>
            </w:r>
          </w:p>
        </w:tc>
        <w:tc>
          <w:tcPr>
            <w:tcW w:w="1984"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102CA315"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no important uncertainty or variability</w:t>
            </w:r>
          </w:p>
        </w:tc>
        <w:tc>
          <w:tcPr>
            <w:tcW w:w="127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B791427" w14:textId="77777777" w:rsidR="00785188" w:rsidRPr="005C1453" w:rsidRDefault="00785188" w:rsidP="0033289E">
            <w:pPr>
              <w:spacing w:line="276" w:lineRule="auto"/>
              <w:jc w:val="both"/>
              <w:rPr>
                <w:rFonts w:ascii="Arial" w:eastAsia="Calibri" w:hAnsi="Arial" w:cs="Arial"/>
                <w:color w:val="000000"/>
                <w:sz w:val="16"/>
                <w:szCs w:val="16"/>
              </w:rPr>
            </w:pPr>
          </w:p>
        </w:tc>
        <w:tc>
          <w:tcPr>
            <w:tcW w:w="709"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F06E680" w14:textId="77777777" w:rsidR="00785188" w:rsidRPr="005C1453" w:rsidRDefault="00785188" w:rsidP="0033289E">
            <w:pPr>
              <w:spacing w:line="276" w:lineRule="auto"/>
              <w:jc w:val="both"/>
              <w:rPr>
                <w:rFonts w:ascii="Arial" w:eastAsia="Calibri" w:hAnsi="Arial" w:cs="Arial"/>
                <w:color w:val="000000"/>
                <w:sz w:val="16"/>
                <w:szCs w:val="16"/>
              </w:rPr>
            </w:pPr>
          </w:p>
        </w:tc>
        <w:tc>
          <w:tcPr>
            <w:tcW w:w="180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6C5772C" w14:textId="77777777" w:rsidR="00785188" w:rsidRPr="005C1453" w:rsidRDefault="00785188" w:rsidP="0033289E">
            <w:pPr>
              <w:spacing w:line="276" w:lineRule="auto"/>
              <w:jc w:val="both"/>
              <w:rPr>
                <w:rFonts w:ascii="Arial" w:eastAsia="Calibri" w:hAnsi="Arial" w:cs="Arial"/>
                <w:color w:val="000000"/>
                <w:sz w:val="16"/>
                <w:szCs w:val="16"/>
              </w:rPr>
            </w:pPr>
          </w:p>
        </w:tc>
      </w:tr>
      <w:tr w:rsidR="00785188" w:rsidRPr="005C1453" w14:paraId="0299E6F8" w14:textId="77777777" w:rsidTr="0033289E">
        <w:trPr>
          <w:trHeight w:val="187"/>
        </w:trPr>
        <w:tc>
          <w:tcPr>
            <w:tcW w:w="1833"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4272BFAB"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Balance of effects</w:t>
            </w:r>
          </w:p>
        </w:tc>
        <w:tc>
          <w:tcPr>
            <w:tcW w:w="1843"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72FCEF3"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Favors the comparison</w:t>
            </w:r>
          </w:p>
        </w:tc>
        <w:tc>
          <w:tcPr>
            <w:tcW w:w="198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023133A"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favors the comparison</w:t>
            </w:r>
          </w:p>
        </w:tc>
        <w:tc>
          <w:tcPr>
            <w:tcW w:w="198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CA54E78"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Does not favor either the intervention or the comparison</w:t>
            </w:r>
          </w:p>
        </w:tc>
        <w:tc>
          <w:tcPr>
            <w:tcW w:w="198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CC0267C"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favors the intervention</w:t>
            </w:r>
          </w:p>
        </w:tc>
        <w:tc>
          <w:tcPr>
            <w:tcW w:w="1276"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52915B88"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Favors the intervention</w:t>
            </w:r>
          </w:p>
        </w:tc>
        <w:tc>
          <w:tcPr>
            <w:tcW w:w="709"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D714D3E"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Varies</w:t>
            </w:r>
          </w:p>
        </w:tc>
        <w:tc>
          <w:tcPr>
            <w:tcW w:w="180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EAD1F62"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Don't know</w:t>
            </w:r>
          </w:p>
        </w:tc>
      </w:tr>
      <w:tr w:rsidR="00785188" w:rsidRPr="005C1453" w14:paraId="5365555D" w14:textId="77777777" w:rsidTr="0033289E">
        <w:trPr>
          <w:trHeight w:val="19"/>
        </w:trPr>
        <w:tc>
          <w:tcPr>
            <w:tcW w:w="1833"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653E6F04"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Resources required</w:t>
            </w:r>
          </w:p>
        </w:tc>
        <w:tc>
          <w:tcPr>
            <w:tcW w:w="1843"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735CBC4"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Large costs</w:t>
            </w:r>
          </w:p>
        </w:tc>
        <w:tc>
          <w:tcPr>
            <w:tcW w:w="198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5D6EA7B"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Moderate costs</w:t>
            </w:r>
          </w:p>
        </w:tc>
        <w:tc>
          <w:tcPr>
            <w:tcW w:w="1985"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0EE4714"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Negligible costs and savings</w:t>
            </w:r>
          </w:p>
        </w:tc>
        <w:tc>
          <w:tcPr>
            <w:tcW w:w="198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0298E4D"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Moderate savings</w:t>
            </w:r>
          </w:p>
        </w:tc>
        <w:tc>
          <w:tcPr>
            <w:tcW w:w="127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544F71E"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Large savings</w:t>
            </w:r>
          </w:p>
        </w:tc>
        <w:tc>
          <w:tcPr>
            <w:tcW w:w="709"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11C8F6E5"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Varies</w:t>
            </w:r>
          </w:p>
        </w:tc>
        <w:tc>
          <w:tcPr>
            <w:tcW w:w="180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5B45D1F"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Don't know</w:t>
            </w:r>
          </w:p>
        </w:tc>
      </w:tr>
      <w:tr w:rsidR="00785188" w:rsidRPr="005C1453" w14:paraId="4121D9D4" w14:textId="77777777" w:rsidTr="0033289E">
        <w:trPr>
          <w:trHeight w:val="73"/>
        </w:trPr>
        <w:tc>
          <w:tcPr>
            <w:tcW w:w="1833"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7188A839"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Certainty of evidence of required resources</w:t>
            </w:r>
          </w:p>
        </w:tc>
        <w:tc>
          <w:tcPr>
            <w:tcW w:w="1843"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2AA91F0"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Very low</w:t>
            </w:r>
          </w:p>
        </w:tc>
        <w:tc>
          <w:tcPr>
            <w:tcW w:w="198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4AD6827"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Low</w:t>
            </w:r>
          </w:p>
        </w:tc>
        <w:tc>
          <w:tcPr>
            <w:tcW w:w="198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B8149FB"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Moderate</w:t>
            </w:r>
          </w:p>
        </w:tc>
        <w:tc>
          <w:tcPr>
            <w:tcW w:w="198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9FFE34B"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High</w:t>
            </w:r>
          </w:p>
        </w:tc>
        <w:tc>
          <w:tcPr>
            <w:tcW w:w="12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8BFAE87" w14:textId="77777777" w:rsidR="00785188" w:rsidRPr="005C1453" w:rsidRDefault="00785188" w:rsidP="0033289E">
            <w:pPr>
              <w:spacing w:line="276" w:lineRule="auto"/>
              <w:jc w:val="both"/>
              <w:rPr>
                <w:rFonts w:ascii="Arial" w:eastAsia="Calibri" w:hAnsi="Arial" w:cs="Arial"/>
                <w:color w:val="000000"/>
                <w:sz w:val="16"/>
                <w:szCs w:val="16"/>
              </w:rPr>
            </w:pPr>
          </w:p>
        </w:tc>
        <w:tc>
          <w:tcPr>
            <w:tcW w:w="709"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C975BAB" w14:textId="77777777" w:rsidR="00785188" w:rsidRPr="005C1453" w:rsidRDefault="00785188" w:rsidP="0033289E">
            <w:pPr>
              <w:spacing w:line="276" w:lineRule="auto"/>
              <w:jc w:val="both"/>
              <w:rPr>
                <w:rFonts w:ascii="Arial" w:eastAsia="Calibri" w:hAnsi="Arial" w:cs="Arial"/>
                <w:color w:val="000000"/>
                <w:sz w:val="16"/>
                <w:szCs w:val="16"/>
              </w:rPr>
            </w:pPr>
          </w:p>
        </w:tc>
        <w:tc>
          <w:tcPr>
            <w:tcW w:w="1804"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75A474CD" w14:textId="1E016A1B"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 xml:space="preserve">No </w:t>
            </w:r>
            <w:r w:rsidR="0033289E" w:rsidRPr="005C1453">
              <w:rPr>
                <w:rFonts w:ascii="Arial" w:eastAsia="Calibri" w:hAnsi="Arial" w:cs="Arial"/>
                <w:color w:val="000000"/>
                <w:sz w:val="16"/>
                <w:szCs w:val="16"/>
              </w:rPr>
              <w:t xml:space="preserve">studies </w:t>
            </w:r>
            <w:r w:rsidRPr="005C1453">
              <w:rPr>
                <w:rFonts w:ascii="Arial" w:eastAsia="Calibri" w:hAnsi="Arial" w:cs="Arial"/>
                <w:color w:val="000000"/>
                <w:sz w:val="16"/>
                <w:szCs w:val="16"/>
              </w:rPr>
              <w:t xml:space="preserve">included </w:t>
            </w:r>
          </w:p>
        </w:tc>
      </w:tr>
      <w:tr w:rsidR="00785188" w:rsidRPr="005C1453" w14:paraId="6BDB079E" w14:textId="77777777" w:rsidTr="0033289E">
        <w:trPr>
          <w:trHeight w:val="19"/>
        </w:trPr>
        <w:tc>
          <w:tcPr>
            <w:tcW w:w="1833"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4AAE6F82"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Cost effectiveness</w:t>
            </w:r>
          </w:p>
        </w:tc>
        <w:tc>
          <w:tcPr>
            <w:tcW w:w="1843"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0F8B1BC"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Favors the comparison</w:t>
            </w:r>
          </w:p>
        </w:tc>
        <w:tc>
          <w:tcPr>
            <w:tcW w:w="198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FC73529"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favors the comparison</w:t>
            </w:r>
          </w:p>
        </w:tc>
        <w:tc>
          <w:tcPr>
            <w:tcW w:w="1985"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84F6B1F"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Does not favor either the intervention or the comparison</w:t>
            </w:r>
          </w:p>
        </w:tc>
        <w:tc>
          <w:tcPr>
            <w:tcW w:w="1984"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39CD363D"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favors the intervention</w:t>
            </w:r>
          </w:p>
        </w:tc>
        <w:tc>
          <w:tcPr>
            <w:tcW w:w="127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0A6A1EC"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Favors the intervention</w:t>
            </w:r>
          </w:p>
        </w:tc>
        <w:tc>
          <w:tcPr>
            <w:tcW w:w="709"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39E9374"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Varies</w:t>
            </w:r>
          </w:p>
        </w:tc>
        <w:tc>
          <w:tcPr>
            <w:tcW w:w="180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58BB63C"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No included studies</w:t>
            </w:r>
          </w:p>
        </w:tc>
      </w:tr>
      <w:tr w:rsidR="00785188" w:rsidRPr="005C1453" w14:paraId="14335F7F" w14:textId="77777777" w:rsidTr="0033289E">
        <w:trPr>
          <w:trHeight w:val="19"/>
        </w:trPr>
        <w:tc>
          <w:tcPr>
            <w:tcW w:w="1833"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4CC020D9"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Equity</w:t>
            </w:r>
          </w:p>
        </w:tc>
        <w:tc>
          <w:tcPr>
            <w:tcW w:w="1843"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1B906C4"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Reduced</w:t>
            </w:r>
          </w:p>
        </w:tc>
        <w:tc>
          <w:tcPr>
            <w:tcW w:w="198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2455031"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reduced</w:t>
            </w:r>
          </w:p>
        </w:tc>
        <w:tc>
          <w:tcPr>
            <w:tcW w:w="198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8222A1E"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no impact</w:t>
            </w:r>
          </w:p>
        </w:tc>
        <w:tc>
          <w:tcPr>
            <w:tcW w:w="198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1B681DD"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increased</w:t>
            </w:r>
          </w:p>
        </w:tc>
        <w:tc>
          <w:tcPr>
            <w:tcW w:w="12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1A0C145"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Increased</w:t>
            </w:r>
          </w:p>
        </w:tc>
        <w:tc>
          <w:tcPr>
            <w:tcW w:w="709"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F234091"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Varies</w:t>
            </w:r>
          </w:p>
        </w:tc>
        <w:tc>
          <w:tcPr>
            <w:tcW w:w="1804"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6670E5F9"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Don't know</w:t>
            </w:r>
          </w:p>
        </w:tc>
      </w:tr>
      <w:tr w:rsidR="00785188" w:rsidRPr="005C1453" w14:paraId="21062D4D" w14:textId="77777777" w:rsidTr="0033289E">
        <w:trPr>
          <w:trHeight w:val="68"/>
        </w:trPr>
        <w:tc>
          <w:tcPr>
            <w:tcW w:w="1833"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11E33D0B"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Acceptability</w:t>
            </w:r>
          </w:p>
        </w:tc>
        <w:tc>
          <w:tcPr>
            <w:tcW w:w="1843"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5A9816C"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No</w:t>
            </w:r>
          </w:p>
        </w:tc>
        <w:tc>
          <w:tcPr>
            <w:tcW w:w="198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2D6EF70"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no</w:t>
            </w:r>
          </w:p>
        </w:tc>
        <w:tc>
          <w:tcPr>
            <w:tcW w:w="1985"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6AAC8868"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yes</w:t>
            </w:r>
          </w:p>
        </w:tc>
        <w:tc>
          <w:tcPr>
            <w:tcW w:w="198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7F9ED1F"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Yes</w:t>
            </w:r>
          </w:p>
        </w:tc>
        <w:tc>
          <w:tcPr>
            <w:tcW w:w="127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A0ABB51" w14:textId="77777777" w:rsidR="00785188" w:rsidRPr="005C1453" w:rsidRDefault="00785188" w:rsidP="0033289E">
            <w:pPr>
              <w:spacing w:line="276" w:lineRule="auto"/>
              <w:jc w:val="both"/>
              <w:rPr>
                <w:rFonts w:ascii="Arial" w:eastAsia="Calibri" w:hAnsi="Arial" w:cs="Arial"/>
                <w:color w:val="000000"/>
                <w:sz w:val="16"/>
                <w:szCs w:val="16"/>
              </w:rPr>
            </w:pPr>
          </w:p>
        </w:tc>
        <w:tc>
          <w:tcPr>
            <w:tcW w:w="709"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8C0F269"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Varies</w:t>
            </w:r>
          </w:p>
        </w:tc>
        <w:tc>
          <w:tcPr>
            <w:tcW w:w="180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D2073C5"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Don't know</w:t>
            </w:r>
          </w:p>
        </w:tc>
      </w:tr>
      <w:tr w:rsidR="00785188" w:rsidRPr="005C1453" w14:paraId="5410E706" w14:textId="77777777" w:rsidTr="0033289E">
        <w:trPr>
          <w:trHeight w:val="19"/>
        </w:trPr>
        <w:tc>
          <w:tcPr>
            <w:tcW w:w="1833"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0504A98F"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Feasibility</w:t>
            </w:r>
          </w:p>
        </w:tc>
        <w:tc>
          <w:tcPr>
            <w:tcW w:w="1843"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EE98A79"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No</w:t>
            </w:r>
          </w:p>
        </w:tc>
        <w:tc>
          <w:tcPr>
            <w:tcW w:w="198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0720E4A"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no</w:t>
            </w:r>
          </w:p>
        </w:tc>
        <w:tc>
          <w:tcPr>
            <w:tcW w:w="1985"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329AE78E"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yes</w:t>
            </w:r>
          </w:p>
        </w:tc>
        <w:tc>
          <w:tcPr>
            <w:tcW w:w="198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BB1EEAD"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Yes</w:t>
            </w:r>
          </w:p>
        </w:tc>
        <w:tc>
          <w:tcPr>
            <w:tcW w:w="12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41E621C" w14:textId="77777777" w:rsidR="00785188" w:rsidRPr="005C1453" w:rsidRDefault="00785188" w:rsidP="0033289E">
            <w:pPr>
              <w:spacing w:line="276" w:lineRule="auto"/>
              <w:jc w:val="both"/>
              <w:rPr>
                <w:rFonts w:ascii="Arial" w:eastAsia="Calibri" w:hAnsi="Arial" w:cs="Arial"/>
                <w:color w:val="000000"/>
                <w:sz w:val="16"/>
                <w:szCs w:val="16"/>
              </w:rPr>
            </w:pPr>
          </w:p>
        </w:tc>
        <w:tc>
          <w:tcPr>
            <w:tcW w:w="709"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CA6CD1F"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Varies</w:t>
            </w:r>
          </w:p>
        </w:tc>
        <w:tc>
          <w:tcPr>
            <w:tcW w:w="180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6180F54" w14:textId="77777777" w:rsidR="00785188" w:rsidRPr="005C1453" w:rsidRDefault="00785188" w:rsidP="0033289E">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Don't know</w:t>
            </w:r>
          </w:p>
        </w:tc>
      </w:tr>
    </w:tbl>
    <w:p w14:paraId="277BC565" w14:textId="77777777" w:rsidR="00785188" w:rsidRDefault="00785188" w:rsidP="00785188">
      <w:pPr>
        <w:jc w:val="both"/>
        <w:rPr>
          <w:rFonts w:ascii="Arial" w:hAnsi="Arial" w:cs="Arial"/>
          <w:color w:val="000000"/>
          <w:sz w:val="16"/>
          <w:szCs w:val="16"/>
        </w:rPr>
      </w:pPr>
    </w:p>
    <w:p w14:paraId="75BD1E4F" w14:textId="7A5437D1" w:rsidR="00785188" w:rsidRPr="0033289E" w:rsidRDefault="00785188" w:rsidP="00785188">
      <w:pPr>
        <w:jc w:val="both"/>
        <w:rPr>
          <w:rFonts w:ascii="Arial" w:hAnsi="Arial" w:cs="Arial"/>
          <w:b/>
          <w:color w:val="000000"/>
          <w:sz w:val="20"/>
          <w:szCs w:val="20"/>
        </w:rPr>
      </w:pPr>
      <w:r w:rsidRPr="0033289E">
        <w:rPr>
          <w:rFonts w:ascii="Arial" w:hAnsi="Arial" w:cs="Arial"/>
          <w:b/>
          <w:color w:val="000000"/>
          <w:sz w:val="20"/>
          <w:szCs w:val="20"/>
        </w:rPr>
        <w:t>Table S</w:t>
      </w:r>
      <w:r w:rsidR="0033289E" w:rsidRPr="0033289E">
        <w:rPr>
          <w:rFonts w:ascii="Arial" w:hAnsi="Arial" w:cs="Arial"/>
          <w:b/>
          <w:color w:val="000000"/>
          <w:sz w:val="20"/>
          <w:szCs w:val="20"/>
        </w:rPr>
        <w:t>41</w:t>
      </w:r>
      <w:r w:rsidRPr="0033289E">
        <w:rPr>
          <w:rFonts w:ascii="Arial" w:hAnsi="Arial" w:cs="Arial"/>
          <w:b/>
          <w:color w:val="000000"/>
          <w:sz w:val="20"/>
          <w:szCs w:val="20"/>
        </w:rPr>
        <w:t>: Evidence to decision table supporting recommendations for omalizumab for severe eosinophilic asthma in adults (</w:t>
      </w:r>
      <w:r w:rsidR="0033289E">
        <w:rPr>
          <w:rFonts w:ascii="Arial" w:hAnsi="Arial" w:cs="Arial"/>
          <w:b/>
          <w:color w:val="000000"/>
          <w:sz w:val="20"/>
          <w:szCs w:val="20"/>
        </w:rPr>
        <w:t>QoL</w:t>
      </w:r>
      <w:r w:rsidRPr="0033289E">
        <w:rPr>
          <w:rFonts w:ascii="Arial" w:hAnsi="Arial" w:cs="Arial"/>
          <w:b/>
          <w:color w:val="000000"/>
          <w:sz w:val="20"/>
          <w:szCs w:val="20"/>
        </w:rPr>
        <w:t xml:space="preserve">, lung function, reduction in rescue </w:t>
      </w:r>
      <w:proofErr w:type="gramStart"/>
      <w:r w:rsidRPr="0033289E">
        <w:rPr>
          <w:rFonts w:ascii="Arial" w:hAnsi="Arial" w:cs="Arial"/>
          <w:b/>
          <w:color w:val="000000"/>
          <w:sz w:val="20"/>
          <w:szCs w:val="20"/>
        </w:rPr>
        <w:t>medication )</w:t>
      </w:r>
      <w:proofErr w:type="gramEnd"/>
    </w:p>
    <w:tbl>
      <w:tblPr>
        <w:tblW w:w="0" w:type="auto"/>
        <w:tblCellMar>
          <w:left w:w="0" w:type="dxa"/>
          <w:right w:w="0" w:type="dxa"/>
        </w:tblCellMar>
        <w:tblLook w:val="04A0" w:firstRow="1" w:lastRow="0" w:firstColumn="1" w:lastColumn="0" w:noHBand="0" w:noVBand="1"/>
      </w:tblPr>
      <w:tblGrid>
        <w:gridCol w:w="1975"/>
        <w:gridCol w:w="1701"/>
        <w:gridCol w:w="1843"/>
        <w:gridCol w:w="2126"/>
        <w:gridCol w:w="2178"/>
        <w:gridCol w:w="976"/>
        <w:gridCol w:w="815"/>
        <w:gridCol w:w="1804"/>
      </w:tblGrid>
      <w:tr w:rsidR="00785188" w:rsidRPr="00FA6274" w14:paraId="4B72F3C6" w14:textId="77777777" w:rsidTr="0033289E">
        <w:trPr>
          <w:trHeight w:val="19"/>
        </w:trPr>
        <w:tc>
          <w:tcPr>
            <w:tcW w:w="1975" w:type="dxa"/>
            <w:tcBorders>
              <w:top w:val="single" w:sz="8" w:space="0" w:color="FFFFFF"/>
              <w:left w:val="single" w:sz="8" w:space="0" w:color="FFFFFF"/>
              <w:bottom w:val="single" w:sz="24" w:space="0" w:color="FFFFFF"/>
              <w:right w:val="single" w:sz="8" w:space="0" w:color="FFFFFF"/>
            </w:tcBorders>
            <w:shd w:val="clear" w:color="auto" w:fill="5B9BD5"/>
            <w:tcMar>
              <w:top w:w="74" w:type="dxa"/>
              <w:left w:w="74" w:type="dxa"/>
              <w:bottom w:w="74" w:type="dxa"/>
              <w:right w:w="74" w:type="dxa"/>
            </w:tcMar>
            <w:vAlign w:val="center"/>
            <w:hideMark/>
          </w:tcPr>
          <w:p w14:paraId="7340C212" w14:textId="77777777" w:rsidR="00785188" w:rsidRPr="00FA6274" w:rsidRDefault="00785188" w:rsidP="0033289E">
            <w:pPr>
              <w:jc w:val="both"/>
              <w:rPr>
                <w:rFonts w:ascii="Arial" w:hAnsi="Arial" w:cs="Arial"/>
                <w:color w:val="000000"/>
                <w:sz w:val="16"/>
                <w:szCs w:val="16"/>
              </w:rPr>
            </w:pPr>
          </w:p>
        </w:tc>
        <w:tc>
          <w:tcPr>
            <w:tcW w:w="11443" w:type="dxa"/>
            <w:gridSpan w:val="7"/>
            <w:tcBorders>
              <w:top w:val="single" w:sz="8" w:space="0" w:color="FFFFFF"/>
              <w:left w:val="single" w:sz="8" w:space="0" w:color="FFFFFF"/>
              <w:bottom w:val="single" w:sz="24" w:space="0" w:color="FFFFFF"/>
              <w:right w:val="single" w:sz="8" w:space="0" w:color="FFFFFF"/>
            </w:tcBorders>
            <w:shd w:val="clear" w:color="auto" w:fill="5B9BD5"/>
            <w:tcMar>
              <w:top w:w="74" w:type="dxa"/>
              <w:left w:w="74" w:type="dxa"/>
              <w:bottom w:w="74" w:type="dxa"/>
              <w:right w:w="74" w:type="dxa"/>
            </w:tcMar>
            <w:vAlign w:val="center"/>
            <w:hideMark/>
          </w:tcPr>
          <w:p w14:paraId="166212AB" w14:textId="77777777" w:rsidR="00785188" w:rsidRPr="00FA6274" w:rsidRDefault="00785188" w:rsidP="0033289E">
            <w:pPr>
              <w:jc w:val="both"/>
              <w:rPr>
                <w:rFonts w:ascii="Arial" w:hAnsi="Arial" w:cs="Arial"/>
                <w:color w:val="000000"/>
                <w:sz w:val="16"/>
                <w:szCs w:val="16"/>
              </w:rPr>
            </w:pPr>
            <w:r w:rsidRPr="00FA6274">
              <w:rPr>
                <w:rFonts w:ascii="Arial" w:hAnsi="Arial" w:cs="Arial"/>
                <w:b/>
                <w:bCs/>
                <w:color w:val="000000"/>
                <w:sz w:val="16"/>
                <w:szCs w:val="16"/>
              </w:rPr>
              <w:t>Judgement</w:t>
            </w:r>
          </w:p>
        </w:tc>
      </w:tr>
      <w:tr w:rsidR="00785188" w:rsidRPr="00FA6274" w14:paraId="7ED76D82" w14:textId="77777777" w:rsidTr="0033289E">
        <w:trPr>
          <w:trHeight w:val="19"/>
        </w:trPr>
        <w:tc>
          <w:tcPr>
            <w:tcW w:w="1975" w:type="dxa"/>
            <w:tcBorders>
              <w:top w:val="single" w:sz="24"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13FEE1FA" w14:textId="77777777" w:rsidR="00785188" w:rsidRPr="00FA6274" w:rsidRDefault="00785188" w:rsidP="0033289E">
            <w:pPr>
              <w:jc w:val="both"/>
              <w:rPr>
                <w:rFonts w:ascii="Arial" w:hAnsi="Arial" w:cs="Arial"/>
                <w:color w:val="000000"/>
                <w:sz w:val="16"/>
                <w:szCs w:val="16"/>
              </w:rPr>
            </w:pPr>
            <w:r w:rsidRPr="00FA6274">
              <w:rPr>
                <w:rFonts w:ascii="Arial" w:hAnsi="Arial" w:cs="Arial"/>
                <w:b/>
                <w:bCs/>
                <w:color w:val="000000"/>
                <w:sz w:val="16"/>
                <w:szCs w:val="16"/>
              </w:rPr>
              <w:lastRenderedPageBreak/>
              <w:t>Problem (importance)</w:t>
            </w:r>
          </w:p>
        </w:tc>
        <w:tc>
          <w:tcPr>
            <w:tcW w:w="1701"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42FEEA4" w14:textId="77777777" w:rsidR="00785188" w:rsidRPr="00FA6274" w:rsidRDefault="00785188" w:rsidP="0033289E">
            <w:pPr>
              <w:jc w:val="both"/>
              <w:rPr>
                <w:rFonts w:ascii="Arial" w:hAnsi="Arial" w:cs="Arial"/>
                <w:color w:val="000000"/>
                <w:sz w:val="16"/>
                <w:szCs w:val="16"/>
              </w:rPr>
            </w:pPr>
            <w:r w:rsidRPr="00FA6274">
              <w:rPr>
                <w:rFonts w:ascii="Arial" w:hAnsi="Arial" w:cs="Arial"/>
                <w:color w:val="000000"/>
                <w:sz w:val="16"/>
                <w:szCs w:val="16"/>
              </w:rPr>
              <w:t>No</w:t>
            </w:r>
          </w:p>
        </w:tc>
        <w:tc>
          <w:tcPr>
            <w:tcW w:w="1843"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DE2D39C" w14:textId="77777777" w:rsidR="00785188" w:rsidRPr="00FA6274" w:rsidRDefault="00785188" w:rsidP="0033289E">
            <w:pPr>
              <w:jc w:val="both"/>
              <w:rPr>
                <w:rFonts w:ascii="Arial" w:hAnsi="Arial" w:cs="Arial"/>
                <w:color w:val="000000"/>
                <w:sz w:val="16"/>
                <w:szCs w:val="16"/>
              </w:rPr>
            </w:pPr>
            <w:r w:rsidRPr="00FA6274">
              <w:rPr>
                <w:rFonts w:ascii="Arial" w:hAnsi="Arial" w:cs="Arial"/>
                <w:color w:val="000000"/>
                <w:sz w:val="16"/>
                <w:szCs w:val="16"/>
              </w:rPr>
              <w:t>Probably no</w:t>
            </w:r>
          </w:p>
        </w:tc>
        <w:tc>
          <w:tcPr>
            <w:tcW w:w="2126"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1DCCCD4" w14:textId="77777777" w:rsidR="00785188" w:rsidRPr="00FA6274" w:rsidRDefault="00785188" w:rsidP="0033289E">
            <w:pPr>
              <w:jc w:val="both"/>
              <w:rPr>
                <w:rFonts w:ascii="Arial" w:hAnsi="Arial" w:cs="Arial"/>
                <w:color w:val="000000"/>
                <w:sz w:val="16"/>
                <w:szCs w:val="16"/>
              </w:rPr>
            </w:pPr>
            <w:r w:rsidRPr="00FA6274">
              <w:rPr>
                <w:rFonts w:ascii="Arial" w:hAnsi="Arial" w:cs="Arial"/>
                <w:color w:val="000000"/>
                <w:sz w:val="16"/>
                <w:szCs w:val="16"/>
              </w:rPr>
              <w:t>Probably yes</w:t>
            </w:r>
          </w:p>
        </w:tc>
        <w:tc>
          <w:tcPr>
            <w:tcW w:w="2178" w:type="dxa"/>
            <w:tcBorders>
              <w:top w:val="single" w:sz="24"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3EAAD3F5" w14:textId="77777777" w:rsidR="00785188" w:rsidRPr="00FA6274" w:rsidRDefault="00785188" w:rsidP="0033289E">
            <w:pPr>
              <w:jc w:val="both"/>
              <w:rPr>
                <w:rFonts w:ascii="Arial" w:hAnsi="Arial" w:cs="Arial"/>
                <w:color w:val="000000"/>
                <w:sz w:val="16"/>
                <w:szCs w:val="16"/>
              </w:rPr>
            </w:pPr>
            <w:r w:rsidRPr="00FA6274">
              <w:rPr>
                <w:rFonts w:ascii="Arial" w:hAnsi="Arial" w:cs="Arial"/>
                <w:color w:val="000000"/>
                <w:sz w:val="16"/>
                <w:szCs w:val="16"/>
              </w:rPr>
              <w:t>Yes</w:t>
            </w:r>
          </w:p>
        </w:tc>
        <w:tc>
          <w:tcPr>
            <w:tcW w:w="976"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A922A0F" w14:textId="77777777" w:rsidR="00785188" w:rsidRPr="00FA6274" w:rsidRDefault="00785188" w:rsidP="0033289E">
            <w:pPr>
              <w:jc w:val="both"/>
              <w:rPr>
                <w:rFonts w:ascii="Arial" w:hAnsi="Arial" w:cs="Arial"/>
                <w:color w:val="000000"/>
                <w:sz w:val="16"/>
                <w:szCs w:val="16"/>
              </w:rPr>
            </w:pPr>
          </w:p>
        </w:tc>
        <w:tc>
          <w:tcPr>
            <w:tcW w:w="815"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46442F1" w14:textId="77777777" w:rsidR="00785188" w:rsidRPr="00FA6274" w:rsidRDefault="00785188" w:rsidP="0033289E">
            <w:pPr>
              <w:jc w:val="both"/>
              <w:rPr>
                <w:rFonts w:ascii="Arial" w:hAnsi="Arial" w:cs="Arial"/>
                <w:color w:val="000000"/>
                <w:sz w:val="16"/>
                <w:szCs w:val="16"/>
              </w:rPr>
            </w:pPr>
            <w:r w:rsidRPr="00FA6274">
              <w:rPr>
                <w:rFonts w:ascii="Arial" w:hAnsi="Arial" w:cs="Arial"/>
                <w:color w:val="000000"/>
                <w:sz w:val="16"/>
                <w:szCs w:val="16"/>
              </w:rPr>
              <w:t>Varies</w:t>
            </w:r>
          </w:p>
        </w:tc>
        <w:tc>
          <w:tcPr>
            <w:tcW w:w="1804"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568C195" w14:textId="77777777" w:rsidR="00785188" w:rsidRPr="00FA6274" w:rsidRDefault="00785188" w:rsidP="0033289E">
            <w:pPr>
              <w:jc w:val="both"/>
              <w:rPr>
                <w:rFonts w:ascii="Arial" w:hAnsi="Arial" w:cs="Arial"/>
                <w:color w:val="000000"/>
                <w:sz w:val="16"/>
                <w:szCs w:val="16"/>
              </w:rPr>
            </w:pPr>
            <w:r w:rsidRPr="00FA6274">
              <w:rPr>
                <w:rFonts w:ascii="Arial" w:hAnsi="Arial" w:cs="Arial"/>
                <w:color w:val="000000"/>
                <w:sz w:val="16"/>
                <w:szCs w:val="16"/>
              </w:rPr>
              <w:t>Don't know</w:t>
            </w:r>
          </w:p>
        </w:tc>
      </w:tr>
      <w:tr w:rsidR="00785188" w:rsidRPr="00FA6274" w14:paraId="7A4813DB" w14:textId="77777777" w:rsidTr="0033289E">
        <w:trPr>
          <w:trHeight w:val="19"/>
        </w:trPr>
        <w:tc>
          <w:tcPr>
            <w:tcW w:w="1975"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29910226" w14:textId="77777777" w:rsidR="00785188" w:rsidRPr="00FA6274" w:rsidRDefault="00785188" w:rsidP="0033289E">
            <w:pPr>
              <w:jc w:val="both"/>
              <w:rPr>
                <w:rFonts w:ascii="Arial" w:hAnsi="Arial" w:cs="Arial"/>
                <w:color w:val="000000"/>
                <w:sz w:val="16"/>
                <w:szCs w:val="16"/>
              </w:rPr>
            </w:pPr>
            <w:r w:rsidRPr="00FA6274">
              <w:rPr>
                <w:rFonts w:ascii="Arial" w:hAnsi="Arial" w:cs="Arial"/>
                <w:b/>
                <w:bCs/>
                <w:color w:val="000000"/>
                <w:sz w:val="16"/>
                <w:szCs w:val="16"/>
              </w:rPr>
              <w:t>Desirable Effects</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B0C3144" w14:textId="77777777" w:rsidR="00785188" w:rsidRPr="00FA6274" w:rsidRDefault="00785188" w:rsidP="0033289E">
            <w:pPr>
              <w:jc w:val="both"/>
              <w:rPr>
                <w:rFonts w:ascii="Arial" w:hAnsi="Arial" w:cs="Arial"/>
                <w:color w:val="000000"/>
                <w:sz w:val="16"/>
                <w:szCs w:val="16"/>
              </w:rPr>
            </w:pPr>
            <w:r w:rsidRPr="00FA6274">
              <w:rPr>
                <w:rFonts w:ascii="Arial" w:hAnsi="Arial" w:cs="Arial"/>
                <w:color w:val="000000"/>
                <w:sz w:val="16"/>
                <w:szCs w:val="16"/>
              </w:rPr>
              <w:t>Trivial</w:t>
            </w:r>
          </w:p>
        </w:tc>
        <w:tc>
          <w:tcPr>
            <w:tcW w:w="1843"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DCABFCA" w14:textId="77777777" w:rsidR="00785188" w:rsidRPr="00FA6274" w:rsidRDefault="00785188" w:rsidP="0033289E">
            <w:pPr>
              <w:jc w:val="both"/>
              <w:rPr>
                <w:rFonts w:ascii="Arial" w:hAnsi="Arial" w:cs="Arial"/>
                <w:color w:val="000000"/>
                <w:sz w:val="16"/>
                <w:szCs w:val="16"/>
              </w:rPr>
            </w:pPr>
            <w:r w:rsidRPr="00FA6274">
              <w:rPr>
                <w:rFonts w:ascii="Arial" w:hAnsi="Arial" w:cs="Arial"/>
                <w:color w:val="000000"/>
                <w:sz w:val="16"/>
                <w:szCs w:val="16"/>
              </w:rPr>
              <w:t>Small</w:t>
            </w:r>
          </w:p>
        </w:tc>
        <w:tc>
          <w:tcPr>
            <w:tcW w:w="212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62C8A2A" w14:textId="77777777" w:rsidR="00785188" w:rsidRPr="00FA6274" w:rsidRDefault="00785188" w:rsidP="0033289E">
            <w:pPr>
              <w:jc w:val="both"/>
              <w:rPr>
                <w:rFonts w:ascii="Arial" w:hAnsi="Arial" w:cs="Arial"/>
                <w:color w:val="000000"/>
                <w:sz w:val="16"/>
                <w:szCs w:val="16"/>
              </w:rPr>
            </w:pPr>
            <w:r w:rsidRPr="00FA6274">
              <w:rPr>
                <w:rFonts w:ascii="Arial" w:hAnsi="Arial" w:cs="Arial"/>
                <w:color w:val="000000"/>
                <w:sz w:val="16"/>
                <w:szCs w:val="16"/>
              </w:rPr>
              <w:t>Moderate</w:t>
            </w:r>
          </w:p>
        </w:tc>
        <w:tc>
          <w:tcPr>
            <w:tcW w:w="2178"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35BD48AC" w14:textId="77777777" w:rsidR="00785188" w:rsidRPr="00FA6274" w:rsidRDefault="00785188" w:rsidP="0033289E">
            <w:pPr>
              <w:jc w:val="both"/>
              <w:rPr>
                <w:rFonts w:ascii="Arial" w:hAnsi="Arial" w:cs="Arial"/>
                <w:color w:val="000000"/>
                <w:sz w:val="16"/>
                <w:szCs w:val="16"/>
              </w:rPr>
            </w:pPr>
            <w:r w:rsidRPr="00FA6274">
              <w:rPr>
                <w:rFonts w:ascii="Arial" w:hAnsi="Arial" w:cs="Arial"/>
                <w:color w:val="000000"/>
                <w:sz w:val="16"/>
                <w:szCs w:val="16"/>
              </w:rPr>
              <w:t>Large</w:t>
            </w:r>
          </w:p>
        </w:tc>
        <w:tc>
          <w:tcPr>
            <w:tcW w:w="9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999B90A" w14:textId="77777777" w:rsidR="00785188" w:rsidRPr="00FA6274" w:rsidRDefault="00785188" w:rsidP="0033289E">
            <w:pPr>
              <w:jc w:val="both"/>
              <w:rPr>
                <w:rFonts w:ascii="Arial" w:hAnsi="Arial" w:cs="Arial"/>
                <w:color w:val="000000"/>
                <w:sz w:val="16"/>
                <w:szCs w:val="16"/>
              </w:rPr>
            </w:pPr>
          </w:p>
        </w:tc>
        <w:tc>
          <w:tcPr>
            <w:tcW w:w="81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95C8435" w14:textId="77777777" w:rsidR="00785188" w:rsidRPr="00FA6274" w:rsidRDefault="00785188" w:rsidP="0033289E">
            <w:pPr>
              <w:jc w:val="both"/>
              <w:rPr>
                <w:rFonts w:ascii="Arial" w:hAnsi="Arial" w:cs="Arial"/>
                <w:color w:val="000000"/>
                <w:sz w:val="16"/>
                <w:szCs w:val="16"/>
              </w:rPr>
            </w:pPr>
            <w:r w:rsidRPr="00FA6274">
              <w:rPr>
                <w:rFonts w:ascii="Arial" w:hAnsi="Arial" w:cs="Arial"/>
                <w:color w:val="000000"/>
                <w:sz w:val="16"/>
                <w:szCs w:val="16"/>
              </w:rPr>
              <w:t>Varies</w:t>
            </w:r>
          </w:p>
        </w:tc>
        <w:tc>
          <w:tcPr>
            <w:tcW w:w="180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D48BB59" w14:textId="77777777" w:rsidR="00785188" w:rsidRPr="00FA6274" w:rsidRDefault="00785188" w:rsidP="0033289E">
            <w:pPr>
              <w:jc w:val="both"/>
              <w:rPr>
                <w:rFonts w:ascii="Arial" w:hAnsi="Arial" w:cs="Arial"/>
                <w:color w:val="000000"/>
                <w:sz w:val="16"/>
                <w:szCs w:val="16"/>
              </w:rPr>
            </w:pPr>
            <w:r w:rsidRPr="00FA6274">
              <w:rPr>
                <w:rFonts w:ascii="Arial" w:hAnsi="Arial" w:cs="Arial"/>
                <w:color w:val="000000"/>
                <w:sz w:val="16"/>
                <w:szCs w:val="16"/>
              </w:rPr>
              <w:t>Don't know</w:t>
            </w:r>
          </w:p>
        </w:tc>
      </w:tr>
      <w:tr w:rsidR="00785188" w:rsidRPr="00FA6274" w14:paraId="5E25BE4B" w14:textId="77777777" w:rsidTr="0033289E">
        <w:trPr>
          <w:trHeight w:val="19"/>
        </w:trPr>
        <w:tc>
          <w:tcPr>
            <w:tcW w:w="1975"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3A2EA02F" w14:textId="77777777" w:rsidR="00785188" w:rsidRPr="00FA6274" w:rsidRDefault="00785188" w:rsidP="0033289E">
            <w:pPr>
              <w:jc w:val="both"/>
              <w:rPr>
                <w:rFonts w:ascii="Arial" w:hAnsi="Arial" w:cs="Arial"/>
                <w:color w:val="000000"/>
                <w:sz w:val="16"/>
                <w:szCs w:val="16"/>
              </w:rPr>
            </w:pPr>
            <w:r w:rsidRPr="00FA6274">
              <w:rPr>
                <w:rFonts w:ascii="Arial" w:hAnsi="Arial" w:cs="Arial"/>
                <w:b/>
                <w:bCs/>
                <w:color w:val="000000"/>
                <w:sz w:val="16"/>
                <w:szCs w:val="16"/>
              </w:rPr>
              <w:t>Undesirable Effects</w:t>
            </w: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9C40D02" w14:textId="77777777" w:rsidR="00785188" w:rsidRPr="00FA6274" w:rsidRDefault="00785188" w:rsidP="0033289E">
            <w:pPr>
              <w:jc w:val="both"/>
              <w:rPr>
                <w:rFonts w:ascii="Arial" w:hAnsi="Arial" w:cs="Arial"/>
                <w:color w:val="000000"/>
                <w:sz w:val="16"/>
                <w:szCs w:val="16"/>
              </w:rPr>
            </w:pPr>
            <w:r w:rsidRPr="00FA6274">
              <w:rPr>
                <w:rFonts w:ascii="Arial" w:hAnsi="Arial" w:cs="Arial"/>
                <w:color w:val="000000"/>
                <w:sz w:val="16"/>
                <w:szCs w:val="16"/>
              </w:rPr>
              <w:t>Large</w:t>
            </w:r>
          </w:p>
        </w:tc>
        <w:tc>
          <w:tcPr>
            <w:tcW w:w="1843"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133C8B6" w14:textId="77777777" w:rsidR="00785188" w:rsidRPr="00FA6274" w:rsidRDefault="00785188" w:rsidP="0033289E">
            <w:pPr>
              <w:jc w:val="both"/>
              <w:rPr>
                <w:rFonts w:ascii="Arial" w:hAnsi="Arial" w:cs="Arial"/>
                <w:color w:val="000000"/>
                <w:sz w:val="16"/>
                <w:szCs w:val="16"/>
              </w:rPr>
            </w:pPr>
            <w:r w:rsidRPr="00FA6274">
              <w:rPr>
                <w:rFonts w:ascii="Arial" w:hAnsi="Arial" w:cs="Arial"/>
                <w:color w:val="000000"/>
                <w:sz w:val="16"/>
                <w:szCs w:val="16"/>
              </w:rPr>
              <w:t>Moderate</w:t>
            </w:r>
          </w:p>
        </w:tc>
        <w:tc>
          <w:tcPr>
            <w:tcW w:w="2126"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1AA7D6CB" w14:textId="77777777" w:rsidR="00785188" w:rsidRPr="00FA6274" w:rsidRDefault="00785188" w:rsidP="0033289E">
            <w:pPr>
              <w:jc w:val="both"/>
              <w:rPr>
                <w:rFonts w:ascii="Arial" w:hAnsi="Arial" w:cs="Arial"/>
                <w:color w:val="000000"/>
                <w:sz w:val="16"/>
                <w:szCs w:val="16"/>
              </w:rPr>
            </w:pPr>
            <w:r w:rsidRPr="00FA6274">
              <w:rPr>
                <w:rFonts w:ascii="Arial" w:hAnsi="Arial" w:cs="Arial"/>
                <w:color w:val="000000"/>
                <w:sz w:val="16"/>
                <w:szCs w:val="16"/>
              </w:rPr>
              <w:t>Small</w:t>
            </w:r>
          </w:p>
        </w:tc>
        <w:tc>
          <w:tcPr>
            <w:tcW w:w="2178"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3E7FA12" w14:textId="77777777" w:rsidR="00785188" w:rsidRPr="00FA6274" w:rsidRDefault="00785188" w:rsidP="0033289E">
            <w:pPr>
              <w:jc w:val="both"/>
              <w:rPr>
                <w:rFonts w:ascii="Arial" w:hAnsi="Arial" w:cs="Arial"/>
                <w:color w:val="000000"/>
                <w:sz w:val="16"/>
                <w:szCs w:val="16"/>
              </w:rPr>
            </w:pPr>
            <w:r w:rsidRPr="00FA6274">
              <w:rPr>
                <w:rFonts w:ascii="Arial" w:hAnsi="Arial" w:cs="Arial"/>
                <w:color w:val="000000"/>
                <w:sz w:val="16"/>
                <w:szCs w:val="16"/>
              </w:rPr>
              <w:t>Trivial</w:t>
            </w:r>
          </w:p>
        </w:tc>
        <w:tc>
          <w:tcPr>
            <w:tcW w:w="97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5715396" w14:textId="77777777" w:rsidR="00785188" w:rsidRPr="00FA6274" w:rsidRDefault="00785188" w:rsidP="0033289E">
            <w:pPr>
              <w:jc w:val="both"/>
              <w:rPr>
                <w:rFonts w:ascii="Arial" w:hAnsi="Arial" w:cs="Arial"/>
                <w:color w:val="000000"/>
                <w:sz w:val="16"/>
                <w:szCs w:val="16"/>
              </w:rPr>
            </w:pPr>
          </w:p>
        </w:tc>
        <w:tc>
          <w:tcPr>
            <w:tcW w:w="815"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7A09388" w14:textId="77777777" w:rsidR="00785188" w:rsidRPr="00FA6274" w:rsidRDefault="00785188" w:rsidP="0033289E">
            <w:pPr>
              <w:jc w:val="both"/>
              <w:rPr>
                <w:rFonts w:ascii="Arial" w:hAnsi="Arial" w:cs="Arial"/>
                <w:color w:val="000000"/>
                <w:sz w:val="16"/>
                <w:szCs w:val="16"/>
              </w:rPr>
            </w:pPr>
            <w:r w:rsidRPr="00FA6274">
              <w:rPr>
                <w:rFonts w:ascii="Arial" w:hAnsi="Arial" w:cs="Arial"/>
                <w:color w:val="000000"/>
                <w:sz w:val="16"/>
                <w:szCs w:val="16"/>
              </w:rPr>
              <w:t>Varies</w:t>
            </w:r>
          </w:p>
        </w:tc>
        <w:tc>
          <w:tcPr>
            <w:tcW w:w="180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648B3C7" w14:textId="77777777" w:rsidR="00785188" w:rsidRPr="00FA6274" w:rsidRDefault="00785188" w:rsidP="0033289E">
            <w:pPr>
              <w:jc w:val="both"/>
              <w:rPr>
                <w:rFonts w:ascii="Arial" w:hAnsi="Arial" w:cs="Arial"/>
                <w:color w:val="000000"/>
                <w:sz w:val="16"/>
                <w:szCs w:val="16"/>
              </w:rPr>
            </w:pPr>
            <w:r w:rsidRPr="00FA6274">
              <w:rPr>
                <w:rFonts w:ascii="Arial" w:hAnsi="Arial" w:cs="Arial"/>
                <w:color w:val="000000"/>
                <w:sz w:val="16"/>
                <w:szCs w:val="16"/>
              </w:rPr>
              <w:t>Don't know</w:t>
            </w:r>
          </w:p>
        </w:tc>
      </w:tr>
      <w:tr w:rsidR="00785188" w:rsidRPr="00FA6274" w14:paraId="05C6FF1E" w14:textId="77777777" w:rsidTr="0033289E">
        <w:trPr>
          <w:trHeight w:val="19"/>
        </w:trPr>
        <w:tc>
          <w:tcPr>
            <w:tcW w:w="1975"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69023DC0" w14:textId="77777777" w:rsidR="00785188" w:rsidRPr="00FA6274" w:rsidRDefault="00785188" w:rsidP="0033289E">
            <w:pPr>
              <w:jc w:val="both"/>
              <w:rPr>
                <w:rFonts w:ascii="Arial" w:hAnsi="Arial" w:cs="Arial"/>
                <w:color w:val="000000"/>
                <w:sz w:val="16"/>
                <w:szCs w:val="16"/>
              </w:rPr>
            </w:pPr>
            <w:r w:rsidRPr="00FA6274">
              <w:rPr>
                <w:rFonts w:ascii="Arial" w:hAnsi="Arial" w:cs="Arial"/>
                <w:b/>
                <w:bCs/>
                <w:color w:val="000000"/>
                <w:sz w:val="16"/>
                <w:szCs w:val="16"/>
              </w:rPr>
              <w:t>Certainty of evidence</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607EE48" w14:textId="77777777" w:rsidR="00785188" w:rsidRPr="00FA6274" w:rsidRDefault="00785188" w:rsidP="0033289E">
            <w:pPr>
              <w:jc w:val="both"/>
              <w:rPr>
                <w:rFonts w:ascii="Arial" w:hAnsi="Arial" w:cs="Arial"/>
                <w:color w:val="000000"/>
                <w:sz w:val="16"/>
                <w:szCs w:val="16"/>
              </w:rPr>
            </w:pPr>
            <w:r w:rsidRPr="00FA6274">
              <w:rPr>
                <w:rFonts w:ascii="Arial" w:hAnsi="Arial" w:cs="Arial"/>
                <w:color w:val="000000"/>
                <w:sz w:val="16"/>
                <w:szCs w:val="16"/>
              </w:rPr>
              <w:t>Very low</w:t>
            </w:r>
          </w:p>
        </w:tc>
        <w:tc>
          <w:tcPr>
            <w:tcW w:w="1843"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94CF97A" w14:textId="77777777" w:rsidR="00785188" w:rsidRPr="00FA6274" w:rsidRDefault="00785188" w:rsidP="0033289E">
            <w:pPr>
              <w:jc w:val="both"/>
              <w:rPr>
                <w:rFonts w:ascii="Arial" w:hAnsi="Arial" w:cs="Arial"/>
                <w:color w:val="000000"/>
                <w:sz w:val="16"/>
                <w:szCs w:val="16"/>
              </w:rPr>
            </w:pPr>
            <w:r w:rsidRPr="00FA6274">
              <w:rPr>
                <w:rFonts w:ascii="Arial" w:hAnsi="Arial" w:cs="Arial"/>
                <w:color w:val="000000"/>
                <w:sz w:val="16"/>
                <w:szCs w:val="16"/>
              </w:rPr>
              <w:t>Low</w:t>
            </w:r>
          </w:p>
        </w:tc>
        <w:tc>
          <w:tcPr>
            <w:tcW w:w="2126"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290B9570" w14:textId="77777777" w:rsidR="00785188" w:rsidRPr="00FA6274" w:rsidRDefault="00785188" w:rsidP="0033289E">
            <w:pPr>
              <w:jc w:val="both"/>
              <w:rPr>
                <w:rFonts w:ascii="Arial" w:hAnsi="Arial" w:cs="Arial"/>
                <w:color w:val="000000"/>
                <w:sz w:val="16"/>
                <w:szCs w:val="16"/>
              </w:rPr>
            </w:pPr>
            <w:r w:rsidRPr="00FA6274">
              <w:rPr>
                <w:rFonts w:ascii="Arial" w:hAnsi="Arial" w:cs="Arial"/>
                <w:color w:val="000000"/>
                <w:sz w:val="16"/>
                <w:szCs w:val="16"/>
              </w:rPr>
              <w:t>Moderate</w:t>
            </w:r>
          </w:p>
        </w:tc>
        <w:tc>
          <w:tcPr>
            <w:tcW w:w="2178" w:type="dxa"/>
            <w:tcBorders>
              <w:top w:val="single" w:sz="8" w:space="0" w:color="FFFFFF"/>
              <w:left w:val="single" w:sz="8" w:space="0" w:color="FFFFFF"/>
              <w:bottom w:val="single" w:sz="8" w:space="0" w:color="FFFFFF"/>
              <w:right w:val="single" w:sz="8" w:space="0" w:color="FFFFFF"/>
            </w:tcBorders>
            <w:shd w:val="clear" w:color="auto" w:fill="auto"/>
            <w:tcMar>
              <w:top w:w="74" w:type="dxa"/>
              <w:left w:w="74" w:type="dxa"/>
              <w:bottom w:w="74" w:type="dxa"/>
              <w:right w:w="74" w:type="dxa"/>
            </w:tcMar>
            <w:vAlign w:val="center"/>
            <w:hideMark/>
          </w:tcPr>
          <w:p w14:paraId="3C70B48B" w14:textId="77777777" w:rsidR="00785188" w:rsidRPr="00FA6274" w:rsidRDefault="00785188" w:rsidP="0033289E">
            <w:pPr>
              <w:jc w:val="both"/>
              <w:rPr>
                <w:rFonts w:ascii="Arial" w:hAnsi="Arial" w:cs="Arial"/>
                <w:color w:val="000000"/>
                <w:sz w:val="16"/>
                <w:szCs w:val="16"/>
              </w:rPr>
            </w:pPr>
            <w:r w:rsidRPr="00FA6274">
              <w:rPr>
                <w:rFonts w:ascii="Arial" w:hAnsi="Arial" w:cs="Arial"/>
                <w:color w:val="000000"/>
                <w:sz w:val="16"/>
                <w:szCs w:val="16"/>
              </w:rPr>
              <w:t>High</w:t>
            </w:r>
          </w:p>
        </w:tc>
        <w:tc>
          <w:tcPr>
            <w:tcW w:w="9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ACAFD94" w14:textId="77777777" w:rsidR="00785188" w:rsidRPr="00FA6274" w:rsidRDefault="00785188" w:rsidP="0033289E">
            <w:pPr>
              <w:jc w:val="both"/>
              <w:rPr>
                <w:rFonts w:ascii="Arial" w:hAnsi="Arial" w:cs="Arial"/>
                <w:color w:val="000000"/>
                <w:sz w:val="16"/>
                <w:szCs w:val="16"/>
              </w:rPr>
            </w:pPr>
          </w:p>
        </w:tc>
        <w:tc>
          <w:tcPr>
            <w:tcW w:w="81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86F02BC" w14:textId="77777777" w:rsidR="00785188" w:rsidRPr="00FA6274" w:rsidRDefault="00785188" w:rsidP="0033289E">
            <w:pPr>
              <w:jc w:val="both"/>
              <w:rPr>
                <w:rFonts w:ascii="Arial" w:hAnsi="Arial" w:cs="Arial"/>
                <w:color w:val="000000"/>
                <w:sz w:val="16"/>
                <w:szCs w:val="16"/>
              </w:rPr>
            </w:pPr>
          </w:p>
        </w:tc>
        <w:tc>
          <w:tcPr>
            <w:tcW w:w="180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5C8DCB0" w14:textId="58D6AC4E" w:rsidR="00785188" w:rsidRPr="00FA6274" w:rsidRDefault="00785188" w:rsidP="0033289E">
            <w:pPr>
              <w:jc w:val="both"/>
              <w:rPr>
                <w:rFonts w:ascii="Arial" w:hAnsi="Arial" w:cs="Arial"/>
                <w:color w:val="000000"/>
                <w:sz w:val="16"/>
                <w:szCs w:val="16"/>
              </w:rPr>
            </w:pPr>
            <w:r w:rsidRPr="00FA6274">
              <w:rPr>
                <w:rFonts w:ascii="Arial" w:hAnsi="Arial" w:cs="Arial"/>
                <w:color w:val="000000"/>
                <w:sz w:val="16"/>
                <w:szCs w:val="16"/>
              </w:rPr>
              <w:t xml:space="preserve">No </w:t>
            </w:r>
            <w:r w:rsidR="0033289E" w:rsidRPr="00FA6274">
              <w:rPr>
                <w:rFonts w:ascii="Arial" w:hAnsi="Arial" w:cs="Arial"/>
                <w:color w:val="000000"/>
                <w:sz w:val="16"/>
                <w:szCs w:val="16"/>
              </w:rPr>
              <w:t xml:space="preserve">studies </w:t>
            </w:r>
            <w:r w:rsidRPr="00FA6274">
              <w:rPr>
                <w:rFonts w:ascii="Arial" w:hAnsi="Arial" w:cs="Arial"/>
                <w:color w:val="000000"/>
                <w:sz w:val="16"/>
                <w:szCs w:val="16"/>
              </w:rPr>
              <w:t xml:space="preserve">included </w:t>
            </w:r>
          </w:p>
        </w:tc>
      </w:tr>
      <w:tr w:rsidR="00785188" w:rsidRPr="00FA6274" w14:paraId="3B8EC988" w14:textId="77777777" w:rsidTr="0033289E">
        <w:trPr>
          <w:trHeight w:val="281"/>
        </w:trPr>
        <w:tc>
          <w:tcPr>
            <w:tcW w:w="1975"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3E35D7B3" w14:textId="77777777" w:rsidR="00785188" w:rsidRPr="00FA6274" w:rsidRDefault="00785188" w:rsidP="0033289E">
            <w:pPr>
              <w:jc w:val="both"/>
              <w:rPr>
                <w:rFonts w:ascii="Arial" w:hAnsi="Arial" w:cs="Arial"/>
                <w:color w:val="000000"/>
                <w:sz w:val="16"/>
                <w:szCs w:val="16"/>
              </w:rPr>
            </w:pPr>
            <w:r w:rsidRPr="00FA6274">
              <w:rPr>
                <w:rFonts w:ascii="Arial" w:hAnsi="Arial" w:cs="Arial"/>
                <w:b/>
                <w:bCs/>
                <w:color w:val="000000"/>
                <w:sz w:val="16"/>
                <w:szCs w:val="16"/>
              </w:rPr>
              <w:t>Values</w:t>
            </w: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2A0B18A" w14:textId="77777777" w:rsidR="00785188" w:rsidRPr="00FA6274" w:rsidRDefault="00785188" w:rsidP="0033289E">
            <w:pPr>
              <w:jc w:val="both"/>
              <w:rPr>
                <w:rFonts w:ascii="Arial" w:hAnsi="Arial" w:cs="Arial"/>
                <w:color w:val="000000"/>
                <w:sz w:val="16"/>
                <w:szCs w:val="16"/>
              </w:rPr>
            </w:pPr>
            <w:r w:rsidRPr="00FA6274">
              <w:rPr>
                <w:rFonts w:ascii="Arial" w:hAnsi="Arial" w:cs="Arial"/>
                <w:color w:val="000000"/>
                <w:sz w:val="16"/>
                <w:szCs w:val="16"/>
              </w:rPr>
              <w:t>Important uncertainty or variability</w:t>
            </w:r>
          </w:p>
        </w:tc>
        <w:tc>
          <w:tcPr>
            <w:tcW w:w="1843"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9C7C7DC" w14:textId="77777777" w:rsidR="00785188" w:rsidRPr="00FA6274" w:rsidRDefault="00785188" w:rsidP="0033289E">
            <w:pPr>
              <w:jc w:val="both"/>
              <w:rPr>
                <w:rFonts w:ascii="Arial" w:hAnsi="Arial" w:cs="Arial"/>
                <w:color w:val="000000"/>
                <w:sz w:val="16"/>
                <w:szCs w:val="16"/>
              </w:rPr>
            </w:pPr>
            <w:r w:rsidRPr="00FA6274">
              <w:rPr>
                <w:rFonts w:ascii="Arial" w:hAnsi="Arial" w:cs="Arial"/>
                <w:color w:val="000000"/>
                <w:sz w:val="16"/>
                <w:szCs w:val="16"/>
              </w:rPr>
              <w:t>Possibly important uncertainty or variability</w:t>
            </w:r>
          </w:p>
        </w:tc>
        <w:tc>
          <w:tcPr>
            <w:tcW w:w="212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04B1CC2" w14:textId="77777777" w:rsidR="00785188" w:rsidRPr="00FA6274" w:rsidRDefault="00785188" w:rsidP="0033289E">
            <w:pPr>
              <w:jc w:val="both"/>
              <w:rPr>
                <w:rFonts w:ascii="Arial" w:hAnsi="Arial" w:cs="Arial"/>
                <w:color w:val="000000"/>
                <w:sz w:val="16"/>
                <w:szCs w:val="16"/>
              </w:rPr>
            </w:pPr>
            <w:r w:rsidRPr="00FA6274">
              <w:rPr>
                <w:rFonts w:ascii="Arial" w:hAnsi="Arial" w:cs="Arial"/>
                <w:color w:val="000000"/>
                <w:sz w:val="16"/>
                <w:szCs w:val="16"/>
              </w:rPr>
              <w:t>Probably no important uncertainty or variability</w:t>
            </w:r>
          </w:p>
        </w:tc>
        <w:tc>
          <w:tcPr>
            <w:tcW w:w="2178"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3C9B3683" w14:textId="77777777" w:rsidR="00785188" w:rsidRPr="00FA6274" w:rsidRDefault="00785188" w:rsidP="0033289E">
            <w:pPr>
              <w:jc w:val="both"/>
              <w:rPr>
                <w:rFonts w:ascii="Arial" w:hAnsi="Arial" w:cs="Arial"/>
                <w:color w:val="000000"/>
                <w:sz w:val="16"/>
                <w:szCs w:val="16"/>
              </w:rPr>
            </w:pPr>
            <w:r w:rsidRPr="00FA6274">
              <w:rPr>
                <w:rFonts w:ascii="Arial" w:hAnsi="Arial" w:cs="Arial"/>
                <w:color w:val="000000"/>
                <w:sz w:val="16"/>
                <w:szCs w:val="16"/>
              </w:rPr>
              <w:t>no important uncertainty or variability</w:t>
            </w:r>
          </w:p>
        </w:tc>
        <w:tc>
          <w:tcPr>
            <w:tcW w:w="97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98718FB" w14:textId="77777777" w:rsidR="00785188" w:rsidRPr="00FA6274" w:rsidRDefault="00785188" w:rsidP="0033289E">
            <w:pPr>
              <w:jc w:val="both"/>
              <w:rPr>
                <w:rFonts w:ascii="Arial" w:hAnsi="Arial" w:cs="Arial"/>
                <w:color w:val="000000"/>
                <w:sz w:val="16"/>
                <w:szCs w:val="16"/>
              </w:rPr>
            </w:pPr>
          </w:p>
        </w:tc>
        <w:tc>
          <w:tcPr>
            <w:tcW w:w="815"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ED62369" w14:textId="77777777" w:rsidR="00785188" w:rsidRPr="00FA6274" w:rsidRDefault="00785188" w:rsidP="0033289E">
            <w:pPr>
              <w:jc w:val="both"/>
              <w:rPr>
                <w:rFonts w:ascii="Arial" w:hAnsi="Arial" w:cs="Arial"/>
                <w:color w:val="000000"/>
                <w:sz w:val="16"/>
                <w:szCs w:val="16"/>
              </w:rPr>
            </w:pPr>
          </w:p>
        </w:tc>
        <w:tc>
          <w:tcPr>
            <w:tcW w:w="180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8193EE6" w14:textId="77777777" w:rsidR="00785188" w:rsidRPr="00FA6274" w:rsidRDefault="00785188" w:rsidP="0033289E">
            <w:pPr>
              <w:jc w:val="both"/>
              <w:rPr>
                <w:rFonts w:ascii="Arial" w:hAnsi="Arial" w:cs="Arial"/>
                <w:color w:val="000000"/>
                <w:sz w:val="16"/>
                <w:szCs w:val="16"/>
              </w:rPr>
            </w:pPr>
          </w:p>
        </w:tc>
      </w:tr>
      <w:tr w:rsidR="00785188" w:rsidRPr="00FA6274" w14:paraId="004643A7" w14:textId="77777777" w:rsidTr="0033289E">
        <w:trPr>
          <w:trHeight w:val="226"/>
        </w:trPr>
        <w:tc>
          <w:tcPr>
            <w:tcW w:w="1975"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6FD64749" w14:textId="77777777" w:rsidR="00785188" w:rsidRPr="00FA6274" w:rsidRDefault="00785188" w:rsidP="0033289E">
            <w:pPr>
              <w:jc w:val="both"/>
              <w:rPr>
                <w:rFonts w:ascii="Arial" w:hAnsi="Arial" w:cs="Arial"/>
                <w:color w:val="000000"/>
                <w:sz w:val="16"/>
                <w:szCs w:val="16"/>
              </w:rPr>
            </w:pPr>
            <w:r w:rsidRPr="00FA6274">
              <w:rPr>
                <w:rFonts w:ascii="Arial" w:hAnsi="Arial" w:cs="Arial"/>
                <w:b/>
                <w:bCs/>
                <w:color w:val="000000"/>
                <w:sz w:val="16"/>
                <w:szCs w:val="16"/>
              </w:rPr>
              <w:t>Balance of effects</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A79B668" w14:textId="77777777" w:rsidR="00785188" w:rsidRPr="00FA6274" w:rsidRDefault="00785188" w:rsidP="0033289E">
            <w:pPr>
              <w:jc w:val="both"/>
              <w:rPr>
                <w:rFonts w:ascii="Arial" w:hAnsi="Arial" w:cs="Arial"/>
                <w:color w:val="000000"/>
                <w:sz w:val="16"/>
                <w:szCs w:val="16"/>
              </w:rPr>
            </w:pPr>
            <w:r w:rsidRPr="00FA6274">
              <w:rPr>
                <w:rFonts w:ascii="Arial" w:hAnsi="Arial" w:cs="Arial"/>
                <w:color w:val="000000"/>
                <w:sz w:val="16"/>
                <w:szCs w:val="16"/>
              </w:rPr>
              <w:t>Favors the comparison</w:t>
            </w:r>
          </w:p>
        </w:tc>
        <w:tc>
          <w:tcPr>
            <w:tcW w:w="1843"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A57630F" w14:textId="77777777" w:rsidR="00785188" w:rsidRPr="00FA6274" w:rsidRDefault="00785188" w:rsidP="0033289E">
            <w:pPr>
              <w:jc w:val="both"/>
              <w:rPr>
                <w:rFonts w:ascii="Arial" w:hAnsi="Arial" w:cs="Arial"/>
                <w:color w:val="000000"/>
                <w:sz w:val="16"/>
                <w:szCs w:val="16"/>
              </w:rPr>
            </w:pPr>
            <w:r w:rsidRPr="00FA6274">
              <w:rPr>
                <w:rFonts w:ascii="Arial" w:hAnsi="Arial" w:cs="Arial"/>
                <w:color w:val="000000"/>
                <w:sz w:val="16"/>
                <w:szCs w:val="16"/>
              </w:rPr>
              <w:t>Probably favors the comparison</w:t>
            </w:r>
          </w:p>
        </w:tc>
        <w:tc>
          <w:tcPr>
            <w:tcW w:w="212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58027E5" w14:textId="77777777" w:rsidR="00785188" w:rsidRPr="00FA6274" w:rsidRDefault="00785188" w:rsidP="0033289E">
            <w:pPr>
              <w:jc w:val="both"/>
              <w:rPr>
                <w:rFonts w:ascii="Arial" w:hAnsi="Arial" w:cs="Arial"/>
                <w:color w:val="000000"/>
                <w:sz w:val="16"/>
                <w:szCs w:val="16"/>
              </w:rPr>
            </w:pPr>
            <w:r w:rsidRPr="00FA6274">
              <w:rPr>
                <w:rFonts w:ascii="Arial" w:hAnsi="Arial" w:cs="Arial"/>
                <w:color w:val="000000"/>
                <w:sz w:val="16"/>
                <w:szCs w:val="16"/>
              </w:rPr>
              <w:t>Does not favor either the intervention or the comparison</w:t>
            </w:r>
          </w:p>
        </w:tc>
        <w:tc>
          <w:tcPr>
            <w:tcW w:w="2178"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20872FF8" w14:textId="77777777" w:rsidR="00785188" w:rsidRPr="00FA6274" w:rsidRDefault="00785188" w:rsidP="0033289E">
            <w:pPr>
              <w:jc w:val="both"/>
              <w:rPr>
                <w:rFonts w:ascii="Arial" w:hAnsi="Arial" w:cs="Arial"/>
                <w:color w:val="000000"/>
                <w:sz w:val="16"/>
                <w:szCs w:val="16"/>
              </w:rPr>
            </w:pPr>
            <w:r w:rsidRPr="00FA6274">
              <w:rPr>
                <w:rFonts w:ascii="Arial" w:hAnsi="Arial" w:cs="Arial"/>
                <w:color w:val="000000"/>
                <w:sz w:val="16"/>
                <w:szCs w:val="16"/>
              </w:rPr>
              <w:t>Probably favors the intervention</w:t>
            </w:r>
          </w:p>
        </w:tc>
        <w:tc>
          <w:tcPr>
            <w:tcW w:w="9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4" w:type="dxa"/>
              <w:left w:w="74" w:type="dxa"/>
              <w:bottom w:w="74" w:type="dxa"/>
              <w:right w:w="74" w:type="dxa"/>
            </w:tcMar>
            <w:vAlign w:val="center"/>
            <w:hideMark/>
          </w:tcPr>
          <w:p w14:paraId="7D480446" w14:textId="77777777" w:rsidR="00785188" w:rsidRPr="00FA6274" w:rsidRDefault="00785188" w:rsidP="0033289E">
            <w:pPr>
              <w:jc w:val="both"/>
              <w:rPr>
                <w:rFonts w:ascii="Arial" w:hAnsi="Arial" w:cs="Arial"/>
                <w:color w:val="000000"/>
                <w:sz w:val="16"/>
                <w:szCs w:val="16"/>
              </w:rPr>
            </w:pPr>
            <w:r w:rsidRPr="00FA6274">
              <w:rPr>
                <w:rFonts w:ascii="Arial" w:hAnsi="Arial" w:cs="Arial"/>
                <w:color w:val="000000"/>
                <w:sz w:val="16"/>
                <w:szCs w:val="16"/>
              </w:rPr>
              <w:t>Favors the intervention</w:t>
            </w:r>
          </w:p>
        </w:tc>
        <w:tc>
          <w:tcPr>
            <w:tcW w:w="81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ED8E0B3" w14:textId="77777777" w:rsidR="00785188" w:rsidRPr="00FA6274" w:rsidRDefault="00785188" w:rsidP="0033289E">
            <w:pPr>
              <w:jc w:val="both"/>
              <w:rPr>
                <w:rFonts w:ascii="Arial" w:hAnsi="Arial" w:cs="Arial"/>
                <w:color w:val="000000"/>
                <w:sz w:val="16"/>
                <w:szCs w:val="16"/>
              </w:rPr>
            </w:pPr>
            <w:r w:rsidRPr="00FA6274">
              <w:rPr>
                <w:rFonts w:ascii="Arial" w:hAnsi="Arial" w:cs="Arial"/>
                <w:color w:val="000000"/>
                <w:sz w:val="16"/>
                <w:szCs w:val="16"/>
              </w:rPr>
              <w:t>Varies</w:t>
            </w:r>
          </w:p>
        </w:tc>
        <w:tc>
          <w:tcPr>
            <w:tcW w:w="180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13102D3" w14:textId="77777777" w:rsidR="00785188" w:rsidRPr="00FA6274" w:rsidRDefault="00785188" w:rsidP="0033289E">
            <w:pPr>
              <w:jc w:val="both"/>
              <w:rPr>
                <w:rFonts w:ascii="Arial" w:hAnsi="Arial" w:cs="Arial"/>
                <w:color w:val="000000"/>
                <w:sz w:val="16"/>
                <w:szCs w:val="16"/>
              </w:rPr>
            </w:pPr>
            <w:r w:rsidRPr="00FA6274">
              <w:rPr>
                <w:rFonts w:ascii="Arial" w:hAnsi="Arial" w:cs="Arial"/>
                <w:color w:val="000000"/>
                <w:sz w:val="16"/>
                <w:szCs w:val="16"/>
              </w:rPr>
              <w:t>Don't know</w:t>
            </w:r>
          </w:p>
        </w:tc>
      </w:tr>
      <w:tr w:rsidR="00785188" w:rsidRPr="00FA6274" w14:paraId="56078660" w14:textId="77777777" w:rsidTr="0033289E">
        <w:trPr>
          <w:trHeight w:val="87"/>
        </w:trPr>
        <w:tc>
          <w:tcPr>
            <w:tcW w:w="1975"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229E1FD5" w14:textId="77777777" w:rsidR="00785188" w:rsidRPr="00FA6274" w:rsidRDefault="00785188" w:rsidP="0033289E">
            <w:pPr>
              <w:jc w:val="both"/>
              <w:rPr>
                <w:rFonts w:ascii="Arial" w:hAnsi="Arial" w:cs="Arial"/>
                <w:color w:val="000000"/>
                <w:sz w:val="16"/>
                <w:szCs w:val="16"/>
              </w:rPr>
            </w:pPr>
            <w:r w:rsidRPr="00FA6274">
              <w:rPr>
                <w:rFonts w:ascii="Arial" w:hAnsi="Arial" w:cs="Arial"/>
                <w:b/>
                <w:bCs/>
                <w:color w:val="000000"/>
                <w:sz w:val="16"/>
                <w:szCs w:val="16"/>
              </w:rPr>
              <w:t>Resources required</w:t>
            </w: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737F0C5" w14:textId="77777777" w:rsidR="00785188" w:rsidRPr="00FA6274" w:rsidRDefault="00785188" w:rsidP="0033289E">
            <w:pPr>
              <w:jc w:val="both"/>
              <w:rPr>
                <w:rFonts w:ascii="Arial" w:hAnsi="Arial" w:cs="Arial"/>
                <w:color w:val="000000"/>
                <w:sz w:val="16"/>
                <w:szCs w:val="16"/>
              </w:rPr>
            </w:pPr>
            <w:r w:rsidRPr="00FA6274">
              <w:rPr>
                <w:rFonts w:ascii="Arial" w:hAnsi="Arial" w:cs="Arial"/>
                <w:color w:val="000000"/>
                <w:sz w:val="16"/>
                <w:szCs w:val="16"/>
              </w:rPr>
              <w:t>Large costs</w:t>
            </w:r>
          </w:p>
        </w:tc>
        <w:tc>
          <w:tcPr>
            <w:tcW w:w="1843"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81C74E2" w14:textId="77777777" w:rsidR="00785188" w:rsidRPr="00FA6274" w:rsidRDefault="00785188" w:rsidP="0033289E">
            <w:pPr>
              <w:jc w:val="both"/>
              <w:rPr>
                <w:rFonts w:ascii="Arial" w:hAnsi="Arial" w:cs="Arial"/>
                <w:color w:val="000000"/>
                <w:sz w:val="16"/>
                <w:szCs w:val="16"/>
              </w:rPr>
            </w:pPr>
            <w:r w:rsidRPr="00FA6274">
              <w:rPr>
                <w:rFonts w:ascii="Arial" w:hAnsi="Arial" w:cs="Arial"/>
                <w:color w:val="000000"/>
                <w:sz w:val="16"/>
                <w:szCs w:val="16"/>
              </w:rPr>
              <w:t>Moderate costs</w:t>
            </w:r>
          </w:p>
        </w:tc>
        <w:tc>
          <w:tcPr>
            <w:tcW w:w="212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6BCC83B" w14:textId="77777777" w:rsidR="00785188" w:rsidRPr="00FA6274" w:rsidRDefault="00785188" w:rsidP="0033289E">
            <w:pPr>
              <w:jc w:val="both"/>
              <w:rPr>
                <w:rFonts w:ascii="Arial" w:hAnsi="Arial" w:cs="Arial"/>
                <w:color w:val="000000"/>
                <w:sz w:val="16"/>
                <w:szCs w:val="16"/>
              </w:rPr>
            </w:pPr>
            <w:r w:rsidRPr="00FA6274">
              <w:rPr>
                <w:rFonts w:ascii="Arial" w:hAnsi="Arial" w:cs="Arial"/>
                <w:color w:val="000000"/>
                <w:sz w:val="16"/>
                <w:szCs w:val="16"/>
              </w:rPr>
              <w:t>Negligible costs and savings</w:t>
            </w:r>
          </w:p>
        </w:tc>
        <w:tc>
          <w:tcPr>
            <w:tcW w:w="2178"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35A803C" w14:textId="77777777" w:rsidR="00785188" w:rsidRPr="00FA6274" w:rsidRDefault="00785188" w:rsidP="0033289E">
            <w:pPr>
              <w:jc w:val="both"/>
              <w:rPr>
                <w:rFonts w:ascii="Arial" w:hAnsi="Arial" w:cs="Arial"/>
                <w:color w:val="000000"/>
                <w:sz w:val="16"/>
                <w:szCs w:val="16"/>
              </w:rPr>
            </w:pPr>
            <w:r w:rsidRPr="00FA6274">
              <w:rPr>
                <w:rFonts w:ascii="Arial" w:hAnsi="Arial" w:cs="Arial"/>
                <w:color w:val="000000"/>
                <w:sz w:val="16"/>
                <w:szCs w:val="16"/>
              </w:rPr>
              <w:t>Moderate savings</w:t>
            </w:r>
          </w:p>
        </w:tc>
        <w:tc>
          <w:tcPr>
            <w:tcW w:w="97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1F660D9" w14:textId="77777777" w:rsidR="00785188" w:rsidRPr="00FA6274" w:rsidRDefault="00785188" w:rsidP="0033289E">
            <w:pPr>
              <w:jc w:val="both"/>
              <w:rPr>
                <w:rFonts w:ascii="Arial" w:hAnsi="Arial" w:cs="Arial"/>
                <w:color w:val="000000"/>
                <w:sz w:val="16"/>
                <w:szCs w:val="16"/>
              </w:rPr>
            </w:pPr>
            <w:r w:rsidRPr="00FA6274">
              <w:rPr>
                <w:rFonts w:ascii="Arial" w:hAnsi="Arial" w:cs="Arial"/>
                <w:color w:val="000000"/>
                <w:sz w:val="16"/>
                <w:szCs w:val="16"/>
              </w:rPr>
              <w:t>Large savings</w:t>
            </w:r>
          </w:p>
        </w:tc>
        <w:tc>
          <w:tcPr>
            <w:tcW w:w="815"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13EE6A22" w14:textId="77777777" w:rsidR="00785188" w:rsidRPr="00FA6274" w:rsidRDefault="00785188" w:rsidP="0033289E">
            <w:pPr>
              <w:jc w:val="both"/>
              <w:rPr>
                <w:rFonts w:ascii="Arial" w:hAnsi="Arial" w:cs="Arial"/>
                <w:color w:val="000000"/>
                <w:sz w:val="16"/>
                <w:szCs w:val="16"/>
              </w:rPr>
            </w:pPr>
            <w:r w:rsidRPr="00FA6274">
              <w:rPr>
                <w:rFonts w:ascii="Arial" w:hAnsi="Arial" w:cs="Arial"/>
                <w:color w:val="000000"/>
                <w:sz w:val="16"/>
                <w:szCs w:val="16"/>
              </w:rPr>
              <w:t>Varies</w:t>
            </w:r>
          </w:p>
        </w:tc>
        <w:tc>
          <w:tcPr>
            <w:tcW w:w="180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C6A5339" w14:textId="77777777" w:rsidR="00785188" w:rsidRPr="00FA6274" w:rsidRDefault="00785188" w:rsidP="0033289E">
            <w:pPr>
              <w:jc w:val="both"/>
              <w:rPr>
                <w:rFonts w:ascii="Arial" w:hAnsi="Arial" w:cs="Arial"/>
                <w:color w:val="000000"/>
                <w:sz w:val="16"/>
                <w:szCs w:val="16"/>
              </w:rPr>
            </w:pPr>
            <w:r w:rsidRPr="00FA6274">
              <w:rPr>
                <w:rFonts w:ascii="Arial" w:hAnsi="Arial" w:cs="Arial"/>
                <w:color w:val="000000"/>
                <w:sz w:val="16"/>
                <w:szCs w:val="16"/>
              </w:rPr>
              <w:t>Don't know</w:t>
            </w:r>
          </w:p>
        </w:tc>
      </w:tr>
      <w:tr w:rsidR="00785188" w:rsidRPr="00FA6274" w14:paraId="46013553" w14:textId="77777777" w:rsidTr="0033289E">
        <w:trPr>
          <w:trHeight w:val="19"/>
        </w:trPr>
        <w:tc>
          <w:tcPr>
            <w:tcW w:w="1975"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79BAF474" w14:textId="77777777" w:rsidR="00785188" w:rsidRPr="00FA6274" w:rsidRDefault="00785188" w:rsidP="0033289E">
            <w:pPr>
              <w:jc w:val="both"/>
              <w:rPr>
                <w:rFonts w:ascii="Arial" w:hAnsi="Arial" w:cs="Arial"/>
                <w:color w:val="000000"/>
                <w:sz w:val="16"/>
                <w:szCs w:val="16"/>
              </w:rPr>
            </w:pPr>
            <w:r w:rsidRPr="00FA6274">
              <w:rPr>
                <w:rFonts w:ascii="Arial" w:hAnsi="Arial" w:cs="Arial"/>
                <w:b/>
                <w:bCs/>
                <w:color w:val="000000"/>
                <w:sz w:val="16"/>
                <w:szCs w:val="16"/>
              </w:rPr>
              <w:t>Certainty of evidence of required resources</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440EF58" w14:textId="77777777" w:rsidR="00785188" w:rsidRPr="00FA6274" w:rsidRDefault="00785188" w:rsidP="0033289E">
            <w:pPr>
              <w:jc w:val="both"/>
              <w:rPr>
                <w:rFonts w:ascii="Arial" w:hAnsi="Arial" w:cs="Arial"/>
                <w:color w:val="000000"/>
                <w:sz w:val="16"/>
                <w:szCs w:val="16"/>
              </w:rPr>
            </w:pPr>
            <w:r w:rsidRPr="00FA6274">
              <w:rPr>
                <w:rFonts w:ascii="Arial" w:hAnsi="Arial" w:cs="Arial"/>
                <w:color w:val="000000"/>
                <w:sz w:val="16"/>
                <w:szCs w:val="16"/>
              </w:rPr>
              <w:t>Very low</w:t>
            </w:r>
          </w:p>
        </w:tc>
        <w:tc>
          <w:tcPr>
            <w:tcW w:w="1843"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A2AB759" w14:textId="77777777" w:rsidR="00785188" w:rsidRPr="00FA6274" w:rsidRDefault="00785188" w:rsidP="0033289E">
            <w:pPr>
              <w:jc w:val="both"/>
              <w:rPr>
                <w:rFonts w:ascii="Arial" w:hAnsi="Arial" w:cs="Arial"/>
                <w:color w:val="000000"/>
                <w:sz w:val="16"/>
                <w:szCs w:val="16"/>
              </w:rPr>
            </w:pPr>
            <w:r w:rsidRPr="00FA6274">
              <w:rPr>
                <w:rFonts w:ascii="Arial" w:hAnsi="Arial" w:cs="Arial"/>
                <w:color w:val="000000"/>
                <w:sz w:val="16"/>
                <w:szCs w:val="16"/>
              </w:rPr>
              <w:t>Low</w:t>
            </w:r>
          </w:p>
        </w:tc>
        <w:tc>
          <w:tcPr>
            <w:tcW w:w="212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3C88388" w14:textId="77777777" w:rsidR="00785188" w:rsidRPr="00FA6274" w:rsidRDefault="00785188" w:rsidP="0033289E">
            <w:pPr>
              <w:jc w:val="both"/>
              <w:rPr>
                <w:rFonts w:ascii="Arial" w:hAnsi="Arial" w:cs="Arial"/>
                <w:color w:val="000000"/>
                <w:sz w:val="16"/>
                <w:szCs w:val="16"/>
              </w:rPr>
            </w:pPr>
            <w:r w:rsidRPr="00FA6274">
              <w:rPr>
                <w:rFonts w:ascii="Arial" w:hAnsi="Arial" w:cs="Arial"/>
                <w:color w:val="000000"/>
                <w:sz w:val="16"/>
                <w:szCs w:val="16"/>
              </w:rPr>
              <w:t>Moderate</w:t>
            </w:r>
          </w:p>
        </w:tc>
        <w:tc>
          <w:tcPr>
            <w:tcW w:w="2178"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E6AED11" w14:textId="77777777" w:rsidR="00785188" w:rsidRPr="00FA6274" w:rsidRDefault="00785188" w:rsidP="0033289E">
            <w:pPr>
              <w:jc w:val="both"/>
              <w:rPr>
                <w:rFonts w:ascii="Arial" w:hAnsi="Arial" w:cs="Arial"/>
                <w:color w:val="000000"/>
                <w:sz w:val="16"/>
                <w:szCs w:val="16"/>
              </w:rPr>
            </w:pPr>
            <w:r w:rsidRPr="00FA6274">
              <w:rPr>
                <w:rFonts w:ascii="Arial" w:hAnsi="Arial" w:cs="Arial"/>
                <w:color w:val="000000"/>
                <w:sz w:val="16"/>
                <w:szCs w:val="16"/>
              </w:rPr>
              <w:t>High</w:t>
            </w:r>
          </w:p>
        </w:tc>
        <w:tc>
          <w:tcPr>
            <w:tcW w:w="9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7159E56" w14:textId="77777777" w:rsidR="00785188" w:rsidRPr="00FA6274" w:rsidRDefault="00785188" w:rsidP="0033289E">
            <w:pPr>
              <w:jc w:val="both"/>
              <w:rPr>
                <w:rFonts w:ascii="Arial" w:hAnsi="Arial" w:cs="Arial"/>
                <w:color w:val="000000"/>
                <w:sz w:val="16"/>
                <w:szCs w:val="16"/>
              </w:rPr>
            </w:pPr>
          </w:p>
        </w:tc>
        <w:tc>
          <w:tcPr>
            <w:tcW w:w="81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3681825" w14:textId="77777777" w:rsidR="00785188" w:rsidRPr="00FA6274" w:rsidRDefault="00785188" w:rsidP="0033289E">
            <w:pPr>
              <w:jc w:val="both"/>
              <w:rPr>
                <w:rFonts w:ascii="Arial" w:hAnsi="Arial" w:cs="Arial"/>
                <w:color w:val="000000"/>
                <w:sz w:val="16"/>
                <w:szCs w:val="16"/>
              </w:rPr>
            </w:pPr>
          </w:p>
        </w:tc>
        <w:tc>
          <w:tcPr>
            <w:tcW w:w="1804"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3B73012F" w14:textId="780272A9" w:rsidR="00785188" w:rsidRPr="00FA6274" w:rsidRDefault="00785188" w:rsidP="0033289E">
            <w:pPr>
              <w:jc w:val="both"/>
              <w:rPr>
                <w:rFonts w:ascii="Arial" w:hAnsi="Arial" w:cs="Arial"/>
                <w:color w:val="000000"/>
                <w:sz w:val="16"/>
                <w:szCs w:val="16"/>
              </w:rPr>
            </w:pPr>
            <w:r w:rsidRPr="00FA6274">
              <w:rPr>
                <w:rFonts w:ascii="Arial" w:hAnsi="Arial" w:cs="Arial"/>
                <w:color w:val="000000"/>
                <w:sz w:val="16"/>
                <w:szCs w:val="16"/>
              </w:rPr>
              <w:t xml:space="preserve">No </w:t>
            </w:r>
            <w:r w:rsidR="0033289E" w:rsidRPr="00FA6274">
              <w:rPr>
                <w:rFonts w:ascii="Arial" w:hAnsi="Arial" w:cs="Arial"/>
                <w:color w:val="000000"/>
                <w:sz w:val="16"/>
                <w:szCs w:val="16"/>
              </w:rPr>
              <w:t xml:space="preserve">studies </w:t>
            </w:r>
            <w:r w:rsidRPr="00FA6274">
              <w:rPr>
                <w:rFonts w:ascii="Arial" w:hAnsi="Arial" w:cs="Arial"/>
                <w:color w:val="000000"/>
                <w:sz w:val="16"/>
                <w:szCs w:val="16"/>
              </w:rPr>
              <w:t xml:space="preserve">included </w:t>
            </w:r>
          </w:p>
        </w:tc>
      </w:tr>
      <w:tr w:rsidR="00785188" w:rsidRPr="00FA6274" w14:paraId="722E4410" w14:textId="77777777" w:rsidTr="0033289E">
        <w:trPr>
          <w:trHeight w:val="19"/>
        </w:trPr>
        <w:tc>
          <w:tcPr>
            <w:tcW w:w="1975"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37679568" w14:textId="77777777" w:rsidR="00785188" w:rsidRPr="00FA6274" w:rsidRDefault="00785188" w:rsidP="0033289E">
            <w:pPr>
              <w:jc w:val="both"/>
              <w:rPr>
                <w:rFonts w:ascii="Arial" w:hAnsi="Arial" w:cs="Arial"/>
                <w:color w:val="000000"/>
                <w:sz w:val="16"/>
                <w:szCs w:val="16"/>
              </w:rPr>
            </w:pPr>
            <w:r w:rsidRPr="00FA6274">
              <w:rPr>
                <w:rFonts w:ascii="Arial" w:hAnsi="Arial" w:cs="Arial"/>
                <w:b/>
                <w:bCs/>
                <w:color w:val="000000"/>
                <w:sz w:val="16"/>
                <w:szCs w:val="16"/>
              </w:rPr>
              <w:t>Cost effectiveness</w:t>
            </w: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BDB91F9" w14:textId="77777777" w:rsidR="00785188" w:rsidRPr="00FA6274" w:rsidRDefault="00785188" w:rsidP="0033289E">
            <w:pPr>
              <w:jc w:val="both"/>
              <w:rPr>
                <w:rFonts w:ascii="Arial" w:hAnsi="Arial" w:cs="Arial"/>
                <w:color w:val="000000"/>
                <w:sz w:val="16"/>
                <w:szCs w:val="16"/>
              </w:rPr>
            </w:pPr>
            <w:r w:rsidRPr="00FA6274">
              <w:rPr>
                <w:rFonts w:ascii="Arial" w:hAnsi="Arial" w:cs="Arial"/>
                <w:color w:val="000000"/>
                <w:sz w:val="16"/>
                <w:szCs w:val="16"/>
              </w:rPr>
              <w:t>Favors the comparison</w:t>
            </w:r>
          </w:p>
        </w:tc>
        <w:tc>
          <w:tcPr>
            <w:tcW w:w="1843"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17BB31B" w14:textId="77777777" w:rsidR="00785188" w:rsidRPr="00FA6274" w:rsidRDefault="00785188" w:rsidP="0033289E">
            <w:pPr>
              <w:jc w:val="both"/>
              <w:rPr>
                <w:rFonts w:ascii="Arial" w:hAnsi="Arial" w:cs="Arial"/>
                <w:color w:val="000000"/>
                <w:sz w:val="16"/>
                <w:szCs w:val="16"/>
              </w:rPr>
            </w:pPr>
            <w:r w:rsidRPr="00FA6274">
              <w:rPr>
                <w:rFonts w:ascii="Arial" w:hAnsi="Arial" w:cs="Arial"/>
                <w:color w:val="000000"/>
                <w:sz w:val="16"/>
                <w:szCs w:val="16"/>
              </w:rPr>
              <w:t>Probably favors the comparison</w:t>
            </w:r>
          </w:p>
        </w:tc>
        <w:tc>
          <w:tcPr>
            <w:tcW w:w="212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192EEC0" w14:textId="77777777" w:rsidR="00785188" w:rsidRPr="00FA6274" w:rsidRDefault="00785188" w:rsidP="0033289E">
            <w:pPr>
              <w:jc w:val="both"/>
              <w:rPr>
                <w:rFonts w:ascii="Arial" w:hAnsi="Arial" w:cs="Arial"/>
                <w:color w:val="000000"/>
                <w:sz w:val="16"/>
                <w:szCs w:val="16"/>
              </w:rPr>
            </w:pPr>
            <w:r w:rsidRPr="00FA6274">
              <w:rPr>
                <w:rFonts w:ascii="Arial" w:hAnsi="Arial" w:cs="Arial"/>
                <w:color w:val="000000"/>
                <w:sz w:val="16"/>
                <w:szCs w:val="16"/>
              </w:rPr>
              <w:t>Does not favor either the intervention or the comparison</w:t>
            </w:r>
          </w:p>
        </w:tc>
        <w:tc>
          <w:tcPr>
            <w:tcW w:w="2178"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4CDDEA5B" w14:textId="77777777" w:rsidR="00785188" w:rsidRPr="00FA6274" w:rsidRDefault="00785188" w:rsidP="0033289E">
            <w:pPr>
              <w:jc w:val="both"/>
              <w:rPr>
                <w:rFonts w:ascii="Arial" w:hAnsi="Arial" w:cs="Arial"/>
                <w:color w:val="000000"/>
                <w:sz w:val="16"/>
                <w:szCs w:val="16"/>
              </w:rPr>
            </w:pPr>
            <w:r w:rsidRPr="00FA6274">
              <w:rPr>
                <w:rFonts w:ascii="Arial" w:hAnsi="Arial" w:cs="Arial"/>
                <w:color w:val="000000"/>
                <w:sz w:val="16"/>
                <w:szCs w:val="16"/>
              </w:rPr>
              <w:t>Probably favors the intervention</w:t>
            </w:r>
          </w:p>
        </w:tc>
        <w:tc>
          <w:tcPr>
            <w:tcW w:w="97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8747E25" w14:textId="77777777" w:rsidR="00785188" w:rsidRPr="00FA6274" w:rsidRDefault="00785188" w:rsidP="0033289E">
            <w:pPr>
              <w:jc w:val="both"/>
              <w:rPr>
                <w:rFonts w:ascii="Arial" w:hAnsi="Arial" w:cs="Arial"/>
                <w:color w:val="000000"/>
                <w:sz w:val="16"/>
                <w:szCs w:val="16"/>
              </w:rPr>
            </w:pPr>
            <w:r w:rsidRPr="00FA6274">
              <w:rPr>
                <w:rFonts w:ascii="Arial" w:hAnsi="Arial" w:cs="Arial"/>
                <w:color w:val="000000"/>
                <w:sz w:val="16"/>
                <w:szCs w:val="16"/>
              </w:rPr>
              <w:t>Favors the intervention</w:t>
            </w:r>
          </w:p>
        </w:tc>
        <w:tc>
          <w:tcPr>
            <w:tcW w:w="815"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8185086" w14:textId="77777777" w:rsidR="00785188" w:rsidRPr="00FA6274" w:rsidRDefault="00785188" w:rsidP="0033289E">
            <w:pPr>
              <w:jc w:val="both"/>
              <w:rPr>
                <w:rFonts w:ascii="Arial" w:hAnsi="Arial" w:cs="Arial"/>
                <w:color w:val="000000"/>
                <w:sz w:val="16"/>
                <w:szCs w:val="16"/>
              </w:rPr>
            </w:pPr>
            <w:r w:rsidRPr="00FA6274">
              <w:rPr>
                <w:rFonts w:ascii="Arial" w:hAnsi="Arial" w:cs="Arial"/>
                <w:color w:val="000000"/>
                <w:sz w:val="16"/>
                <w:szCs w:val="16"/>
              </w:rPr>
              <w:t>Varies</w:t>
            </w:r>
          </w:p>
        </w:tc>
        <w:tc>
          <w:tcPr>
            <w:tcW w:w="180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7D5DA8E" w14:textId="4CCB6862" w:rsidR="00785188" w:rsidRPr="00FA6274" w:rsidRDefault="00785188" w:rsidP="0033289E">
            <w:pPr>
              <w:jc w:val="both"/>
              <w:rPr>
                <w:rFonts w:ascii="Arial" w:hAnsi="Arial" w:cs="Arial"/>
                <w:color w:val="000000"/>
                <w:sz w:val="16"/>
                <w:szCs w:val="16"/>
              </w:rPr>
            </w:pPr>
            <w:r w:rsidRPr="00FA6274">
              <w:rPr>
                <w:rFonts w:ascii="Arial" w:hAnsi="Arial" w:cs="Arial"/>
                <w:color w:val="000000"/>
                <w:sz w:val="16"/>
                <w:szCs w:val="16"/>
              </w:rPr>
              <w:t xml:space="preserve">No </w:t>
            </w:r>
            <w:r w:rsidR="0033289E" w:rsidRPr="00FA6274">
              <w:rPr>
                <w:rFonts w:ascii="Arial" w:hAnsi="Arial" w:cs="Arial"/>
                <w:color w:val="000000"/>
                <w:sz w:val="16"/>
                <w:szCs w:val="16"/>
              </w:rPr>
              <w:t xml:space="preserve">studies </w:t>
            </w:r>
            <w:r w:rsidRPr="00FA6274">
              <w:rPr>
                <w:rFonts w:ascii="Arial" w:hAnsi="Arial" w:cs="Arial"/>
                <w:color w:val="000000"/>
                <w:sz w:val="16"/>
                <w:szCs w:val="16"/>
              </w:rPr>
              <w:t xml:space="preserve">included </w:t>
            </w:r>
          </w:p>
        </w:tc>
      </w:tr>
      <w:tr w:rsidR="00785188" w:rsidRPr="00FA6274" w14:paraId="5D69329C" w14:textId="77777777" w:rsidTr="0033289E">
        <w:trPr>
          <w:trHeight w:val="19"/>
        </w:trPr>
        <w:tc>
          <w:tcPr>
            <w:tcW w:w="1975"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73F608C7" w14:textId="77777777" w:rsidR="00785188" w:rsidRPr="00FA6274" w:rsidRDefault="00785188" w:rsidP="0033289E">
            <w:pPr>
              <w:jc w:val="both"/>
              <w:rPr>
                <w:rFonts w:ascii="Arial" w:hAnsi="Arial" w:cs="Arial"/>
                <w:color w:val="000000"/>
                <w:sz w:val="16"/>
                <w:szCs w:val="16"/>
              </w:rPr>
            </w:pPr>
            <w:r w:rsidRPr="00FA6274">
              <w:rPr>
                <w:rFonts w:ascii="Arial" w:hAnsi="Arial" w:cs="Arial"/>
                <w:b/>
                <w:bCs/>
                <w:color w:val="000000"/>
                <w:sz w:val="16"/>
                <w:szCs w:val="16"/>
              </w:rPr>
              <w:t>Equity</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0BBBAF2" w14:textId="77777777" w:rsidR="00785188" w:rsidRPr="00FA6274" w:rsidRDefault="00785188" w:rsidP="0033289E">
            <w:pPr>
              <w:jc w:val="both"/>
              <w:rPr>
                <w:rFonts w:ascii="Arial" w:hAnsi="Arial" w:cs="Arial"/>
                <w:color w:val="000000"/>
                <w:sz w:val="16"/>
                <w:szCs w:val="16"/>
              </w:rPr>
            </w:pPr>
            <w:r w:rsidRPr="00FA6274">
              <w:rPr>
                <w:rFonts w:ascii="Arial" w:hAnsi="Arial" w:cs="Arial"/>
                <w:color w:val="000000"/>
                <w:sz w:val="16"/>
                <w:szCs w:val="16"/>
              </w:rPr>
              <w:t>Reduced</w:t>
            </w:r>
          </w:p>
        </w:tc>
        <w:tc>
          <w:tcPr>
            <w:tcW w:w="1843"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CFFAB1B" w14:textId="77777777" w:rsidR="00785188" w:rsidRPr="00FA6274" w:rsidRDefault="00785188" w:rsidP="0033289E">
            <w:pPr>
              <w:jc w:val="both"/>
              <w:rPr>
                <w:rFonts w:ascii="Arial" w:hAnsi="Arial" w:cs="Arial"/>
                <w:color w:val="000000"/>
                <w:sz w:val="16"/>
                <w:szCs w:val="16"/>
              </w:rPr>
            </w:pPr>
            <w:r w:rsidRPr="00FA6274">
              <w:rPr>
                <w:rFonts w:ascii="Arial" w:hAnsi="Arial" w:cs="Arial"/>
                <w:color w:val="000000"/>
                <w:sz w:val="16"/>
                <w:szCs w:val="16"/>
              </w:rPr>
              <w:t>Probably reduced</w:t>
            </w:r>
          </w:p>
        </w:tc>
        <w:tc>
          <w:tcPr>
            <w:tcW w:w="212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75418CD" w14:textId="77777777" w:rsidR="00785188" w:rsidRPr="00FA6274" w:rsidRDefault="00785188" w:rsidP="0033289E">
            <w:pPr>
              <w:jc w:val="both"/>
              <w:rPr>
                <w:rFonts w:ascii="Arial" w:hAnsi="Arial" w:cs="Arial"/>
                <w:color w:val="000000"/>
                <w:sz w:val="16"/>
                <w:szCs w:val="16"/>
              </w:rPr>
            </w:pPr>
            <w:r w:rsidRPr="00FA6274">
              <w:rPr>
                <w:rFonts w:ascii="Arial" w:hAnsi="Arial" w:cs="Arial"/>
                <w:color w:val="000000"/>
                <w:sz w:val="16"/>
                <w:szCs w:val="16"/>
              </w:rPr>
              <w:t>Probably no impact</w:t>
            </w:r>
          </w:p>
        </w:tc>
        <w:tc>
          <w:tcPr>
            <w:tcW w:w="2178"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048632F" w14:textId="77777777" w:rsidR="00785188" w:rsidRPr="00FA6274" w:rsidRDefault="00785188" w:rsidP="0033289E">
            <w:pPr>
              <w:jc w:val="both"/>
              <w:rPr>
                <w:rFonts w:ascii="Arial" w:hAnsi="Arial" w:cs="Arial"/>
                <w:color w:val="000000"/>
                <w:sz w:val="16"/>
                <w:szCs w:val="16"/>
              </w:rPr>
            </w:pPr>
            <w:r w:rsidRPr="00FA6274">
              <w:rPr>
                <w:rFonts w:ascii="Arial" w:hAnsi="Arial" w:cs="Arial"/>
                <w:color w:val="000000"/>
                <w:sz w:val="16"/>
                <w:szCs w:val="16"/>
              </w:rPr>
              <w:t>Probably increased</w:t>
            </w:r>
          </w:p>
        </w:tc>
        <w:tc>
          <w:tcPr>
            <w:tcW w:w="9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41205E0" w14:textId="77777777" w:rsidR="00785188" w:rsidRPr="00FA6274" w:rsidRDefault="00785188" w:rsidP="0033289E">
            <w:pPr>
              <w:jc w:val="both"/>
              <w:rPr>
                <w:rFonts w:ascii="Arial" w:hAnsi="Arial" w:cs="Arial"/>
                <w:color w:val="000000"/>
                <w:sz w:val="16"/>
                <w:szCs w:val="16"/>
              </w:rPr>
            </w:pPr>
            <w:r w:rsidRPr="00FA6274">
              <w:rPr>
                <w:rFonts w:ascii="Arial" w:hAnsi="Arial" w:cs="Arial"/>
                <w:color w:val="000000"/>
                <w:sz w:val="16"/>
                <w:szCs w:val="16"/>
              </w:rPr>
              <w:t>Increased</w:t>
            </w:r>
          </w:p>
        </w:tc>
        <w:tc>
          <w:tcPr>
            <w:tcW w:w="81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2782955" w14:textId="77777777" w:rsidR="00785188" w:rsidRPr="00FA6274" w:rsidRDefault="00785188" w:rsidP="0033289E">
            <w:pPr>
              <w:jc w:val="both"/>
              <w:rPr>
                <w:rFonts w:ascii="Arial" w:hAnsi="Arial" w:cs="Arial"/>
                <w:color w:val="000000"/>
                <w:sz w:val="16"/>
                <w:szCs w:val="16"/>
              </w:rPr>
            </w:pPr>
            <w:r w:rsidRPr="00FA6274">
              <w:rPr>
                <w:rFonts w:ascii="Arial" w:hAnsi="Arial" w:cs="Arial"/>
                <w:color w:val="000000"/>
                <w:sz w:val="16"/>
                <w:szCs w:val="16"/>
              </w:rPr>
              <w:t>Varies</w:t>
            </w:r>
          </w:p>
        </w:tc>
        <w:tc>
          <w:tcPr>
            <w:tcW w:w="1804"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36D67C3E" w14:textId="77777777" w:rsidR="00785188" w:rsidRPr="00FA6274" w:rsidRDefault="00785188" w:rsidP="0033289E">
            <w:pPr>
              <w:jc w:val="both"/>
              <w:rPr>
                <w:rFonts w:ascii="Arial" w:hAnsi="Arial" w:cs="Arial"/>
                <w:color w:val="000000"/>
                <w:sz w:val="16"/>
                <w:szCs w:val="16"/>
              </w:rPr>
            </w:pPr>
            <w:r w:rsidRPr="00FA6274">
              <w:rPr>
                <w:rFonts w:ascii="Arial" w:hAnsi="Arial" w:cs="Arial"/>
                <w:color w:val="000000"/>
                <w:sz w:val="16"/>
                <w:szCs w:val="16"/>
              </w:rPr>
              <w:t>Don't know</w:t>
            </w:r>
          </w:p>
        </w:tc>
      </w:tr>
      <w:tr w:rsidR="00785188" w:rsidRPr="00FA6274" w14:paraId="0BA047EC" w14:textId="77777777" w:rsidTr="0033289E">
        <w:trPr>
          <w:trHeight w:val="19"/>
        </w:trPr>
        <w:tc>
          <w:tcPr>
            <w:tcW w:w="1975"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27C76D94" w14:textId="77777777" w:rsidR="00785188" w:rsidRPr="00FA6274" w:rsidRDefault="00785188" w:rsidP="0033289E">
            <w:pPr>
              <w:jc w:val="both"/>
              <w:rPr>
                <w:rFonts w:ascii="Arial" w:hAnsi="Arial" w:cs="Arial"/>
                <w:color w:val="000000"/>
                <w:sz w:val="16"/>
                <w:szCs w:val="16"/>
              </w:rPr>
            </w:pPr>
            <w:r w:rsidRPr="00FA6274">
              <w:rPr>
                <w:rFonts w:ascii="Arial" w:hAnsi="Arial" w:cs="Arial"/>
                <w:b/>
                <w:bCs/>
                <w:color w:val="000000"/>
                <w:sz w:val="16"/>
                <w:szCs w:val="16"/>
              </w:rPr>
              <w:t>Acceptability</w:t>
            </w: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8C3979D" w14:textId="77777777" w:rsidR="00785188" w:rsidRPr="00FA6274" w:rsidRDefault="00785188" w:rsidP="0033289E">
            <w:pPr>
              <w:jc w:val="both"/>
              <w:rPr>
                <w:rFonts w:ascii="Arial" w:hAnsi="Arial" w:cs="Arial"/>
                <w:color w:val="000000"/>
                <w:sz w:val="16"/>
                <w:szCs w:val="16"/>
              </w:rPr>
            </w:pPr>
            <w:r w:rsidRPr="00FA6274">
              <w:rPr>
                <w:rFonts w:ascii="Arial" w:hAnsi="Arial" w:cs="Arial"/>
                <w:color w:val="000000"/>
                <w:sz w:val="16"/>
                <w:szCs w:val="16"/>
              </w:rPr>
              <w:t>No</w:t>
            </w:r>
          </w:p>
        </w:tc>
        <w:tc>
          <w:tcPr>
            <w:tcW w:w="1843"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29C3B7F" w14:textId="77777777" w:rsidR="00785188" w:rsidRPr="00FA6274" w:rsidRDefault="00785188" w:rsidP="0033289E">
            <w:pPr>
              <w:jc w:val="both"/>
              <w:rPr>
                <w:rFonts w:ascii="Arial" w:hAnsi="Arial" w:cs="Arial"/>
                <w:color w:val="000000"/>
                <w:sz w:val="16"/>
                <w:szCs w:val="16"/>
              </w:rPr>
            </w:pPr>
            <w:r w:rsidRPr="00FA6274">
              <w:rPr>
                <w:rFonts w:ascii="Arial" w:hAnsi="Arial" w:cs="Arial"/>
                <w:color w:val="000000"/>
                <w:sz w:val="16"/>
                <w:szCs w:val="16"/>
              </w:rPr>
              <w:t>Probably no</w:t>
            </w:r>
          </w:p>
        </w:tc>
        <w:tc>
          <w:tcPr>
            <w:tcW w:w="2126"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6EA372B1" w14:textId="77777777" w:rsidR="00785188" w:rsidRPr="00FA6274" w:rsidRDefault="00785188" w:rsidP="0033289E">
            <w:pPr>
              <w:jc w:val="both"/>
              <w:rPr>
                <w:rFonts w:ascii="Arial" w:hAnsi="Arial" w:cs="Arial"/>
                <w:color w:val="000000"/>
                <w:sz w:val="16"/>
                <w:szCs w:val="16"/>
              </w:rPr>
            </w:pPr>
            <w:r w:rsidRPr="00FA6274">
              <w:rPr>
                <w:rFonts w:ascii="Arial" w:hAnsi="Arial" w:cs="Arial"/>
                <w:color w:val="000000"/>
                <w:sz w:val="16"/>
                <w:szCs w:val="16"/>
              </w:rPr>
              <w:t>Probably yes</w:t>
            </w:r>
          </w:p>
        </w:tc>
        <w:tc>
          <w:tcPr>
            <w:tcW w:w="2178"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F73DE60" w14:textId="77777777" w:rsidR="00785188" w:rsidRPr="00FA6274" w:rsidRDefault="00785188" w:rsidP="0033289E">
            <w:pPr>
              <w:jc w:val="both"/>
              <w:rPr>
                <w:rFonts w:ascii="Arial" w:hAnsi="Arial" w:cs="Arial"/>
                <w:color w:val="000000"/>
                <w:sz w:val="16"/>
                <w:szCs w:val="16"/>
              </w:rPr>
            </w:pPr>
            <w:r w:rsidRPr="00FA6274">
              <w:rPr>
                <w:rFonts w:ascii="Arial" w:hAnsi="Arial" w:cs="Arial"/>
                <w:color w:val="000000"/>
                <w:sz w:val="16"/>
                <w:szCs w:val="16"/>
              </w:rPr>
              <w:t>Yes</w:t>
            </w:r>
          </w:p>
        </w:tc>
        <w:tc>
          <w:tcPr>
            <w:tcW w:w="97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B26B5E8" w14:textId="77777777" w:rsidR="00785188" w:rsidRPr="00FA6274" w:rsidRDefault="00785188" w:rsidP="0033289E">
            <w:pPr>
              <w:jc w:val="both"/>
              <w:rPr>
                <w:rFonts w:ascii="Arial" w:hAnsi="Arial" w:cs="Arial"/>
                <w:color w:val="000000"/>
                <w:sz w:val="16"/>
                <w:szCs w:val="16"/>
              </w:rPr>
            </w:pPr>
          </w:p>
        </w:tc>
        <w:tc>
          <w:tcPr>
            <w:tcW w:w="815"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71D657D" w14:textId="77777777" w:rsidR="00785188" w:rsidRPr="00FA6274" w:rsidRDefault="00785188" w:rsidP="0033289E">
            <w:pPr>
              <w:jc w:val="both"/>
              <w:rPr>
                <w:rFonts w:ascii="Arial" w:hAnsi="Arial" w:cs="Arial"/>
                <w:color w:val="000000"/>
                <w:sz w:val="16"/>
                <w:szCs w:val="16"/>
              </w:rPr>
            </w:pPr>
            <w:r w:rsidRPr="00FA6274">
              <w:rPr>
                <w:rFonts w:ascii="Arial" w:hAnsi="Arial" w:cs="Arial"/>
                <w:color w:val="000000"/>
                <w:sz w:val="16"/>
                <w:szCs w:val="16"/>
              </w:rPr>
              <w:t>Varies</w:t>
            </w:r>
          </w:p>
        </w:tc>
        <w:tc>
          <w:tcPr>
            <w:tcW w:w="180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DCB4EF1" w14:textId="77777777" w:rsidR="00785188" w:rsidRPr="00FA6274" w:rsidRDefault="00785188" w:rsidP="0033289E">
            <w:pPr>
              <w:jc w:val="both"/>
              <w:rPr>
                <w:rFonts w:ascii="Arial" w:hAnsi="Arial" w:cs="Arial"/>
                <w:color w:val="000000"/>
                <w:sz w:val="16"/>
                <w:szCs w:val="16"/>
              </w:rPr>
            </w:pPr>
            <w:r w:rsidRPr="00FA6274">
              <w:rPr>
                <w:rFonts w:ascii="Arial" w:hAnsi="Arial" w:cs="Arial"/>
                <w:color w:val="000000"/>
                <w:sz w:val="16"/>
                <w:szCs w:val="16"/>
              </w:rPr>
              <w:t>Don't know</w:t>
            </w:r>
          </w:p>
        </w:tc>
      </w:tr>
      <w:tr w:rsidR="00785188" w:rsidRPr="00FA6274" w14:paraId="75428000" w14:textId="77777777" w:rsidTr="0033289E">
        <w:trPr>
          <w:trHeight w:val="19"/>
        </w:trPr>
        <w:tc>
          <w:tcPr>
            <w:tcW w:w="1975"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1EF3F071" w14:textId="77777777" w:rsidR="00785188" w:rsidRPr="00FA6274" w:rsidRDefault="00785188" w:rsidP="0033289E">
            <w:pPr>
              <w:jc w:val="both"/>
              <w:rPr>
                <w:rFonts w:ascii="Arial" w:hAnsi="Arial" w:cs="Arial"/>
                <w:color w:val="000000"/>
                <w:sz w:val="16"/>
                <w:szCs w:val="16"/>
              </w:rPr>
            </w:pPr>
            <w:r w:rsidRPr="00FA6274">
              <w:rPr>
                <w:rFonts w:ascii="Arial" w:hAnsi="Arial" w:cs="Arial"/>
                <w:b/>
                <w:bCs/>
                <w:color w:val="000000"/>
                <w:sz w:val="16"/>
                <w:szCs w:val="16"/>
              </w:rPr>
              <w:t>Feasibility</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F5BF260" w14:textId="77777777" w:rsidR="00785188" w:rsidRPr="00FA6274" w:rsidRDefault="00785188" w:rsidP="0033289E">
            <w:pPr>
              <w:jc w:val="both"/>
              <w:rPr>
                <w:rFonts w:ascii="Arial" w:hAnsi="Arial" w:cs="Arial"/>
                <w:color w:val="000000"/>
                <w:sz w:val="16"/>
                <w:szCs w:val="16"/>
              </w:rPr>
            </w:pPr>
            <w:r w:rsidRPr="00FA6274">
              <w:rPr>
                <w:rFonts w:ascii="Arial" w:hAnsi="Arial" w:cs="Arial"/>
                <w:color w:val="000000"/>
                <w:sz w:val="16"/>
                <w:szCs w:val="16"/>
              </w:rPr>
              <w:t>No</w:t>
            </w:r>
          </w:p>
        </w:tc>
        <w:tc>
          <w:tcPr>
            <w:tcW w:w="1843"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56DFFC0" w14:textId="77777777" w:rsidR="00785188" w:rsidRPr="00FA6274" w:rsidRDefault="00785188" w:rsidP="0033289E">
            <w:pPr>
              <w:jc w:val="both"/>
              <w:rPr>
                <w:rFonts w:ascii="Arial" w:hAnsi="Arial" w:cs="Arial"/>
                <w:color w:val="000000"/>
                <w:sz w:val="16"/>
                <w:szCs w:val="16"/>
              </w:rPr>
            </w:pPr>
            <w:r w:rsidRPr="00FA6274">
              <w:rPr>
                <w:rFonts w:ascii="Arial" w:hAnsi="Arial" w:cs="Arial"/>
                <w:color w:val="000000"/>
                <w:sz w:val="16"/>
                <w:szCs w:val="16"/>
              </w:rPr>
              <w:t>Probably no</w:t>
            </w:r>
          </w:p>
        </w:tc>
        <w:tc>
          <w:tcPr>
            <w:tcW w:w="2126"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77F94F66" w14:textId="77777777" w:rsidR="00785188" w:rsidRPr="00FA6274" w:rsidRDefault="00785188" w:rsidP="0033289E">
            <w:pPr>
              <w:jc w:val="both"/>
              <w:rPr>
                <w:rFonts w:ascii="Arial" w:hAnsi="Arial" w:cs="Arial"/>
                <w:color w:val="000000"/>
                <w:sz w:val="16"/>
                <w:szCs w:val="16"/>
              </w:rPr>
            </w:pPr>
            <w:r w:rsidRPr="00FA6274">
              <w:rPr>
                <w:rFonts w:ascii="Arial" w:hAnsi="Arial" w:cs="Arial"/>
                <w:color w:val="000000"/>
                <w:sz w:val="16"/>
                <w:szCs w:val="16"/>
              </w:rPr>
              <w:t>Probably yes</w:t>
            </w:r>
          </w:p>
        </w:tc>
        <w:tc>
          <w:tcPr>
            <w:tcW w:w="2178"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267F66A" w14:textId="77777777" w:rsidR="00785188" w:rsidRPr="00FA6274" w:rsidRDefault="00785188" w:rsidP="0033289E">
            <w:pPr>
              <w:jc w:val="both"/>
              <w:rPr>
                <w:rFonts w:ascii="Arial" w:hAnsi="Arial" w:cs="Arial"/>
                <w:color w:val="000000"/>
                <w:sz w:val="16"/>
                <w:szCs w:val="16"/>
              </w:rPr>
            </w:pPr>
            <w:r w:rsidRPr="00FA6274">
              <w:rPr>
                <w:rFonts w:ascii="Arial" w:hAnsi="Arial" w:cs="Arial"/>
                <w:color w:val="000000"/>
                <w:sz w:val="16"/>
                <w:szCs w:val="16"/>
              </w:rPr>
              <w:t>Yes</w:t>
            </w:r>
          </w:p>
        </w:tc>
        <w:tc>
          <w:tcPr>
            <w:tcW w:w="9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9650BCF" w14:textId="77777777" w:rsidR="00785188" w:rsidRPr="00FA6274" w:rsidRDefault="00785188" w:rsidP="0033289E">
            <w:pPr>
              <w:jc w:val="both"/>
              <w:rPr>
                <w:rFonts w:ascii="Arial" w:hAnsi="Arial" w:cs="Arial"/>
                <w:color w:val="000000"/>
                <w:sz w:val="16"/>
                <w:szCs w:val="16"/>
              </w:rPr>
            </w:pPr>
          </w:p>
        </w:tc>
        <w:tc>
          <w:tcPr>
            <w:tcW w:w="81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482F319" w14:textId="77777777" w:rsidR="00785188" w:rsidRPr="00FA6274" w:rsidRDefault="00785188" w:rsidP="0033289E">
            <w:pPr>
              <w:jc w:val="both"/>
              <w:rPr>
                <w:rFonts w:ascii="Arial" w:hAnsi="Arial" w:cs="Arial"/>
                <w:color w:val="000000"/>
                <w:sz w:val="16"/>
                <w:szCs w:val="16"/>
              </w:rPr>
            </w:pPr>
            <w:r w:rsidRPr="00FA6274">
              <w:rPr>
                <w:rFonts w:ascii="Arial" w:hAnsi="Arial" w:cs="Arial"/>
                <w:color w:val="000000"/>
                <w:sz w:val="16"/>
                <w:szCs w:val="16"/>
              </w:rPr>
              <w:t>Varies</w:t>
            </w:r>
          </w:p>
        </w:tc>
        <w:tc>
          <w:tcPr>
            <w:tcW w:w="180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EB4B2F6" w14:textId="77777777" w:rsidR="00785188" w:rsidRPr="00FA6274" w:rsidRDefault="00785188" w:rsidP="0033289E">
            <w:pPr>
              <w:jc w:val="both"/>
              <w:rPr>
                <w:rFonts w:ascii="Arial" w:hAnsi="Arial" w:cs="Arial"/>
                <w:color w:val="000000"/>
                <w:sz w:val="16"/>
                <w:szCs w:val="16"/>
              </w:rPr>
            </w:pPr>
            <w:r w:rsidRPr="00FA6274">
              <w:rPr>
                <w:rFonts w:ascii="Arial" w:hAnsi="Arial" w:cs="Arial"/>
                <w:color w:val="000000"/>
                <w:sz w:val="16"/>
                <w:szCs w:val="16"/>
              </w:rPr>
              <w:t>Don't know</w:t>
            </w:r>
          </w:p>
        </w:tc>
      </w:tr>
    </w:tbl>
    <w:p w14:paraId="5DAD3A34" w14:textId="77777777" w:rsidR="00785188" w:rsidRDefault="00785188" w:rsidP="00596BE0">
      <w:pPr>
        <w:spacing w:line="360" w:lineRule="auto"/>
        <w:jc w:val="both"/>
        <w:rPr>
          <w:rFonts w:ascii="Arial" w:hAnsi="Arial" w:cs="Arial"/>
          <w:shd w:val="clear" w:color="auto" w:fill="FFFFFF"/>
        </w:rPr>
      </w:pPr>
    </w:p>
    <w:p w14:paraId="6FB3ACDA" w14:textId="35BAE372" w:rsidR="00D3318E" w:rsidRPr="0033289E" w:rsidRDefault="00D3318E" w:rsidP="00D3318E">
      <w:pPr>
        <w:jc w:val="both"/>
        <w:rPr>
          <w:rFonts w:ascii="Arial" w:hAnsi="Arial" w:cs="Arial"/>
          <w:b/>
          <w:sz w:val="20"/>
          <w:szCs w:val="20"/>
          <w:lang w:eastAsia="ca-ES"/>
        </w:rPr>
      </w:pPr>
      <w:r w:rsidRPr="0033289E">
        <w:rPr>
          <w:rFonts w:ascii="Arial" w:hAnsi="Arial" w:cs="Arial"/>
          <w:b/>
          <w:sz w:val="20"/>
          <w:szCs w:val="20"/>
          <w:shd w:val="clear" w:color="auto" w:fill="FFFFFF"/>
        </w:rPr>
        <w:t xml:space="preserve">Table </w:t>
      </w:r>
      <w:r w:rsidR="0033289E" w:rsidRPr="0033289E">
        <w:rPr>
          <w:rFonts w:ascii="Arial" w:hAnsi="Arial" w:cs="Arial"/>
          <w:b/>
          <w:sz w:val="20"/>
          <w:szCs w:val="20"/>
          <w:shd w:val="clear" w:color="auto" w:fill="FFFFFF"/>
        </w:rPr>
        <w:t>S42</w:t>
      </w:r>
      <w:r w:rsidRPr="0033289E">
        <w:rPr>
          <w:rFonts w:ascii="Arial" w:hAnsi="Arial" w:cs="Arial"/>
          <w:b/>
          <w:sz w:val="20"/>
          <w:szCs w:val="20"/>
          <w:shd w:val="clear" w:color="auto" w:fill="FFFFFF"/>
        </w:rPr>
        <w:t xml:space="preserve">: Summary of findings of </w:t>
      </w:r>
      <w:r w:rsidRPr="0033289E">
        <w:rPr>
          <w:rFonts w:ascii="Arial" w:hAnsi="Arial" w:cs="Arial"/>
          <w:b/>
          <w:bCs/>
          <w:sz w:val="20"/>
          <w:szCs w:val="20"/>
        </w:rPr>
        <w:t>omalizumab efficacy and safety compared to standard of care for allergic asthma</w:t>
      </w:r>
      <w:r w:rsidRPr="0033289E">
        <w:rPr>
          <w:rFonts w:ascii="Arial" w:hAnsi="Arial" w:cs="Arial"/>
          <w:b/>
          <w:sz w:val="20"/>
          <w:szCs w:val="20"/>
          <w:lang w:eastAsia="ca-ES"/>
        </w:rPr>
        <w:t xml:space="preserve"> </w:t>
      </w:r>
    </w:p>
    <w:p w14:paraId="5AFB2419" w14:textId="77777777" w:rsidR="00D3318E" w:rsidRPr="00F87E48" w:rsidRDefault="00D3318E" w:rsidP="00D3318E">
      <w:pPr>
        <w:jc w:val="both"/>
        <w:rPr>
          <w:rFonts w:ascii="Arial" w:hAnsi="Arial" w:cs="Arial"/>
          <w:b/>
          <w:noProof/>
          <w:lang w:eastAsia="ca-ES"/>
        </w:rPr>
      </w:pPr>
    </w:p>
    <w:tbl>
      <w:tblPr>
        <w:tblW w:w="5000" w:type="pct"/>
        <w:tblCellMar>
          <w:top w:w="75" w:type="dxa"/>
          <w:left w:w="75" w:type="dxa"/>
          <w:bottom w:w="75" w:type="dxa"/>
          <w:right w:w="75" w:type="dxa"/>
        </w:tblCellMar>
        <w:tblLook w:val="04A0" w:firstRow="1" w:lastRow="0" w:firstColumn="1" w:lastColumn="0" w:noHBand="0" w:noVBand="1"/>
      </w:tblPr>
      <w:tblGrid>
        <w:gridCol w:w="3566"/>
        <w:gridCol w:w="2540"/>
        <w:gridCol w:w="1809"/>
        <w:gridCol w:w="1508"/>
        <w:gridCol w:w="1760"/>
        <w:gridCol w:w="2255"/>
      </w:tblGrid>
      <w:tr w:rsidR="00D3318E" w:rsidRPr="00F87E48" w14:paraId="201F76A5" w14:textId="77777777" w:rsidTr="00E350F6">
        <w:trPr>
          <w:cantSplit/>
          <w:tblHeader/>
        </w:trPr>
        <w:tc>
          <w:tcPr>
            <w:tcW w:w="0" w:type="auto"/>
            <w:gridSpan w:val="6"/>
            <w:tcBorders>
              <w:top w:val="single" w:sz="6" w:space="0" w:color="000000"/>
              <w:left w:val="nil"/>
              <w:bottom w:val="single" w:sz="6" w:space="0" w:color="000000"/>
              <w:right w:val="nil"/>
            </w:tcBorders>
            <w:hideMark/>
          </w:tcPr>
          <w:p w14:paraId="6FA4CB7D" w14:textId="77777777" w:rsidR="00D3318E" w:rsidRPr="00F87E48" w:rsidRDefault="00D3318E" w:rsidP="00E350F6">
            <w:pPr>
              <w:rPr>
                <w:rFonts w:ascii="Arial" w:hAnsi="Arial" w:cs="Arial"/>
              </w:rPr>
            </w:pPr>
          </w:p>
        </w:tc>
      </w:tr>
      <w:tr w:rsidR="00D3318E" w:rsidRPr="00F87E48" w14:paraId="4E2FEF9C" w14:textId="77777777" w:rsidTr="00E350F6">
        <w:trPr>
          <w:cantSplit/>
          <w:tblHeader/>
        </w:trPr>
        <w:tc>
          <w:tcPr>
            <w:tcW w:w="0" w:type="auto"/>
            <w:vMerge w:val="restart"/>
            <w:tcBorders>
              <w:top w:val="single" w:sz="12" w:space="0" w:color="000000"/>
              <w:left w:val="nil"/>
              <w:bottom w:val="single" w:sz="6" w:space="0" w:color="000000"/>
              <w:right w:val="nil"/>
            </w:tcBorders>
            <w:shd w:val="clear" w:color="auto" w:fill="3271AA"/>
            <w:vAlign w:val="center"/>
            <w:hideMark/>
          </w:tcPr>
          <w:p w14:paraId="721751B5" w14:textId="77777777" w:rsidR="00D3318E" w:rsidRPr="00F5183B" w:rsidRDefault="00D3318E" w:rsidP="00E350F6">
            <w:pPr>
              <w:pStyle w:val="NormalWeb"/>
              <w:spacing w:before="0" w:beforeAutospacing="0" w:after="0" w:afterAutospacing="0" w:line="276" w:lineRule="auto"/>
              <w:rPr>
                <w:rFonts w:ascii="Arial" w:hAnsi="Arial" w:cs="Arial"/>
                <w:b/>
                <w:bCs/>
                <w:i/>
                <w:iCs/>
                <w:color w:val="FFFFFF"/>
                <w:sz w:val="16"/>
                <w:szCs w:val="16"/>
              </w:rPr>
            </w:pPr>
            <w:r w:rsidRPr="00F5183B">
              <w:rPr>
                <w:rFonts w:ascii="Arial" w:hAnsi="Arial" w:cs="Arial"/>
                <w:b/>
                <w:bCs/>
                <w:color w:val="FFFFFF"/>
                <w:sz w:val="16"/>
                <w:szCs w:val="16"/>
              </w:rPr>
              <w:t>Outcomes</w:t>
            </w:r>
          </w:p>
        </w:tc>
        <w:tc>
          <w:tcPr>
            <w:tcW w:w="0" w:type="auto"/>
            <w:vMerge w:val="restart"/>
            <w:tcBorders>
              <w:top w:val="single" w:sz="12" w:space="0" w:color="000000"/>
              <w:left w:val="nil"/>
              <w:bottom w:val="single" w:sz="6" w:space="0" w:color="000000"/>
              <w:right w:val="nil"/>
            </w:tcBorders>
            <w:shd w:val="clear" w:color="auto" w:fill="3271AA"/>
            <w:vAlign w:val="center"/>
            <w:hideMark/>
          </w:tcPr>
          <w:p w14:paraId="03A68EAF" w14:textId="77777777" w:rsidR="00D3318E" w:rsidRPr="00F5183B" w:rsidRDefault="00D3318E" w:rsidP="00E350F6">
            <w:pPr>
              <w:pStyle w:val="NormalWeb"/>
              <w:spacing w:before="0" w:beforeAutospacing="0" w:after="0" w:afterAutospacing="0" w:line="276" w:lineRule="auto"/>
              <w:rPr>
                <w:rFonts w:ascii="Arial" w:hAnsi="Arial" w:cs="Arial"/>
                <w:b/>
                <w:bCs/>
                <w:i/>
                <w:iCs/>
                <w:color w:val="FFFFFF"/>
                <w:sz w:val="16"/>
                <w:szCs w:val="16"/>
              </w:rPr>
            </w:pPr>
            <w:r w:rsidRPr="00F5183B">
              <w:rPr>
                <w:rFonts w:ascii="Arial" w:hAnsi="Arial" w:cs="Arial"/>
                <w:b/>
                <w:bCs/>
                <w:color w:val="FFFFFF"/>
                <w:sz w:val="16"/>
                <w:szCs w:val="16"/>
              </w:rPr>
              <w:t>№ of participants</w:t>
            </w:r>
            <w:r w:rsidRPr="00F5183B">
              <w:rPr>
                <w:rFonts w:ascii="Arial" w:hAnsi="Arial" w:cs="Arial"/>
                <w:b/>
                <w:bCs/>
                <w:color w:val="FFFFFF"/>
                <w:sz w:val="16"/>
                <w:szCs w:val="16"/>
              </w:rPr>
              <w:br/>
              <w:t>(studies)</w:t>
            </w:r>
            <w:r w:rsidRPr="00F5183B">
              <w:rPr>
                <w:rFonts w:ascii="Arial" w:hAnsi="Arial" w:cs="Arial"/>
                <w:b/>
                <w:bCs/>
                <w:color w:val="FFFFFF"/>
                <w:sz w:val="16"/>
                <w:szCs w:val="16"/>
              </w:rPr>
              <w:br/>
              <w:t>Follow-up</w:t>
            </w:r>
            <w:r>
              <w:rPr>
                <w:rFonts w:ascii="Arial" w:hAnsi="Arial" w:cs="Arial"/>
                <w:b/>
                <w:bCs/>
                <w:color w:val="FFFFFF"/>
                <w:sz w:val="16"/>
                <w:szCs w:val="16"/>
              </w:rPr>
              <w:t xml:space="preserve"> range</w:t>
            </w:r>
          </w:p>
        </w:tc>
        <w:tc>
          <w:tcPr>
            <w:tcW w:w="0" w:type="auto"/>
            <w:vMerge w:val="restart"/>
            <w:tcBorders>
              <w:top w:val="single" w:sz="12" w:space="0" w:color="000000"/>
              <w:left w:val="nil"/>
              <w:bottom w:val="single" w:sz="6" w:space="0" w:color="000000"/>
              <w:right w:val="nil"/>
            </w:tcBorders>
            <w:shd w:val="clear" w:color="auto" w:fill="3271AA"/>
            <w:vAlign w:val="center"/>
            <w:hideMark/>
          </w:tcPr>
          <w:p w14:paraId="27BC81DA" w14:textId="77777777" w:rsidR="00D3318E" w:rsidRPr="00F5183B" w:rsidRDefault="00D3318E" w:rsidP="00E350F6">
            <w:pPr>
              <w:pStyle w:val="NormalWeb"/>
              <w:spacing w:before="0" w:beforeAutospacing="0" w:after="0" w:afterAutospacing="0" w:line="276" w:lineRule="auto"/>
              <w:rPr>
                <w:rFonts w:ascii="Arial" w:hAnsi="Arial" w:cs="Arial"/>
                <w:b/>
                <w:bCs/>
                <w:i/>
                <w:iCs/>
                <w:color w:val="FFFFFF"/>
                <w:sz w:val="16"/>
                <w:szCs w:val="16"/>
              </w:rPr>
            </w:pPr>
            <w:r w:rsidRPr="00F5183B">
              <w:rPr>
                <w:rFonts w:ascii="Arial" w:hAnsi="Arial" w:cs="Arial"/>
                <w:b/>
                <w:bCs/>
                <w:color w:val="FFFFFF"/>
                <w:sz w:val="16"/>
                <w:szCs w:val="16"/>
              </w:rPr>
              <w:t>Certainty of the evidence</w:t>
            </w:r>
            <w:r w:rsidRPr="00F5183B">
              <w:rPr>
                <w:rFonts w:ascii="Arial" w:hAnsi="Arial" w:cs="Arial"/>
                <w:b/>
                <w:bCs/>
                <w:color w:val="FFFFFF"/>
                <w:sz w:val="16"/>
                <w:szCs w:val="16"/>
              </w:rPr>
              <w:br/>
              <w:t>(GRADE)</w:t>
            </w:r>
          </w:p>
        </w:tc>
        <w:tc>
          <w:tcPr>
            <w:tcW w:w="0" w:type="auto"/>
            <w:vMerge w:val="restart"/>
            <w:tcBorders>
              <w:top w:val="single" w:sz="12" w:space="0" w:color="000000"/>
              <w:left w:val="nil"/>
              <w:bottom w:val="single" w:sz="6" w:space="0" w:color="000000"/>
              <w:right w:val="nil"/>
            </w:tcBorders>
            <w:shd w:val="clear" w:color="auto" w:fill="3271AA"/>
            <w:vAlign w:val="center"/>
            <w:hideMark/>
          </w:tcPr>
          <w:p w14:paraId="05CE5D78" w14:textId="77777777" w:rsidR="00D3318E" w:rsidRPr="00F5183B" w:rsidRDefault="00D3318E" w:rsidP="00E350F6">
            <w:pPr>
              <w:pStyle w:val="NormalWeb"/>
              <w:spacing w:before="0" w:beforeAutospacing="0" w:after="0" w:afterAutospacing="0" w:line="276" w:lineRule="auto"/>
              <w:rPr>
                <w:rFonts w:ascii="Arial" w:hAnsi="Arial" w:cs="Arial"/>
                <w:b/>
                <w:bCs/>
                <w:i/>
                <w:iCs/>
                <w:color w:val="FFFFFF"/>
                <w:sz w:val="16"/>
                <w:szCs w:val="16"/>
              </w:rPr>
            </w:pPr>
            <w:r w:rsidRPr="00F5183B">
              <w:rPr>
                <w:rFonts w:ascii="Arial" w:hAnsi="Arial" w:cs="Arial"/>
                <w:b/>
                <w:bCs/>
                <w:color w:val="FFFFFF"/>
                <w:sz w:val="16"/>
                <w:szCs w:val="16"/>
              </w:rPr>
              <w:t>Relative effect</w:t>
            </w:r>
            <w:r w:rsidRPr="00F5183B">
              <w:rPr>
                <w:rFonts w:ascii="Arial" w:hAnsi="Arial" w:cs="Arial"/>
                <w:b/>
                <w:bCs/>
                <w:color w:val="FFFFFF"/>
                <w:sz w:val="16"/>
                <w:szCs w:val="16"/>
              </w:rPr>
              <w:br/>
              <w:t>(95% CI)</w:t>
            </w:r>
          </w:p>
        </w:tc>
        <w:tc>
          <w:tcPr>
            <w:tcW w:w="0" w:type="auto"/>
            <w:gridSpan w:val="2"/>
            <w:tcBorders>
              <w:top w:val="single" w:sz="12" w:space="0" w:color="000000"/>
              <w:left w:val="nil"/>
              <w:bottom w:val="single" w:sz="6" w:space="0" w:color="000000"/>
              <w:right w:val="nil"/>
            </w:tcBorders>
            <w:shd w:val="clear" w:color="auto" w:fill="D3D3D3"/>
            <w:vAlign w:val="center"/>
            <w:hideMark/>
          </w:tcPr>
          <w:p w14:paraId="58E46CD4" w14:textId="77777777" w:rsidR="00D3318E" w:rsidRPr="00F5183B" w:rsidRDefault="00D3318E" w:rsidP="00E350F6">
            <w:pPr>
              <w:pStyle w:val="NormalWeb"/>
              <w:spacing w:before="0" w:beforeAutospacing="0" w:after="0" w:afterAutospacing="0" w:line="276" w:lineRule="auto"/>
              <w:rPr>
                <w:rFonts w:ascii="Arial" w:hAnsi="Arial" w:cs="Arial"/>
                <w:b/>
                <w:bCs/>
                <w:i/>
                <w:iCs/>
                <w:color w:val="000000"/>
                <w:sz w:val="16"/>
                <w:szCs w:val="16"/>
              </w:rPr>
            </w:pPr>
            <w:r w:rsidRPr="00F5183B">
              <w:rPr>
                <w:rFonts w:ascii="Arial" w:hAnsi="Arial" w:cs="Arial"/>
                <w:b/>
                <w:bCs/>
                <w:color w:val="000000"/>
                <w:sz w:val="16"/>
                <w:szCs w:val="16"/>
              </w:rPr>
              <w:t>Anticipated absolute effects</w:t>
            </w:r>
          </w:p>
        </w:tc>
      </w:tr>
      <w:tr w:rsidR="00D3318E" w:rsidRPr="00F87E48" w14:paraId="326F8C2A" w14:textId="77777777" w:rsidTr="00E350F6">
        <w:trPr>
          <w:cantSplit/>
          <w:tblHeader/>
        </w:trPr>
        <w:tc>
          <w:tcPr>
            <w:tcW w:w="0" w:type="auto"/>
            <w:vMerge/>
            <w:tcBorders>
              <w:top w:val="single" w:sz="12" w:space="0" w:color="000000"/>
              <w:left w:val="nil"/>
              <w:bottom w:val="single" w:sz="6" w:space="0" w:color="000000"/>
              <w:right w:val="nil"/>
            </w:tcBorders>
            <w:vAlign w:val="center"/>
            <w:hideMark/>
          </w:tcPr>
          <w:p w14:paraId="20081169" w14:textId="77777777" w:rsidR="00D3318E" w:rsidRPr="00F5183B" w:rsidRDefault="00D3318E" w:rsidP="00E350F6">
            <w:pPr>
              <w:rPr>
                <w:rFonts w:ascii="Arial" w:hAnsi="Arial" w:cs="Arial"/>
                <w:b/>
                <w:bCs/>
                <w:color w:val="FFFFFF"/>
                <w:sz w:val="16"/>
                <w:szCs w:val="16"/>
              </w:rPr>
            </w:pPr>
          </w:p>
        </w:tc>
        <w:tc>
          <w:tcPr>
            <w:tcW w:w="0" w:type="auto"/>
            <w:vMerge/>
            <w:tcBorders>
              <w:top w:val="single" w:sz="12" w:space="0" w:color="000000"/>
              <w:left w:val="nil"/>
              <w:bottom w:val="single" w:sz="6" w:space="0" w:color="000000"/>
              <w:right w:val="nil"/>
            </w:tcBorders>
            <w:vAlign w:val="center"/>
            <w:hideMark/>
          </w:tcPr>
          <w:p w14:paraId="7090A589" w14:textId="77777777" w:rsidR="00D3318E" w:rsidRPr="00F5183B" w:rsidRDefault="00D3318E" w:rsidP="00E350F6">
            <w:pPr>
              <w:rPr>
                <w:rFonts w:ascii="Arial" w:hAnsi="Arial" w:cs="Arial"/>
                <w:b/>
                <w:bCs/>
                <w:color w:val="FFFFFF"/>
                <w:sz w:val="16"/>
                <w:szCs w:val="16"/>
              </w:rPr>
            </w:pPr>
          </w:p>
        </w:tc>
        <w:tc>
          <w:tcPr>
            <w:tcW w:w="0" w:type="auto"/>
            <w:vMerge/>
            <w:tcBorders>
              <w:top w:val="single" w:sz="12" w:space="0" w:color="000000"/>
              <w:left w:val="nil"/>
              <w:bottom w:val="single" w:sz="6" w:space="0" w:color="000000"/>
              <w:right w:val="nil"/>
            </w:tcBorders>
            <w:vAlign w:val="center"/>
            <w:hideMark/>
          </w:tcPr>
          <w:p w14:paraId="782B620A" w14:textId="77777777" w:rsidR="00D3318E" w:rsidRPr="00F5183B" w:rsidRDefault="00D3318E" w:rsidP="00E350F6">
            <w:pPr>
              <w:rPr>
                <w:rFonts w:ascii="Arial" w:hAnsi="Arial" w:cs="Arial"/>
                <w:b/>
                <w:bCs/>
                <w:color w:val="FFFFFF"/>
                <w:sz w:val="16"/>
                <w:szCs w:val="16"/>
              </w:rPr>
            </w:pPr>
          </w:p>
        </w:tc>
        <w:tc>
          <w:tcPr>
            <w:tcW w:w="0" w:type="auto"/>
            <w:vMerge/>
            <w:tcBorders>
              <w:top w:val="single" w:sz="12" w:space="0" w:color="000000"/>
              <w:left w:val="nil"/>
              <w:bottom w:val="single" w:sz="6" w:space="0" w:color="000000"/>
              <w:right w:val="nil"/>
            </w:tcBorders>
            <w:vAlign w:val="center"/>
            <w:hideMark/>
          </w:tcPr>
          <w:p w14:paraId="335D21C7" w14:textId="77777777" w:rsidR="00D3318E" w:rsidRPr="00F5183B" w:rsidRDefault="00D3318E" w:rsidP="00E350F6">
            <w:pPr>
              <w:rPr>
                <w:rFonts w:ascii="Arial" w:hAnsi="Arial" w:cs="Arial"/>
                <w:b/>
                <w:bCs/>
                <w:color w:val="FFFFFF"/>
                <w:sz w:val="16"/>
                <w:szCs w:val="16"/>
              </w:rPr>
            </w:pPr>
          </w:p>
        </w:tc>
        <w:tc>
          <w:tcPr>
            <w:tcW w:w="0" w:type="auto"/>
            <w:tcBorders>
              <w:top w:val="single" w:sz="12" w:space="0" w:color="000000"/>
              <w:left w:val="nil"/>
              <w:bottom w:val="single" w:sz="6" w:space="0" w:color="000000"/>
              <w:right w:val="nil"/>
            </w:tcBorders>
            <w:shd w:val="clear" w:color="auto" w:fill="D3D3D3"/>
            <w:vAlign w:val="center"/>
            <w:hideMark/>
          </w:tcPr>
          <w:p w14:paraId="16E5AAC9" w14:textId="77777777" w:rsidR="00D3318E" w:rsidRPr="00F5183B" w:rsidRDefault="00D3318E" w:rsidP="00E350F6">
            <w:pPr>
              <w:pStyle w:val="NormalWeb"/>
              <w:spacing w:before="0" w:beforeAutospacing="0" w:after="0" w:afterAutospacing="0" w:line="276" w:lineRule="auto"/>
              <w:rPr>
                <w:rFonts w:ascii="Arial" w:hAnsi="Arial" w:cs="Arial"/>
                <w:b/>
                <w:bCs/>
                <w:i/>
                <w:iCs/>
                <w:color w:val="000000"/>
                <w:sz w:val="16"/>
                <w:szCs w:val="16"/>
              </w:rPr>
            </w:pPr>
            <w:r w:rsidRPr="00F5183B">
              <w:rPr>
                <w:rFonts w:ascii="Arial" w:hAnsi="Arial" w:cs="Arial"/>
                <w:b/>
                <w:bCs/>
                <w:color w:val="000000"/>
                <w:sz w:val="16"/>
                <w:szCs w:val="16"/>
              </w:rPr>
              <w:t>Risk with standard of care</w:t>
            </w:r>
          </w:p>
        </w:tc>
        <w:tc>
          <w:tcPr>
            <w:tcW w:w="0" w:type="auto"/>
            <w:tcBorders>
              <w:top w:val="single" w:sz="12" w:space="0" w:color="000000"/>
              <w:left w:val="nil"/>
              <w:bottom w:val="single" w:sz="6" w:space="0" w:color="000000"/>
              <w:right w:val="nil"/>
            </w:tcBorders>
            <w:shd w:val="clear" w:color="auto" w:fill="D3D3D3"/>
            <w:vAlign w:val="center"/>
            <w:hideMark/>
          </w:tcPr>
          <w:p w14:paraId="03D58C2F" w14:textId="77777777" w:rsidR="00D3318E" w:rsidRPr="00F5183B" w:rsidRDefault="00D3318E" w:rsidP="00E350F6">
            <w:pPr>
              <w:pStyle w:val="NormalWeb"/>
              <w:spacing w:before="0" w:beforeAutospacing="0" w:after="0" w:afterAutospacing="0" w:line="276" w:lineRule="auto"/>
              <w:rPr>
                <w:rFonts w:ascii="Arial" w:hAnsi="Arial" w:cs="Arial"/>
                <w:b/>
                <w:bCs/>
                <w:i/>
                <w:iCs/>
                <w:color w:val="000000"/>
                <w:sz w:val="16"/>
                <w:szCs w:val="16"/>
              </w:rPr>
            </w:pPr>
            <w:r w:rsidRPr="00F5183B">
              <w:rPr>
                <w:rFonts w:ascii="Arial" w:hAnsi="Arial" w:cs="Arial"/>
                <w:b/>
                <w:bCs/>
                <w:color w:val="000000"/>
                <w:sz w:val="16"/>
                <w:szCs w:val="16"/>
              </w:rPr>
              <w:t>Risk difference with Omalizumab</w:t>
            </w:r>
          </w:p>
        </w:tc>
      </w:tr>
      <w:tr w:rsidR="00D3318E" w:rsidRPr="00F87E48" w14:paraId="21669891" w14:textId="77777777" w:rsidTr="00E350F6">
        <w:trPr>
          <w:cantSplit/>
        </w:trPr>
        <w:tc>
          <w:tcPr>
            <w:tcW w:w="0" w:type="auto"/>
            <w:vMerge w:val="restart"/>
            <w:tcBorders>
              <w:top w:val="single" w:sz="6" w:space="0" w:color="000000"/>
              <w:left w:val="nil"/>
              <w:bottom w:val="single" w:sz="6" w:space="0" w:color="000000"/>
              <w:right w:val="nil"/>
            </w:tcBorders>
            <w:vAlign w:val="center"/>
            <w:hideMark/>
          </w:tcPr>
          <w:p w14:paraId="7C60FDB9" w14:textId="77777777" w:rsidR="00D3318E" w:rsidRPr="00F5183B" w:rsidRDefault="00D3318E" w:rsidP="00E350F6">
            <w:pPr>
              <w:rPr>
                <w:rFonts w:ascii="Arial" w:hAnsi="Arial" w:cs="Arial"/>
                <w:b/>
                <w:bCs/>
                <w:i/>
                <w:iCs/>
                <w:color w:val="404040" w:themeColor="text1" w:themeTint="BF"/>
                <w:sz w:val="16"/>
                <w:szCs w:val="16"/>
              </w:rPr>
            </w:pPr>
            <w:r w:rsidRPr="00F5183B">
              <w:rPr>
                <w:rStyle w:val="label"/>
                <w:rFonts w:ascii="Arial" w:hAnsi="Arial" w:cs="Arial"/>
                <w:sz w:val="16"/>
                <w:szCs w:val="16"/>
              </w:rPr>
              <w:t>Annual rate of</w:t>
            </w:r>
            <w:r>
              <w:rPr>
                <w:rStyle w:val="label"/>
                <w:rFonts w:ascii="Arial" w:hAnsi="Arial" w:cs="Arial"/>
                <w:sz w:val="16"/>
                <w:szCs w:val="16"/>
              </w:rPr>
              <w:t xml:space="preserve"> c</w:t>
            </w:r>
            <w:r w:rsidRPr="00F5183B">
              <w:rPr>
                <w:rStyle w:val="label"/>
                <w:rFonts w:ascii="Arial" w:hAnsi="Arial" w:cs="Arial"/>
                <w:sz w:val="16"/>
                <w:szCs w:val="16"/>
              </w:rPr>
              <w:t xml:space="preserve">linically significant asthma exacerbations </w:t>
            </w:r>
            <w:r w:rsidRPr="00F5183B">
              <w:rPr>
                <w:rFonts w:ascii="Arial" w:hAnsi="Arial" w:cs="Arial"/>
                <w:sz w:val="16"/>
                <w:szCs w:val="16"/>
              </w:rPr>
              <w:br/>
            </w:r>
            <w:r w:rsidRPr="00F5183B">
              <w:rPr>
                <w:rStyle w:val="label"/>
                <w:rFonts w:ascii="Arial" w:hAnsi="Arial" w:cs="Arial"/>
                <w:sz w:val="16"/>
                <w:szCs w:val="16"/>
              </w:rPr>
              <w:t>assessed wit</w:t>
            </w:r>
            <w:r>
              <w:rPr>
                <w:rStyle w:val="label"/>
                <w:rFonts w:ascii="Arial" w:hAnsi="Arial" w:cs="Arial"/>
                <w:sz w:val="16"/>
                <w:szCs w:val="16"/>
              </w:rPr>
              <w:t>h</w:t>
            </w:r>
            <w:r w:rsidRPr="00F5183B">
              <w:rPr>
                <w:rStyle w:val="label"/>
                <w:rFonts w:ascii="Arial" w:hAnsi="Arial" w:cs="Arial"/>
                <w:sz w:val="16"/>
                <w:szCs w:val="16"/>
              </w:rPr>
              <w:t xml:space="preserve"> </w:t>
            </w:r>
            <w:r>
              <w:rPr>
                <w:rStyle w:val="label"/>
                <w:rFonts w:ascii="Arial" w:hAnsi="Arial" w:cs="Arial"/>
                <w:sz w:val="16"/>
                <w:szCs w:val="16"/>
              </w:rPr>
              <w:t>a</w:t>
            </w:r>
            <w:r w:rsidRPr="00F5183B">
              <w:rPr>
                <w:rStyle w:val="label"/>
                <w:rFonts w:ascii="Arial" w:hAnsi="Arial" w:cs="Arial"/>
                <w:sz w:val="16"/>
                <w:szCs w:val="16"/>
              </w:rPr>
              <w:t>nnual</w:t>
            </w:r>
            <w:r>
              <w:rPr>
                <w:rStyle w:val="label"/>
                <w:rFonts w:ascii="Arial" w:hAnsi="Arial" w:cs="Arial"/>
                <w:sz w:val="16"/>
                <w:szCs w:val="16"/>
              </w:rPr>
              <w:t>ised</w:t>
            </w:r>
            <w:r w:rsidRPr="00F5183B">
              <w:rPr>
                <w:rStyle w:val="label"/>
                <w:rFonts w:ascii="Arial" w:hAnsi="Arial" w:cs="Arial"/>
                <w:sz w:val="16"/>
                <w:szCs w:val="16"/>
              </w:rPr>
              <w:t xml:space="preserve"> rate</w:t>
            </w:r>
            <w:r w:rsidRPr="00F5183B">
              <w:rPr>
                <w:rFonts w:ascii="Arial" w:hAnsi="Arial" w:cs="Arial"/>
                <w:sz w:val="16"/>
                <w:szCs w:val="16"/>
              </w:rPr>
              <w:br/>
            </w:r>
          </w:p>
        </w:tc>
        <w:tc>
          <w:tcPr>
            <w:tcW w:w="945" w:type="pct"/>
            <w:vMerge w:val="restart"/>
            <w:tcBorders>
              <w:top w:val="single" w:sz="6" w:space="0" w:color="000000"/>
              <w:left w:val="nil"/>
              <w:bottom w:val="single" w:sz="6" w:space="0" w:color="000000"/>
              <w:right w:val="nil"/>
            </w:tcBorders>
            <w:vAlign w:val="center"/>
            <w:hideMark/>
          </w:tcPr>
          <w:p w14:paraId="2FF29393" w14:textId="77777777" w:rsidR="00D3318E" w:rsidRPr="00CF4E5B" w:rsidRDefault="00D3318E" w:rsidP="00E350F6">
            <w:pPr>
              <w:rPr>
                <w:rFonts w:ascii="Arial" w:hAnsi="Arial" w:cs="Arial"/>
                <w:color w:val="FF0000"/>
                <w:sz w:val="16"/>
                <w:szCs w:val="16"/>
              </w:rPr>
            </w:pPr>
            <w:r w:rsidRPr="00CF4E5B">
              <w:rPr>
                <w:rFonts w:ascii="Arial" w:hAnsi="Arial" w:cs="Arial"/>
                <w:sz w:val="16"/>
                <w:szCs w:val="16"/>
              </w:rPr>
              <w:t>2</w:t>
            </w:r>
            <w:r w:rsidRPr="00CF4E5B">
              <w:rPr>
                <w:sz w:val="16"/>
                <w:szCs w:val="16"/>
              </w:rPr>
              <w:t>772</w:t>
            </w:r>
            <w:r w:rsidRPr="00CF4E5B">
              <w:rPr>
                <w:color w:val="FF0000"/>
                <w:sz w:val="16"/>
                <w:szCs w:val="16"/>
              </w:rPr>
              <w:t xml:space="preserve"> </w:t>
            </w:r>
          </w:p>
          <w:p w14:paraId="08144180" w14:textId="77777777" w:rsidR="00D3318E" w:rsidRDefault="00D3318E" w:rsidP="00E350F6">
            <w:pPr>
              <w:rPr>
                <w:rFonts w:ascii="Arial" w:hAnsi="Arial" w:cs="Arial"/>
                <w:sz w:val="16"/>
                <w:szCs w:val="16"/>
                <w:vertAlign w:val="superscript"/>
              </w:rPr>
            </w:pPr>
            <w:r w:rsidRPr="00F5183B">
              <w:rPr>
                <w:rFonts w:ascii="Arial" w:hAnsi="Arial" w:cs="Arial"/>
                <w:sz w:val="16"/>
                <w:szCs w:val="16"/>
              </w:rPr>
              <w:t xml:space="preserve">(6 RCTs) </w:t>
            </w:r>
            <w:r w:rsidRPr="001541A4">
              <w:rPr>
                <w:rFonts w:ascii="Arial" w:hAnsi="Arial" w:cs="Arial"/>
                <w:sz w:val="16"/>
                <w:szCs w:val="16"/>
                <w:vertAlign w:val="superscript"/>
              </w:rPr>
              <w:t>42,44,51,54,55,68</w:t>
            </w:r>
          </w:p>
          <w:p w14:paraId="0C218FD7" w14:textId="77777777" w:rsidR="00D3318E" w:rsidRPr="00F5183B" w:rsidRDefault="00D3318E" w:rsidP="00E350F6">
            <w:pPr>
              <w:rPr>
                <w:rFonts w:ascii="Arial" w:hAnsi="Arial" w:cs="Arial"/>
                <w:b/>
                <w:bCs/>
                <w:i/>
                <w:iCs/>
                <w:color w:val="404040" w:themeColor="text1" w:themeTint="BF"/>
                <w:sz w:val="16"/>
                <w:szCs w:val="16"/>
              </w:rPr>
            </w:pPr>
            <w:r w:rsidRPr="00F5183B">
              <w:rPr>
                <w:rStyle w:val="label"/>
                <w:rFonts w:ascii="Arial" w:hAnsi="Arial" w:cs="Arial"/>
                <w:sz w:val="16"/>
                <w:szCs w:val="16"/>
              </w:rPr>
              <w:t>24 weeks to 52 weeks</w:t>
            </w:r>
            <w:r w:rsidRPr="00F5183B">
              <w:rPr>
                <w:rFonts w:ascii="Arial" w:hAnsi="Arial" w:cs="Arial"/>
                <w:sz w:val="16"/>
                <w:szCs w:val="16"/>
              </w:rPr>
              <w:t xml:space="preserve"> </w:t>
            </w:r>
            <w:r w:rsidRPr="00F5183B">
              <w:rPr>
                <w:rFonts w:ascii="Arial" w:hAnsi="Arial" w:cs="Arial"/>
                <w:sz w:val="16"/>
                <w:szCs w:val="16"/>
                <w:vertAlign w:val="superscript"/>
              </w:rPr>
              <w:t>a</w:t>
            </w:r>
          </w:p>
        </w:tc>
        <w:tc>
          <w:tcPr>
            <w:tcW w:w="673" w:type="pct"/>
            <w:vMerge w:val="restart"/>
            <w:tcBorders>
              <w:top w:val="single" w:sz="6" w:space="0" w:color="000000"/>
              <w:left w:val="nil"/>
              <w:bottom w:val="single" w:sz="6" w:space="0" w:color="000000"/>
              <w:right w:val="nil"/>
            </w:tcBorders>
            <w:vAlign w:val="center"/>
            <w:hideMark/>
          </w:tcPr>
          <w:p w14:paraId="7E97D164" w14:textId="77777777" w:rsidR="00D3318E" w:rsidRPr="00F5183B" w:rsidRDefault="00D3318E" w:rsidP="00E350F6">
            <w:pPr>
              <w:rPr>
                <w:rFonts w:ascii="Arial" w:hAnsi="Arial" w:cs="Arial"/>
                <w:b/>
                <w:bCs/>
                <w:i/>
                <w:iCs/>
                <w:color w:val="404040" w:themeColor="text1" w:themeTint="BF"/>
                <w:sz w:val="16"/>
                <w:szCs w:val="16"/>
              </w:rPr>
            </w:pPr>
            <w:r w:rsidRPr="00F5183B">
              <w:rPr>
                <w:rStyle w:val="quality-sign"/>
                <w:rFonts w:ascii="Cambria Math" w:hAnsi="Cambria Math" w:cs="Cambria Math"/>
                <w:sz w:val="16"/>
                <w:szCs w:val="16"/>
              </w:rPr>
              <w:t>⨁⨁⨁⨁</w:t>
            </w:r>
            <w:r w:rsidRPr="00F5183B">
              <w:rPr>
                <w:rFonts w:ascii="Arial" w:hAnsi="Arial" w:cs="Arial"/>
                <w:sz w:val="16"/>
                <w:szCs w:val="16"/>
              </w:rPr>
              <w:br/>
            </w:r>
            <w:r w:rsidRPr="00F5183B">
              <w:rPr>
                <w:rStyle w:val="quality-text"/>
                <w:rFonts w:ascii="Arial" w:hAnsi="Arial" w:cs="Arial"/>
                <w:sz w:val="16"/>
                <w:szCs w:val="16"/>
              </w:rPr>
              <w:t>HIGH</w:t>
            </w:r>
            <w:r w:rsidRPr="00F5183B">
              <w:rPr>
                <w:rFonts w:ascii="Arial" w:hAnsi="Arial" w:cs="Arial"/>
                <w:sz w:val="16"/>
                <w:szCs w:val="16"/>
              </w:rPr>
              <w:t xml:space="preserve"> </w:t>
            </w:r>
            <w:proofErr w:type="gramStart"/>
            <w:r w:rsidRPr="00F5183B">
              <w:rPr>
                <w:rFonts w:ascii="Arial" w:hAnsi="Arial" w:cs="Arial"/>
                <w:sz w:val="16"/>
                <w:szCs w:val="16"/>
                <w:vertAlign w:val="superscript"/>
              </w:rPr>
              <w:t>b</w:t>
            </w:r>
            <w:r w:rsidRPr="00F5183B">
              <w:rPr>
                <w:rStyle w:val="comma"/>
                <w:rFonts w:ascii="Arial" w:hAnsi="Arial" w:cs="Arial"/>
                <w:sz w:val="16"/>
                <w:szCs w:val="16"/>
                <w:vertAlign w:val="superscript"/>
              </w:rPr>
              <w:t>,</w:t>
            </w:r>
            <w:r w:rsidRPr="00F5183B">
              <w:rPr>
                <w:rFonts w:ascii="Arial" w:hAnsi="Arial" w:cs="Arial"/>
                <w:sz w:val="16"/>
                <w:szCs w:val="16"/>
                <w:vertAlign w:val="superscript"/>
              </w:rPr>
              <w:t>c</w:t>
            </w:r>
            <w:proofErr w:type="gramEnd"/>
            <w:r w:rsidRPr="00F5183B">
              <w:rPr>
                <w:rStyle w:val="comma"/>
                <w:rFonts w:ascii="Arial" w:hAnsi="Arial" w:cs="Arial"/>
                <w:sz w:val="16"/>
                <w:szCs w:val="16"/>
                <w:vertAlign w:val="superscript"/>
              </w:rPr>
              <w:t>,</w:t>
            </w:r>
            <w:r w:rsidRPr="00F5183B">
              <w:rPr>
                <w:rFonts w:ascii="Arial" w:hAnsi="Arial" w:cs="Arial"/>
                <w:sz w:val="16"/>
                <w:szCs w:val="16"/>
                <w:vertAlign w:val="superscript"/>
              </w:rPr>
              <w:t>d</w:t>
            </w:r>
          </w:p>
        </w:tc>
        <w:tc>
          <w:tcPr>
            <w:tcW w:w="561" w:type="pct"/>
            <w:vMerge w:val="restart"/>
            <w:tcBorders>
              <w:top w:val="single" w:sz="6" w:space="0" w:color="000000"/>
              <w:left w:val="nil"/>
              <w:bottom w:val="single" w:sz="6" w:space="0" w:color="000000"/>
              <w:right w:val="nil"/>
            </w:tcBorders>
            <w:vAlign w:val="center"/>
            <w:hideMark/>
          </w:tcPr>
          <w:p w14:paraId="2148E290" w14:textId="77777777" w:rsidR="00D3318E" w:rsidRPr="00F5183B" w:rsidRDefault="00D3318E" w:rsidP="00E350F6">
            <w:pPr>
              <w:rPr>
                <w:rFonts w:ascii="Arial" w:hAnsi="Arial" w:cs="Arial"/>
                <w:b/>
                <w:bCs/>
                <w:i/>
                <w:iCs/>
                <w:color w:val="404040" w:themeColor="text1" w:themeTint="BF"/>
                <w:sz w:val="16"/>
                <w:szCs w:val="16"/>
              </w:rPr>
            </w:pPr>
            <w:r w:rsidRPr="00F5183B">
              <w:rPr>
                <w:rStyle w:val="block"/>
                <w:rFonts w:ascii="Arial" w:hAnsi="Arial" w:cs="Arial"/>
                <w:b/>
                <w:bCs/>
                <w:sz w:val="16"/>
                <w:szCs w:val="16"/>
              </w:rPr>
              <w:t>Rate ratio 0.56</w:t>
            </w:r>
            <w:r w:rsidRPr="00F5183B">
              <w:rPr>
                <w:rFonts w:ascii="Arial" w:hAnsi="Arial" w:cs="Arial"/>
                <w:sz w:val="16"/>
                <w:szCs w:val="16"/>
              </w:rPr>
              <w:br/>
            </w:r>
            <w:r w:rsidRPr="00F5183B">
              <w:rPr>
                <w:rStyle w:val="cell"/>
                <w:rFonts w:ascii="Arial" w:hAnsi="Arial" w:cs="Arial"/>
                <w:sz w:val="16"/>
                <w:szCs w:val="16"/>
              </w:rPr>
              <w:t>(0.45 to 0.69)</w:t>
            </w:r>
            <w:r w:rsidRPr="00F5183B">
              <w:rPr>
                <w:rFonts w:ascii="Arial" w:hAnsi="Arial" w:cs="Arial"/>
                <w:sz w:val="16"/>
                <w:szCs w:val="16"/>
              </w:rPr>
              <w:t xml:space="preserve"> </w:t>
            </w:r>
            <w:proofErr w:type="gramStart"/>
            <w:r w:rsidRPr="00F5183B">
              <w:rPr>
                <w:rFonts w:ascii="Arial" w:hAnsi="Arial" w:cs="Arial"/>
                <w:sz w:val="16"/>
                <w:szCs w:val="16"/>
                <w:vertAlign w:val="superscript"/>
              </w:rPr>
              <w:t>e</w:t>
            </w:r>
            <w:r w:rsidRPr="00F5183B">
              <w:rPr>
                <w:rStyle w:val="comma"/>
                <w:rFonts w:ascii="Arial" w:hAnsi="Arial" w:cs="Arial"/>
                <w:sz w:val="16"/>
                <w:szCs w:val="16"/>
                <w:vertAlign w:val="superscript"/>
              </w:rPr>
              <w:t>,</w:t>
            </w:r>
            <w:r w:rsidRPr="00F5183B">
              <w:rPr>
                <w:rFonts w:ascii="Arial" w:hAnsi="Arial" w:cs="Arial"/>
                <w:sz w:val="16"/>
                <w:szCs w:val="16"/>
                <w:vertAlign w:val="superscript"/>
              </w:rPr>
              <w:t>f</w:t>
            </w:r>
            <w:proofErr w:type="gramEnd"/>
          </w:p>
        </w:tc>
        <w:tc>
          <w:tcPr>
            <w:tcW w:w="0" w:type="auto"/>
            <w:gridSpan w:val="2"/>
            <w:tcBorders>
              <w:top w:val="single" w:sz="6" w:space="0" w:color="000000"/>
              <w:left w:val="nil"/>
              <w:bottom w:val="single" w:sz="6" w:space="0" w:color="000000"/>
              <w:right w:val="nil"/>
            </w:tcBorders>
            <w:shd w:val="clear" w:color="auto" w:fill="E0E0E0"/>
            <w:vAlign w:val="center"/>
            <w:hideMark/>
          </w:tcPr>
          <w:p w14:paraId="04288442" w14:textId="77777777" w:rsidR="00D3318E" w:rsidRPr="00F5183B" w:rsidRDefault="00D3318E" w:rsidP="00E350F6">
            <w:pPr>
              <w:rPr>
                <w:rFonts w:ascii="Arial" w:hAnsi="Arial" w:cs="Arial"/>
                <w:b/>
                <w:bCs/>
                <w:i/>
                <w:iCs/>
                <w:color w:val="404040" w:themeColor="text1" w:themeTint="BF"/>
                <w:sz w:val="16"/>
                <w:szCs w:val="16"/>
              </w:rPr>
            </w:pPr>
            <w:r w:rsidRPr="00F5183B">
              <w:rPr>
                <w:rFonts w:ascii="Arial" w:hAnsi="Arial" w:cs="Arial"/>
                <w:b/>
                <w:bCs/>
                <w:sz w:val="16"/>
                <w:szCs w:val="16"/>
              </w:rPr>
              <w:t xml:space="preserve">Low </w:t>
            </w:r>
          </w:p>
        </w:tc>
      </w:tr>
      <w:tr w:rsidR="00D3318E" w:rsidRPr="00F87E48" w14:paraId="5D65EFAA" w14:textId="77777777" w:rsidTr="00E350F6">
        <w:trPr>
          <w:cantSplit/>
        </w:trPr>
        <w:tc>
          <w:tcPr>
            <w:tcW w:w="0" w:type="auto"/>
            <w:vMerge/>
            <w:tcBorders>
              <w:top w:val="single" w:sz="6" w:space="0" w:color="000000"/>
              <w:left w:val="nil"/>
              <w:bottom w:val="single" w:sz="6" w:space="0" w:color="000000"/>
              <w:right w:val="nil"/>
            </w:tcBorders>
            <w:vAlign w:val="center"/>
            <w:hideMark/>
          </w:tcPr>
          <w:p w14:paraId="77F7BC2D" w14:textId="77777777" w:rsidR="00D3318E" w:rsidRPr="00F5183B" w:rsidRDefault="00D3318E" w:rsidP="00E350F6">
            <w:pPr>
              <w:rPr>
                <w:rFonts w:ascii="Arial" w:hAnsi="Arial" w:cs="Arial"/>
                <w:sz w:val="16"/>
                <w:szCs w:val="16"/>
              </w:rPr>
            </w:pPr>
          </w:p>
        </w:tc>
        <w:tc>
          <w:tcPr>
            <w:tcW w:w="0" w:type="auto"/>
            <w:vMerge/>
            <w:tcBorders>
              <w:top w:val="single" w:sz="6" w:space="0" w:color="000000"/>
              <w:left w:val="nil"/>
              <w:bottom w:val="single" w:sz="6" w:space="0" w:color="000000"/>
              <w:right w:val="nil"/>
            </w:tcBorders>
            <w:vAlign w:val="center"/>
            <w:hideMark/>
          </w:tcPr>
          <w:p w14:paraId="75FB11D1" w14:textId="77777777" w:rsidR="00D3318E" w:rsidRPr="00F5183B" w:rsidRDefault="00D3318E" w:rsidP="00E350F6">
            <w:pPr>
              <w:rPr>
                <w:rFonts w:ascii="Arial" w:hAnsi="Arial" w:cs="Arial"/>
                <w:sz w:val="16"/>
                <w:szCs w:val="16"/>
              </w:rPr>
            </w:pPr>
          </w:p>
        </w:tc>
        <w:tc>
          <w:tcPr>
            <w:tcW w:w="0" w:type="auto"/>
            <w:vMerge/>
            <w:tcBorders>
              <w:top w:val="single" w:sz="6" w:space="0" w:color="000000"/>
              <w:left w:val="nil"/>
              <w:bottom w:val="single" w:sz="6" w:space="0" w:color="000000"/>
              <w:right w:val="nil"/>
            </w:tcBorders>
            <w:vAlign w:val="center"/>
            <w:hideMark/>
          </w:tcPr>
          <w:p w14:paraId="3BE7685A" w14:textId="77777777" w:rsidR="00D3318E" w:rsidRPr="00F5183B" w:rsidRDefault="00D3318E" w:rsidP="00E350F6">
            <w:pPr>
              <w:rPr>
                <w:rFonts w:ascii="Arial" w:hAnsi="Arial" w:cs="Arial"/>
                <w:sz w:val="16"/>
                <w:szCs w:val="16"/>
              </w:rPr>
            </w:pPr>
          </w:p>
        </w:tc>
        <w:tc>
          <w:tcPr>
            <w:tcW w:w="0" w:type="auto"/>
            <w:vMerge/>
            <w:tcBorders>
              <w:top w:val="single" w:sz="6" w:space="0" w:color="000000"/>
              <w:left w:val="nil"/>
              <w:bottom w:val="single" w:sz="6" w:space="0" w:color="000000"/>
              <w:right w:val="nil"/>
            </w:tcBorders>
            <w:vAlign w:val="center"/>
            <w:hideMark/>
          </w:tcPr>
          <w:p w14:paraId="379B0E0D" w14:textId="77777777" w:rsidR="00D3318E" w:rsidRPr="00F5183B" w:rsidRDefault="00D3318E" w:rsidP="00E350F6">
            <w:pPr>
              <w:rPr>
                <w:rFonts w:ascii="Arial" w:hAnsi="Arial" w:cs="Arial"/>
                <w:sz w:val="16"/>
                <w:szCs w:val="16"/>
              </w:rPr>
            </w:pPr>
          </w:p>
        </w:tc>
        <w:tc>
          <w:tcPr>
            <w:tcW w:w="655" w:type="pct"/>
            <w:tcBorders>
              <w:top w:val="single" w:sz="6" w:space="0" w:color="000000"/>
              <w:left w:val="nil"/>
              <w:bottom w:val="single" w:sz="6" w:space="0" w:color="000000"/>
              <w:right w:val="nil"/>
            </w:tcBorders>
            <w:shd w:val="clear" w:color="auto" w:fill="EDEDED"/>
            <w:vAlign w:val="center"/>
            <w:hideMark/>
          </w:tcPr>
          <w:p w14:paraId="5276DBE4" w14:textId="77777777" w:rsidR="00D3318E" w:rsidRPr="00F5183B" w:rsidRDefault="00D3318E" w:rsidP="00E350F6">
            <w:pPr>
              <w:rPr>
                <w:rFonts w:ascii="Arial" w:hAnsi="Arial" w:cs="Arial"/>
                <w:b/>
                <w:bCs/>
                <w:i/>
                <w:iCs/>
                <w:color w:val="404040" w:themeColor="text1" w:themeTint="BF"/>
                <w:sz w:val="16"/>
                <w:szCs w:val="16"/>
              </w:rPr>
            </w:pPr>
            <w:r w:rsidRPr="00F5183B">
              <w:rPr>
                <w:rFonts w:ascii="Arial" w:hAnsi="Arial" w:cs="Arial"/>
                <w:sz w:val="16"/>
                <w:szCs w:val="16"/>
              </w:rPr>
              <w:t xml:space="preserve">14 per 1.000 </w:t>
            </w:r>
          </w:p>
        </w:tc>
        <w:tc>
          <w:tcPr>
            <w:tcW w:w="839" w:type="pct"/>
            <w:tcBorders>
              <w:top w:val="single" w:sz="6" w:space="0" w:color="000000"/>
              <w:left w:val="nil"/>
              <w:bottom w:val="single" w:sz="6" w:space="0" w:color="000000"/>
              <w:right w:val="nil"/>
            </w:tcBorders>
            <w:shd w:val="clear" w:color="auto" w:fill="EDEDED"/>
            <w:vAlign w:val="center"/>
            <w:hideMark/>
          </w:tcPr>
          <w:p w14:paraId="34DEAB7F" w14:textId="77777777" w:rsidR="00D3318E" w:rsidRPr="00F5183B" w:rsidRDefault="00D3318E" w:rsidP="00E350F6">
            <w:pPr>
              <w:rPr>
                <w:rFonts w:ascii="Arial" w:hAnsi="Arial" w:cs="Arial"/>
                <w:b/>
                <w:bCs/>
                <w:i/>
                <w:iCs/>
                <w:color w:val="404040" w:themeColor="text1" w:themeTint="BF"/>
                <w:sz w:val="16"/>
                <w:szCs w:val="16"/>
              </w:rPr>
            </w:pPr>
            <w:r w:rsidRPr="00F5183B">
              <w:rPr>
                <w:rStyle w:val="cell-value"/>
                <w:rFonts w:ascii="Arial" w:hAnsi="Arial" w:cs="Arial"/>
                <w:b/>
                <w:bCs/>
                <w:sz w:val="16"/>
                <w:szCs w:val="16"/>
              </w:rPr>
              <w:t>616 fewer per 1.000</w:t>
            </w:r>
            <w:r w:rsidRPr="00F5183B">
              <w:rPr>
                <w:rFonts w:ascii="Arial" w:hAnsi="Arial" w:cs="Arial"/>
                <w:sz w:val="16"/>
                <w:szCs w:val="16"/>
              </w:rPr>
              <w:br/>
            </w:r>
            <w:r w:rsidRPr="00F5183B">
              <w:rPr>
                <w:rStyle w:val="cell-value"/>
                <w:rFonts w:ascii="Arial" w:hAnsi="Arial" w:cs="Arial"/>
                <w:sz w:val="16"/>
                <w:szCs w:val="16"/>
              </w:rPr>
              <w:t>(770 fewer to 378 fewer)</w:t>
            </w:r>
            <w:r w:rsidRPr="00F5183B">
              <w:rPr>
                <w:rFonts w:ascii="Arial" w:hAnsi="Arial" w:cs="Arial"/>
                <w:sz w:val="16"/>
                <w:szCs w:val="16"/>
              </w:rPr>
              <w:t xml:space="preserve"> </w:t>
            </w:r>
          </w:p>
        </w:tc>
      </w:tr>
      <w:tr w:rsidR="00D3318E" w:rsidRPr="00F87E48" w14:paraId="4B61603E" w14:textId="77777777" w:rsidTr="00E350F6">
        <w:trPr>
          <w:cantSplit/>
        </w:trPr>
        <w:tc>
          <w:tcPr>
            <w:tcW w:w="0" w:type="auto"/>
            <w:tcBorders>
              <w:top w:val="single" w:sz="6" w:space="0" w:color="000000"/>
              <w:left w:val="nil"/>
              <w:bottom w:val="single" w:sz="6" w:space="0" w:color="000000"/>
              <w:right w:val="nil"/>
            </w:tcBorders>
            <w:vAlign w:val="center"/>
            <w:hideMark/>
          </w:tcPr>
          <w:p w14:paraId="2AA8465E" w14:textId="77777777" w:rsidR="00D3318E" w:rsidRPr="00F5183B" w:rsidRDefault="00D3318E" w:rsidP="00E350F6">
            <w:pPr>
              <w:rPr>
                <w:rFonts w:ascii="Arial" w:hAnsi="Arial" w:cs="Arial"/>
                <w:b/>
                <w:bCs/>
                <w:i/>
                <w:iCs/>
                <w:color w:val="404040" w:themeColor="text1" w:themeTint="BF"/>
                <w:sz w:val="16"/>
                <w:szCs w:val="16"/>
              </w:rPr>
            </w:pPr>
            <w:r w:rsidRPr="00F5183B">
              <w:rPr>
                <w:rStyle w:val="label"/>
                <w:rFonts w:ascii="Arial" w:hAnsi="Arial" w:cs="Arial"/>
                <w:sz w:val="16"/>
                <w:szCs w:val="16"/>
              </w:rPr>
              <w:lastRenderedPageBreak/>
              <w:t>Asthma</w:t>
            </w:r>
            <w:r>
              <w:rPr>
                <w:rStyle w:val="label"/>
                <w:rFonts w:ascii="Arial" w:hAnsi="Arial" w:cs="Arial"/>
                <w:sz w:val="16"/>
                <w:szCs w:val="16"/>
              </w:rPr>
              <w:t xml:space="preserve"> c</w:t>
            </w:r>
            <w:r w:rsidRPr="00F5183B">
              <w:rPr>
                <w:rStyle w:val="label"/>
                <w:rFonts w:ascii="Arial" w:hAnsi="Arial" w:cs="Arial"/>
                <w:sz w:val="16"/>
                <w:szCs w:val="16"/>
              </w:rPr>
              <w:t xml:space="preserve">ontrol </w:t>
            </w:r>
            <w:r w:rsidRPr="00F5183B">
              <w:rPr>
                <w:rFonts w:ascii="Arial" w:hAnsi="Arial" w:cs="Arial"/>
                <w:sz w:val="16"/>
                <w:szCs w:val="16"/>
              </w:rPr>
              <w:br/>
            </w:r>
            <w:r w:rsidRPr="00F5183B">
              <w:rPr>
                <w:rStyle w:val="label"/>
                <w:rFonts w:ascii="Arial" w:hAnsi="Arial" w:cs="Arial"/>
                <w:sz w:val="16"/>
                <w:szCs w:val="16"/>
              </w:rPr>
              <w:t>assessed with</w:t>
            </w:r>
            <w:r>
              <w:rPr>
                <w:rStyle w:val="label"/>
                <w:rFonts w:ascii="Arial" w:hAnsi="Arial" w:cs="Arial"/>
                <w:sz w:val="16"/>
                <w:szCs w:val="16"/>
              </w:rPr>
              <w:t xml:space="preserve"> ACQ</w:t>
            </w:r>
            <w:r w:rsidRPr="00F5183B">
              <w:rPr>
                <w:rStyle w:val="label"/>
                <w:rFonts w:ascii="Arial" w:hAnsi="Arial" w:cs="Arial"/>
                <w:sz w:val="16"/>
                <w:szCs w:val="16"/>
              </w:rPr>
              <w:t>-6</w:t>
            </w:r>
            <w:r>
              <w:rPr>
                <w:rStyle w:val="label"/>
                <w:rFonts w:ascii="Arial" w:hAnsi="Arial" w:cs="Arial"/>
                <w:sz w:val="16"/>
                <w:szCs w:val="16"/>
              </w:rPr>
              <w:t xml:space="preserve"> score; </w:t>
            </w:r>
            <w:r w:rsidRPr="00F5183B">
              <w:rPr>
                <w:rFonts w:ascii="Arial" w:hAnsi="Arial" w:cs="Arial"/>
                <w:sz w:val="16"/>
                <w:szCs w:val="16"/>
              </w:rPr>
              <w:br/>
            </w:r>
          </w:p>
        </w:tc>
        <w:tc>
          <w:tcPr>
            <w:tcW w:w="945" w:type="pct"/>
            <w:tcBorders>
              <w:top w:val="single" w:sz="6" w:space="0" w:color="000000"/>
              <w:left w:val="nil"/>
              <w:bottom w:val="single" w:sz="6" w:space="0" w:color="000000"/>
              <w:right w:val="nil"/>
            </w:tcBorders>
            <w:vAlign w:val="center"/>
            <w:hideMark/>
          </w:tcPr>
          <w:p w14:paraId="14A0566C" w14:textId="77777777" w:rsidR="00D3318E" w:rsidRDefault="00D3318E" w:rsidP="00E350F6">
            <w:pPr>
              <w:rPr>
                <w:rFonts w:ascii="Arial" w:hAnsi="Arial" w:cs="Arial"/>
                <w:sz w:val="16"/>
                <w:szCs w:val="16"/>
                <w:vertAlign w:val="superscript"/>
              </w:rPr>
            </w:pPr>
            <w:r w:rsidRPr="00F5183B">
              <w:rPr>
                <w:rFonts w:ascii="Arial" w:hAnsi="Arial" w:cs="Arial"/>
                <w:sz w:val="16"/>
                <w:szCs w:val="16"/>
              </w:rPr>
              <w:t>939</w:t>
            </w:r>
            <w:r w:rsidRPr="00F5183B">
              <w:rPr>
                <w:rFonts w:ascii="Arial" w:hAnsi="Arial" w:cs="Arial"/>
                <w:sz w:val="16"/>
                <w:szCs w:val="16"/>
              </w:rPr>
              <w:br/>
              <w:t xml:space="preserve">(3 RCTs) </w:t>
            </w:r>
            <w:r>
              <w:rPr>
                <w:rFonts w:ascii="Arial" w:hAnsi="Arial" w:cs="Arial"/>
                <w:sz w:val="16"/>
                <w:szCs w:val="16"/>
                <w:vertAlign w:val="superscript"/>
              </w:rPr>
              <w:t>44,56,59</w:t>
            </w:r>
          </w:p>
          <w:p w14:paraId="662031A4" w14:textId="77777777" w:rsidR="00D3318E" w:rsidRPr="00F5183B" w:rsidRDefault="00D3318E" w:rsidP="00E350F6">
            <w:pPr>
              <w:rPr>
                <w:rFonts w:ascii="Arial" w:hAnsi="Arial" w:cs="Arial"/>
                <w:b/>
                <w:bCs/>
                <w:i/>
                <w:iCs/>
                <w:color w:val="404040" w:themeColor="text1" w:themeTint="BF"/>
                <w:sz w:val="16"/>
                <w:szCs w:val="16"/>
              </w:rPr>
            </w:pPr>
            <w:r w:rsidRPr="00F5183B">
              <w:rPr>
                <w:rStyle w:val="label"/>
                <w:rFonts w:ascii="Arial" w:hAnsi="Arial" w:cs="Arial"/>
                <w:sz w:val="16"/>
                <w:szCs w:val="16"/>
              </w:rPr>
              <w:t>26 weeks to 52 weeks</w:t>
            </w:r>
          </w:p>
        </w:tc>
        <w:tc>
          <w:tcPr>
            <w:tcW w:w="673" w:type="pct"/>
            <w:tcBorders>
              <w:top w:val="single" w:sz="6" w:space="0" w:color="000000"/>
              <w:left w:val="nil"/>
              <w:bottom w:val="single" w:sz="6" w:space="0" w:color="000000"/>
              <w:right w:val="nil"/>
            </w:tcBorders>
            <w:vAlign w:val="center"/>
            <w:hideMark/>
          </w:tcPr>
          <w:p w14:paraId="7C1D5A8F" w14:textId="77777777" w:rsidR="00D3318E" w:rsidRPr="00F5183B" w:rsidRDefault="00D3318E" w:rsidP="00E350F6">
            <w:pPr>
              <w:rPr>
                <w:rFonts w:ascii="Arial" w:hAnsi="Arial" w:cs="Arial"/>
                <w:b/>
                <w:bCs/>
                <w:i/>
                <w:iCs/>
                <w:color w:val="404040" w:themeColor="text1" w:themeTint="BF"/>
                <w:sz w:val="16"/>
                <w:szCs w:val="16"/>
              </w:rPr>
            </w:pPr>
            <w:r w:rsidRPr="00F5183B">
              <w:rPr>
                <w:rStyle w:val="quality-sign"/>
                <w:rFonts w:ascii="Cambria Math" w:hAnsi="Cambria Math" w:cs="Cambria Math"/>
                <w:sz w:val="16"/>
                <w:szCs w:val="16"/>
              </w:rPr>
              <w:t>⨁⨁⨁</w:t>
            </w:r>
            <w:r w:rsidRPr="00F5183B">
              <w:rPr>
                <w:rStyle w:val="quality-sign"/>
                <w:rFonts w:ascii="Segoe UI Symbol" w:eastAsia="MS Gothic" w:hAnsi="Segoe UI Symbol" w:cs="Segoe UI Symbol"/>
                <w:sz w:val="16"/>
                <w:szCs w:val="16"/>
              </w:rPr>
              <w:t>◯</w:t>
            </w:r>
            <w:r w:rsidRPr="00F5183B">
              <w:rPr>
                <w:rFonts w:ascii="Arial" w:hAnsi="Arial" w:cs="Arial"/>
                <w:sz w:val="16"/>
                <w:szCs w:val="16"/>
              </w:rPr>
              <w:br/>
            </w:r>
            <w:r w:rsidRPr="00F5183B">
              <w:rPr>
                <w:rStyle w:val="quality-text"/>
                <w:rFonts w:ascii="Arial" w:hAnsi="Arial" w:cs="Arial"/>
                <w:sz w:val="16"/>
                <w:szCs w:val="16"/>
              </w:rPr>
              <w:t>MODERATE</w:t>
            </w:r>
            <w:r w:rsidRPr="00F5183B">
              <w:rPr>
                <w:rFonts w:ascii="Arial" w:hAnsi="Arial" w:cs="Arial"/>
                <w:sz w:val="16"/>
                <w:szCs w:val="16"/>
              </w:rPr>
              <w:t xml:space="preserve"> </w:t>
            </w:r>
            <w:proofErr w:type="gramStart"/>
            <w:r w:rsidRPr="00F5183B">
              <w:rPr>
                <w:rFonts w:ascii="Arial" w:hAnsi="Arial" w:cs="Arial"/>
                <w:sz w:val="16"/>
                <w:szCs w:val="16"/>
                <w:vertAlign w:val="superscript"/>
              </w:rPr>
              <w:t>9</w:t>
            </w:r>
            <w:r w:rsidRPr="00F5183B">
              <w:rPr>
                <w:rStyle w:val="comma"/>
                <w:rFonts w:ascii="Arial" w:hAnsi="Arial" w:cs="Arial"/>
                <w:sz w:val="16"/>
                <w:szCs w:val="16"/>
                <w:vertAlign w:val="superscript"/>
              </w:rPr>
              <w:t>,</w:t>
            </w:r>
            <w:r w:rsidRPr="00F5183B">
              <w:rPr>
                <w:rFonts w:ascii="Arial" w:hAnsi="Arial" w:cs="Arial"/>
                <w:sz w:val="16"/>
                <w:szCs w:val="16"/>
                <w:vertAlign w:val="superscript"/>
              </w:rPr>
              <w:t>b</w:t>
            </w:r>
            <w:proofErr w:type="gramEnd"/>
            <w:r w:rsidRPr="00F5183B">
              <w:rPr>
                <w:rStyle w:val="comma"/>
                <w:rFonts w:ascii="Arial" w:hAnsi="Arial" w:cs="Arial"/>
                <w:sz w:val="16"/>
                <w:szCs w:val="16"/>
                <w:vertAlign w:val="superscript"/>
              </w:rPr>
              <w:t>,</w:t>
            </w:r>
            <w:r w:rsidRPr="00F5183B">
              <w:rPr>
                <w:rFonts w:ascii="Arial" w:hAnsi="Arial" w:cs="Arial"/>
                <w:sz w:val="16"/>
                <w:szCs w:val="16"/>
                <w:vertAlign w:val="superscript"/>
              </w:rPr>
              <w:t>d</w:t>
            </w:r>
            <w:r w:rsidRPr="00F5183B">
              <w:rPr>
                <w:rStyle w:val="comma"/>
                <w:rFonts w:ascii="Arial" w:hAnsi="Arial" w:cs="Arial"/>
                <w:sz w:val="16"/>
                <w:szCs w:val="16"/>
                <w:vertAlign w:val="superscript"/>
              </w:rPr>
              <w:t>,</w:t>
            </w:r>
            <w:r w:rsidRPr="00F5183B">
              <w:rPr>
                <w:rFonts w:ascii="Arial" w:hAnsi="Arial" w:cs="Arial"/>
                <w:sz w:val="16"/>
                <w:szCs w:val="16"/>
                <w:vertAlign w:val="superscript"/>
              </w:rPr>
              <w:t>g</w:t>
            </w:r>
          </w:p>
        </w:tc>
        <w:tc>
          <w:tcPr>
            <w:tcW w:w="561" w:type="pct"/>
            <w:tcBorders>
              <w:top w:val="single" w:sz="6" w:space="0" w:color="000000"/>
              <w:left w:val="nil"/>
              <w:bottom w:val="single" w:sz="6" w:space="0" w:color="000000"/>
              <w:right w:val="nil"/>
            </w:tcBorders>
            <w:vAlign w:val="center"/>
            <w:hideMark/>
          </w:tcPr>
          <w:p w14:paraId="0D281511" w14:textId="77777777" w:rsidR="00D3318E" w:rsidRPr="00F5183B" w:rsidRDefault="00D3318E" w:rsidP="00E350F6">
            <w:pPr>
              <w:rPr>
                <w:rFonts w:ascii="Arial" w:hAnsi="Arial" w:cs="Arial"/>
                <w:b/>
                <w:bCs/>
                <w:i/>
                <w:iCs/>
                <w:color w:val="404040" w:themeColor="text1" w:themeTint="BF"/>
                <w:sz w:val="16"/>
                <w:szCs w:val="16"/>
              </w:rPr>
            </w:pPr>
            <w:r w:rsidRPr="00F5183B">
              <w:rPr>
                <w:rStyle w:val="cell"/>
                <w:rFonts w:ascii="Arial" w:hAnsi="Arial" w:cs="Arial"/>
                <w:sz w:val="16"/>
                <w:szCs w:val="16"/>
              </w:rPr>
              <w:t>-</w:t>
            </w:r>
            <w:r w:rsidRPr="00F5183B">
              <w:rPr>
                <w:rFonts w:ascii="Arial" w:hAnsi="Arial" w:cs="Arial"/>
                <w:sz w:val="16"/>
                <w:szCs w:val="16"/>
              </w:rPr>
              <w:t xml:space="preserve"> </w:t>
            </w:r>
          </w:p>
        </w:tc>
        <w:tc>
          <w:tcPr>
            <w:tcW w:w="655" w:type="pct"/>
            <w:tcBorders>
              <w:top w:val="single" w:sz="6" w:space="0" w:color="000000"/>
              <w:left w:val="nil"/>
              <w:bottom w:val="single" w:sz="6" w:space="0" w:color="000000"/>
              <w:right w:val="nil"/>
            </w:tcBorders>
            <w:shd w:val="clear" w:color="auto" w:fill="EDEDED"/>
            <w:vAlign w:val="center"/>
            <w:hideMark/>
          </w:tcPr>
          <w:p w14:paraId="55BCDD0E" w14:textId="77777777" w:rsidR="00D3318E" w:rsidRPr="00F5183B" w:rsidRDefault="00D3318E" w:rsidP="00E350F6">
            <w:pPr>
              <w:rPr>
                <w:rFonts w:ascii="Arial" w:hAnsi="Arial" w:cs="Arial"/>
                <w:b/>
                <w:bCs/>
                <w:i/>
                <w:iCs/>
                <w:color w:val="404040" w:themeColor="text1" w:themeTint="BF"/>
                <w:sz w:val="16"/>
                <w:szCs w:val="16"/>
              </w:rPr>
            </w:pPr>
            <w:r w:rsidRPr="00F5183B">
              <w:rPr>
                <w:rStyle w:val="cell-value"/>
                <w:rFonts w:ascii="Arial" w:hAnsi="Arial" w:cs="Arial"/>
                <w:sz w:val="16"/>
                <w:szCs w:val="16"/>
              </w:rPr>
              <w:t xml:space="preserve">The mean asthma Control was </w:t>
            </w:r>
            <w:r w:rsidRPr="00F5183B">
              <w:rPr>
                <w:rStyle w:val="cell-value"/>
                <w:rFonts w:ascii="Arial" w:hAnsi="Arial" w:cs="Arial"/>
                <w:b/>
                <w:bCs/>
                <w:sz w:val="16"/>
                <w:szCs w:val="16"/>
              </w:rPr>
              <w:t>0</w:t>
            </w:r>
            <w:r w:rsidRPr="00F5183B">
              <w:rPr>
                <w:rStyle w:val="cell-value"/>
                <w:rFonts w:ascii="Arial" w:hAnsi="Arial" w:cs="Arial"/>
                <w:sz w:val="16"/>
                <w:szCs w:val="16"/>
              </w:rPr>
              <w:t xml:space="preserve"> point</w:t>
            </w:r>
            <w:r w:rsidRPr="00F5183B">
              <w:rPr>
                <w:rFonts w:ascii="Arial" w:hAnsi="Arial" w:cs="Arial"/>
                <w:sz w:val="16"/>
                <w:szCs w:val="16"/>
              </w:rPr>
              <w:t xml:space="preserve"> </w:t>
            </w:r>
          </w:p>
        </w:tc>
        <w:tc>
          <w:tcPr>
            <w:tcW w:w="839" w:type="pct"/>
            <w:tcBorders>
              <w:top w:val="single" w:sz="6" w:space="0" w:color="000000"/>
              <w:left w:val="nil"/>
              <w:bottom w:val="single" w:sz="6" w:space="0" w:color="000000"/>
              <w:right w:val="nil"/>
            </w:tcBorders>
            <w:shd w:val="clear" w:color="auto" w:fill="EDEDED"/>
            <w:vAlign w:val="center"/>
            <w:hideMark/>
          </w:tcPr>
          <w:p w14:paraId="49793E8C" w14:textId="424A7439" w:rsidR="00D3318E" w:rsidRPr="00F5183B" w:rsidRDefault="00D3318E" w:rsidP="00E350F6">
            <w:pPr>
              <w:rPr>
                <w:rFonts w:ascii="Arial" w:hAnsi="Arial" w:cs="Arial"/>
                <w:b/>
                <w:bCs/>
                <w:i/>
                <w:iCs/>
                <w:color w:val="404040" w:themeColor="text1" w:themeTint="BF"/>
                <w:sz w:val="16"/>
                <w:szCs w:val="16"/>
              </w:rPr>
            </w:pPr>
            <w:r w:rsidRPr="00F5183B">
              <w:rPr>
                <w:rStyle w:val="cell-value"/>
                <w:rFonts w:ascii="Arial" w:hAnsi="Arial" w:cs="Arial"/>
                <w:sz w:val="16"/>
                <w:szCs w:val="16"/>
              </w:rPr>
              <w:t xml:space="preserve">MD </w:t>
            </w:r>
            <w:r w:rsidR="00D64229">
              <w:rPr>
                <w:rStyle w:val="cell-value"/>
                <w:rFonts w:ascii="Arial" w:hAnsi="Arial" w:cs="Arial"/>
                <w:sz w:val="16"/>
                <w:szCs w:val="16"/>
              </w:rPr>
              <w:t>-</w:t>
            </w:r>
            <w:r w:rsidRPr="00F5183B">
              <w:rPr>
                <w:rStyle w:val="cell-value"/>
                <w:rFonts w:ascii="Arial" w:hAnsi="Arial" w:cs="Arial"/>
                <w:b/>
                <w:bCs/>
                <w:sz w:val="16"/>
                <w:szCs w:val="16"/>
              </w:rPr>
              <w:t xml:space="preserve">0.38 </w:t>
            </w:r>
            <w:r w:rsidRPr="00F5183B">
              <w:rPr>
                <w:rFonts w:ascii="Arial" w:hAnsi="Arial" w:cs="Arial"/>
                <w:sz w:val="16"/>
                <w:szCs w:val="16"/>
              </w:rPr>
              <w:br/>
            </w:r>
            <w:r w:rsidRPr="00F5183B">
              <w:rPr>
                <w:rStyle w:val="cell-value"/>
                <w:rFonts w:ascii="Arial" w:hAnsi="Arial" w:cs="Arial"/>
                <w:sz w:val="16"/>
                <w:szCs w:val="16"/>
              </w:rPr>
              <w:t>(</w:t>
            </w:r>
            <w:r w:rsidR="00D64229">
              <w:rPr>
                <w:rStyle w:val="cell-value"/>
                <w:rFonts w:ascii="Arial" w:hAnsi="Arial" w:cs="Arial"/>
                <w:sz w:val="16"/>
                <w:szCs w:val="16"/>
              </w:rPr>
              <w:t>-</w:t>
            </w:r>
            <w:r w:rsidRPr="00F5183B">
              <w:rPr>
                <w:rStyle w:val="cell-value"/>
                <w:rFonts w:ascii="Arial" w:hAnsi="Arial" w:cs="Arial"/>
                <w:sz w:val="16"/>
                <w:szCs w:val="16"/>
              </w:rPr>
              <w:t xml:space="preserve">0.68 to </w:t>
            </w:r>
            <w:r w:rsidR="00D64229">
              <w:rPr>
                <w:rStyle w:val="cell-value"/>
                <w:rFonts w:ascii="Arial" w:hAnsi="Arial" w:cs="Arial"/>
                <w:sz w:val="16"/>
                <w:szCs w:val="16"/>
              </w:rPr>
              <w:t>-</w:t>
            </w:r>
            <w:r w:rsidRPr="00F5183B">
              <w:rPr>
                <w:rStyle w:val="cell-value"/>
                <w:rFonts w:ascii="Arial" w:hAnsi="Arial" w:cs="Arial"/>
                <w:sz w:val="16"/>
                <w:szCs w:val="16"/>
              </w:rPr>
              <w:t>0.09)</w:t>
            </w:r>
            <w:r w:rsidRPr="00F5183B">
              <w:rPr>
                <w:rFonts w:ascii="Arial" w:hAnsi="Arial" w:cs="Arial"/>
                <w:sz w:val="16"/>
                <w:szCs w:val="16"/>
              </w:rPr>
              <w:t xml:space="preserve"> </w:t>
            </w:r>
            <w:proofErr w:type="gramStart"/>
            <w:r w:rsidRPr="00F5183B">
              <w:rPr>
                <w:rFonts w:ascii="Arial" w:hAnsi="Arial" w:cs="Arial"/>
                <w:sz w:val="16"/>
                <w:szCs w:val="16"/>
                <w:vertAlign w:val="superscript"/>
              </w:rPr>
              <w:t>h</w:t>
            </w:r>
            <w:r w:rsidRPr="00F5183B">
              <w:rPr>
                <w:rStyle w:val="comma"/>
                <w:rFonts w:ascii="Arial" w:hAnsi="Arial" w:cs="Arial"/>
                <w:sz w:val="16"/>
                <w:szCs w:val="16"/>
                <w:vertAlign w:val="superscript"/>
              </w:rPr>
              <w:t>,</w:t>
            </w:r>
            <w:r w:rsidRPr="00F5183B">
              <w:rPr>
                <w:rFonts w:ascii="Arial" w:hAnsi="Arial" w:cs="Arial"/>
                <w:sz w:val="16"/>
                <w:szCs w:val="16"/>
                <w:vertAlign w:val="superscript"/>
              </w:rPr>
              <w:t>i</w:t>
            </w:r>
            <w:proofErr w:type="gramEnd"/>
          </w:p>
        </w:tc>
      </w:tr>
      <w:tr w:rsidR="00D3318E" w:rsidRPr="00F87E48" w14:paraId="0D34AE85" w14:textId="77777777" w:rsidTr="00E350F6">
        <w:trPr>
          <w:cantSplit/>
        </w:trPr>
        <w:tc>
          <w:tcPr>
            <w:tcW w:w="0" w:type="auto"/>
            <w:tcBorders>
              <w:top w:val="single" w:sz="6" w:space="0" w:color="000000"/>
              <w:left w:val="nil"/>
              <w:bottom w:val="single" w:sz="6" w:space="0" w:color="000000"/>
              <w:right w:val="nil"/>
            </w:tcBorders>
            <w:vAlign w:val="center"/>
            <w:hideMark/>
          </w:tcPr>
          <w:p w14:paraId="71B60D20" w14:textId="77777777" w:rsidR="00D3318E" w:rsidRPr="00F5183B" w:rsidRDefault="00D3318E" w:rsidP="00E350F6">
            <w:pPr>
              <w:rPr>
                <w:rFonts w:ascii="Arial" w:hAnsi="Arial" w:cs="Arial"/>
                <w:b/>
                <w:bCs/>
                <w:i/>
                <w:iCs/>
                <w:color w:val="404040" w:themeColor="text1" w:themeTint="BF"/>
                <w:sz w:val="16"/>
                <w:szCs w:val="16"/>
              </w:rPr>
            </w:pPr>
            <w:r w:rsidRPr="00F5183B">
              <w:rPr>
                <w:rStyle w:val="label"/>
                <w:rFonts w:ascii="Arial" w:hAnsi="Arial" w:cs="Arial"/>
                <w:sz w:val="16"/>
                <w:szCs w:val="16"/>
              </w:rPr>
              <w:t>Global evaluation of treatment effectiveness assessed with: physicians/investigators' assessment</w:t>
            </w:r>
            <w:r w:rsidRPr="00F5183B">
              <w:rPr>
                <w:rFonts w:ascii="Arial" w:hAnsi="Arial" w:cs="Arial"/>
                <w:sz w:val="16"/>
                <w:szCs w:val="16"/>
              </w:rPr>
              <w:br/>
            </w:r>
          </w:p>
        </w:tc>
        <w:tc>
          <w:tcPr>
            <w:tcW w:w="945" w:type="pct"/>
            <w:tcBorders>
              <w:top w:val="single" w:sz="6" w:space="0" w:color="000000"/>
              <w:left w:val="nil"/>
              <w:bottom w:val="single" w:sz="6" w:space="0" w:color="000000"/>
              <w:right w:val="nil"/>
            </w:tcBorders>
            <w:vAlign w:val="center"/>
            <w:hideMark/>
          </w:tcPr>
          <w:p w14:paraId="70228653" w14:textId="77777777" w:rsidR="00D3318E" w:rsidRDefault="00D3318E" w:rsidP="00E350F6">
            <w:pPr>
              <w:rPr>
                <w:rFonts w:ascii="Arial" w:hAnsi="Arial" w:cs="Arial"/>
                <w:sz w:val="16"/>
                <w:szCs w:val="16"/>
                <w:vertAlign w:val="superscript"/>
              </w:rPr>
            </w:pPr>
            <w:r w:rsidRPr="00F5183B">
              <w:rPr>
                <w:rFonts w:ascii="Arial" w:hAnsi="Arial" w:cs="Arial"/>
                <w:sz w:val="16"/>
                <w:szCs w:val="16"/>
              </w:rPr>
              <w:t>3783</w:t>
            </w:r>
            <w:r w:rsidRPr="00F5183B">
              <w:rPr>
                <w:rFonts w:ascii="Arial" w:hAnsi="Arial" w:cs="Arial"/>
                <w:sz w:val="16"/>
                <w:szCs w:val="16"/>
              </w:rPr>
              <w:br/>
              <w:t xml:space="preserve">(10 </w:t>
            </w:r>
            <w:proofErr w:type="gramStart"/>
            <w:r w:rsidRPr="00F5183B">
              <w:rPr>
                <w:rFonts w:ascii="Arial" w:hAnsi="Arial" w:cs="Arial"/>
                <w:sz w:val="16"/>
                <w:szCs w:val="16"/>
              </w:rPr>
              <w:t xml:space="preserve">RCTs) </w:t>
            </w:r>
            <w:r>
              <w:rPr>
                <w:rFonts w:ascii="Arial" w:hAnsi="Arial" w:cs="Arial"/>
                <w:sz w:val="16"/>
                <w:szCs w:val="16"/>
              </w:rPr>
              <w:t xml:space="preserve"> </w:t>
            </w:r>
            <w:r>
              <w:rPr>
                <w:rFonts w:ascii="Arial" w:hAnsi="Arial" w:cs="Arial"/>
                <w:sz w:val="16"/>
                <w:szCs w:val="16"/>
                <w:vertAlign w:val="superscript"/>
              </w:rPr>
              <w:t>68</w:t>
            </w:r>
            <w:proofErr w:type="gramEnd"/>
            <w:r>
              <w:rPr>
                <w:rFonts w:ascii="Arial" w:hAnsi="Arial" w:cs="Arial"/>
                <w:sz w:val="16"/>
                <w:szCs w:val="16"/>
                <w:vertAlign w:val="superscript"/>
              </w:rPr>
              <w:t>, 54,59,62,66,40,48,47,43,63</w:t>
            </w:r>
          </w:p>
          <w:p w14:paraId="7788082C" w14:textId="77777777" w:rsidR="00D3318E" w:rsidRPr="00F5183B" w:rsidRDefault="00D3318E" w:rsidP="00E350F6">
            <w:pPr>
              <w:rPr>
                <w:rFonts w:ascii="Arial" w:hAnsi="Arial" w:cs="Arial"/>
                <w:b/>
                <w:bCs/>
                <w:i/>
                <w:iCs/>
                <w:color w:val="404040" w:themeColor="text1" w:themeTint="BF"/>
                <w:sz w:val="16"/>
                <w:szCs w:val="16"/>
              </w:rPr>
            </w:pPr>
            <w:r w:rsidRPr="00F5183B">
              <w:rPr>
                <w:rStyle w:val="label"/>
                <w:rFonts w:ascii="Arial" w:hAnsi="Arial" w:cs="Arial"/>
                <w:sz w:val="16"/>
                <w:szCs w:val="16"/>
              </w:rPr>
              <w:t>16 weeks to 52 weeks</w:t>
            </w:r>
          </w:p>
        </w:tc>
        <w:tc>
          <w:tcPr>
            <w:tcW w:w="673" w:type="pct"/>
            <w:tcBorders>
              <w:top w:val="single" w:sz="6" w:space="0" w:color="000000"/>
              <w:left w:val="nil"/>
              <w:bottom w:val="single" w:sz="6" w:space="0" w:color="000000"/>
              <w:right w:val="nil"/>
            </w:tcBorders>
            <w:vAlign w:val="center"/>
            <w:hideMark/>
          </w:tcPr>
          <w:p w14:paraId="38AE8116" w14:textId="77777777" w:rsidR="00D3318E" w:rsidRPr="00F5183B" w:rsidRDefault="00D3318E" w:rsidP="00E350F6">
            <w:pPr>
              <w:rPr>
                <w:rFonts w:ascii="Arial" w:hAnsi="Arial" w:cs="Arial"/>
                <w:b/>
                <w:bCs/>
                <w:i/>
                <w:iCs/>
                <w:color w:val="404040" w:themeColor="text1" w:themeTint="BF"/>
                <w:sz w:val="16"/>
                <w:szCs w:val="16"/>
              </w:rPr>
            </w:pPr>
            <w:r w:rsidRPr="00F5183B">
              <w:rPr>
                <w:rStyle w:val="quality-sign"/>
                <w:rFonts w:ascii="Cambria Math" w:hAnsi="Cambria Math" w:cs="Cambria Math"/>
                <w:sz w:val="16"/>
                <w:szCs w:val="16"/>
              </w:rPr>
              <w:t>⨁⨁⨁⨁</w:t>
            </w:r>
            <w:r w:rsidRPr="00F5183B">
              <w:rPr>
                <w:rFonts w:ascii="Arial" w:hAnsi="Arial" w:cs="Arial"/>
                <w:sz w:val="16"/>
                <w:szCs w:val="16"/>
              </w:rPr>
              <w:br/>
            </w:r>
            <w:r w:rsidRPr="00F5183B">
              <w:rPr>
                <w:rStyle w:val="quality-text"/>
                <w:rFonts w:ascii="Arial" w:hAnsi="Arial" w:cs="Arial"/>
                <w:sz w:val="16"/>
                <w:szCs w:val="16"/>
              </w:rPr>
              <w:t>HIGH</w:t>
            </w:r>
            <w:r w:rsidRPr="00F5183B">
              <w:rPr>
                <w:rFonts w:ascii="Arial" w:hAnsi="Arial" w:cs="Arial"/>
                <w:sz w:val="16"/>
                <w:szCs w:val="16"/>
              </w:rPr>
              <w:t xml:space="preserve"> </w:t>
            </w:r>
            <w:proofErr w:type="gramStart"/>
            <w:r w:rsidRPr="00F5183B">
              <w:rPr>
                <w:rFonts w:ascii="Arial" w:hAnsi="Arial" w:cs="Arial"/>
                <w:sz w:val="16"/>
                <w:szCs w:val="16"/>
                <w:vertAlign w:val="superscript"/>
              </w:rPr>
              <w:t>b</w:t>
            </w:r>
            <w:r w:rsidRPr="00F5183B">
              <w:rPr>
                <w:rStyle w:val="comma"/>
                <w:rFonts w:ascii="Arial" w:hAnsi="Arial" w:cs="Arial"/>
                <w:sz w:val="16"/>
                <w:szCs w:val="16"/>
                <w:vertAlign w:val="superscript"/>
              </w:rPr>
              <w:t>,</w:t>
            </w:r>
            <w:r w:rsidRPr="00F5183B">
              <w:rPr>
                <w:rFonts w:ascii="Arial" w:hAnsi="Arial" w:cs="Arial"/>
                <w:sz w:val="16"/>
                <w:szCs w:val="16"/>
                <w:vertAlign w:val="superscript"/>
              </w:rPr>
              <w:t>d</w:t>
            </w:r>
            <w:proofErr w:type="gramEnd"/>
            <w:r w:rsidRPr="00F5183B">
              <w:rPr>
                <w:rStyle w:val="comma"/>
                <w:rFonts w:ascii="Arial" w:hAnsi="Arial" w:cs="Arial"/>
                <w:sz w:val="16"/>
                <w:szCs w:val="16"/>
                <w:vertAlign w:val="superscript"/>
              </w:rPr>
              <w:t>,</w:t>
            </w:r>
            <w:r w:rsidRPr="00F5183B">
              <w:rPr>
                <w:rFonts w:ascii="Arial" w:hAnsi="Arial" w:cs="Arial"/>
                <w:sz w:val="16"/>
                <w:szCs w:val="16"/>
                <w:vertAlign w:val="superscript"/>
              </w:rPr>
              <w:t>j</w:t>
            </w:r>
          </w:p>
        </w:tc>
        <w:tc>
          <w:tcPr>
            <w:tcW w:w="561" w:type="pct"/>
            <w:tcBorders>
              <w:top w:val="single" w:sz="6" w:space="0" w:color="000000"/>
              <w:left w:val="nil"/>
              <w:bottom w:val="single" w:sz="6" w:space="0" w:color="000000"/>
              <w:right w:val="nil"/>
            </w:tcBorders>
            <w:vAlign w:val="center"/>
            <w:hideMark/>
          </w:tcPr>
          <w:p w14:paraId="199B01A3" w14:textId="77777777" w:rsidR="00D3318E" w:rsidRPr="00F5183B" w:rsidRDefault="00D3318E" w:rsidP="00E350F6">
            <w:pPr>
              <w:rPr>
                <w:rFonts w:ascii="Arial" w:hAnsi="Arial" w:cs="Arial"/>
                <w:b/>
                <w:bCs/>
                <w:i/>
                <w:iCs/>
                <w:color w:val="404040" w:themeColor="text1" w:themeTint="BF"/>
                <w:sz w:val="16"/>
                <w:szCs w:val="16"/>
              </w:rPr>
            </w:pPr>
            <w:r w:rsidRPr="00F5183B">
              <w:rPr>
                <w:rStyle w:val="block"/>
                <w:rFonts w:ascii="Arial" w:hAnsi="Arial" w:cs="Arial"/>
                <w:b/>
                <w:bCs/>
                <w:sz w:val="16"/>
                <w:szCs w:val="16"/>
              </w:rPr>
              <w:t>Rate ratio 1.50</w:t>
            </w:r>
            <w:r w:rsidRPr="00F5183B">
              <w:rPr>
                <w:rFonts w:ascii="Arial" w:hAnsi="Arial" w:cs="Arial"/>
                <w:sz w:val="16"/>
                <w:szCs w:val="16"/>
              </w:rPr>
              <w:br/>
            </w:r>
            <w:r w:rsidRPr="00F5183B">
              <w:rPr>
                <w:rStyle w:val="cell"/>
                <w:rFonts w:ascii="Arial" w:hAnsi="Arial" w:cs="Arial"/>
                <w:sz w:val="16"/>
                <w:szCs w:val="16"/>
              </w:rPr>
              <w:t>(1.32 to 1.70)</w:t>
            </w:r>
            <w:r w:rsidRPr="00F5183B">
              <w:rPr>
                <w:rFonts w:ascii="Arial" w:hAnsi="Arial" w:cs="Arial"/>
                <w:sz w:val="16"/>
                <w:szCs w:val="16"/>
              </w:rPr>
              <w:t xml:space="preserve"> </w:t>
            </w:r>
            <w:r w:rsidRPr="00F5183B">
              <w:rPr>
                <w:rFonts w:ascii="Arial" w:hAnsi="Arial" w:cs="Arial"/>
                <w:sz w:val="16"/>
                <w:szCs w:val="16"/>
                <w:vertAlign w:val="superscript"/>
              </w:rPr>
              <w:t>k</w:t>
            </w:r>
          </w:p>
        </w:tc>
        <w:tc>
          <w:tcPr>
            <w:tcW w:w="655" w:type="pct"/>
            <w:tcBorders>
              <w:top w:val="single" w:sz="6" w:space="0" w:color="000000"/>
              <w:left w:val="nil"/>
              <w:bottom w:val="single" w:sz="6" w:space="0" w:color="000000"/>
              <w:right w:val="nil"/>
            </w:tcBorders>
            <w:shd w:val="clear" w:color="auto" w:fill="EDEDED"/>
            <w:vAlign w:val="center"/>
            <w:hideMark/>
          </w:tcPr>
          <w:p w14:paraId="6A9A791E" w14:textId="77777777" w:rsidR="00D3318E" w:rsidRPr="00F5183B" w:rsidRDefault="00D3318E" w:rsidP="00E350F6">
            <w:pPr>
              <w:rPr>
                <w:rFonts w:ascii="Arial" w:hAnsi="Arial" w:cs="Arial"/>
                <w:b/>
                <w:bCs/>
                <w:i/>
                <w:iCs/>
                <w:color w:val="404040" w:themeColor="text1" w:themeTint="BF"/>
                <w:sz w:val="16"/>
                <w:szCs w:val="16"/>
              </w:rPr>
            </w:pPr>
            <w:r w:rsidRPr="00F5183B">
              <w:rPr>
                <w:rFonts w:ascii="Arial" w:hAnsi="Arial" w:cs="Arial"/>
                <w:sz w:val="16"/>
                <w:szCs w:val="16"/>
              </w:rPr>
              <w:t xml:space="preserve">418 per 1.000 </w:t>
            </w:r>
          </w:p>
        </w:tc>
        <w:tc>
          <w:tcPr>
            <w:tcW w:w="839" w:type="pct"/>
            <w:tcBorders>
              <w:top w:val="single" w:sz="6" w:space="0" w:color="000000"/>
              <w:left w:val="nil"/>
              <w:bottom w:val="single" w:sz="6" w:space="0" w:color="000000"/>
              <w:right w:val="nil"/>
            </w:tcBorders>
            <w:shd w:val="clear" w:color="auto" w:fill="EDEDED"/>
            <w:vAlign w:val="center"/>
            <w:hideMark/>
          </w:tcPr>
          <w:p w14:paraId="432568DD" w14:textId="77777777" w:rsidR="00D3318E" w:rsidRPr="00F5183B" w:rsidRDefault="00D3318E" w:rsidP="00E350F6">
            <w:pPr>
              <w:rPr>
                <w:rFonts w:ascii="Arial" w:hAnsi="Arial" w:cs="Arial"/>
                <w:b/>
                <w:bCs/>
                <w:i/>
                <w:iCs/>
                <w:color w:val="404040" w:themeColor="text1" w:themeTint="BF"/>
                <w:sz w:val="16"/>
                <w:szCs w:val="16"/>
              </w:rPr>
            </w:pPr>
            <w:r w:rsidRPr="00F5183B">
              <w:rPr>
                <w:rStyle w:val="cell-value"/>
                <w:rFonts w:ascii="Arial" w:hAnsi="Arial" w:cs="Arial"/>
                <w:b/>
                <w:bCs/>
                <w:sz w:val="16"/>
                <w:szCs w:val="16"/>
              </w:rPr>
              <w:t>209 more per 1.000</w:t>
            </w:r>
            <w:r w:rsidRPr="00F5183B">
              <w:rPr>
                <w:rFonts w:ascii="Arial" w:hAnsi="Arial" w:cs="Arial"/>
                <w:sz w:val="16"/>
                <w:szCs w:val="16"/>
              </w:rPr>
              <w:br/>
            </w:r>
            <w:r w:rsidRPr="00F5183B">
              <w:rPr>
                <w:rStyle w:val="cell-value"/>
                <w:rFonts w:ascii="Arial" w:hAnsi="Arial" w:cs="Arial"/>
                <w:sz w:val="16"/>
                <w:szCs w:val="16"/>
              </w:rPr>
              <w:t>(134 more to 292 more)</w:t>
            </w:r>
            <w:r w:rsidRPr="00F5183B">
              <w:rPr>
                <w:rFonts w:ascii="Arial" w:hAnsi="Arial" w:cs="Arial"/>
                <w:sz w:val="16"/>
                <w:szCs w:val="16"/>
              </w:rPr>
              <w:t xml:space="preserve"> </w:t>
            </w:r>
            <w:r w:rsidRPr="00F5183B">
              <w:rPr>
                <w:rFonts w:ascii="Arial" w:hAnsi="Arial" w:cs="Arial"/>
                <w:sz w:val="16"/>
                <w:szCs w:val="16"/>
                <w:vertAlign w:val="superscript"/>
              </w:rPr>
              <w:t>k</w:t>
            </w:r>
          </w:p>
        </w:tc>
      </w:tr>
      <w:tr w:rsidR="00D3318E" w:rsidRPr="00F87E48" w14:paraId="0C2BA610" w14:textId="77777777" w:rsidTr="00E350F6">
        <w:trPr>
          <w:cantSplit/>
        </w:trPr>
        <w:tc>
          <w:tcPr>
            <w:tcW w:w="0" w:type="auto"/>
            <w:tcBorders>
              <w:top w:val="single" w:sz="6" w:space="0" w:color="000000"/>
              <w:left w:val="nil"/>
              <w:bottom w:val="single" w:sz="6" w:space="0" w:color="000000"/>
              <w:right w:val="nil"/>
            </w:tcBorders>
            <w:vAlign w:val="center"/>
            <w:hideMark/>
          </w:tcPr>
          <w:p w14:paraId="3917DBB0" w14:textId="77777777" w:rsidR="00D3318E" w:rsidRPr="00F5183B" w:rsidRDefault="00D3318E" w:rsidP="00E350F6">
            <w:pPr>
              <w:rPr>
                <w:rFonts w:ascii="Arial" w:hAnsi="Arial" w:cs="Arial"/>
                <w:b/>
                <w:bCs/>
                <w:i/>
                <w:iCs/>
                <w:color w:val="404040" w:themeColor="text1" w:themeTint="BF"/>
                <w:sz w:val="16"/>
                <w:szCs w:val="16"/>
              </w:rPr>
            </w:pPr>
            <w:r w:rsidRPr="00F5183B">
              <w:rPr>
                <w:rStyle w:val="label"/>
                <w:rFonts w:ascii="Arial" w:hAnsi="Arial" w:cs="Arial"/>
                <w:sz w:val="16"/>
                <w:szCs w:val="16"/>
              </w:rPr>
              <w:t xml:space="preserve">Clinically </w:t>
            </w:r>
            <w:r>
              <w:rPr>
                <w:rStyle w:val="label"/>
                <w:rFonts w:ascii="Arial" w:hAnsi="Arial" w:cs="Arial"/>
                <w:sz w:val="16"/>
                <w:szCs w:val="16"/>
              </w:rPr>
              <w:t xml:space="preserve">significant </w:t>
            </w:r>
            <w:r w:rsidRPr="00F5183B">
              <w:rPr>
                <w:rStyle w:val="label"/>
                <w:rFonts w:ascii="Arial" w:hAnsi="Arial" w:cs="Arial"/>
                <w:sz w:val="16"/>
                <w:szCs w:val="16"/>
              </w:rPr>
              <w:t xml:space="preserve">improvement of Asthma Quality of Life (≥0.5 from baseline) </w:t>
            </w:r>
            <w:r w:rsidRPr="00F5183B">
              <w:rPr>
                <w:rFonts w:ascii="Arial" w:hAnsi="Arial" w:cs="Arial"/>
                <w:sz w:val="16"/>
                <w:szCs w:val="16"/>
              </w:rPr>
              <w:br/>
            </w:r>
            <w:r w:rsidRPr="00F5183B">
              <w:rPr>
                <w:rStyle w:val="label"/>
                <w:rFonts w:ascii="Arial" w:hAnsi="Arial" w:cs="Arial"/>
                <w:sz w:val="16"/>
                <w:szCs w:val="16"/>
              </w:rPr>
              <w:t>assessed with: AQLQ Questionnaire (S)</w:t>
            </w:r>
            <w:r w:rsidRPr="00F5183B">
              <w:rPr>
                <w:rFonts w:ascii="Arial" w:hAnsi="Arial" w:cs="Arial"/>
                <w:sz w:val="16"/>
                <w:szCs w:val="16"/>
              </w:rPr>
              <w:br/>
            </w:r>
          </w:p>
        </w:tc>
        <w:tc>
          <w:tcPr>
            <w:tcW w:w="945" w:type="pct"/>
            <w:tcBorders>
              <w:top w:val="single" w:sz="6" w:space="0" w:color="000000"/>
              <w:left w:val="nil"/>
              <w:bottom w:val="single" w:sz="6" w:space="0" w:color="000000"/>
              <w:right w:val="nil"/>
            </w:tcBorders>
            <w:vAlign w:val="center"/>
            <w:hideMark/>
          </w:tcPr>
          <w:p w14:paraId="6353D1B1" w14:textId="77777777" w:rsidR="00D3318E" w:rsidRDefault="00D3318E" w:rsidP="00E350F6">
            <w:pPr>
              <w:rPr>
                <w:rFonts w:ascii="Arial" w:hAnsi="Arial" w:cs="Arial"/>
                <w:sz w:val="16"/>
                <w:szCs w:val="16"/>
                <w:vertAlign w:val="superscript"/>
              </w:rPr>
            </w:pPr>
            <w:r w:rsidRPr="00F5183B">
              <w:rPr>
                <w:rFonts w:ascii="Arial" w:hAnsi="Arial" w:cs="Arial"/>
                <w:sz w:val="16"/>
                <w:szCs w:val="16"/>
              </w:rPr>
              <w:t>3540</w:t>
            </w:r>
            <w:r w:rsidRPr="00F5183B">
              <w:rPr>
                <w:rFonts w:ascii="Arial" w:hAnsi="Arial" w:cs="Arial"/>
                <w:sz w:val="16"/>
                <w:szCs w:val="16"/>
              </w:rPr>
              <w:br/>
              <w:t>(</w:t>
            </w:r>
            <w:r>
              <w:rPr>
                <w:rFonts w:ascii="Arial" w:hAnsi="Arial" w:cs="Arial"/>
                <w:sz w:val="16"/>
                <w:szCs w:val="16"/>
              </w:rPr>
              <w:t xml:space="preserve">9 </w:t>
            </w:r>
            <w:r w:rsidRPr="00F5183B">
              <w:rPr>
                <w:rFonts w:ascii="Arial" w:hAnsi="Arial" w:cs="Arial"/>
                <w:sz w:val="16"/>
                <w:szCs w:val="16"/>
              </w:rPr>
              <w:t xml:space="preserve">RCTs) </w:t>
            </w:r>
            <w:r>
              <w:rPr>
                <w:rFonts w:ascii="Arial" w:hAnsi="Arial" w:cs="Arial"/>
                <w:sz w:val="16"/>
                <w:szCs w:val="16"/>
                <w:vertAlign w:val="superscript"/>
              </w:rPr>
              <w:t>40,47,51,52,54,55,62,63,67</w:t>
            </w:r>
          </w:p>
          <w:p w14:paraId="21A05C94" w14:textId="77777777" w:rsidR="00D3318E" w:rsidRPr="00F5183B" w:rsidRDefault="00D3318E" w:rsidP="00E350F6">
            <w:pPr>
              <w:rPr>
                <w:rFonts w:ascii="Arial" w:hAnsi="Arial" w:cs="Arial"/>
                <w:b/>
                <w:bCs/>
                <w:i/>
                <w:iCs/>
                <w:color w:val="404040" w:themeColor="text1" w:themeTint="BF"/>
                <w:sz w:val="16"/>
                <w:szCs w:val="16"/>
              </w:rPr>
            </w:pPr>
            <w:r w:rsidRPr="00F5183B">
              <w:rPr>
                <w:rStyle w:val="label"/>
                <w:rFonts w:ascii="Arial" w:hAnsi="Arial" w:cs="Arial"/>
                <w:sz w:val="16"/>
                <w:szCs w:val="16"/>
              </w:rPr>
              <w:t>12 week</w:t>
            </w:r>
            <w:r>
              <w:rPr>
                <w:rStyle w:val="label"/>
                <w:rFonts w:ascii="Arial" w:hAnsi="Arial" w:cs="Arial"/>
                <w:sz w:val="16"/>
                <w:szCs w:val="16"/>
              </w:rPr>
              <w:t>s</w:t>
            </w:r>
            <w:r w:rsidRPr="00F5183B">
              <w:rPr>
                <w:rStyle w:val="label"/>
                <w:rFonts w:ascii="Arial" w:hAnsi="Arial" w:cs="Arial"/>
                <w:sz w:val="16"/>
                <w:szCs w:val="16"/>
              </w:rPr>
              <w:t xml:space="preserve"> to 52 weeks</w:t>
            </w:r>
          </w:p>
        </w:tc>
        <w:tc>
          <w:tcPr>
            <w:tcW w:w="673" w:type="pct"/>
            <w:tcBorders>
              <w:top w:val="single" w:sz="6" w:space="0" w:color="000000"/>
              <w:left w:val="nil"/>
              <w:bottom w:val="single" w:sz="6" w:space="0" w:color="000000"/>
              <w:right w:val="nil"/>
            </w:tcBorders>
            <w:vAlign w:val="center"/>
            <w:hideMark/>
          </w:tcPr>
          <w:p w14:paraId="200C551C" w14:textId="77777777" w:rsidR="00D3318E" w:rsidRPr="00F5183B" w:rsidRDefault="00D3318E" w:rsidP="00E350F6">
            <w:pPr>
              <w:rPr>
                <w:rFonts w:ascii="Arial" w:hAnsi="Arial" w:cs="Arial"/>
                <w:b/>
                <w:bCs/>
                <w:i/>
                <w:iCs/>
                <w:color w:val="404040" w:themeColor="text1" w:themeTint="BF"/>
                <w:sz w:val="16"/>
                <w:szCs w:val="16"/>
              </w:rPr>
            </w:pPr>
            <w:r w:rsidRPr="00F5183B">
              <w:rPr>
                <w:rStyle w:val="quality-sign"/>
                <w:rFonts w:ascii="Cambria Math" w:hAnsi="Cambria Math" w:cs="Cambria Math"/>
                <w:sz w:val="16"/>
                <w:szCs w:val="16"/>
              </w:rPr>
              <w:t>⨁⨁⨁⨁</w:t>
            </w:r>
            <w:r w:rsidRPr="00F5183B">
              <w:rPr>
                <w:rFonts w:ascii="Arial" w:hAnsi="Arial" w:cs="Arial"/>
                <w:sz w:val="16"/>
                <w:szCs w:val="16"/>
              </w:rPr>
              <w:br/>
            </w:r>
            <w:r w:rsidRPr="00F5183B">
              <w:rPr>
                <w:rStyle w:val="quality-text"/>
                <w:rFonts w:ascii="Arial" w:hAnsi="Arial" w:cs="Arial"/>
                <w:sz w:val="16"/>
                <w:szCs w:val="16"/>
              </w:rPr>
              <w:t>HIGH</w:t>
            </w:r>
            <w:r w:rsidRPr="00F5183B">
              <w:rPr>
                <w:rFonts w:ascii="Arial" w:hAnsi="Arial" w:cs="Arial"/>
                <w:sz w:val="16"/>
                <w:szCs w:val="16"/>
              </w:rPr>
              <w:t xml:space="preserve"> </w:t>
            </w:r>
            <w:proofErr w:type="gramStart"/>
            <w:r w:rsidRPr="00F5183B">
              <w:rPr>
                <w:rFonts w:ascii="Arial" w:hAnsi="Arial" w:cs="Arial"/>
                <w:sz w:val="16"/>
                <w:szCs w:val="16"/>
                <w:vertAlign w:val="superscript"/>
              </w:rPr>
              <w:t>b</w:t>
            </w:r>
            <w:r w:rsidRPr="00F5183B">
              <w:rPr>
                <w:rStyle w:val="comma"/>
                <w:rFonts w:ascii="Arial" w:hAnsi="Arial" w:cs="Arial"/>
                <w:sz w:val="16"/>
                <w:szCs w:val="16"/>
                <w:vertAlign w:val="superscript"/>
              </w:rPr>
              <w:t>,</w:t>
            </w:r>
            <w:r w:rsidRPr="00F5183B">
              <w:rPr>
                <w:rFonts w:ascii="Arial" w:hAnsi="Arial" w:cs="Arial"/>
                <w:sz w:val="16"/>
                <w:szCs w:val="16"/>
                <w:vertAlign w:val="superscript"/>
              </w:rPr>
              <w:t>d</w:t>
            </w:r>
            <w:proofErr w:type="gramEnd"/>
            <w:r w:rsidRPr="00F5183B">
              <w:rPr>
                <w:rStyle w:val="comma"/>
                <w:rFonts w:ascii="Arial" w:hAnsi="Arial" w:cs="Arial"/>
                <w:sz w:val="16"/>
                <w:szCs w:val="16"/>
                <w:vertAlign w:val="superscript"/>
              </w:rPr>
              <w:t>,</w:t>
            </w:r>
            <w:r w:rsidRPr="00F5183B">
              <w:rPr>
                <w:rFonts w:ascii="Arial" w:hAnsi="Arial" w:cs="Arial"/>
                <w:sz w:val="16"/>
                <w:szCs w:val="16"/>
                <w:vertAlign w:val="superscript"/>
              </w:rPr>
              <w:t>l</w:t>
            </w:r>
          </w:p>
        </w:tc>
        <w:tc>
          <w:tcPr>
            <w:tcW w:w="561" w:type="pct"/>
            <w:tcBorders>
              <w:top w:val="single" w:sz="6" w:space="0" w:color="000000"/>
              <w:left w:val="nil"/>
              <w:bottom w:val="single" w:sz="6" w:space="0" w:color="000000"/>
              <w:right w:val="nil"/>
            </w:tcBorders>
            <w:vAlign w:val="center"/>
            <w:hideMark/>
          </w:tcPr>
          <w:p w14:paraId="1429E79E" w14:textId="77777777" w:rsidR="00D3318E" w:rsidRPr="00F5183B" w:rsidRDefault="00D3318E" w:rsidP="00E350F6">
            <w:pPr>
              <w:rPr>
                <w:rFonts w:ascii="Arial" w:hAnsi="Arial" w:cs="Arial"/>
                <w:b/>
                <w:bCs/>
                <w:i/>
                <w:iCs/>
                <w:color w:val="404040" w:themeColor="text1" w:themeTint="BF"/>
                <w:sz w:val="16"/>
                <w:szCs w:val="16"/>
              </w:rPr>
            </w:pPr>
            <w:r w:rsidRPr="00F5183B">
              <w:rPr>
                <w:rStyle w:val="block"/>
                <w:rFonts w:ascii="Arial" w:hAnsi="Arial" w:cs="Arial"/>
                <w:b/>
                <w:bCs/>
                <w:sz w:val="16"/>
                <w:szCs w:val="16"/>
              </w:rPr>
              <w:t>Rate ratio 1.32</w:t>
            </w:r>
            <w:r w:rsidRPr="00F5183B">
              <w:rPr>
                <w:rFonts w:ascii="Arial" w:hAnsi="Arial" w:cs="Arial"/>
                <w:sz w:val="16"/>
                <w:szCs w:val="16"/>
              </w:rPr>
              <w:br/>
            </w:r>
            <w:r w:rsidRPr="00F5183B">
              <w:rPr>
                <w:rStyle w:val="cell"/>
                <w:rFonts w:ascii="Arial" w:hAnsi="Arial" w:cs="Arial"/>
                <w:sz w:val="16"/>
                <w:szCs w:val="16"/>
              </w:rPr>
              <w:t>(1.16 to 1.51)</w:t>
            </w:r>
            <w:r w:rsidRPr="00F5183B">
              <w:rPr>
                <w:rFonts w:ascii="Arial" w:hAnsi="Arial" w:cs="Arial"/>
                <w:sz w:val="16"/>
                <w:szCs w:val="16"/>
              </w:rPr>
              <w:t xml:space="preserve"> </w:t>
            </w:r>
            <w:r w:rsidRPr="00F5183B">
              <w:rPr>
                <w:rFonts w:ascii="Arial" w:hAnsi="Arial" w:cs="Arial"/>
                <w:sz w:val="16"/>
                <w:szCs w:val="16"/>
                <w:vertAlign w:val="superscript"/>
              </w:rPr>
              <w:t>m</w:t>
            </w:r>
          </w:p>
        </w:tc>
        <w:tc>
          <w:tcPr>
            <w:tcW w:w="655" w:type="pct"/>
            <w:tcBorders>
              <w:top w:val="single" w:sz="6" w:space="0" w:color="000000"/>
              <w:left w:val="nil"/>
              <w:bottom w:val="single" w:sz="6" w:space="0" w:color="000000"/>
              <w:right w:val="nil"/>
            </w:tcBorders>
            <w:shd w:val="clear" w:color="auto" w:fill="EDEDED"/>
            <w:vAlign w:val="center"/>
            <w:hideMark/>
          </w:tcPr>
          <w:p w14:paraId="26A76713" w14:textId="77777777" w:rsidR="00D3318E" w:rsidRPr="00F5183B" w:rsidRDefault="00D3318E" w:rsidP="00E350F6">
            <w:pPr>
              <w:rPr>
                <w:rFonts w:ascii="Arial" w:hAnsi="Arial" w:cs="Arial"/>
                <w:b/>
                <w:bCs/>
                <w:i/>
                <w:iCs/>
                <w:color w:val="404040" w:themeColor="text1" w:themeTint="BF"/>
                <w:sz w:val="16"/>
                <w:szCs w:val="16"/>
              </w:rPr>
            </w:pPr>
            <w:r w:rsidRPr="00F5183B">
              <w:rPr>
                <w:rFonts w:ascii="Arial" w:hAnsi="Arial" w:cs="Arial"/>
                <w:sz w:val="16"/>
                <w:szCs w:val="16"/>
              </w:rPr>
              <w:t xml:space="preserve">563 per 1.000 </w:t>
            </w:r>
          </w:p>
        </w:tc>
        <w:tc>
          <w:tcPr>
            <w:tcW w:w="839" w:type="pct"/>
            <w:tcBorders>
              <w:top w:val="single" w:sz="6" w:space="0" w:color="000000"/>
              <w:left w:val="nil"/>
              <w:bottom w:val="single" w:sz="6" w:space="0" w:color="000000"/>
              <w:right w:val="nil"/>
            </w:tcBorders>
            <w:shd w:val="clear" w:color="auto" w:fill="EDEDED"/>
            <w:vAlign w:val="center"/>
            <w:hideMark/>
          </w:tcPr>
          <w:p w14:paraId="7F2A1319" w14:textId="77777777" w:rsidR="00D3318E" w:rsidRPr="00F5183B" w:rsidRDefault="00D3318E" w:rsidP="00E350F6">
            <w:pPr>
              <w:rPr>
                <w:rFonts w:ascii="Arial" w:hAnsi="Arial" w:cs="Arial"/>
                <w:b/>
                <w:bCs/>
                <w:i/>
                <w:iCs/>
                <w:color w:val="404040" w:themeColor="text1" w:themeTint="BF"/>
                <w:sz w:val="16"/>
                <w:szCs w:val="16"/>
              </w:rPr>
            </w:pPr>
            <w:r w:rsidRPr="00F5183B">
              <w:rPr>
                <w:rStyle w:val="cell-value"/>
                <w:rFonts w:ascii="Arial" w:hAnsi="Arial" w:cs="Arial"/>
                <w:b/>
                <w:bCs/>
                <w:sz w:val="16"/>
                <w:szCs w:val="16"/>
              </w:rPr>
              <w:t>180 more per 1.000</w:t>
            </w:r>
            <w:r w:rsidRPr="00F5183B">
              <w:rPr>
                <w:rFonts w:ascii="Arial" w:hAnsi="Arial" w:cs="Arial"/>
                <w:sz w:val="16"/>
                <w:szCs w:val="16"/>
              </w:rPr>
              <w:br/>
            </w:r>
            <w:r w:rsidRPr="00F5183B">
              <w:rPr>
                <w:rStyle w:val="cell-value"/>
                <w:rFonts w:ascii="Arial" w:hAnsi="Arial" w:cs="Arial"/>
                <w:sz w:val="16"/>
                <w:szCs w:val="16"/>
              </w:rPr>
              <w:t>(90 more to 287 more)</w:t>
            </w:r>
            <w:r w:rsidRPr="00F5183B">
              <w:rPr>
                <w:rFonts w:ascii="Arial" w:hAnsi="Arial" w:cs="Arial"/>
                <w:sz w:val="16"/>
                <w:szCs w:val="16"/>
              </w:rPr>
              <w:t xml:space="preserve"> </w:t>
            </w:r>
            <w:r w:rsidRPr="00F5183B">
              <w:rPr>
                <w:rFonts w:ascii="Arial" w:hAnsi="Arial" w:cs="Arial"/>
                <w:sz w:val="16"/>
                <w:szCs w:val="16"/>
                <w:vertAlign w:val="superscript"/>
              </w:rPr>
              <w:t>m</w:t>
            </w:r>
          </w:p>
        </w:tc>
      </w:tr>
      <w:tr w:rsidR="00D3318E" w:rsidRPr="00F87E48" w14:paraId="3D36F666" w14:textId="77777777" w:rsidTr="00E350F6">
        <w:trPr>
          <w:cantSplit/>
        </w:trPr>
        <w:tc>
          <w:tcPr>
            <w:tcW w:w="0" w:type="auto"/>
            <w:tcBorders>
              <w:top w:val="single" w:sz="6" w:space="0" w:color="000000"/>
              <w:left w:val="nil"/>
              <w:bottom w:val="single" w:sz="6" w:space="0" w:color="000000"/>
              <w:right w:val="nil"/>
            </w:tcBorders>
            <w:vAlign w:val="center"/>
          </w:tcPr>
          <w:p w14:paraId="018E7095" w14:textId="77777777" w:rsidR="00D3318E" w:rsidRPr="00F5183B" w:rsidRDefault="00D3318E" w:rsidP="00E350F6">
            <w:pPr>
              <w:rPr>
                <w:rStyle w:val="label"/>
                <w:rFonts w:ascii="Arial" w:hAnsi="Arial" w:cs="Arial"/>
                <w:sz w:val="16"/>
                <w:szCs w:val="16"/>
              </w:rPr>
            </w:pPr>
            <w:r w:rsidRPr="00F5183B">
              <w:rPr>
                <w:rStyle w:val="label"/>
                <w:rFonts w:ascii="Arial" w:hAnsi="Arial" w:cs="Arial"/>
                <w:sz w:val="16"/>
                <w:szCs w:val="16"/>
              </w:rPr>
              <w:t>Any drug-related AE</w:t>
            </w:r>
            <w:r w:rsidRPr="00F5183B">
              <w:rPr>
                <w:rFonts w:ascii="Arial" w:hAnsi="Arial" w:cs="Arial"/>
                <w:sz w:val="16"/>
                <w:szCs w:val="16"/>
              </w:rPr>
              <w:br/>
            </w:r>
          </w:p>
        </w:tc>
        <w:tc>
          <w:tcPr>
            <w:tcW w:w="945" w:type="pct"/>
            <w:tcBorders>
              <w:top w:val="single" w:sz="6" w:space="0" w:color="000000"/>
              <w:left w:val="nil"/>
              <w:bottom w:val="single" w:sz="6" w:space="0" w:color="000000"/>
              <w:right w:val="nil"/>
            </w:tcBorders>
            <w:vAlign w:val="center"/>
          </w:tcPr>
          <w:p w14:paraId="5081C384" w14:textId="77777777" w:rsidR="00D3318E" w:rsidRPr="001C7F13" w:rsidRDefault="00D3318E" w:rsidP="00E350F6">
            <w:pPr>
              <w:rPr>
                <w:rFonts w:ascii="Arial" w:hAnsi="Arial" w:cs="Arial"/>
                <w:sz w:val="16"/>
                <w:szCs w:val="16"/>
              </w:rPr>
            </w:pPr>
            <w:r w:rsidRPr="00F5183B">
              <w:rPr>
                <w:rFonts w:ascii="Arial" w:hAnsi="Arial" w:cs="Arial"/>
                <w:sz w:val="16"/>
                <w:szCs w:val="16"/>
              </w:rPr>
              <w:t>2341</w:t>
            </w:r>
            <w:r w:rsidRPr="00F5183B">
              <w:rPr>
                <w:rFonts w:ascii="Arial" w:hAnsi="Arial" w:cs="Arial"/>
                <w:sz w:val="16"/>
                <w:szCs w:val="16"/>
              </w:rPr>
              <w:br/>
              <w:t xml:space="preserve">(7 RCTs) </w:t>
            </w:r>
            <w:r w:rsidRPr="001C7F13">
              <w:rPr>
                <w:rFonts w:ascii="Arial" w:hAnsi="Arial" w:cs="Arial"/>
                <w:vertAlign w:val="superscript"/>
              </w:rPr>
              <w:t>68,54,66, 43, 63, 67, 50</w:t>
            </w:r>
          </w:p>
          <w:p w14:paraId="1D36926C" w14:textId="77777777" w:rsidR="00D3318E" w:rsidRPr="00F5183B" w:rsidRDefault="00D3318E" w:rsidP="00E350F6">
            <w:pPr>
              <w:rPr>
                <w:rFonts w:ascii="Arial" w:hAnsi="Arial" w:cs="Arial"/>
                <w:sz w:val="16"/>
                <w:szCs w:val="16"/>
              </w:rPr>
            </w:pPr>
            <w:r w:rsidRPr="00F5183B">
              <w:rPr>
                <w:rStyle w:val="label"/>
                <w:rFonts w:ascii="Arial" w:hAnsi="Arial" w:cs="Arial"/>
                <w:sz w:val="16"/>
                <w:szCs w:val="16"/>
              </w:rPr>
              <w:t>16 weeks to 52 weeks</w:t>
            </w:r>
          </w:p>
        </w:tc>
        <w:tc>
          <w:tcPr>
            <w:tcW w:w="673" w:type="pct"/>
            <w:tcBorders>
              <w:top w:val="single" w:sz="6" w:space="0" w:color="000000"/>
              <w:left w:val="nil"/>
              <w:bottom w:val="single" w:sz="6" w:space="0" w:color="000000"/>
              <w:right w:val="nil"/>
            </w:tcBorders>
            <w:vAlign w:val="center"/>
          </w:tcPr>
          <w:p w14:paraId="519BF4A7" w14:textId="77777777" w:rsidR="00D3318E" w:rsidRPr="00F5183B" w:rsidRDefault="00D3318E" w:rsidP="00E350F6">
            <w:pPr>
              <w:rPr>
                <w:rStyle w:val="quality-sign"/>
                <w:rFonts w:ascii="Cambria Math" w:hAnsi="Cambria Math" w:cs="Cambria Math"/>
                <w:sz w:val="16"/>
                <w:szCs w:val="16"/>
              </w:rPr>
            </w:pPr>
            <w:r w:rsidRPr="00F5183B">
              <w:rPr>
                <w:rStyle w:val="quality-sign"/>
                <w:rFonts w:ascii="Cambria Math" w:hAnsi="Cambria Math" w:cs="Cambria Math"/>
                <w:sz w:val="16"/>
                <w:szCs w:val="16"/>
              </w:rPr>
              <w:t>⨁⨁⨁</w:t>
            </w:r>
            <w:r w:rsidRPr="00F5183B">
              <w:rPr>
                <w:rStyle w:val="quality-sign"/>
                <w:rFonts w:ascii="Segoe UI Symbol" w:eastAsia="MS Gothic" w:hAnsi="Segoe UI Symbol" w:cs="Segoe UI Symbol"/>
                <w:sz w:val="16"/>
                <w:szCs w:val="16"/>
              </w:rPr>
              <w:t>◯</w:t>
            </w:r>
            <w:r w:rsidRPr="00F5183B">
              <w:rPr>
                <w:rFonts w:ascii="Arial" w:hAnsi="Arial" w:cs="Arial"/>
                <w:sz w:val="16"/>
                <w:szCs w:val="16"/>
              </w:rPr>
              <w:br/>
            </w:r>
            <w:r w:rsidRPr="00F5183B">
              <w:rPr>
                <w:rStyle w:val="quality-text"/>
                <w:rFonts w:ascii="Arial" w:hAnsi="Arial" w:cs="Arial"/>
                <w:sz w:val="16"/>
                <w:szCs w:val="16"/>
              </w:rPr>
              <w:t>MODERATE</w:t>
            </w:r>
            <w:r w:rsidRPr="00F5183B">
              <w:rPr>
                <w:rFonts w:ascii="Arial" w:hAnsi="Arial" w:cs="Arial"/>
                <w:sz w:val="16"/>
                <w:szCs w:val="16"/>
              </w:rPr>
              <w:t xml:space="preserve"> </w:t>
            </w:r>
            <w:proofErr w:type="gramStart"/>
            <w:r w:rsidRPr="00F5183B">
              <w:rPr>
                <w:rFonts w:ascii="Arial" w:hAnsi="Arial" w:cs="Arial"/>
                <w:sz w:val="16"/>
                <w:szCs w:val="16"/>
                <w:vertAlign w:val="superscript"/>
              </w:rPr>
              <w:t>ab</w:t>
            </w:r>
            <w:r w:rsidRPr="00F5183B">
              <w:rPr>
                <w:rStyle w:val="comma"/>
                <w:rFonts w:ascii="Arial" w:hAnsi="Arial" w:cs="Arial"/>
                <w:sz w:val="16"/>
                <w:szCs w:val="16"/>
                <w:vertAlign w:val="superscript"/>
              </w:rPr>
              <w:t>,</w:t>
            </w:r>
            <w:r w:rsidRPr="00F5183B">
              <w:rPr>
                <w:rFonts w:ascii="Arial" w:hAnsi="Arial" w:cs="Arial"/>
                <w:sz w:val="16"/>
                <w:szCs w:val="16"/>
                <w:vertAlign w:val="superscript"/>
              </w:rPr>
              <w:t>b</w:t>
            </w:r>
            <w:proofErr w:type="gramEnd"/>
            <w:r w:rsidRPr="00F5183B">
              <w:rPr>
                <w:rStyle w:val="comma"/>
                <w:rFonts w:ascii="Arial" w:hAnsi="Arial" w:cs="Arial"/>
                <w:sz w:val="16"/>
                <w:szCs w:val="16"/>
                <w:vertAlign w:val="superscript"/>
              </w:rPr>
              <w:t>,</w:t>
            </w:r>
            <w:r w:rsidRPr="00F5183B">
              <w:rPr>
                <w:rFonts w:ascii="Arial" w:hAnsi="Arial" w:cs="Arial"/>
                <w:sz w:val="16"/>
                <w:szCs w:val="16"/>
                <w:vertAlign w:val="superscript"/>
              </w:rPr>
              <w:t>d</w:t>
            </w:r>
          </w:p>
        </w:tc>
        <w:tc>
          <w:tcPr>
            <w:tcW w:w="561" w:type="pct"/>
            <w:tcBorders>
              <w:top w:val="single" w:sz="6" w:space="0" w:color="000000"/>
              <w:left w:val="nil"/>
              <w:bottom w:val="single" w:sz="6" w:space="0" w:color="000000"/>
              <w:right w:val="nil"/>
            </w:tcBorders>
            <w:vAlign w:val="center"/>
          </w:tcPr>
          <w:p w14:paraId="67058614" w14:textId="77777777" w:rsidR="00D3318E" w:rsidRPr="00F5183B" w:rsidRDefault="00D3318E" w:rsidP="00E350F6">
            <w:pPr>
              <w:rPr>
                <w:rStyle w:val="block"/>
                <w:rFonts w:ascii="Arial" w:hAnsi="Arial" w:cs="Arial"/>
                <w:b/>
                <w:bCs/>
                <w:sz w:val="16"/>
                <w:szCs w:val="16"/>
              </w:rPr>
            </w:pPr>
            <w:r w:rsidRPr="00F5183B">
              <w:rPr>
                <w:rStyle w:val="block"/>
                <w:rFonts w:ascii="Arial" w:hAnsi="Arial" w:cs="Arial"/>
                <w:b/>
                <w:bCs/>
                <w:sz w:val="16"/>
                <w:szCs w:val="16"/>
              </w:rPr>
              <w:t>Rate ratio 1.27</w:t>
            </w:r>
            <w:r w:rsidRPr="00F5183B">
              <w:rPr>
                <w:rFonts w:ascii="Arial" w:hAnsi="Arial" w:cs="Arial"/>
                <w:sz w:val="16"/>
                <w:szCs w:val="16"/>
              </w:rPr>
              <w:br/>
            </w:r>
            <w:r w:rsidRPr="00F5183B">
              <w:rPr>
                <w:rStyle w:val="cell"/>
                <w:rFonts w:ascii="Arial" w:hAnsi="Arial" w:cs="Arial"/>
                <w:sz w:val="16"/>
                <w:szCs w:val="16"/>
              </w:rPr>
              <w:t>(0.93 to 1.74)</w:t>
            </w:r>
            <w:r w:rsidRPr="00F5183B">
              <w:rPr>
                <w:rFonts w:ascii="Arial" w:hAnsi="Arial" w:cs="Arial"/>
                <w:sz w:val="16"/>
                <w:szCs w:val="16"/>
              </w:rPr>
              <w:t xml:space="preserve"> </w:t>
            </w:r>
          </w:p>
        </w:tc>
        <w:tc>
          <w:tcPr>
            <w:tcW w:w="655" w:type="pct"/>
            <w:tcBorders>
              <w:top w:val="single" w:sz="6" w:space="0" w:color="000000"/>
              <w:left w:val="nil"/>
              <w:bottom w:val="single" w:sz="6" w:space="0" w:color="000000"/>
              <w:right w:val="nil"/>
            </w:tcBorders>
            <w:shd w:val="clear" w:color="auto" w:fill="EDEDED"/>
            <w:vAlign w:val="center"/>
          </w:tcPr>
          <w:p w14:paraId="59F59E2E" w14:textId="77777777" w:rsidR="00D3318E" w:rsidRPr="00F5183B" w:rsidRDefault="00D3318E" w:rsidP="00E350F6">
            <w:pPr>
              <w:rPr>
                <w:rFonts w:ascii="Arial" w:hAnsi="Arial" w:cs="Arial"/>
                <w:sz w:val="16"/>
                <w:szCs w:val="16"/>
              </w:rPr>
            </w:pPr>
            <w:r w:rsidRPr="00F5183B">
              <w:rPr>
                <w:rFonts w:ascii="Arial" w:hAnsi="Arial" w:cs="Arial"/>
                <w:sz w:val="16"/>
                <w:szCs w:val="16"/>
              </w:rPr>
              <w:t xml:space="preserve">127 per 1.000 </w:t>
            </w:r>
          </w:p>
        </w:tc>
        <w:tc>
          <w:tcPr>
            <w:tcW w:w="839" w:type="pct"/>
            <w:tcBorders>
              <w:top w:val="single" w:sz="6" w:space="0" w:color="000000"/>
              <w:left w:val="nil"/>
              <w:bottom w:val="single" w:sz="6" w:space="0" w:color="000000"/>
              <w:right w:val="nil"/>
            </w:tcBorders>
            <w:shd w:val="clear" w:color="auto" w:fill="EDEDED"/>
            <w:vAlign w:val="center"/>
          </w:tcPr>
          <w:p w14:paraId="3EC240A6" w14:textId="77777777" w:rsidR="00D3318E" w:rsidRPr="00F5183B" w:rsidRDefault="00D3318E" w:rsidP="00E350F6">
            <w:pPr>
              <w:rPr>
                <w:rStyle w:val="cell-value"/>
                <w:rFonts w:ascii="Arial" w:hAnsi="Arial" w:cs="Arial"/>
                <w:b/>
                <w:bCs/>
                <w:sz w:val="16"/>
                <w:szCs w:val="16"/>
              </w:rPr>
            </w:pPr>
            <w:r w:rsidRPr="00F5183B">
              <w:rPr>
                <w:rStyle w:val="cell-value"/>
                <w:rFonts w:ascii="Arial" w:hAnsi="Arial" w:cs="Arial"/>
                <w:b/>
                <w:bCs/>
                <w:sz w:val="16"/>
                <w:szCs w:val="16"/>
              </w:rPr>
              <w:t>34 more per 1.000</w:t>
            </w:r>
            <w:r w:rsidRPr="00F5183B">
              <w:rPr>
                <w:rFonts w:ascii="Arial" w:hAnsi="Arial" w:cs="Arial"/>
                <w:sz w:val="16"/>
                <w:szCs w:val="16"/>
              </w:rPr>
              <w:br/>
            </w:r>
            <w:r w:rsidRPr="00F5183B">
              <w:rPr>
                <w:rStyle w:val="cell-value"/>
                <w:rFonts w:ascii="Arial" w:hAnsi="Arial" w:cs="Arial"/>
                <w:sz w:val="16"/>
                <w:szCs w:val="16"/>
              </w:rPr>
              <w:t>(9 fewer to 94 more)</w:t>
            </w:r>
            <w:r w:rsidRPr="00F5183B">
              <w:rPr>
                <w:rFonts w:ascii="Arial" w:hAnsi="Arial" w:cs="Arial"/>
                <w:sz w:val="16"/>
                <w:szCs w:val="16"/>
              </w:rPr>
              <w:t xml:space="preserve"> </w:t>
            </w:r>
          </w:p>
        </w:tc>
      </w:tr>
      <w:tr w:rsidR="00D3318E" w:rsidRPr="00F87E48" w14:paraId="76862341" w14:textId="77777777" w:rsidTr="00E350F6">
        <w:trPr>
          <w:cantSplit/>
        </w:trPr>
        <w:tc>
          <w:tcPr>
            <w:tcW w:w="0" w:type="auto"/>
            <w:tcBorders>
              <w:top w:val="single" w:sz="6" w:space="0" w:color="000000"/>
              <w:left w:val="nil"/>
              <w:bottom w:val="single" w:sz="6" w:space="0" w:color="000000"/>
              <w:right w:val="nil"/>
            </w:tcBorders>
            <w:vAlign w:val="center"/>
          </w:tcPr>
          <w:p w14:paraId="00977595" w14:textId="77777777" w:rsidR="00D3318E" w:rsidRPr="00F5183B" w:rsidRDefault="00D3318E" w:rsidP="00E350F6">
            <w:pPr>
              <w:rPr>
                <w:rStyle w:val="label"/>
                <w:rFonts w:ascii="Arial" w:hAnsi="Arial" w:cs="Arial"/>
                <w:sz w:val="16"/>
                <w:szCs w:val="16"/>
              </w:rPr>
            </w:pPr>
            <w:r w:rsidRPr="00F5183B">
              <w:rPr>
                <w:rStyle w:val="label"/>
                <w:rFonts w:ascii="Arial" w:hAnsi="Arial" w:cs="Arial"/>
                <w:sz w:val="16"/>
                <w:szCs w:val="16"/>
              </w:rPr>
              <w:t>Any drug-related SAE</w:t>
            </w:r>
            <w:r w:rsidRPr="00F5183B">
              <w:rPr>
                <w:rStyle w:val="short-name"/>
                <w:rFonts w:ascii="Arial" w:hAnsi="Arial" w:cs="Arial"/>
                <w:sz w:val="16"/>
                <w:szCs w:val="16"/>
              </w:rPr>
              <w:t>)</w:t>
            </w:r>
            <w:r w:rsidRPr="00F5183B">
              <w:rPr>
                <w:rFonts w:ascii="Arial" w:hAnsi="Arial" w:cs="Arial"/>
                <w:sz w:val="16"/>
                <w:szCs w:val="16"/>
              </w:rPr>
              <w:br/>
            </w:r>
          </w:p>
        </w:tc>
        <w:tc>
          <w:tcPr>
            <w:tcW w:w="945" w:type="pct"/>
            <w:tcBorders>
              <w:top w:val="single" w:sz="6" w:space="0" w:color="000000"/>
              <w:left w:val="nil"/>
              <w:bottom w:val="single" w:sz="6" w:space="0" w:color="000000"/>
              <w:right w:val="nil"/>
            </w:tcBorders>
            <w:vAlign w:val="center"/>
          </w:tcPr>
          <w:p w14:paraId="4D869664" w14:textId="77777777" w:rsidR="00D3318E" w:rsidRPr="001C7F13" w:rsidRDefault="00D3318E" w:rsidP="00E350F6">
            <w:pPr>
              <w:rPr>
                <w:rFonts w:ascii="Arial" w:hAnsi="Arial" w:cs="Arial"/>
                <w:sz w:val="16"/>
                <w:szCs w:val="16"/>
                <w:vertAlign w:val="superscript"/>
              </w:rPr>
            </w:pPr>
            <w:r w:rsidRPr="00F5183B">
              <w:rPr>
                <w:rFonts w:ascii="Arial" w:hAnsi="Arial" w:cs="Arial"/>
                <w:sz w:val="16"/>
                <w:szCs w:val="16"/>
              </w:rPr>
              <w:t>1163</w:t>
            </w:r>
            <w:r w:rsidRPr="00F5183B">
              <w:rPr>
                <w:rFonts w:ascii="Arial" w:hAnsi="Arial" w:cs="Arial"/>
                <w:sz w:val="16"/>
                <w:szCs w:val="16"/>
              </w:rPr>
              <w:br/>
              <w:t xml:space="preserve">(2 RCTs) </w:t>
            </w:r>
            <w:r w:rsidRPr="001C7F13">
              <w:rPr>
                <w:rFonts w:ascii="Arial" w:hAnsi="Arial" w:cs="Arial"/>
                <w:sz w:val="16"/>
                <w:szCs w:val="16"/>
                <w:vertAlign w:val="superscript"/>
              </w:rPr>
              <w:t>51, 60</w:t>
            </w:r>
          </w:p>
          <w:p w14:paraId="3F445C30" w14:textId="77777777" w:rsidR="00D3318E" w:rsidRPr="00F5183B" w:rsidRDefault="00D3318E" w:rsidP="00E350F6">
            <w:pPr>
              <w:rPr>
                <w:rFonts w:ascii="Arial" w:hAnsi="Arial" w:cs="Arial"/>
                <w:sz w:val="16"/>
                <w:szCs w:val="16"/>
              </w:rPr>
            </w:pPr>
            <w:r w:rsidRPr="00F5183B">
              <w:rPr>
                <w:rStyle w:val="label"/>
                <w:rFonts w:ascii="Arial" w:hAnsi="Arial" w:cs="Arial"/>
                <w:sz w:val="16"/>
                <w:szCs w:val="16"/>
              </w:rPr>
              <w:t>16 weeks to 48 weeks</w:t>
            </w:r>
          </w:p>
        </w:tc>
        <w:tc>
          <w:tcPr>
            <w:tcW w:w="673" w:type="pct"/>
            <w:tcBorders>
              <w:top w:val="single" w:sz="6" w:space="0" w:color="000000"/>
              <w:left w:val="nil"/>
              <w:bottom w:val="single" w:sz="6" w:space="0" w:color="000000"/>
              <w:right w:val="nil"/>
            </w:tcBorders>
            <w:vAlign w:val="center"/>
          </w:tcPr>
          <w:p w14:paraId="3C9164EB" w14:textId="77777777" w:rsidR="00D3318E" w:rsidRPr="00F5183B" w:rsidRDefault="00D3318E" w:rsidP="00E350F6">
            <w:pPr>
              <w:rPr>
                <w:rStyle w:val="quality-sign"/>
                <w:rFonts w:ascii="Cambria Math" w:hAnsi="Cambria Math" w:cs="Cambria Math"/>
                <w:sz w:val="16"/>
                <w:szCs w:val="16"/>
              </w:rPr>
            </w:pPr>
            <w:r w:rsidRPr="00F5183B">
              <w:rPr>
                <w:rStyle w:val="quality-sign"/>
                <w:rFonts w:ascii="Cambria Math" w:hAnsi="Cambria Math" w:cs="Cambria Math"/>
                <w:sz w:val="16"/>
                <w:szCs w:val="16"/>
              </w:rPr>
              <w:t>⨁⨁⨁</w:t>
            </w:r>
            <w:r w:rsidRPr="00F5183B">
              <w:rPr>
                <w:rStyle w:val="quality-sign"/>
                <w:rFonts w:ascii="Segoe UI Symbol" w:eastAsia="MS Gothic" w:hAnsi="Segoe UI Symbol" w:cs="Segoe UI Symbol"/>
                <w:sz w:val="16"/>
                <w:szCs w:val="16"/>
              </w:rPr>
              <w:t>◯</w:t>
            </w:r>
            <w:r w:rsidRPr="00F5183B">
              <w:rPr>
                <w:rFonts w:ascii="Arial" w:hAnsi="Arial" w:cs="Arial"/>
                <w:sz w:val="16"/>
                <w:szCs w:val="16"/>
              </w:rPr>
              <w:br/>
            </w:r>
            <w:r w:rsidRPr="00F5183B">
              <w:rPr>
                <w:rStyle w:val="quality-text"/>
                <w:rFonts w:ascii="Arial" w:hAnsi="Arial" w:cs="Arial"/>
                <w:sz w:val="16"/>
                <w:szCs w:val="16"/>
              </w:rPr>
              <w:t>MODERATE</w:t>
            </w:r>
            <w:r w:rsidRPr="00F5183B">
              <w:rPr>
                <w:rFonts w:ascii="Arial" w:hAnsi="Arial" w:cs="Arial"/>
                <w:sz w:val="16"/>
                <w:szCs w:val="16"/>
              </w:rPr>
              <w:t xml:space="preserve"> </w:t>
            </w:r>
            <w:proofErr w:type="gramStart"/>
            <w:r w:rsidRPr="00F5183B">
              <w:rPr>
                <w:rFonts w:ascii="Arial" w:hAnsi="Arial" w:cs="Arial"/>
                <w:sz w:val="16"/>
                <w:szCs w:val="16"/>
                <w:vertAlign w:val="superscript"/>
              </w:rPr>
              <w:t>ab</w:t>
            </w:r>
            <w:r w:rsidRPr="00F5183B">
              <w:rPr>
                <w:rStyle w:val="comma"/>
                <w:rFonts w:ascii="Arial" w:hAnsi="Arial" w:cs="Arial"/>
                <w:sz w:val="16"/>
                <w:szCs w:val="16"/>
                <w:vertAlign w:val="superscript"/>
              </w:rPr>
              <w:t>,</w:t>
            </w:r>
            <w:r w:rsidRPr="00F5183B">
              <w:rPr>
                <w:rFonts w:ascii="Arial" w:hAnsi="Arial" w:cs="Arial"/>
                <w:sz w:val="16"/>
                <w:szCs w:val="16"/>
                <w:vertAlign w:val="superscript"/>
              </w:rPr>
              <w:t>b</w:t>
            </w:r>
            <w:proofErr w:type="gramEnd"/>
            <w:r w:rsidRPr="00F5183B">
              <w:rPr>
                <w:rStyle w:val="comma"/>
                <w:rFonts w:ascii="Arial" w:hAnsi="Arial" w:cs="Arial"/>
                <w:sz w:val="16"/>
                <w:szCs w:val="16"/>
                <w:vertAlign w:val="superscript"/>
              </w:rPr>
              <w:t>,</w:t>
            </w:r>
            <w:r w:rsidRPr="00F5183B">
              <w:rPr>
                <w:rFonts w:ascii="Arial" w:hAnsi="Arial" w:cs="Arial"/>
                <w:sz w:val="16"/>
                <w:szCs w:val="16"/>
                <w:vertAlign w:val="superscript"/>
              </w:rPr>
              <w:t>d</w:t>
            </w:r>
          </w:p>
        </w:tc>
        <w:tc>
          <w:tcPr>
            <w:tcW w:w="561" w:type="pct"/>
            <w:tcBorders>
              <w:top w:val="single" w:sz="6" w:space="0" w:color="000000"/>
              <w:left w:val="nil"/>
              <w:bottom w:val="single" w:sz="6" w:space="0" w:color="000000"/>
              <w:right w:val="nil"/>
            </w:tcBorders>
            <w:vAlign w:val="center"/>
          </w:tcPr>
          <w:p w14:paraId="30D97027" w14:textId="77777777" w:rsidR="00D3318E" w:rsidRPr="00F5183B" w:rsidRDefault="00D3318E" w:rsidP="00E350F6">
            <w:pPr>
              <w:rPr>
                <w:rStyle w:val="block"/>
                <w:rFonts w:ascii="Arial" w:hAnsi="Arial" w:cs="Arial"/>
                <w:b/>
                <w:bCs/>
                <w:sz w:val="16"/>
                <w:szCs w:val="16"/>
              </w:rPr>
            </w:pPr>
            <w:r w:rsidRPr="00F5183B">
              <w:rPr>
                <w:rStyle w:val="block"/>
                <w:rFonts w:ascii="Arial" w:hAnsi="Arial" w:cs="Arial"/>
                <w:b/>
                <w:bCs/>
                <w:sz w:val="16"/>
                <w:szCs w:val="16"/>
              </w:rPr>
              <w:t>Rate ratio 1.62</w:t>
            </w:r>
            <w:r w:rsidRPr="00F5183B">
              <w:rPr>
                <w:rFonts w:ascii="Arial" w:hAnsi="Arial" w:cs="Arial"/>
                <w:sz w:val="16"/>
                <w:szCs w:val="16"/>
              </w:rPr>
              <w:br/>
            </w:r>
            <w:r w:rsidRPr="00F5183B">
              <w:rPr>
                <w:rStyle w:val="cell"/>
                <w:rFonts w:ascii="Arial" w:hAnsi="Arial" w:cs="Arial"/>
                <w:sz w:val="16"/>
                <w:szCs w:val="16"/>
              </w:rPr>
              <w:t>(0.76 to 3.45)</w:t>
            </w:r>
            <w:r w:rsidRPr="00F5183B">
              <w:rPr>
                <w:rFonts w:ascii="Arial" w:hAnsi="Arial" w:cs="Arial"/>
                <w:sz w:val="16"/>
                <w:szCs w:val="16"/>
              </w:rPr>
              <w:t xml:space="preserve"> </w:t>
            </w:r>
          </w:p>
        </w:tc>
        <w:tc>
          <w:tcPr>
            <w:tcW w:w="655" w:type="pct"/>
            <w:tcBorders>
              <w:top w:val="single" w:sz="6" w:space="0" w:color="000000"/>
              <w:left w:val="nil"/>
              <w:bottom w:val="single" w:sz="6" w:space="0" w:color="000000"/>
              <w:right w:val="nil"/>
            </w:tcBorders>
            <w:shd w:val="clear" w:color="auto" w:fill="EDEDED"/>
            <w:vAlign w:val="center"/>
          </w:tcPr>
          <w:p w14:paraId="20B04769" w14:textId="77777777" w:rsidR="00D3318E" w:rsidRPr="00F5183B" w:rsidRDefault="00D3318E" w:rsidP="00E350F6">
            <w:pPr>
              <w:rPr>
                <w:rFonts w:ascii="Arial" w:hAnsi="Arial" w:cs="Arial"/>
                <w:sz w:val="16"/>
                <w:szCs w:val="16"/>
              </w:rPr>
            </w:pPr>
            <w:r w:rsidRPr="00F5183B">
              <w:rPr>
                <w:rFonts w:ascii="Arial" w:hAnsi="Arial" w:cs="Arial"/>
                <w:sz w:val="16"/>
                <w:szCs w:val="16"/>
              </w:rPr>
              <w:t xml:space="preserve">18 per 1.000 </w:t>
            </w:r>
          </w:p>
        </w:tc>
        <w:tc>
          <w:tcPr>
            <w:tcW w:w="839" w:type="pct"/>
            <w:tcBorders>
              <w:top w:val="single" w:sz="6" w:space="0" w:color="000000"/>
              <w:left w:val="nil"/>
              <w:bottom w:val="single" w:sz="6" w:space="0" w:color="000000"/>
              <w:right w:val="nil"/>
            </w:tcBorders>
            <w:shd w:val="clear" w:color="auto" w:fill="EDEDED"/>
            <w:vAlign w:val="center"/>
          </w:tcPr>
          <w:p w14:paraId="25B04650" w14:textId="77777777" w:rsidR="00D3318E" w:rsidRPr="00F5183B" w:rsidRDefault="00D3318E" w:rsidP="00E350F6">
            <w:pPr>
              <w:rPr>
                <w:rStyle w:val="cell-value"/>
                <w:rFonts w:ascii="Arial" w:hAnsi="Arial" w:cs="Arial"/>
                <w:b/>
                <w:bCs/>
                <w:sz w:val="16"/>
                <w:szCs w:val="16"/>
              </w:rPr>
            </w:pPr>
            <w:r w:rsidRPr="00F5183B">
              <w:rPr>
                <w:rStyle w:val="cell-value"/>
                <w:rFonts w:ascii="Arial" w:hAnsi="Arial" w:cs="Arial"/>
                <w:b/>
                <w:bCs/>
                <w:sz w:val="16"/>
                <w:szCs w:val="16"/>
              </w:rPr>
              <w:t>11 more per 1.000</w:t>
            </w:r>
            <w:r w:rsidRPr="00F5183B">
              <w:rPr>
                <w:rFonts w:ascii="Arial" w:hAnsi="Arial" w:cs="Arial"/>
                <w:sz w:val="16"/>
                <w:szCs w:val="16"/>
              </w:rPr>
              <w:br/>
            </w:r>
            <w:r w:rsidRPr="00F5183B">
              <w:rPr>
                <w:rStyle w:val="cell-value"/>
                <w:rFonts w:ascii="Arial" w:hAnsi="Arial" w:cs="Arial"/>
                <w:sz w:val="16"/>
                <w:szCs w:val="16"/>
              </w:rPr>
              <w:t>(4 fewer to 43 more)</w:t>
            </w:r>
            <w:r w:rsidRPr="00F5183B">
              <w:rPr>
                <w:rFonts w:ascii="Arial" w:hAnsi="Arial" w:cs="Arial"/>
                <w:sz w:val="16"/>
                <w:szCs w:val="16"/>
              </w:rPr>
              <w:t xml:space="preserve"> </w:t>
            </w:r>
          </w:p>
        </w:tc>
      </w:tr>
      <w:tr w:rsidR="00D3318E" w:rsidRPr="00F87E48" w14:paraId="4CA08A69" w14:textId="77777777" w:rsidTr="00E350F6">
        <w:trPr>
          <w:cantSplit/>
        </w:trPr>
        <w:tc>
          <w:tcPr>
            <w:tcW w:w="0" w:type="auto"/>
            <w:tcBorders>
              <w:top w:val="single" w:sz="6" w:space="0" w:color="000000"/>
              <w:left w:val="nil"/>
              <w:bottom w:val="single" w:sz="6" w:space="0" w:color="000000"/>
              <w:right w:val="nil"/>
            </w:tcBorders>
            <w:vAlign w:val="center"/>
            <w:hideMark/>
          </w:tcPr>
          <w:p w14:paraId="13037DA9" w14:textId="77777777" w:rsidR="00D3318E" w:rsidRPr="00F5183B" w:rsidRDefault="00D3318E" w:rsidP="00E350F6">
            <w:pPr>
              <w:rPr>
                <w:rFonts w:ascii="Arial" w:hAnsi="Arial" w:cs="Arial"/>
                <w:b/>
                <w:bCs/>
                <w:i/>
                <w:iCs/>
                <w:color w:val="404040" w:themeColor="text1" w:themeTint="BF"/>
                <w:sz w:val="16"/>
                <w:szCs w:val="16"/>
              </w:rPr>
            </w:pPr>
            <w:r w:rsidRPr="00F5183B">
              <w:rPr>
                <w:rStyle w:val="label"/>
                <w:rFonts w:ascii="Arial" w:hAnsi="Arial" w:cs="Arial"/>
                <w:sz w:val="16"/>
                <w:szCs w:val="16"/>
              </w:rPr>
              <w:t xml:space="preserve">Lung function </w:t>
            </w:r>
            <w:r w:rsidRPr="00F5183B">
              <w:rPr>
                <w:rStyle w:val="short-name"/>
                <w:rFonts w:ascii="Arial" w:hAnsi="Arial" w:cs="Arial"/>
                <w:sz w:val="16"/>
                <w:szCs w:val="16"/>
              </w:rPr>
              <w:t>(FEV1)</w:t>
            </w:r>
            <w:r w:rsidRPr="00F5183B">
              <w:rPr>
                <w:rFonts w:ascii="Arial" w:hAnsi="Arial" w:cs="Arial"/>
                <w:sz w:val="16"/>
                <w:szCs w:val="16"/>
              </w:rPr>
              <w:br/>
            </w:r>
            <w:r w:rsidRPr="00F5183B">
              <w:rPr>
                <w:rStyle w:val="label"/>
                <w:rFonts w:ascii="Arial" w:hAnsi="Arial" w:cs="Arial"/>
                <w:sz w:val="16"/>
                <w:szCs w:val="16"/>
              </w:rPr>
              <w:t>assessed with</w:t>
            </w:r>
            <w:r>
              <w:rPr>
                <w:rStyle w:val="label"/>
                <w:rFonts w:ascii="Arial" w:hAnsi="Arial" w:cs="Arial"/>
                <w:sz w:val="16"/>
                <w:szCs w:val="16"/>
              </w:rPr>
              <w:t xml:space="preserve"> ab</w:t>
            </w:r>
            <w:r w:rsidRPr="00F5183B">
              <w:rPr>
                <w:rStyle w:val="label"/>
                <w:rFonts w:ascii="Arial" w:hAnsi="Arial" w:cs="Arial"/>
                <w:sz w:val="16"/>
                <w:szCs w:val="16"/>
              </w:rPr>
              <w:t>solute FEV1 (L)</w:t>
            </w:r>
            <w:r>
              <w:rPr>
                <w:rStyle w:val="label"/>
                <w:rFonts w:ascii="Arial" w:hAnsi="Arial" w:cs="Arial"/>
                <w:sz w:val="16"/>
                <w:szCs w:val="16"/>
              </w:rPr>
              <w:t xml:space="preserve"> change versus baseline</w:t>
            </w:r>
            <w:r w:rsidRPr="00F5183B">
              <w:rPr>
                <w:rFonts w:ascii="Arial" w:hAnsi="Arial" w:cs="Arial"/>
                <w:sz w:val="16"/>
                <w:szCs w:val="16"/>
              </w:rPr>
              <w:br/>
            </w:r>
          </w:p>
        </w:tc>
        <w:tc>
          <w:tcPr>
            <w:tcW w:w="945" w:type="pct"/>
            <w:tcBorders>
              <w:top w:val="single" w:sz="6" w:space="0" w:color="000000"/>
              <w:left w:val="nil"/>
              <w:bottom w:val="single" w:sz="6" w:space="0" w:color="000000"/>
              <w:right w:val="nil"/>
            </w:tcBorders>
            <w:vAlign w:val="center"/>
            <w:hideMark/>
          </w:tcPr>
          <w:p w14:paraId="07F8786A" w14:textId="77777777" w:rsidR="00D3318E" w:rsidRDefault="00D3318E" w:rsidP="00E350F6">
            <w:pPr>
              <w:rPr>
                <w:rFonts w:ascii="Arial" w:hAnsi="Arial" w:cs="Arial"/>
                <w:sz w:val="16"/>
                <w:szCs w:val="16"/>
                <w:vertAlign w:val="superscript"/>
              </w:rPr>
            </w:pPr>
            <w:r w:rsidRPr="00F5183B">
              <w:rPr>
                <w:rFonts w:ascii="Arial" w:hAnsi="Arial" w:cs="Arial"/>
                <w:sz w:val="16"/>
                <w:szCs w:val="16"/>
              </w:rPr>
              <w:t>1209</w:t>
            </w:r>
            <w:r w:rsidRPr="00F5183B">
              <w:rPr>
                <w:rFonts w:ascii="Arial" w:hAnsi="Arial" w:cs="Arial"/>
                <w:sz w:val="16"/>
                <w:szCs w:val="16"/>
              </w:rPr>
              <w:br/>
              <w:t xml:space="preserve">(6 RCTs) </w:t>
            </w:r>
            <w:r>
              <w:rPr>
                <w:rFonts w:ascii="Arial" w:hAnsi="Arial" w:cs="Arial"/>
                <w:sz w:val="16"/>
                <w:szCs w:val="16"/>
                <w:vertAlign w:val="superscript"/>
              </w:rPr>
              <w:t>55, 42,62, 43, 60, 61</w:t>
            </w:r>
          </w:p>
          <w:p w14:paraId="623040F0" w14:textId="77777777" w:rsidR="00D3318E" w:rsidRPr="00F5183B" w:rsidRDefault="00D3318E" w:rsidP="00E350F6">
            <w:pPr>
              <w:rPr>
                <w:rFonts w:ascii="Arial" w:hAnsi="Arial" w:cs="Arial"/>
                <w:b/>
                <w:bCs/>
                <w:color w:val="1F3763" w:themeColor="accent1" w:themeShade="7F"/>
                <w:sz w:val="16"/>
                <w:szCs w:val="16"/>
              </w:rPr>
            </w:pPr>
            <w:r w:rsidRPr="00F5183B">
              <w:rPr>
                <w:rStyle w:val="label"/>
                <w:rFonts w:ascii="Arial" w:hAnsi="Arial" w:cs="Arial"/>
                <w:sz w:val="16"/>
                <w:szCs w:val="16"/>
              </w:rPr>
              <w:t>range 12 weeks to 52 weeks</w:t>
            </w:r>
            <w:r w:rsidRPr="00F5183B">
              <w:rPr>
                <w:rFonts w:ascii="Arial" w:hAnsi="Arial" w:cs="Arial"/>
                <w:sz w:val="16"/>
                <w:szCs w:val="16"/>
              </w:rPr>
              <w:t xml:space="preserve"> </w:t>
            </w:r>
            <w:proofErr w:type="gramStart"/>
            <w:r w:rsidRPr="00F5183B">
              <w:rPr>
                <w:rFonts w:ascii="Arial" w:hAnsi="Arial" w:cs="Arial"/>
                <w:sz w:val="16"/>
                <w:szCs w:val="16"/>
                <w:vertAlign w:val="superscript"/>
              </w:rPr>
              <w:t>n</w:t>
            </w:r>
            <w:r w:rsidRPr="00F5183B">
              <w:rPr>
                <w:rStyle w:val="comma"/>
                <w:rFonts w:ascii="Arial" w:hAnsi="Arial" w:cs="Arial"/>
                <w:sz w:val="16"/>
                <w:szCs w:val="16"/>
                <w:vertAlign w:val="superscript"/>
              </w:rPr>
              <w:t>,</w:t>
            </w:r>
            <w:r w:rsidRPr="00F5183B">
              <w:rPr>
                <w:rFonts w:ascii="Arial" w:hAnsi="Arial" w:cs="Arial"/>
                <w:sz w:val="16"/>
                <w:szCs w:val="16"/>
                <w:vertAlign w:val="superscript"/>
              </w:rPr>
              <w:t>o</w:t>
            </w:r>
            <w:proofErr w:type="gramEnd"/>
          </w:p>
        </w:tc>
        <w:tc>
          <w:tcPr>
            <w:tcW w:w="673" w:type="pct"/>
            <w:tcBorders>
              <w:top w:val="single" w:sz="6" w:space="0" w:color="000000"/>
              <w:left w:val="nil"/>
              <w:bottom w:val="single" w:sz="6" w:space="0" w:color="000000"/>
              <w:right w:val="nil"/>
            </w:tcBorders>
            <w:vAlign w:val="center"/>
            <w:hideMark/>
          </w:tcPr>
          <w:p w14:paraId="70382D7F" w14:textId="77777777" w:rsidR="00D3318E" w:rsidRPr="00F5183B" w:rsidRDefault="00D3318E" w:rsidP="00E350F6">
            <w:pPr>
              <w:rPr>
                <w:rFonts w:ascii="Arial" w:hAnsi="Arial" w:cs="Arial"/>
                <w:b/>
                <w:bCs/>
                <w:i/>
                <w:iCs/>
                <w:color w:val="404040" w:themeColor="text1" w:themeTint="BF"/>
                <w:sz w:val="16"/>
                <w:szCs w:val="16"/>
              </w:rPr>
            </w:pPr>
            <w:r w:rsidRPr="00F5183B">
              <w:rPr>
                <w:rStyle w:val="quality-sign"/>
                <w:rFonts w:ascii="Cambria Math" w:hAnsi="Cambria Math" w:cs="Cambria Math"/>
                <w:sz w:val="16"/>
                <w:szCs w:val="16"/>
              </w:rPr>
              <w:t>⨁⨁</w:t>
            </w:r>
            <w:r w:rsidRPr="00F5183B">
              <w:rPr>
                <w:rStyle w:val="quality-sign"/>
                <w:rFonts w:ascii="Segoe UI Symbol" w:eastAsia="MS Gothic" w:hAnsi="Segoe UI Symbol" w:cs="Segoe UI Symbol"/>
                <w:sz w:val="16"/>
                <w:szCs w:val="16"/>
              </w:rPr>
              <w:t>◯◯</w:t>
            </w:r>
            <w:r w:rsidRPr="00F5183B">
              <w:rPr>
                <w:rFonts w:ascii="Arial" w:hAnsi="Arial" w:cs="Arial"/>
                <w:sz w:val="16"/>
                <w:szCs w:val="16"/>
              </w:rPr>
              <w:br/>
            </w:r>
            <w:r w:rsidRPr="00F5183B">
              <w:rPr>
                <w:rStyle w:val="quality-text"/>
                <w:rFonts w:ascii="Arial" w:hAnsi="Arial" w:cs="Arial"/>
                <w:sz w:val="16"/>
                <w:szCs w:val="16"/>
              </w:rPr>
              <w:t>LOW</w:t>
            </w:r>
            <w:r w:rsidRPr="00F5183B">
              <w:rPr>
                <w:rFonts w:ascii="Arial" w:hAnsi="Arial" w:cs="Arial"/>
                <w:sz w:val="16"/>
                <w:szCs w:val="16"/>
              </w:rPr>
              <w:t xml:space="preserve"> </w:t>
            </w:r>
            <w:r w:rsidRPr="00F5183B">
              <w:rPr>
                <w:rFonts w:ascii="Arial" w:hAnsi="Arial" w:cs="Arial"/>
                <w:sz w:val="16"/>
                <w:szCs w:val="16"/>
                <w:vertAlign w:val="superscript"/>
              </w:rPr>
              <w:t>21</w:t>
            </w:r>
            <w:r w:rsidRPr="00F5183B">
              <w:rPr>
                <w:rStyle w:val="comma"/>
                <w:rFonts w:ascii="Arial" w:hAnsi="Arial" w:cs="Arial"/>
                <w:sz w:val="16"/>
                <w:szCs w:val="16"/>
                <w:vertAlign w:val="superscript"/>
              </w:rPr>
              <w:t>,</w:t>
            </w:r>
            <w:r w:rsidRPr="00F5183B">
              <w:rPr>
                <w:rFonts w:ascii="Arial" w:hAnsi="Arial" w:cs="Arial"/>
                <w:sz w:val="16"/>
                <w:szCs w:val="16"/>
                <w:vertAlign w:val="superscript"/>
              </w:rPr>
              <w:t>22</w:t>
            </w:r>
            <w:r w:rsidRPr="00F5183B">
              <w:rPr>
                <w:rStyle w:val="comma"/>
                <w:rFonts w:ascii="Arial" w:hAnsi="Arial" w:cs="Arial"/>
                <w:sz w:val="16"/>
                <w:szCs w:val="16"/>
                <w:vertAlign w:val="superscript"/>
              </w:rPr>
              <w:t>,</w:t>
            </w:r>
            <w:proofErr w:type="gramStart"/>
            <w:r w:rsidRPr="00F5183B">
              <w:rPr>
                <w:rFonts w:ascii="Arial" w:hAnsi="Arial" w:cs="Arial"/>
                <w:sz w:val="16"/>
                <w:szCs w:val="16"/>
                <w:vertAlign w:val="superscript"/>
              </w:rPr>
              <w:t>23</w:t>
            </w:r>
            <w:r w:rsidRPr="00F5183B">
              <w:rPr>
                <w:rStyle w:val="comma"/>
                <w:rFonts w:ascii="Arial" w:hAnsi="Arial" w:cs="Arial"/>
                <w:sz w:val="16"/>
                <w:szCs w:val="16"/>
                <w:vertAlign w:val="superscript"/>
              </w:rPr>
              <w:t>,</w:t>
            </w:r>
            <w:r w:rsidRPr="00F5183B">
              <w:rPr>
                <w:rFonts w:ascii="Arial" w:hAnsi="Arial" w:cs="Arial"/>
                <w:sz w:val="16"/>
                <w:szCs w:val="16"/>
                <w:vertAlign w:val="superscript"/>
              </w:rPr>
              <w:t>b</w:t>
            </w:r>
            <w:proofErr w:type="gramEnd"/>
            <w:r w:rsidRPr="00F5183B">
              <w:rPr>
                <w:rStyle w:val="comma"/>
                <w:rFonts w:ascii="Arial" w:hAnsi="Arial" w:cs="Arial"/>
                <w:sz w:val="16"/>
                <w:szCs w:val="16"/>
                <w:vertAlign w:val="superscript"/>
              </w:rPr>
              <w:t>,</w:t>
            </w:r>
            <w:r w:rsidRPr="00F5183B">
              <w:rPr>
                <w:rFonts w:ascii="Arial" w:hAnsi="Arial" w:cs="Arial"/>
                <w:sz w:val="16"/>
                <w:szCs w:val="16"/>
                <w:vertAlign w:val="superscript"/>
              </w:rPr>
              <w:t>p</w:t>
            </w:r>
            <w:r w:rsidRPr="00F5183B">
              <w:rPr>
                <w:rStyle w:val="comma"/>
                <w:rFonts w:ascii="Arial" w:hAnsi="Arial" w:cs="Arial"/>
                <w:sz w:val="16"/>
                <w:szCs w:val="16"/>
                <w:vertAlign w:val="superscript"/>
              </w:rPr>
              <w:t>,</w:t>
            </w:r>
            <w:r w:rsidRPr="00F5183B">
              <w:rPr>
                <w:rFonts w:ascii="Arial" w:hAnsi="Arial" w:cs="Arial"/>
                <w:sz w:val="16"/>
                <w:szCs w:val="16"/>
                <w:vertAlign w:val="superscript"/>
              </w:rPr>
              <w:t>q</w:t>
            </w:r>
            <w:r w:rsidRPr="00F5183B">
              <w:rPr>
                <w:rStyle w:val="comma"/>
                <w:rFonts w:ascii="Arial" w:hAnsi="Arial" w:cs="Arial"/>
                <w:sz w:val="16"/>
                <w:szCs w:val="16"/>
                <w:vertAlign w:val="superscript"/>
              </w:rPr>
              <w:t>,</w:t>
            </w:r>
            <w:r w:rsidRPr="00F5183B">
              <w:rPr>
                <w:rFonts w:ascii="Arial" w:hAnsi="Arial" w:cs="Arial"/>
                <w:sz w:val="16"/>
                <w:szCs w:val="16"/>
                <w:vertAlign w:val="superscript"/>
              </w:rPr>
              <w:t>r</w:t>
            </w:r>
          </w:p>
        </w:tc>
        <w:tc>
          <w:tcPr>
            <w:tcW w:w="561" w:type="pct"/>
            <w:tcBorders>
              <w:top w:val="single" w:sz="6" w:space="0" w:color="000000"/>
              <w:left w:val="nil"/>
              <w:bottom w:val="single" w:sz="6" w:space="0" w:color="000000"/>
              <w:right w:val="nil"/>
            </w:tcBorders>
            <w:vAlign w:val="center"/>
            <w:hideMark/>
          </w:tcPr>
          <w:p w14:paraId="36365A12" w14:textId="77777777" w:rsidR="00D3318E" w:rsidRPr="00F5183B" w:rsidRDefault="00D3318E" w:rsidP="00E350F6">
            <w:pPr>
              <w:rPr>
                <w:rFonts w:ascii="Arial" w:hAnsi="Arial" w:cs="Arial"/>
                <w:b/>
                <w:bCs/>
                <w:i/>
                <w:iCs/>
                <w:color w:val="404040" w:themeColor="text1" w:themeTint="BF"/>
                <w:sz w:val="16"/>
                <w:szCs w:val="16"/>
              </w:rPr>
            </w:pPr>
            <w:r w:rsidRPr="00F5183B">
              <w:rPr>
                <w:rStyle w:val="cell"/>
                <w:rFonts w:ascii="Arial" w:hAnsi="Arial" w:cs="Arial"/>
                <w:sz w:val="16"/>
                <w:szCs w:val="16"/>
              </w:rPr>
              <w:t>-</w:t>
            </w:r>
            <w:r w:rsidRPr="00F5183B">
              <w:rPr>
                <w:rFonts w:ascii="Arial" w:hAnsi="Arial" w:cs="Arial"/>
                <w:sz w:val="16"/>
                <w:szCs w:val="16"/>
              </w:rPr>
              <w:t xml:space="preserve"> </w:t>
            </w:r>
          </w:p>
        </w:tc>
        <w:tc>
          <w:tcPr>
            <w:tcW w:w="655" w:type="pct"/>
            <w:tcBorders>
              <w:top w:val="single" w:sz="6" w:space="0" w:color="000000"/>
              <w:left w:val="nil"/>
              <w:bottom w:val="single" w:sz="6" w:space="0" w:color="000000"/>
              <w:right w:val="nil"/>
            </w:tcBorders>
            <w:shd w:val="clear" w:color="auto" w:fill="EDEDED"/>
            <w:vAlign w:val="center"/>
            <w:hideMark/>
          </w:tcPr>
          <w:p w14:paraId="5E2A44F8" w14:textId="77777777" w:rsidR="00D3318E" w:rsidRPr="00F5183B" w:rsidRDefault="00D3318E" w:rsidP="00E350F6">
            <w:pPr>
              <w:rPr>
                <w:rFonts w:ascii="Arial" w:hAnsi="Arial" w:cs="Arial"/>
                <w:b/>
                <w:bCs/>
                <w:i/>
                <w:iCs/>
                <w:color w:val="404040" w:themeColor="text1" w:themeTint="BF"/>
                <w:sz w:val="16"/>
                <w:szCs w:val="16"/>
              </w:rPr>
            </w:pPr>
            <w:r w:rsidRPr="00F5183B">
              <w:rPr>
                <w:rStyle w:val="cell-value"/>
                <w:rFonts w:ascii="Arial" w:hAnsi="Arial" w:cs="Arial"/>
                <w:sz w:val="16"/>
                <w:szCs w:val="16"/>
              </w:rPr>
              <w:t xml:space="preserve">The mean lung function was </w:t>
            </w:r>
            <w:r w:rsidRPr="00F5183B">
              <w:rPr>
                <w:rStyle w:val="cell-value"/>
                <w:rFonts w:ascii="Arial" w:hAnsi="Arial" w:cs="Arial"/>
                <w:b/>
                <w:bCs/>
                <w:sz w:val="16"/>
                <w:szCs w:val="16"/>
              </w:rPr>
              <w:t>0</w:t>
            </w:r>
            <w:r w:rsidRPr="00F5183B">
              <w:rPr>
                <w:rStyle w:val="cell-value"/>
                <w:rFonts w:ascii="Arial" w:hAnsi="Arial" w:cs="Arial"/>
                <w:sz w:val="16"/>
                <w:szCs w:val="16"/>
              </w:rPr>
              <w:t xml:space="preserve"> L</w:t>
            </w:r>
            <w:r w:rsidRPr="00F5183B">
              <w:rPr>
                <w:rFonts w:ascii="Arial" w:hAnsi="Arial" w:cs="Arial"/>
                <w:sz w:val="16"/>
                <w:szCs w:val="16"/>
              </w:rPr>
              <w:t xml:space="preserve"> </w:t>
            </w:r>
          </w:p>
        </w:tc>
        <w:tc>
          <w:tcPr>
            <w:tcW w:w="839" w:type="pct"/>
            <w:tcBorders>
              <w:top w:val="single" w:sz="6" w:space="0" w:color="000000"/>
              <w:left w:val="nil"/>
              <w:bottom w:val="single" w:sz="6" w:space="0" w:color="000000"/>
              <w:right w:val="nil"/>
            </w:tcBorders>
            <w:shd w:val="clear" w:color="auto" w:fill="EDEDED"/>
            <w:vAlign w:val="center"/>
            <w:hideMark/>
          </w:tcPr>
          <w:p w14:paraId="16A4D588" w14:textId="0F85F487" w:rsidR="00D3318E" w:rsidRPr="00F5183B" w:rsidRDefault="00D3318E" w:rsidP="00E350F6">
            <w:pPr>
              <w:rPr>
                <w:rFonts w:ascii="Arial" w:hAnsi="Arial" w:cs="Arial"/>
                <w:b/>
                <w:bCs/>
                <w:i/>
                <w:iCs/>
                <w:color w:val="404040" w:themeColor="text1" w:themeTint="BF"/>
                <w:sz w:val="16"/>
                <w:szCs w:val="16"/>
              </w:rPr>
            </w:pPr>
            <w:r w:rsidRPr="00F5183B">
              <w:rPr>
                <w:rStyle w:val="cell-value"/>
                <w:rFonts w:ascii="Arial" w:hAnsi="Arial" w:cs="Arial"/>
                <w:sz w:val="16"/>
                <w:szCs w:val="16"/>
              </w:rPr>
              <w:t xml:space="preserve">MD </w:t>
            </w:r>
            <w:r w:rsidR="00D64229">
              <w:rPr>
                <w:rStyle w:val="cell-value"/>
                <w:rFonts w:ascii="Arial" w:hAnsi="Arial" w:cs="Arial"/>
                <w:sz w:val="16"/>
                <w:szCs w:val="16"/>
              </w:rPr>
              <w:t>+</w:t>
            </w:r>
            <w:r w:rsidRPr="00F5183B">
              <w:rPr>
                <w:rStyle w:val="cell-value"/>
                <w:rFonts w:ascii="Arial" w:hAnsi="Arial" w:cs="Arial"/>
                <w:b/>
                <w:bCs/>
                <w:sz w:val="16"/>
                <w:szCs w:val="16"/>
              </w:rPr>
              <w:t xml:space="preserve">0.17 L </w:t>
            </w:r>
            <w:r w:rsidRPr="00F5183B">
              <w:rPr>
                <w:rFonts w:ascii="Arial" w:hAnsi="Arial" w:cs="Arial"/>
                <w:sz w:val="16"/>
                <w:szCs w:val="16"/>
              </w:rPr>
              <w:br/>
            </w:r>
            <w:r w:rsidRPr="00F5183B">
              <w:rPr>
                <w:rStyle w:val="cell-value"/>
                <w:rFonts w:ascii="Arial" w:hAnsi="Arial" w:cs="Arial"/>
                <w:sz w:val="16"/>
                <w:szCs w:val="16"/>
              </w:rPr>
              <w:t>(</w:t>
            </w:r>
            <w:r w:rsidR="00D64229">
              <w:rPr>
                <w:rStyle w:val="cell-value"/>
                <w:rFonts w:ascii="Arial" w:hAnsi="Arial" w:cs="Arial"/>
                <w:sz w:val="16"/>
                <w:szCs w:val="16"/>
              </w:rPr>
              <w:t>+</w:t>
            </w:r>
            <w:r w:rsidRPr="00F5183B">
              <w:rPr>
                <w:rStyle w:val="cell-value"/>
                <w:rFonts w:ascii="Arial" w:hAnsi="Arial" w:cs="Arial"/>
                <w:sz w:val="16"/>
                <w:szCs w:val="16"/>
              </w:rPr>
              <w:t>0.02 to</w:t>
            </w:r>
            <w:r w:rsidR="00D64229">
              <w:rPr>
                <w:rStyle w:val="cell-value"/>
                <w:rFonts w:ascii="Arial" w:hAnsi="Arial" w:cs="Arial"/>
                <w:sz w:val="16"/>
                <w:szCs w:val="16"/>
              </w:rPr>
              <w:t xml:space="preserve"> </w:t>
            </w:r>
            <w:r w:rsidR="00D64229">
              <w:rPr>
                <w:rStyle w:val="cell-value"/>
                <w:sz w:val="16"/>
                <w:szCs w:val="16"/>
              </w:rPr>
              <w:t>+</w:t>
            </w:r>
            <w:r w:rsidRPr="00F5183B">
              <w:rPr>
                <w:rStyle w:val="cell-value"/>
                <w:rFonts w:ascii="Arial" w:hAnsi="Arial" w:cs="Arial"/>
                <w:sz w:val="16"/>
                <w:szCs w:val="16"/>
              </w:rPr>
              <w:t xml:space="preserve"> 0.32)</w:t>
            </w:r>
            <w:r w:rsidRPr="00F5183B">
              <w:rPr>
                <w:rFonts w:ascii="Arial" w:hAnsi="Arial" w:cs="Arial"/>
                <w:sz w:val="16"/>
                <w:szCs w:val="16"/>
              </w:rPr>
              <w:t xml:space="preserve"> </w:t>
            </w:r>
            <w:r w:rsidRPr="00F5183B">
              <w:rPr>
                <w:rFonts w:ascii="Arial" w:hAnsi="Arial" w:cs="Arial"/>
                <w:sz w:val="16"/>
                <w:szCs w:val="16"/>
                <w:vertAlign w:val="superscript"/>
              </w:rPr>
              <w:t>s</w:t>
            </w:r>
          </w:p>
        </w:tc>
      </w:tr>
      <w:tr w:rsidR="00D3318E" w:rsidRPr="00F87E48" w14:paraId="72B7DC5D" w14:textId="77777777" w:rsidTr="00E350F6">
        <w:trPr>
          <w:cantSplit/>
        </w:trPr>
        <w:tc>
          <w:tcPr>
            <w:tcW w:w="0" w:type="auto"/>
            <w:tcBorders>
              <w:top w:val="single" w:sz="6" w:space="0" w:color="000000"/>
              <w:left w:val="nil"/>
              <w:bottom w:val="single" w:sz="6" w:space="0" w:color="000000"/>
              <w:right w:val="nil"/>
            </w:tcBorders>
            <w:vAlign w:val="center"/>
            <w:hideMark/>
          </w:tcPr>
          <w:p w14:paraId="45EACD57" w14:textId="77777777" w:rsidR="00D3318E" w:rsidRPr="00F5183B" w:rsidRDefault="00D3318E" w:rsidP="00E350F6">
            <w:pPr>
              <w:rPr>
                <w:rFonts w:ascii="Arial" w:hAnsi="Arial" w:cs="Arial"/>
                <w:b/>
                <w:bCs/>
                <w:i/>
                <w:iCs/>
                <w:color w:val="404040" w:themeColor="text1" w:themeTint="BF"/>
                <w:sz w:val="16"/>
                <w:szCs w:val="16"/>
              </w:rPr>
            </w:pPr>
            <w:r w:rsidRPr="00F5183B">
              <w:rPr>
                <w:rStyle w:val="label"/>
                <w:rFonts w:ascii="Arial" w:hAnsi="Arial" w:cs="Arial"/>
                <w:sz w:val="16"/>
                <w:szCs w:val="16"/>
              </w:rPr>
              <w:t xml:space="preserve">Lung function </w:t>
            </w:r>
            <w:r w:rsidRPr="00F5183B">
              <w:rPr>
                <w:rStyle w:val="short-name"/>
                <w:rFonts w:ascii="Arial" w:hAnsi="Arial" w:cs="Arial"/>
                <w:sz w:val="16"/>
                <w:szCs w:val="16"/>
              </w:rPr>
              <w:t>(PEF)</w:t>
            </w:r>
            <w:r w:rsidRPr="00F5183B">
              <w:rPr>
                <w:rFonts w:ascii="Arial" w:hAnsi="Arial" w:cs="Arial"/>
                <w:sz w:val="16"/>
                <w:szCs w:val="16"/>
              </w:rPr>
              <w:br/>
            </w:r>
            <w:r w:rsidRPr="00F5183B">
              <w:rPr>
                <w:rStyle w:val="label"/>
                <w:rFonts w:ascii="Arial" w:hAnsi="Arial" w:cs="Arial"/>
                <w:sz w:val="16"/>
                <w:szCs w:val="16"/>
              </w:rPr>
              <w:t xml:space="preserve">assessed with </w:t>
            </w:r>
            <w:r>
              <w:rPr>
                <w:rStyle w:val="label"/>
                <w:rFonts w:ascii="Arial" w:hAnsi="Arial" w:cs="Arial"/>
                <w:sz w:val="16"/>
                <w:szCs w:val="16"/>
              </w:rPr>
              <w:t>m</w:t>
            </w:r>
            <w:r w:rsidRPr="00F5183B">
              <w:rPr>
                <w:rStyle w:val="label"/>
                <w:rFonts w:ascii="Arial" w:hAnsi="Arial" w:cs="Arial"/>
                <w:sz w:val="16"/>
                <w:szCs w:val="16"/>
              </w:rPr>
              <w:t>orning PEF</w:t>
            </w:r>
            <w:r>
              <w:rPr>
                <w:rStyle w:val="label"/>
                <w:rFonts w:ascii="Arial" w:hAnsi="Arial" w:cs="Arial"/>
                <w:sz w:val="16"/>
                <w:szCs w:val="16"/>
              </w:rPr>
              <w:t xml:space="preserve"> rate change</w:t>
            </w:r>
            <w:r w:rsidRPr="00F5183B">
              <w:rPr>
                <w:rStyle w:val="label"/>
                <w:rFonts w:ascii="Arial" w:hAnsi="Arial" w:cs="Arial"/>
                <w:sz w:val="16"/>
                <w:szCs w:val="16"/>
              </w:rPr>
              <w:t xml:space="preserve"> (L/m)</w:t>
            </w:r>
            <w:r>
              <w:rPr>
                <w:rStyle w:val="label"/>
                <w:rFonts w:ascii="Arial" w:hAnsi="Arial" w:cs="Arial"/>
                <w:sz w:val="16"/>
                <w:szCs w:val="16"/>
              </w:rPr>
              <w:t xml:space="preserve"> versus baseline</w:t>
            </w:r>
            <w:r w:rsidRPr="00F5183B">
              <w:rPr>
                <w:rFonts w:ascii="Arial" w:hAnsi="Arial" w:cs="Arial"/>
                <w:sz w:val="16"/>
                <w:szCs w:val="16"/>
              </w:rPr>
              <w:br/>
            </w:r>
          </w:p>
        </w:tc>
        <w:tc>
          <w:tcPr>
            <w:tcW w:w="945" w:type="pct"/>
            <w:tcBorders>
              <w:top w:val="single" w:sz="6" w:space="0" w:color="000000"/>
              <w:left w:val="nil"/>
              <w:bottom w:val="single" w:sz="6" w:space="0" w:color="000000"/>
              <w:right w:val="nil"/>
            </w:tcBorders>
            <w:vAlign w:val="center"/>
            <w:hideMark/>
          </w:tcPr>
          <w:p w14:paraId="5BD44B5C" w14:textId="77777777" w:rsidR="00D3318E" w:rsidRPr="00D9339F" w:rsidRDefault="00D3318E" w:rsidP="00E350F6">
            <w:pPr>
              <w:rPr>
                <w:rFonts w:ascii="Arial" w:hAnsi="Arial" w:cs="Arial"/>
                <w:sz w:val="16"/>
                <w:szCs w:val="16"/>
                <w:vertAlign w:val="superscript"/>
              </w:rPr>
            </w:pPr>
            <w:r w:rsidRPr="00F5183B">
              <w:rPr>
                <w:rFonts w:ascii="Arial" w:hAnsi="Arial" w:cs="Arial"/>
                <w:sz w:val="16"/>
                <w:szCs w:val="16"/>
              </w:rPr>
              <w:t>1735</w:t>
            </w:r>
            <w:r w:rsidRPr="00F5183B">
              <w:rPr>
                <w:rFonts w:ascii="Arial" w:hAnsi="Arial" w:cs="Arial"/>
                <w:sz w:val="16"/>
                <w:szCs w:val="16"/>
              </w:rPr>
              <w:br/>
              <w:t xml:space="preserve">(7 RCTs) </w:t>
            </w:r>
            <w:r w:rsidRPr="00D9339F">
              <w:rPr>
                <w:vertAlign w:val="superscript"/>
              </w:rPr>
              <w:t>59, 48, 52,60, 41,58,49</w:t>
            </w:r>
          </w:p>
          <w:p w14:paraId="7A5BF092" w14:textId="77777777" w:rsidR="00D3318E" w:rsidRPr="00F5183B" w:rsidRDefault="00D3318E" w:rsidP="00E350F6">
            <w:pPr>
              <w:rPr>
                <w:rFonts w:ascii="Arial" w:hAnsi="Arial" w:cs="Arial"/>
                <w:b/>
                <w:bCs/>
                <w:i/>
                <w:iCs/>
                <w:color w:val="404040" w:themeColor="text1" w:themeTint="BF"/>
                <w:sz w:val="16"/>
                <w:szCs w:val="16"/>
              </w:rPr>
            </w:pPr>
            <w:r w:rsidRPr="00F5183B">
              <w:rPr>
                <w:rStyle w:val="label"/>
                <w:rFonts w:ascii="Arial" w:hAnsi="Arial" w:cs="Arial"/>
                <w:sz w:val="16"/>
                <w:szCs w:val="16"/>
              </w:rPr>
              <w:t>12 weeks to 36 weeks</w:t>
            </w:r>
            <w:r w:rsidRPr="00F5183B">
              <w:rPr>
                <w:rFonts w:ascii="Arial" w:hAnsi="Arial" w:cs="Arial"/>
                <w:sz w:val="16"/>
                <w:szCs w:val="16"/>
              </w:rPr>
              <w:t xml:space="preserve"> </w:t>
            </w:r>
            <w:r w:rsidRPr="00F5183B">
              <w:rPr>
                <w:rFonts w:ascii="Arial" w:hAnsi="Arial" w:cs="Arial"/>
                <w:sz w:val="16"/>
                <w:szCs w:val="16"/>
                <w:vertAlign w:val="superscript"/>
              </w:rPr>
              <w:t>t</w:t>
            </w:r>
          </w:p>
        </w:tc>
        <w:tc>
          <w:tcPr>
            <w:tcW w:w="673" w:type="pct"/>
            <w:tcBorders>
              <w:top w:val="single" w:sz="6" w:space="0" w:color="000000"/>
              <w:left w:val="nil"/>
              <w:bottom w:val="single" w:sz="6" w:space="0" w:color="000000"/>
              <w:right w:val="nil"/>
            </w:tcBorders>
            <w:vAlign w:val="center"/>
            <w:hideMark/>
          </w:tcPr>
          <w:p w14:paraId="3428FD50" w14:textId="77777777" w:rsidR="00D3318E" w:rsidRPr="00440864" w:rsidRDefault="00D3318E" w:rsidP="00E350F6">
            <w:pPr>
              <w:rPr>
                <w:rFonts w:ascii="Arial" w:hAnsi="Arial" w:cs="Arial"/>
                <w:b/>
                <w:bCs/>
                <w:i/>
                <w:iCs/>
                <w:color w:val="404040" w:themeColor="text1" w:themeTint="BF"/>
                <w:sz w:val="16"/>
                <w:szCs w:val="16"/>
                <w:lang w:val="es-ES"/>
              </w:rPr>
            </w:pPr>
            <w:r w:rsidRPr="00F5183B">
              <w:rPr>
                <w:rStyle w:val="quality-sign"/>
                <w:rFonts w:ascii="Cambria Math" w:hAnsi="Cambria Math" w:cs="Cambria Math"/>
                <w:sz w:val="16"/>
                <w:szCs w:val="16"/>
              </w:rPr>
              <w:t>⨁⨁⨁</w:t>
            </w:r>
            <w:r w:rsidRPr="00440864">
              <w:rPr>
                <w:rStyle w:val="quality-sign"/>
                <w:rFonts w:ascii="Segoe UI Symbol" w:eastAsia="MS Gothic" w:hAnsi="Segoe UI Symbol" w:cs="Segoe UI Symbol"/>
                <w:sz w:val="16"/>
                <w:szCs w:val="16"/>
                <w:lang w:val="es-ES"/>
              </w:rPr>
              <w:t>◯</w:t>
            </w:r>
            <w:r w:rsidRPr="00440864">
              <w:rPr>
                <w:rFonts w:ascii="Arial" w:hAnsi="Arial" w:cs="Arial"/>
                <w:sz w:val="16"/>
                <w:szCs w:val="16"/>
                <w:lang w:val="es-ES"/>
              </w:rPr>
              <w:br/>
            </w:r>
            <w:r w:rsidRPr="00440864">
              <w:rPr>
                <w:rStyle w:val="quality-text"/>
                <w:rFonts w:ascii="Arial" w:hAnsi="Arial" w:cs="Arial"/>
                <w:sz w:val="16"/>
                <w:szCs w:val="16"/>
                <w:lang w:val="es-ES"/>
              </w:rPr>
              <w:t>MODERATE</w:t>
            </w:r>
            <w:r w:rsidRPr="00440864">
              <w:rPr>
                <w:rFonts w:ascii="Arial" w:hAnsi="Arial" w:cs="Arial"/>
                <w:sz w:val="16"/>
                <w:szCs w:val="16"/>
                <w:lang w:val="es-ES"/>
              </w:rPr>
              <w:t xml:space="preserve"> </w:t>
            </w:r>
            <w:r w:rsidRPr="00440864">
              <w:rPr>
                <w:rFonts w:ascii="Arial" w:hAnsi="Arial" w:cs="Arial"/>
                <w:sz w:val="16"/>
                <w:szCs w:val="16"/>
                <w:vertAlign w:val="superscript"/>
                <w:lang w:val="es-ES"/>
              </w:rPr>
              <w:t>21</w:t>
            </w:r>
            <w:r w:rsidRPr="00440864">
              <w:rPr>
                <w:rStyle w:val="comma"/>
                <w:rFonts w:ascii="Arial" w:hAnsi="Arial" w:cs="Arial"/>
                <w:sz w:val="16"/>
                <w:szCs w:val="16"/>
                <w:vertAlign w:val="superscript"/>
                <w:lang w:val="es-ES"/>
              </w:rPr>
              <w:t>,</w:t>
            </w:r>
            <w:r w:rsidRPr="00440864">
              <w:rPr>
                <w:rFonts w:ascii="Arial" w:hAnsi="Arial" w:cs="Arial"/>
                <w:sz w:val="16"/>
                <w:szCs w:val="16"/>
                <w:vertAlign w:val="superscript"/>
                <w:lang w:val="es-ES"/>
              </w:rPr>
              <w:t>22</w:t>
            </w:r>
            <w:r w:rsidRPr="00440864">
              <w:rPr>
                <w:rStyle w:val="comma"/>
                <w:rFonts w:ascii="Arial" w:hAnsi="Arial" w:cs="Arial"/>
                <w:sz w:val="16"/>
                <w:szCs w:val="16"/>
                <w:vertAlign w:val="superscript"/>
                <w:lang w:val="es-ES"/>
              </w:rPr>
              <w:t>,</w:t>
            </w:r>
            <w:proofErr w:type="gramStart"/>
            <w:r w:rsidRPr="00440864">
              <w:rPr>
                <w:rFonts w:ascii="Arial" w:hAnsi="Arial" w:cs="Arial"/>
                <w:sz w:val="16"/>
                <w:szCs w:val="16"/>
                <w:vertAlign w:val="superscript"/>
                <w:lang w:val="es-ES"/>
              </w:rPr>
              <w:t>23</w:t>
            </w:r>
            <w:r w:rsidRPr="00440864">
              <w:rPr>
                <w:rStyle w:val="comma"/>
                <w:rFonts w:ascii="Arial" w:hAnsi="Arial" w:cs="Arial"/>
                <w:sz w:val="16"/>
                <w:szCs w:val="16"/>
                <w:vertAlign w:val="superscript"/>
                <w:lang w:val="es-ES"/>
              </w:rPr>
              <w:t>,</w:t>
            </w:r>
            <w:r w:rsidRPr="00440864">
              <w:rPr>
                <w:rFonts w:ascii="Arial" w:hAnsi="Arial" w:cs="Arial"/>
                <w:sz w:val="16"/>
                <w:szCs w:val="16"/>
                <w:vertAlign w:val="superscript"/>
                <w:lang w:val="es-ES"/>
              </w:rPr>
              <w:t>b</w:t>
            </w:r>
            <w:proofErr w:type="gramEnd"/>
            <w:r w:rsidRPr="00440864">
              <w:rPr>
                <w:rStyle w:val="comma"/>
                <w:rFonts w:ascii="Arial" w:hAnsi="Arial" w:cs="Arial"/>
                <w:sz w:val="16"/>
                <w:szCs w:val="16"/>
                <w:vertAlign w:val="superscript"/>
                <w:lang w:val="es-ES"/>
              </w:rPr>
              <w:t>,</w:t>
            </w:r>
            <w:r w:rsidRPr="00440864">
              <w:rPr>
                <w:rFonts w:ascii="Arial" w:hAnsi="Arial" w:cs="Arial"/>
                <w:sz w:val="16"/>
                <w:szCs w:val="16"/>
                <w:vertAlign w:val="superscript"/>
                <w:lang w:val="es-ES"/>
              </w:rPr>
              <w:t>p</w:t>
            </w:r>
            <w:r w:rsidRPr="00440864">
              <w:rPr>
                <w:rStyle w:val="comma"/>
                <w:rFonts w:ascii="Arial" w:hAnsi="Arial" w:cs="Arial"/>
                <w:sz w:val="16"/>
                <w:szCs w:val="16"/>
                <w:vertAlign w:val="superscript"/>
                <w:lang w:val="es-ES"/>
              </w:rPr>
              <w:t>,</w:t>
            </w:r>
            <w:r w:rsidRPr="00440864">
              <w:rPr>
                <w:rFonts w:ascii="Arial" w:hAnsi="Arial" w:cs="Arial"/>
                <w:sz w:val="16"/>
                <w:szCs w:val="16"/>
                <w:vertAlign w:val="superscript"/>
                <w:lang w:val="es-ES"/>
              </w:rPr>
              <w:t>r</w:t>
            </w:r>
            <w:r w:rsidRPr="00440864">
              <w:rPr>
                <w:rStyle w:val="comma"/>
                <w:rFonts w:ascii="Arial" w:hAnsi="Arial" w:cs="Arial"/>
                <w:sz w:val="16"/>
                <w:szCs w:val="16"/>
                <w:vertAlign w:val="superscript"/>
                <w:lang w:val="es-ES"/>
              </w:rPr>
              <w:t>,</w:t>
            </w:r>
            <w:r w:rsidRPr="00440864">
              <w:rPr>
                <w:rFonts w:ascii="Arial" w:hAnsi="Arial" w:cs="Arial"/>
                <w:sz w:val="16"/>
                <w:szCs w:val="16"/>
                <w:vertAlign w:val="superscript"/>
                <w:lang w:val="es-ES"/>
              </w:rPr>
              <w:t>u</w:t>
            </w:r>
          </w:p>
        </w:tc>
        <w:tc>
          <w:tcPr>
            <w:tcW w:w="561" w:type="pct"/>
            <w:tcBorders>
              <w:top w:val="single" w:sz="6" w:space="0" w:color="000000"/>
              <w:left w:val="nil"/>
              <w:bottom w:val="single" w:sz="6" w:space="0" w:color="000000"/>
              <w:right w:val="nil"/>
            </w:tcBorders>
            <w:vAlign w:val="center"/>
            <w:hideMark/>
          </w:tcPr>
          <w:p w14:paraId="238AABAC" w14:textId="77777777" w:rsidR="00D3318E" w:rsidRPr="00F5183B" w:rsidRDefault="00D3318E" w:rsidP="00E350F6">
            <w:pPr>
              <w:rPr>
                <w:rFonts w:ascii="Arial" w:hAnsi="Arial" w:cs="Arial"/>
                <w:b/>
                <w:bCs/>
                <w:i/>
                <w:iCs/>
                <w:color w:val="404040" w:themeColor="text1" w:themeTint="BF"/>
                <w:sz w:val="16"/>
                <w:szCs w:val="16"/>
              </w:rPr>
            </w:pPr>
            <w:r w:rsidRPr="00F5183B">
              <w:rPr>
                <w:rStyle w:val="cell"/>
                <w:rFonts w:ascii="Arial" w:hAnsi="Arial" w:cs="Arial"/>
                <w:sz w:val="16"/>
                <w:szCs w:val="16"/>
              </w:rPr>
              <w:t>-</w:t>
            </w:r>
            <w:r w:rsidRPr="00F5183B">
              <w:rPr>
                <w:rFonts w:ascii="Arial" w:hAnsi="Arial" w:cs="Arial"/>
                <w:sz w:val="16"/>
                <w:szCs w:val="16"/>
              </w:rPr>
              <w:t xml:space="preserve"> </w:t>
            </w:r>
          </w:p>
        </w:tc>
        <w:tc>
          <w:tcPr>
            <w:tcW w:w="655" w:type="pct"/>
            <w:tcBorders>
              <w:top w:val="single" w:sz="6" w:space="0" w:color="000000"/>
              <w:left w:val="nil"/>
              <w:bottom w:val="single" w:sz="6" w:space="0" w:color="000000"/>
              <w:right w:val="nil"/>
            </w:tcBorders>
            <w:shd w:val="clear" w:color="auto" w:fill="EDEDED"/>
            <w:vAlign w:val="center"/>
            <w:hideMark/>
          </w:tcPr>
          <w:p w14:paraId="19E8B583" w14:textId="77777777" w:rsidR="00D3318E" w:rsidRPr="00F5183B" w:rsidRDefault="00D3318E" w:rsidP="00E350F6">
            <w:pPr>
              <w:rPr>
                <w:rFonts w:ascii="Arial" w:hAnsi="Arial" w:cs="Arial"/>
                <w:b/>
                <w:bCs/>
                <w:i/>
                <w:iCs/>
                <w:color w:val="404040" w:themeColor="text1" w:themeTint="BF"/>
                <w:sz w:val="16"/>
                <w:szCs w:val="16"/>
              </w:rPr>
            </w:pPr>
            <w:r w:rsidRPr="00F5183B">
              <w:rPr>
                <w:rStyle w:val="cell-value"/>
                <w:rFonts w:ascii="Arial" w:hAnsi="Arial" w:cs="Arial"/>
                <w:sz w:val="16"/>
                <w:szCs w:val="16"/>
              </w:rPr>
              <w:t xml:space="preserve">The mean lung function was </w:t>
            </w:r>
            <w:r w:rsidRPr="00F5183B">
              <w:rPr>
                <w:rStyle w:val="cell-value"/>
                <w:rFonts w:ascii="Arial" w:hAnsi="Arial" w:cs="Arial"/>
                <w:b/>
                <w:bCs/>
                <w:sz w:val="16"/>
                <w:szCs w:val="16"/>
              </w:rPr>
              <w:t>0</w:t>
            </w:r>
            <w:r w:rsidRPr="00F5183B">
              <w:rPr>
                <w:rFonts w:ascii="Arial" w:hAnsi="Arial" w:cs="Arial"/>
                <w:sz w:val="16"/>
                <w:szCs w:val="16"/>
              </w:rPr>
              <w:t xml:space="preserve"> </w:t>
            </w:r>
          </w:p>
        </w:tc>
        <w:tc>
          <w:tcPr>
            <w:tcW w:w="839" w:type="pct"/>
            <w:tcBorders>
              <w:top w:val="single" w:sz="6" w:space="0" w:color="000000"/>
              <w:left w:val="nil"/>
              <w:bottom w:val="single" w:sz="6" w:space="0" w:color="000000"/>
              <w:right w:val="nil"/>
            </w:tcBorders>
            <w:shd w:val="clear" w:color="auto" w:fill="EDEDED"/>
            <w:vAlign w:val="center"/>
            <w:hideMark/>
          </w:tcPr>
          <w:p w14:paraId="0F8815C5" w14:textId="720CC9CB" w:rsidR="00D3318E" w:rsidRPr="00F5183B" w:rsidRDefault="00D3318E" w:rsidP="00E350F6">
            <w:pPr>
              <w:rPr>
                <w:rFonts w:ascii="Arial" w:hAnsi="Arial" w:cs="Arial"/>
                <w:b/>
                <w:bCs/>
                <w:i/>
                <w:iCs/>
                <w:color w:val="404040" w:themeColor="text1" w:themeTint="BF"/>
                <w:sz w:val="16"/>
                <w:szCs w:val="16"/>
              </w:rPr>
            </w:pPr>
            <w:r w:rsidRPr="00F5183B">
              <w:rPr>
                <w:rStyle w:val="cell-value"/>
                <w:rFonts w:ascii="Arial" w:hAnsi="Arial" w:cs="Arial"/>
                <w:sz w:val="16"/>
                <w:szCs w:val="16"/>
              </w:rPr>
              <w:t xml:space="preserve">MD </w:t>
            </w:r>
            <w:r w:rsidR="00D64229">
              <w:rPr>
                <w:rStyle w:val="cell-value"/>
                <w:rFonts w:ascii="Arial" w:hAnsi="Arial" w:cs="Arial"/>
                <w:sz w:val="16"/>
                <w:szCs w:val="16"/>
              </w:rPr>
              <w:t>+</w:t>
            </w:r>
            <w:r w:rsidRPr="00F5183B">
              <w:rPr>
                <w:rStyle w:val="cell-value"/>
                <w:rFonts w:ascii="Arial" w:hAnsi="Arial" w:cs="Arial"/>
                <w:b/>
                <w:bCs/>
                <w:sz w:val="16"/>
                <w:szCs w:val="16"/>
              </w:rPr>
              <w:t>10.04 higher</w:t>
            </w:r>
            <w:r w:rsidRPr="00F5183B">
              <w:rPr>
                <w:rFonts w:ascii="Arial" w:hAnsi="Arial" w:cs="Arial"/>
                <w:sz w:val="16"/>
                <w:szCs w:val="16"/>
              </w:rPr>
              <w:br/>
            </w:r>
            <w:r w:rsidRPr="00F5183B">
              <w:rPr>
                <w:rStyle w:val="cell-value"/>
                <w:rFonts w:ascii="Arial" w:hAnsi="Arial" w:cs="Arial"/>
                <w:sz w:val="16"/>
                <w:szCs w:val="16"/>
              </w:rPr>
              <w:t>(</w:t>
            </w:r>
            <w:r w:rsidR="00D64229">
              <w:rPr>
                <w:rStyle w:val="cell-value"/>
                <w:rFonts w:ascii="Arial" w:hAnsi="Arial" w:cs="Arial"/>
                <w:sz w:val="16"/>
                <w:szCs w:val="16"/>
              </w:rPr>
              <w:t>+</w:t>
            </w:r>
            <w:r w:rsidRPr="00F5183B">
              <w:rPr>
                <w:rStyle w:val="cell-value"/>
                <w:rFonts w:ascii="Arial" w:hAnsi="Arial" w:cs="Arial"/>
                <w:sz w:val="16"/>
                <w:szCs w:val="16"/>
              </w:rPr>
              <w:t xml:space="preserve">7.49 to </w:t>
            </w:r>
            <w:r w:rsidR="00D64229">
              <w:rPr>
                <w:rStyle w:val="cell-value"/>
                <w:rFonts w:ascii="Arial" w:hAnsi="Arial" w:cs="Arial"/>
                <w:sz w:val="16"/>
                <w:szCs w:val="16"/>
              </w:rPr>
              <w:t>+</w:t>
            </w:r>
            <w:r w:rsidRPr="00F5183B">
              <w:rPr>
                <w:rStyle w:val="cell-value"/>
                <w:rFonts w:ascii="Arial" w:hAnsi="Arial" w:cs="Arial"/>
                <w:sz w:val="16"/>
                <w:szCs w:val="16"/>
              </w:rPr>
              <w:t>12.6)</w:t>
            </w:r>
            <w:r w:rsidRPr="00F5183B">
              <w:rPr>
                <w:rFonts w:ascii="Arial" w:hAnsi="Arial" w:cs="Arial"/>
                <w:sz w:val="16"/>
                <w:szCs w:val="16"/>
              </w:rPr>
              <w:t xml:space="preserve"> </w:t>
            </w:r>
          </w:p>
        </w:tc>
      </w:tr>
      <w:tr w:rsidR="00D3318E" w:rsidRPr="00F87E48" w14:paraId="57C0C3B5" w14:textId="77777777" w:rsidTr="00E350F6">
        <w:trPr>
          <w:cantSplit/>
        </w:trPr>
        <w:tc>
          <w:tcPr>
            <w:tcW w:w="0" w:type="auto"/>
            <w:tcBorders>
              <w:top w:val="single" w:sz="6" w:space="0" w:color="000000"/>
              <w:left w:val="nil"/>
              <w:bottom w:val="single" w:sz="6" w:space="0" w:color="000000"/>
              <w:right w:val="nil"/>
            </w:tcBorders>
            <w:vAlign w:val="center"/>
            <w:hideMark/>
          </w:tcPr>
          <w:p w14:paraId="128DC5A9" w14:textId="77777777" w:rsidR="00D3318E" w:rsidRPr="00F5183B" w:rsidRDefault="00D3318E" w:rsidP="00E350F6">
            <w:pPr>
              <w:rPr>
                <w:rFonts w:ascii="Arial" w:hAnsi="Arial" w:cs="Arial"/>
                <w:b/>
                <w:bCs/>
                <w:i/>
                <w:iCs/>
                <w:color w:val="404040" w:themeColor="text1" w:themeTint="BF"/>
                <w:sz w:val="16"/>
                <w:szCs w:val="16"/>
              </w:rPr>
            </w:pPr>
            <w:r>
              <w:rPr>
                <w:rStyle w:val="label"/>
                <w:rFonts w:ascii="Arial" w:hAnsi="Arial" w:cs="Arial"/>
                <w:sz w:val="16"/>
                <w:szCs w:val="16"/>
              </w:rPr>
              <w:t>Decrease in</w:t>
            </w:r>
            <w:r w:rsidRPr="00F5183B">
              <w:rPr>
                <w:rStyle w:val="label"/>
                <w:rFonts w:ascii="Arial" w:hAnsi="Arial" w:cs="Arial"/>
                <w:sz w:val="16"/>
                <w:szCs w:val="16"/>
              </w:rPr>
              <w:t xml:space="preserve"> inhaled corticosteroid </w:t>
            </w:r>
            <w:r w:rsidRPr="00F5183B">
              <w:rPr>
                <w:rFonts w:ascii="Arial" w:hAnsi="Arial" w:cs="Arial"/>
                <w:sz w:val="16"/>
                <w:szCs w:val="16"/>
              </w:rPr>
              <w:br/>
            </w:r>
            <w:r w:rsidRPr="00F5183B">
              <w:rPr>
                <w:rStyle w:val="label"/>
                <w:rFonts w:ascii="Arial" w:hAnsi="Arial" w:cs="Arial"/>
                <w:sz w:val="16"/>
                <w:szCs w:val="16"/>
              </w:rPr>
              <w:t xml:space="preserve">assessed </w:t>
            </w:r>
            <w:r>
              <w:rPr>
                <w:rStyle w:val="label"/>
                <w:rFonts w:ascii="Arial" w:hAnsi="Arial" w:cs="Arial"/>
                <w:sz w:val="16"/>
                <w:szCs w:val="16"/>
              </w:rPr>
              <w:t xml:space="preserve">as </w:t>
            </w:r>
            <w:r w:rsidRPr="00F5183B">
              <w:rPr>
                <w:rStyle w:val="label"/>
                <w:rFonts w:ascii="Arial" w:hAnsi="Arial" w:cs="Arial"/>
                <w:sz w:val="16"/>
                <w:szCs w:val="16"/>
              </w:rPr>
              <w:t>µg/day</w:t>
            </w:r>
            <w:r>
              <w:rPr>
                <w:rStyle w:val="label"/>
                <w:rFonts w:ascii="Arial" w:hAnsi="Arial" w:cs="Arial"/>
                <w:sz w:val="16"/>
                <w:szCs w:val="16"/>
              </w:rPr>
              <w:t xml:space="preserve"> variation versus baseline</w:t>
            </w:r>
            <w:r w:rsidRPr="00F5183B">
              <w:rPr>
                <w:rFonts w:ascii="Arial" w:hAnsi="Arial" w:cs="Arial"/>
                <w:sz w:val="16"/>
                <w:szCs w:val="16"/>
              </w:rPr>
              <w:br/>
            </w:r>
          </w:p>
        </w:tc>
        <w:tc>
          <w:tcPr>
            <w:tcW w:w="945" w:type="pct"/>
            <w:tcBorders>
              <w:top w:val="single" w:sz="6" w:space="0" w:color="000000"/>
              <w:left w:val="nil"/>
              <w:bottom w:val="single" w:sz="6" w:space="0" w:color="000000"/>
              <w:right w:val="nil"/>
            </w:tcBorders>
            <w:vAlign w:val="center"/>
            <w:hideMark/>
          </w:tcPr>
          <w:p w14:paraId="63E4B132" w14:textId="77777777" w:rsidR="00D3318E" w:rsidRDefault="00D3318E" w:rsidP="00E350F6">
            <w:pPr>
              <w:rPr>
                <w:rFonts w:ascii="Arial" w:hAnsi="Arial" w:cs="Arial"/>
                <w:sz w:val="16"/>
                <w:szCs w:val="16"/>
                <w:vertAlign w:val="superscript"/>
              </w:rPr>
            </w:pPr>
            <w:r w:rsidRPr="00F5183B">
              <w:rPr>
                <w:rFonts w:ascii="Arial" w:hAnsi="Arial" w:cs="Arial"/>
                <w:sz w:val="16"/>
                <w:szCs w:val="16"/>
              </w:rPr>
              <w:t>1861</w:t>
            </w:r>
            <w:r w:rsidRPr="00F5183B">
              <w:rPr>
                <w:rFonts w:ascii="Arial" w:hAnsi="Arial" w:cs="Arial"/>
                <w:sz w:val="16"/>
                <w:szCs w:val="16"/>
              </w:rPr>
              <w:br/>
              <w:t xml:space="preserve">(5 RCTs) </w:t>
            </w:r>
            <w:r w:rsidRPr="00345AEB">
              <w:rPr>
                <w:rFonts w:ascii="Arial" w:hAnsi="Arial" w:cs="Arial"/>
                <w:bCs/>
                <w:iCs/>
                <w:color w:val="404040" w:themeColor="text1" w:themeTint="BF"/>
                <w:sz w:val="16"/>
                <w:szCs w:val="16"/>
                <w:vertAlign w:val="superscript"/>
              </w:rPr>
              <w:t>41, 42, 46, 52, 65</w:t>
            </w:r>
          </w:p>
          <w:p w14:paraId="576EABF8" w14:textId="77777777" w:rsidR="00D3318E" w:rsidRDefault="00D3318E" w:rsidP="00E350F6">
            <w:pPr>
              <w:rPr>
                <w:rStyle w:val="label"/>
                <w:rFonts w:ascii="Arial" w:hAnsi="Arial" w:cs="Arial"/>
                <w:sz w:val="16"/>
                <w:szCs w:val="16"/>
              </w:rPr>
            </w:pPr>
            <w:r w:rsidRPr="00F5183B">
              <w:rPr>
                <w:rStyle w:val="label"/>
                <w:rFonts w:ascii="Arial" w:hAnsi="Arial" w:cs="Arial"/>
                <w:sz w:val="16"/>
                <w:szCs w:val="16"/>
              </w:rPr>
              <w:t>24 weeks to 52 weeks</w:t>
            </w:r>
          </w:p>
          <w:p w14:paraId="4BC83D02" w14:textId="77777777" w:rsidR="00D3318E" w:rsidRPr="00345AEB" w:rsidRDefault="00D3318E" w:rsidP="00E350F6">
            <w:pPr>
              <w:rPr>
                <w:rFonts w:ascii="Arial" w:hAnsi="Arial" w:cs="Arial"/>
                <w:bCs/>
                <w:iCs/>
                <w:color w:val="404040" w:themeColor="text1" w:themeTint="BF"/>
                <w:sz w:val="16"/>
                <w:szCs w:val="16"/>
                <w:vertAlign w:val="superscript"/>
              </w:rPr>
            </w:pPr>
          </w:p>
        </w:tc>
        <w:tc>
          <w:tcPr>
            <w:tcW w:w="673" w:type="pct"/>
            <w:tcBorders>
              <w:top w:val="single" w:sz="6" w:space="0" w:color="000000"/>
              <w:left w:val="nil"/>
              <w:bottom w:val="single" w:sz="6" w:space="0" w:color="000000"/>
              <w:right w:val="nil"/>
            </w:tcBorders>
            <w:vAlign w:val="center"/>
            <w:hideMark/>
          </w:tcPr>
          <w:p w14:paraId="5BD94F7D" w14:textId="77777777" w:rsidR="00D3318E" w:rsidRPr="00F5183B" w:rsidRDefault="00D3318E" w:rsidP="00E350F6">
            <w:pPr>
              <w:rPr>
                <w:rFonts w:ascii="Arial" w:hAnsi="Arial" w:cs="Arial"/>
                <w:b/>
                <w:bCs/>
                <w:i/>
                <w:iCs/>
                <w:color w:val="404040" w:themeColor="text1" w:themeTint="BF"/>
                <w:sz w:val="16"/>
                <w:szCs w:val="16"/>
              </w:rPr>
            </w:pPr>
            <w:r w:rsidRPr="00F5183B">
              <w:rPr>
                <w:rStyle w:val="quality-sign"/>
                <w:rFonts w:ascii="Cambria Math" w:hAnsi="Cambria Math" w:cs="Cambria Math"/>
                <w:sz w:val="16"/>
                <w:szCs w:val="16"/>
              </w:rPr>
              <w:t>⨁⨁⨁⨁</w:t>
            </w:r>
            <w:r w:rsidRPr="00F5183B">
              <w:rPr>
                <w:rFonts w:ascii="Arial" w:hAnsi="Arial" w:cs="Arial"/>
                <w:sz w:val="16"/>
                <w:szCs w:val="16"/>
              </w:rPr>
              <w:br/>
            </w:r>
            <w:r w:rsidRPr="00F5183B">
              <w:rPr>
                <w:rStyle w:val="quality-text"/>
                <w:rFonts w:ascii="Arial" w:hAnsi="Arial" w:cs="Arial"/>
                <w:sz w:val="16"/>
                <w:szCs w:val="16"/>
              </w:rPr>
              <w:t>HIGH</w:t>
            </w:r>
            <w:r w:rsidRPr="00F5183B">
              <w:rPr>
                <w:rFonts w:ascii="Arial" w:hAnsi="Arial" w:cs="Arial"/>
                <w:sz w:val="16"/>
                <w:szCs w:val="16"/>
              </w:rPr>
              <w:t xml:space="preserve"> </w:t>
            </w:r>
            <w:proofErr w:type="gramStart"/>
            <w:r w:rsidRPr="00F5183B">
              <w:rPr>
                <w:rFonts w:ascii="Arial" w:hAnsi="Arial" w:cs="Arial"/>
                <w:sz w:val="16"/>
                <w:szCs w:val="16"/>
                <w:vertAlign w:val="superscript"/>
              </w:rPr>
              <w:t>23</w:t>
            </w:r>
            <w:r w:rsidRPr="00F5183B">
              <w:rPr>
                <w:rStyle w:val="comma"/>
                <w:rFonts w:ascii="Arial" w:hAnsi="Arial" w:cs="Arial"/>
                <w:sz w:val="16"/>
                <w:szCs w:val="16"/>
                <w:vertAlign w:val="superscript"/>
              </w:rPr>
              <w:t>,</w:t>
            </w:r>
            <w:r w:rsidRPr="00F5183B">
              <w:rPr>
                <w:rFonts w:ascii="Arial" w:hAnsi="Arial" w:cs="Arial"/>
                <w:sz w:val="16"/>
                <w:szCs w:val="16"/>
                <w:vertAlign w:val="superscript"/>
              </w:rPr>
              <w:t>b</w:t>
            </w:r>
            <w:proofErr w:type="gramEnd"/>
            <w:r w:rsidRPr="00F5183B">
              <w:rPr>
                <w:rStyle w:val="comma"/>
                <w:rFonts w:ascii="Arial" w:hAnsi="Arial" w:cs="Arial"/>
                <w:sz w:val="16"/>
                <w:szCs w:val="16"/>
                <w:vertAlign w:val="superscript"/>
              </w:rPr>
              <w:t>,</w:t>
            </w:r>
            <w:r w:rsidRPr="00F5183B">
              <w:rPr>
                <w:rFonts w:ascii="Arial" w:hAnsi="Arial" w:cs="Arial"/>
                <w:sz w:val="16"/>
                <w:szCs w:val="16"/>
                <w:vertAlign w:val="superscript"/>
              </w:rPr>
              <w:t>r</w:t>
            </w:r>
            <w:r w:rsidRPr="00F5183B">
              <w:rPr>
                <w:rStyle w:val="comma"/>
                <w:rFonts w:ascii="Arial" w:hAnsi="Arial" w:cs="Arial"/>
                <w:sz w:val="16"/>
                <w:szCs w:val="16"/>
                <w:vertAlign w:val="superscript"/>
              </w:rPr>
              <w:t>,</w:t>
            </w:r>
            <w:r w:rsidRPr="00F5183B">
              <w:rPr>
                <w:rFonts w:ascii="Arial" w:hAnsi="Arial" w:cs="Arial"/>
                <w:sz w:val="16"/>
                <w:szCs w:val="16"/>
                <w:vertAlign w:val="superscript"/>
              </w:rPr>
              <w:t>v</w:t>
            </w:r>
          </w:p>
        </w:tc>
        <w:tc>
          <w:tcPr>
            <w:tcW w:w="561" w:type="pct"/>
            <w:tcBorders>
              <w:top w:val="single" w:sz="6" w:space="0" w:color="000000"/>
              <w:left w:val="nil"/>
              <w:bottom w:val="single" w:sz="6" w:space="0" w:color="000000"/>
              <w:right w:val="nil"/>
            </w:tcBorders>
            <w:vAlign w:val="center"/>
            <w:hideMark/>
          </w:tcPr>
          <w:p w14:paraId="3ACB5F7A" w14:textId="77777777" w:rsidR="00D3318E" w:rsidRPr="00F5183B" w:rsidRDefault="00D3318E" w:rsidP="00E350F6">
            <w:pPr>
              <w:rPr>
                <w:rFonts w:ascii="Arial" w:hAnsi="Arial" w:cs="Arial"/>
                <w:b/>
                <w:bCs/>
                <w:i/>
                <w:iCs/>
                <w:color w:val="404040" w:themeColor="text1" w:themeTint="BF"/>
                <w:sz w:val="16"/>
                <w:szCs w:val="16"/>
              </w:rPr>
            </w:pPr>
            <w:r w:rsidRPr="00F5183B">
              <w:rPr>
                <w:rStyle w:val="cell"/>
                <w:rFonts w:ascii="Arial" w:hAnsi="Arial" w:cs="Arial"/>
                <w:sz w:val="16"/>
                <w:szCs w:val="16"/>
              </w:rPr>
              <w:t>-</w:t>
            </w:r>
            <w:r w:rsidRPr="00F5183B">
              <w:rPr>
                <w:rFonts w:ascii="Arial" w:hAnsi="Arial" w:cs="Arial"/>
                <w:sz w:val="16"/>
                <w:szCs w:val="16"/>
              </w:rPr>
              <w:t xml:space="preserve"> </w:t>
            </w:r>
          </w:p>
        </w:tc>
        <w:tc>
          <w:tcPr>
            <w:tcW w:w="655" w:type="pct"/>
            <w:tcBorders>
              <w:top w:val="single" w:sz="6" w:space="0" w:color="000000"/>
              <w:left w:val="nil"/>
              <w:bottom w:val="single" w:sz="6" w:space="0" w:color="000000"/>
              <w:right w:val="nil"/>
            </w:tcBorders>
            <w:shd w:val="clear" w:color="auto" w:fill="EDEDED"/>
            <w:vAlign w:val="center"/>
            <w:hideMark/>
          </w:tcPr>
          <w:p w14:paraId="271AA8D5" w14:textId="77777777" w:rsidR="00D3318E" w:rsidRPr="00F5183B" w:rsidRDefault="00D3318E" w:rsidP="00E350F6">
            <w:pPr>
              <w:rPr>
                <w:rFonts w:ascii="Arial" w:hAnsi="Arial" w:cs="Arial"/>
                <w:b/>
                <w:bCs/>
                <w:i/>
                <w:iCs/>
                <w:color w:val="404040" w:themeColor="text1" w:themeTint="BF"/>
                <w:sz w:val="16"/>
                <w:szCs w:val="16"/>
              </w:rPr>
            </w:pPr>
            <w:r w:rsidRPr="00F5183B">
              <w:rPr>
                <w:rStyle w:val="cell"/>
                <w:rFonts w:ascii="Arial" w:hAnsi="Arial" w:cs="Arial"/>
                <w:sz w:val="16"/>
                <w:szCs w:val="16"/>
              </w:rPr>
              <w:t>-</w:t>
            </w:r>
            <w:r w:rsidRPr="00F5183B">
              <w:rPr>
                <w:rFonts w:ascii="Arial" w:hAnsi="Arial" w:cs="Arial"/>
                <w:sz w:val="16"/>
                <w:szCs w:val="16"/>
              </w:rPr>
              <w:t xml:space="preserve"> </w:t>
            </w:r>
          </w:p>
        </w:tc>
        <w:tc>
          <w:tcPr>
            <w:tcW w:w="839" w:type="pct"/>
            <w:tcBorders>
              <w:top w:val="single" w:sz="6" w:space="0" w:color="000000"/>
              <w:left w:val="nil"/>
              <w:bottom w:val="single" w:sz="6" w:space="0" w:color="000000"/>
              <w:right w:val="nil"/>
            </w:tcBorders>
            <w:shd w:val="clear" w:color="auto" w:fill="EDEDED"/>
            <w:vAlign w:val="center"/>
            <w:hideMark/>
          </w:tcPr>
          <w:p w14:paraId="44CBC13B" w14:textId="1903485A" w:rsidR="00D3318E" w:rsidRPr="00F5183B" w:rsidRDefault="00D3318E" w:rsidP="00E350F6">
            <w:pPr>
              <w:rPr>
                <w:rFonts w:ascii="Arial" w:hAnsi="Arial" w:cs="Arial"/>
                <w:b/>
                <w:bCs/>
                <w:i/>
                <w:iCs/>
                <w:color w:val="404040" w:themeColor="text1" w:themeTint="BF"/>
                <w:sz w:val="16"/>
                <w:szCs w:val="16"/>
              </w:rPr>
            </w:pPr>
            <w:r w:rsidRPr="00F5183B">
              <w:rPr>
                <w:rStyle w:val="cell-value"/>
                <w:rFonts w:ascii="Arial" w:hAnsi="Arial" w:cs="Arial"/>
                <w:sz w:val="16"/>
                <w:szCs w:val="16"/>
              </w:rPr>
              <w:t xml:space="preserve">SMD </w:t>
            </w:r>
            <w:r w:rsidR="00D64229">
              <w:rPr>
                <w:rStyle w:val="cell-value"/>
                <w:rFonts w:ascii="Arial" w:hAnsi="Arial" w:cs="Arial"/>
                <w:sz w:val="16"/>
                <w:szCs w:val="16"/>
              </w:rPr>
              <w:t>-</w:t>
            </w:r>
            <w:r w:rsidRPr="00F5183B">
              <w:rPr>
                <w:rStyle w:val="cell-value"/>
                <w:rFonts w:ascii="Arial" w:hAnsi="Arial" w:cs="Arial"/>
                <w:b/>
                <w:bCs/>
                <w:sz w:val="16"/>
                <w:szCs w:val="16"/>
              </w:rPr>
              <w:t xml:space="preserve">0.38 SD </w:t>
            </w:r>
            <w:r w:rsidRPr="00F5183B">
              <w:rPr>
                <w:rFonts w:ascii="Arial" w:hAnsi="Arial" w:cs="Arial"/>
                <w:sz w:val="16"/>
                <w:szCs w:val="16"/>
              </w:rPr>
              <w:br/>
            </w:r>
            <w:r w:rsidRPr="00F5183B">
              <w:rPr>
                <w:rStyle w:val="cell-value"/>
                <w:rFonts w:ascii="Arial" w:hAnsi="Arial" w:cs="Arial"/>
                <w:sz w:val="16"/>
                <w:szCs w:val="16"/>
              </w:rPr>
              <w:t>(</w:t>
            </w:r>
            <w:r w:rsidR="00D64229">
              <w:rPr>
                <w:rStyle w:val="cell-value"/>
                <w:rFonts w:ascii="Arial" w:hAnsi="Arial" w:cs="Arial"/>
                <w:sz w:val="16"/>
                <w:szCs w:val="16"/>
              </w:rPr>
              <w:t>-</w:t>
            </w:r>
            <w:r w:rsidRPr="00F5183B">
              <w:rPr>
                <w:rStyle w:val="cell-value"/>
                <w:rFonts w:ascii="Arial" w:hAnsi="Arial" w:cs="Arial"/>
                <w:sz w:val="16"/>
                <w:szCs w:val="16"/>
              </w:rPr>
              <w:t xml:space="preserve">0.48 to </w:t>
            </w:r>
            <w:r w:rsidR="00D64229">
              <w:rPr>
                <w:rStyle w:val="cell-value"/>
                <w:rFonts w:ascii="Arial" w:hAnsi="Arial" w:cs="Arial"/>
                <w:sz w:val="16"/>
                <w:szCs w:val="16"/>
              </w:rPr>
              <w:t xml:space="preserve">- </w:t>
            </w:r>
            <w:r w:rsidRPr="00F5183B">
              <w:rPr>
                <w:rStyle w:val="cell-value"/>
                <w:rFonts w:ascii="Arial" w:hAnsi="Arial" w:cs="Arial"/>
                <w:sz w:val="16"/>
                <w:szCs w:val="16"/>
              </w:rPr>
              <w:t>0.29)</w:t>
            </w:r>
            <w:r w:rsidRPr="00F5183B">
              <w:rPr>
                <w:rFonts w:ascii="Arial" w:hAnsi="Arial" w:cs="Arial"/>
                <w:sz w:val="16"/>
                <w:szCs w:val="16"/>
              </w:rPr>
              <w:t xml:space="preserve"> </w:t>
            </w:r>
          </w:p>
        </w:tc>
      </w:tr>
      <w:tr w:rsidR="00D3318E" w:rsidRPr="00F87E48" w14:paraId="692EFDD2" w14:textId="77777777" w:rsidTr="00E350F6">
        <w:trPr>
          <w:cantSplit/>
        </w:trPr>
        <w:tc>
          <w:tcPr>
            <w:tcW w:w="0" w:type="auto"/>
            <w:tcBorders>
              <w:top w:val="single" w:sz="6" w:space="0" w:color="000000"/>
              <w:left w:val="nil"/>
              <w:bottom w:val="single" w:sz="6" w:space="0" w:color="000000"/>
              <w:right w:val="nil"/>
            </w:tcBorders>
            <w:vAlign w:val="center"/>
            <w:hideMark/>
          </w:tcPr>
          <w:p w14:paraId="1920D757" w14:textId="77777777" w:rsidR="00D3318E" w:rsidRPr="00F5183B" w:rsidRDefault="00D3318E" w:rsidP="00E350F6">
            <w:pPr>
              <w:rPr>
                <w:rFonts w:ascii="Arial" w:hAnsi="Arial" w:cs="Arial"/>
                <w:b/>
                <w:bCs/>
                <w:i/>
                <w:iCs/>
                <w:color w:val="404040" w:themeColor="text1" w:themeTint="BF"/>
                <w:sz w:val="16"/>
                <w:szCs w:val="16"/>
              </w:rPr>
            </w:pPr>
            <w:r w:rsidRPr="00F5183B">
              <w:rPr>
                <w:rStyle w:val="label"/>
                <w:rFonts w:ascii="Arial" w:hAnsi="Arial" w:cs="Arial"/>
                <w:sz w:val="16"/>
                <w:szCs w:val="16"/>
              </w:rPr>
              <w:t>Rescue medication use (puffs/day)</w:t>
            </w:r>
            <w:r w:rsidRPr="00F5183B">
              <w:rPr>
                <w:rFonts w:ascii="Arial" w:hAnsi="Arial" w:cs="Arial"/>
                <w:sz w:val="16"/>
                <w:szCs w:val="16"/>
              </w:rPr>
              <w:br/>
            </w:r>
            <w:r w:rsidRPr="00F5183B">
              <w:rPr>
                <w:rStyle w:val="label"/>
                <w:rFonts w:ascii="Arial" w:hAnsi="Arial" w:cs="Arial"/>
                <w:sz w:val="16"/>
                <w:szCs w:val="16"/>
              </w:rPr>
              <w:t>assessed with</w:t>
            </w:r>
            <w:r>
              <w:rPr>
                <w:rStyle w:val="label"/>
                <w:rFonts w:ascii="Arial" w:hAnsi="Arial" w:cs="Arial"/>
                <w:sz w:val="16"/>
                <w:szCs w:val="16"/>
              </w:rPr>
              <w:t xml:space="preserve"> </w:t>
            </w:r>
            <w:r w:rsidRPr="00F5183B">
              <w:rPr>
                <w:rStyle w:val="label"/>
                <w:rFonts w:ascii="Arial" w:hAnsi="Arial" w:cs="Arial"/>
                <w:sz w:val="16"/>
                <w:szCs w:val="16"/>
              </w:rPr>
              <w:t>change from baseline</w:t>
            </w:r>
            <w:r w:rsidRPr="00F5183B">
              <w:rPr>
                <w:rFonts w:ascii="Arial" w:hAnsi="Arial" w:cs="Arial"/>
                <w:sz w:val="16"/>
                <w:szCs w:val="16"/>
              </w:rPr>
              <w:br/>
            </w:r>
          </w:p>
        </w:tc>
        <w:tc>
          <w:tcPr>
            <w:tcW w:w="945" w:type="pct"/>
            <w:tcBorders>
              <w:top w:val="single" w:sz="6" w:space="0" w:color="000000"/>
              <w:left w:val="nil"/>
              <w:bottom w:val="single" w:sz="6" w:space="0" w:color="000000"/>
              <w:right w:val="nil"/>
            </w:tcBorders>
            <w:vAlign w:val="center"/>
            <w:hideMark/>
          </w:tcPr>
          <w:p w14:paraId="1BF1DD41" w14:textId="77777777" w:rsidR="00D3318E" w:rsidRDefault="00D3318E" w:rsidP="00E350F6">
            <w:pPr>
              <w:rPr>
                <w:rFonts w:ascii="Arial" w:hAnsi="Arial" w:cs="Arial"/>
                <w:sz w:val="16"/>
                <w:szCs w:val="16"/>
                <w:vertAlign w:val="superscript"/>
              </w:rPr>
            </w:pPr>
            <w:r w:rsidRPr="00F5183B">
              <w:rPr>
                <w:rFonts w:ascii="Arial" w:hAnsi="Arial" w:cs="Arial"/>
                <w:sz w:val="16"/>
                <w:szCs w:val="16"/>
              </w:rPr>
              <w:t>3367</w:t>
            </w:r>
            <w:r w:rsidRPr="00F5183B">
              <w:rPr>
                <w:rFonts w:ascii="Arial" w:hAnsi="Arial" w:cs="Arial"/>
                <w:sz w:val="16"/>
                <w:szCs w:val="16"/>
              </w:rPr>
              <w:br/>
              <w:t xml:space="preserve">(7 RCTs) </w:t>
            </w:r>
            <w:r w:rsidRPr="00D9489B">
              <w:rPr>
                <w:rFonts w:ascii="Arial" w:hAnsi="Arial" w:cs="Arial"/>
                <w:bCs/>
                <w:iCs/>
                <w:color w:val="404040" w:themeColor="text1" w:themeTint="BF"/>
                <w:sz w:val="16"/>
                <w:szCs w:val="16"/>
                <w:vertAlign w:val="superscript"/>
              </w:rPr>
              <w:t>68, 54, 42, 59, 66, 52, 41</w:t>
            </w:r>
          </w:p>
          <w:p w14:paraId="28C1C661" w14:textId="77777777" w:rsidR="00D3318E" w:rsidRDefault="00D3318E" w:rsidP="00E350F6">
            <w:pPr>
              <w:rPr>
                <w:rFonts w:ascii="Arial" w:hAnsi="Arial" w:cs="Arial"/>
                <w:sz w:val="16"/>
                <w:szCs w:val="16"/>
                <w:vertAlign w:val="superscript"/>
              </w:rPr>
            </w:pPr>
            <w:r w:rsidRPr="00F5183B">
              <w:rPr>
                <w:rStyle w:val="label"/>
                <w:rFonts w:ascii="Arial" w:hAnsi="Arial" w:cs="Arial"/>
                <w:sz w:val="16"/>
                <w:szCs w:val="16"/>
              </w:rPr>
              <w:t>16 weeks to 52 weeks</w:t>
            </w:r>
            <w:r w:rsidRPr="00F5183B">
              <w:rPr>
                <w:rFonts w:ascii="Arial" w:hAnsi="Arial" w:cs="Arial"/>
                <w:sz w:val="16"/>
                <w:szCs w:val="16"/>
              </w:rPr>
              <w:t xml:space="preserve"> </w:t>
            </w:r>
            <w:proofErr w:type="gramStart"/>
            <w:r w:rsidRPr="00F5183B">
              <w:rPr>
                <w:rFonts w:ascii="Arial" w:hAnsi="Arial" w:cs="Arial"/>
                <w:sz w:val="16"/>
                <w:szCs w:val="16"/>
                <w:vertAlign w:val="superscript"/>
              </w:rPr>
              <w:t>22</w:t>
            </w:r>
            <w:r w:rsidRPr="00F5183B">
              <w:rPr>
                <w:rStyle w:val="comma"/>
                <w:rFonts w:ascii="Arial" w:hAnsi="Arial" w:cs="Arial"/>
                <w:sz w:val="16"/>
                <w:szCs w:val="16"/>
                <w:vertAlign w:val="superscript"/>
              </w:rPr>
              <w:t>,</w:t>
            </w:r>
            <w:r w:rsidRPr="00F5183B">
              <w:rPr>
                <w:rFonts w:ascii="Arial" w:hAnsi="Arial" w:cs="Arial"/>
                <w:sz w:val="16"/>
                <w:szCs w:val="16"/>
                <w:vertAlign w:val="superscript"/>
              </w:rPr>
              <w:t>w</w:t>
            </w:r>
            <w:proofErr w:type="gramEnd"/>
          </w:p>
          <w:p w14:paraId="2CE440D2" w14:textId="77777777" w:rsidR="00D3318E" w:rsidRPr="00D9489B" w:rsidRDefault="00D3318E" w:rsidP="00E350F6">
            <w:pPr>
              <w:rPr>
                <w:rFonts w:ascii="Arial" w:hAnsi="Arial" w:cs="Arial"/>
                <w:bCs/>
                <w:iCs/>
                <w:color w:val="404040" w:themeColor="text1" w:themeTint="BF"/>
                <w:sz w:val="16"/>
                <w:szCs w:val="16"/>
                <w:vertAlign w:val="superscript"/>
              </w:rPr>
            </w:pPr>
          </w:p>
        </w:tc>
        <w:tc>
          <w:tcPr>
            <w:tcW w:w="673" w:type="pct"/>
            <w:tcBorders>
              <w:top w:val="single" w:sz="6" w:space="0" w:color="000000"/>
              <w:left w:val="nil"/>
              <w:bottom w:val="single" w:sz="6" w:space="0" w:color="000000"/>
              <w:right w:val="nil"/>
            </w:tcBorders>
            <w:vAlign w:val="center"/>
            <w:hideMark/>
          </w:tcPr>
          <w:p w14:paraId="4B977A00" w14:textId="77777777" w:rsidR="00D3318E" w:rsidRPr="00F5183B" w:rsidRDefault="00D3318E" w:rsidP="00E350F6">
            <w:pPr>
              <w:rPr>
                <w:rFonts w:ascii="Arial" w:hAnsi="Arial" w:cs="Arial"/>
                <w:b/>
                <w:bCs/>
                <w:i/>
                <w:iCs/>
                <w:color w:val="404040" w:themeColor="text1" w:themeTint="BF"/>
                <w:sz w:val="16"/>
                <w:szCs w:val="16"/>
              </w:rPr>
            </w:pPr>
            <w:r w:rsidRPr="00F5183B">
              <w:rPr>
                <w:rStyle w:val="quality-sign"/>
                <w:rFonts w:ascii="Cambria Math" w:hAnsi="Cambria Math" w:cs="Cambria Math"/>
                <w:sz w:val="16"/>
                <w:szCs w:val="16"/>
              </w:rPr>
              <w:t>⨁⨁⨁⨁</w:t>
            </w:r>
            <w:r w:rsidRPr="00F5183B">
              <w:rPr>
                <w:rFonts w:ascii="Arial" w:hAnsi="Arial" w:cs="Arial"/>
                <w:sz w:val="16"/>
                <w:szCs w:val="16"/>
              </w:rPr>
              <w:br/>
            </w:r>
            <w:r w:rsidRPr="00F5183B">
              <w:rPr>
                <w:rStyle w:val="quality-text"/>
                <w:rFonts w:ascii="Arial" w:hAnsi="Arial" w:cs="Arial"/>
                <w:sz w:val="16"/>
                <w:szCs w:val="16"/>
              </w:rPr>
              <w:t>HIGH</w:t>
            </w:r>
            <w:r w:rsidRPr="00F5183B">
              <w:rPr>
                <w:rFonts w:ascii="Arial" w:hAnsi="Arial" w:cs="Arial"/>
                <w:sz w:val="16"/>
                <w:szCs w:val="16"/>
              </w:rPr>
              <w:t xml:space="preserve"> </w:t>
            </w:r>
            <w:proofErr w:type="gramStart"/>
            <w:r w:rsidRPr="00F5183B">
              <w:rPr>
                <w:rFonts w:ascii="Arial" w:hAnsi="Arial" w:cs="Arial"/>
                <w:sz w:val="16"/>
                <w:szCs w:val="16"/>
                <w:vertAlign w:val="superscript"/>
              </w:rPr>
              <w:t>b</w:t>
            </w:r>
            <w:r w:rsidRPr="00F5183B">
              <w:rPr>
                <w:rStyle w:val="comma"/>
                <w:rFonts w:ascii="Arial" w:hAnsi="Arial" w:cs="Arial"/>
                <w:sz w:val="16"/>
                <w:szCs w:val="16"/>
                <w:vertAlign w:val="superscript"/>
              </w:rPr>
              <w:t>,</w:t>
            </w:r>
            <w:r w:rsidRPr="00F5183B">
              <w:rPr>
                <w:rFonts w:ascii="Arial" w:hAnsi="Arial" w:cs="Arial"/>
                <w:sz w:val="16"/>
                <w:szCs w:val="16"/>
                <w:vertAlign w:val="superscript"/>
              </w:rPr>
              <w:t>d</w:t>
            </w:r>
            <w:proofErr w:type="gramEnd"/>
            <w:r w:rsidRPr="00F5183B">
              <w:rPr>
                <w:rStyle w:val="comma"/>
                <w:rFonts w:ascii="Arial" w:hAnsi="Arial" w:cs="Arial"/>
                <w:sz w:val="16"/>
                <w:szCs w:val="16"/>
                <w:vertAlign w:val="superscript"/>
              </w:rPr>
              <w:t>,</w:t>
            </w:r>
            <w:r w:rsidRPr="00F5183B">
              <w:rPr>
                <w:rFonts w:ascii="Arial" w:hAnsi="Arial" w:cs="Arial"/>
                <w:sz w:val="16"/>
                <w:szCs w:val="16"/>
                <w:vertAlign w:val="superscript"/>
              </w:rPr>
              <w:t>x</w:t>
            </w:r>
          </w:p>
        </w:tc>
        <w:tc>
          <w:tcPr>
            <w:tcW w:w="561" w:type="pct"/>
            <w:tcBorders>
              <w:top w:val="single" w:sz="6" w:space="0" w:color="000000"/>
              <w:left w:val="nil"/>
              <w:bottom w:val="single" w:sz="6" w:space="0" w:color="000000"/>
              <w:right w:val="nil"/>
            </w:tcBorders>
            <w:vAlign w:val="center"/>
            <w:hideMark/>
          </w:tcPr>
          <w:p w14:paraId="0D30374E" w14:textId="77777777" w:rsidR="00D3318E" w:rsidRPr="00F5183B" w:rsidRDefault="00D3318E" w:rsidP="00E350F6">
            <w:pPr>
              <w:rPr>
                <w:rFonts w:ascii="Arial" w:hAnsi="Arial" w:cs="Arial"/>
                <w:b/>
                <w:bCs/>
                <w:i/>
                <w:iCs/>
                <w:color w:val="404040" w:themeColor="text1" w:themeTint="BF"/>
                <w:sz w:val="16"/>
                <w:szCs w:val="16"/>
              </w:rPr>
            </w:pPr>
            <w:r w:rsidRPr="00F5183B">
              <w:rPr>
                <w:rStyle w:val="cell"/>
                <w:rFonts w:ascii="Arial" w:hAnsi="Arial" w:cs="Arial"/>
                <w:sz w:val="16"/>
                <w:szCs w:val="16"/>
              </w:rPr>
              <w:t>-</w:t>
            </w:r>
            <w:r w:rsidRPr="00F5183B">
              <w:rPr>
                <w:rFonts w:ascii="Arial" w:hAnsi="Arial" w:cs="Arial"/>
                <w:sz w:val="16"/>
                <w:szCs w:val="16"/>
              </w:rPr>
              <w:t xml:space="preserve"> </w:t>
            </w:r>
          </w:p>
        </w:tc>
        <w:tc>
          <w:tcPr>
            <w:tcW w:w="655" w:type="pct"/>
            <w:tcBorders>
              <w:top w:val="single" w:sz="6" w:space="0" w:color="000000"/>
              <w:left w:val="nil"/>
              <w:bottom w:val="single" w:sz="6" w:space="0" w:color="000000"/>
              <w:right w:val="nil"/>
            </w:tcBorders>
            <w:shd w:val="clear" w:color="auto" w:fill="EDEDED"/>
            <w:vAlign w:val="center"/>
            <w:hideMark/>
          </w:tcPr>
          <w:p w14:paraId="0DC674FE" w14:textId="77777777" w:rsidR="00D3318E" w:rsidRPr="00F5183B" w:rsidRDefault="00D3318E" w:rsidP="00E350F6">
            <w:pPr>
              <w:rPr>
                <w:rFonts w:ascii="Arial" w:hAnsi="Arial" w:cs="Arial"/>
                <w:b/>
                <w:bCs/>
                <w:i/>
                <w:iCs/>
                <w:color w:val="404040" w:themeColor="text1" w:themeTint="BF"/>
                <w:sz w:val="16"/>
                <w:szCs w:val="16"/>
              </w:rPr>
            </w:pPr>
            <w:r w:rsidRPr="00F5183B">
              <w:rPr>
                <w:rStyle w:val="cell-value"/>
                <w:rFonts w:ascii="Arial" w:hAnsi="Arial" w:cs="Arial"/>
                <w:sz w:val="16"/>
                <w:szCs w:val="16"/>
              </w:rPr>
              <w:t xml:space="preserve">The mean the change from baseline of Rescue medication use (puffs/day) was </w:t>
            </w:r>
            <w:r w:rsidRPr="00F5183B">
              <w:rPr>
                <w:rStyle w:val="cell-value"/>
                <w:rFonts w:ascii="Arial" w:hAnsi="Arial" w:cs="Arial"/>
                <w:b/>
                <w:bCs/>
                <w:sz w:val="16"/>
                <w:szCs w:val="16"/>
              </w:rPr>
              <w:t>0</w:t>
            </w:r>
            <w:r w:rsidRPr="00F5183B">
              <w:rPr>
                <w:rStyle w:val="cell-value"/>
                <w:rFonts w:ascii="Arial" w:hAnsi="Arial" w:cs="Arial"/>
                <w:sz w:val="16"/>
                <w:szCs w:val="16"/>
              </w:rPr>
              <w:t xml:space="preserve"> puff/day</w:t>
            </w:r>
            <w:r w:rsidRPr="00F5183B">
              <w:rPr>
                <w:rFonts w:ascii="Arial" w:hAnsi="Arial" w:cs="Arial"/>
                <w:sz w:val="16"/>
                <w:szCs w:val="16"/>
              </w:rPr>
              <w:t xml:space="preserve"> </w:t>
            </w:r>
          </w:p>
        </w:tc>
        <w:tc>
          <w:tcPr>
            <w:tcW w:w="839" w:type="pct"/>
            <w:tcBorders>
              <w:top w:val="single" w:sz="6" w:space="0" w:color="000000"/>
              <w:left w:val="nil"/>
              <w:bottom w:val="single" w:sz="6" w:space="0" w:color="000000"/>
              <w:right w:val="nil"/>
            </w:tcBorders>
            <w:shd w:val="clear" w:color="auto" w:fill="EDEDED"/>
            <w:vAlign w:val="center"/>
            <w:hideMark/>
          </w:tcPr>
          <w:p w14:paraId="1182FCF5" w14:textId="5BB2D156" w:rsidR="00D3318E" w:rsidRPr="00F5183B" w:rsidRDefault="00D3318E" w:rsidP="00E350F6">
            <w:pPr>
              <w:rPr>
                <w:rFonts w:ascii="Arial" w:hAnsi="Arial" w:cs="Arial"/>
                <w:b/>
                <w:bCs/>
                <w:i/>
                <w:iCs/>
                <w:color w:val="404040" w:themeColor="text1" w:themeTint="BF"/>
                <w:sz w:val="16"/>
                <w:szCs w:val="16"/>
              </w:rPr>
            </w:pPr>
            <w:r w:rsidRPr="00F5183B">
              <w:rPr>
                <w:rStyle w:val="cell-value"/>
                <w:rFonts w:ascii="Arial" w:hAnsi="Arial" w:cs="Arial"/>
                <w:sz w:val="16"/>
                <w:szCs w:val="16"/>
              </w:rPr>
              <w:t xml:space="preserve">MD </w:t>
            </w:r>
            <w:r w:rsidR="00D64229">
              <w:rPr>
                <w:rStyle w:val="cell-value"/>
                <w:rFonts w:ascii="Arial" w:hAnsi="Arial" w:cs="Arial"/>
                <w:sz w:val="16"/>
                <w:szCs w:val="16"/>
              </w:rPr>
              <w:t>-</w:t>
            </w:r>
            <w:r w:rsidRPr="00F5183B">
              <w:rPr>
                <w:rStyle w:val="cell-value"/>
                <w:rFonts w:ascii="Arial" w:hAnsi="Arial" w:cs="Arial"/>
                <w:b/>
                <w:bCs/>
                <w:sz w:val="16"/>
                <w:szCs w:val="16"/>
              </w:rPr>
              <w:t xml:space="preserve">0.47 puff/day </w:t>
            </w:r>
            <w:r w:rsidRPr="00F5183B">
              <w:rPr>
                <w:rFonts w:ascii="Arial" w:hAnsi="Arial" w:cs="Arial"/>
                <w:sz w:val="16"/>
                <w:szCs w:val="16"/>
              </w:rPr>
              <w:br/>
            </w:r>
            <w:r w:rsidRPr="00F5183B">
              <w:rPr>
                <w:rStyle w:val="cell-value"/>
                <w:rFonts w:ascii="Arial" w:hAnsi="Arial" w:cs="Arial"/>
                <w:sz w:val="16"/>
                <w:szCs w:val="16"/>
              </w:rPr>
              <w:t>(</w:t>
            </w:r>
            <w:r w:rsidR="00D64229">
              <w:rPr>
                <w:rStyle w:val="cell-value"/>
                <w:rFonts w:ascii="Arial" w:hAnsi="Arial" w:cs="Arial"/>
                <w:sz w:val="16"/>
                <w:szCs w:val="16"/>
              </w:rPr>
              <w:t>-</w:t>
            </w:r>
            <w:r w:rsidRPr="00F5183B">
              <w:rPr>
                <w:rStyle w:val="cell-value"/>
                <w:rFonts w:ascii="Arial" w:hAnsi="Arial" w:cs="Arial"/>
                <w:sz w:val="16"/>
                <w:szCs w:val="16"/>
              </w:rPr>
              <w:t xml:space="preserve">0.68 to </w:t>
            </w:r>
            <w:r w:rsidR="00D64229">
              <w:rPr>
                <w:rStyle w:val="cell-value"/>
                <w:rFonts w:ascii="Arial" w:hAnsi="Arial" w:cs="Arial"/>
                <w:sz w:val="16"/>
                <w:szCs w:val="16"/>
              </w:rPr>
              <w:t>-</w:t>
            </w:r>
            <w:r w:rsidRPr="00F5183B">
              <w:rPr>
                <w:rStyle w:val="cell-value"/>
                <w:rFonts w:ascii="Arial" w:hAnsi="Arial" w:cs="Arial"/>
                <w:sz w:val="16"/>
                <w:szCs w:val="16"/>
              </w:rPr>
              <w:t>0.27)</w:t>
            </w:r>
            <w:r w:rsidRPr="00F5183B">
              <w:rPr>
                <w:rFonts w:ascii="Arial" w:hAnsi="Arial" w:cs="Arial"/>
                <w:sz w:val="16"/>
                <w:szCs w:val="16"/>
              </w:rPr>
              <w:t xml:space="preserve"> </w:t>
            </w:r>
          </w:p>
        </w:tc>
      </w:tr>
      <w:tr w:rsidR="00D3318E" w:rsidRPr="00F87E48" w14:paraId="255AA3F7" w14:textId="77777777" w:rsidTr="00E350F6">
        <w:trPr>
          <w:cantSplit/>
        </w:trPr>
        <w:tc>
          <w:tcPr>
            <w:tcW w:w="0" w:type="auto"/>
            <w:tcBorders>
              <w:top w:val="single" w:sz="6" w:space="0" w:color="000000"/>
              <w:left w:val="nil"/>
              <w:bottom w:val="single" w:sz="6" w:space="0" w:color="000000"/>
              <w:right w:val="nil"/>
            </w:tcBorders>
            <w:vAlign w:val="center"/>
            <w:hideMark/>
          </w:tcPr>
          <w:p w14:paraId="4ACC51AE" w14:textId="77777777" w:rsidR="00D3318E" w:rsidRPr="00F5183B" w:rsidRDefault="00D3318E" w:rsidP="00E350F6">
            <w:pPr>
              <w:rPr>
                <w:rFonts w:ascii="Arial" w:hAnsi="Arial" w:cs="Arial"/>
                <w:b/>
                <w:bCs/>
                <w:i/>
                <w:iCs/>
                <w:color w:val="404040" w:themeColor="text1" w:themeTint="BF"/>
                <w:sz w:val="16"/>
                <w:szCs w:val="16"/>
              </w:rPr>
            </w:pPr>
            <w:r w:rsidRPr="00F5183B">
              <w:rPr>
                <w:rStyle w:val="label"/>
                <w:rFonts w:ascii="Arial" w:hAnsi="Arial" w:cs="Arial"/>
                <w:sz w:val="16"/>
                <w:szCs w:val="16"/>
              </w:rPr>
              <w:t>FeNO lev</w:t>
            </w:r>
            <w:r>
              <w:rPr>
                <w:rStyle w:val="label"/>
                <w:rFonts w:ascii="Arial" w:hAnsi="Arial" w:cs="Arial"/>
                <w:sz w:val="16"/>
                <w:szCs w:val="16"/>
              </w:rPr>
              <w:t>e</w:t>
            </w:r>
            <w:r w:rsidRPr="00F5183B">
              <w:rPr>
                <w:rStyle w:val="label"/>
                <w:rFonts w:ascii="Arial" w:hAnsi="Arial" w:cs="Arial"/>
                <w:sz w:val="16"/>
                <w:szCs w:val="16"/>
              </w:rPr>
              <w:t xml:space="preserve">l change from baseline </w:t>
            </w:r>
            <w:proofErr w:type="gramStart"/>
            <w:r w:rsidRPr="00F5183B">
              <w:rPr>
                <w:rFonts w:ascii="Arial" w:hAnsi="Arial" w:cs="Arial"/>
                <w:sz w:val="16"/>
                <w:szCs w:val="16"/>
                <w:vertAlign w:val="superscript"/>
              </w:rPr>
              <w:t>29</w:t>
            </w:r>
            <w:r w:rsidRPr="00F5183B">
              <w:rPr>
                <w:rStyle w:val="comma"/>
                <w:rFonts w:ascii="Arial" w:hAnsi="Arial" w:cs="Arial"/>
                <w:sz w:val="16"/>
                <w:szCs w:val="16"/>
                <w:vertAlign w:val="superscript"/>
              </w:rPr>
              <w:t>,</w:t>
            </w:r>
            <w:r w:rsidRPr="00F5183B">
              <w:rPr>
                <w:rFonts w:ascii="Arial" w:hAnsi="Arial" w:cs="Arial"/>
                <w:sz w:val="16"/>
                <w:szCs w:val="16"/>
                <w:vertAlign w:val="superscript"/>
              </w:rPr>
              <w:t>y</w:t>
            </w:r>
            <w:proofErr w:type="gramEnd"/>
          </w:p>
        </w:tc>
        <w:tc>
          <w:tcPr>
            <w:tcW w:w="945" w:type="pct"/>
            <w:tcBorders>
              <w:top w:val="single" w:sz="6" w:space="0" w:color="000000"/>
              <w:left w:val="nil"/>
              <w:bottom w:val="single" w:sz="6" w:space="0" w:color="000000"/>
              <w:right w:val="nil"/>
            </w:tcBorders>
            <w:vAlign w:val="center"/>
            <w:hideMark/>
          </w:tcPr>
          <w:p w14:paraId="1B666BBC" w14:textId="77777777" w:rsidR="00D3318E" w:rsidRPr="001C7F13" w:rsidRDefault="00D3318E" w:rsidP="00E350F6">
            <w:pPr>
              <w:rPr>
                <w:rFonts w:ascii="Arial" w:hAnsi="Arial" w:cs="Arial"/>
                <w:bCs/>
                <w:iCs/>
                <w:color w:val="404040" w:themeColor="text1" w:themeTint="BF"/>
                <w:sz w:val="16"/>
                <w:szCs w:val="16"/>
                <w:vertAlign w:val="superscript"/>
              </w:rPr>
            </w:pPr>
            <w:r w:rsidRPr="00F5183B">
              <w:rPr>
                <w:rFonts w:ascii="Arial" w:hAnsi="Arial" w:cs="Arial"/>
                <w:sz w:val="16"/>
                <w:szCs w:val="16"/>
              </w:rPr>
              <w:t>495</w:t>
            </w:r>
            <w:r w:rsidRPr="00F5183B">
              <w:rPr>
                <w:rFonts w:ascii="Arial" w:hAnsi="Arial" w:cs="Arial"/>
                <w:sz w:val="16"/>
                <w:szCs w:val="16"/>
              </w:rPr>
              <w:br/>
              <w:t xml:space="preserve">(3 RCTs) </w:t>
            </w:r>
            <w:r w:rsidRPr="001C7F13">
              <w:rPr>
                <w:rFonts w:ascii="Arial" w:hAnsi="Arial" w:cs="Arial"/>
                <w:bCs/>
                <w:iCs/>
                <w:color w:val="404040" w:themeColor="text1" w:themeTint="BF"/>
                <w:sz w:val="16"/>
                <w:szCs w:val="16"/>
                <w:vertAlign w:val="superscript"/>
              </w:rPr>
              <w:t>51, 65,41</w:t>
            </w:r>
          </w:p>
        </w:tc>
        <w:tc>
          <w:tcPr>
            <w:tcW w:w="673" w:type="pct"/>
            <w:tcBorders>
              <w:top w:val="single" w:sz="6" w:space="0" w:color="000000"/>
              <w:left w:val="nil"/>
              <w:bottom w:val="single" w:sz="6" w:space="0" w:color="000000"/>
              <w:right w:val="nil"/>
            </w:tcBorders>
            <w:vAlign w:val="center"/>
            <w:hideMark/>
          </w:tcPr>
          <w:p w14:paraId="433FD7E0" w14:textId="77777777" w:rsidR="00D3318E" w:rsidRPr="00F5183B" w:rsidRDefault="00D3318E" w:rsidP="00E350F6">
            <w:pPr>
              <w:rPr>
                <w:rFonts w:ascii="Arial" w:hAnsi="Arial" w:cs="Arial"/>
                <w:b/>
                <w:bCs/>
                <w:i/>
                <w:iCs/>
                <w:color w:val="404040" w:themeColor="text1" w:themeTint="BF"/>
                <w:sz w:val="16"/>
                <w:szCs w:val="16"/>
              </w:rPr>
            </w:pPr>
            <w:r w:rsidRPr="00F5183B">
              <w:rPr>
                <w:rStyle w:val="quality-sign"/>
                <w:rFonts w:ascii="Cambria Math" w:hAnsi="Cambria Math" w:cs="Cambria Math"/>
                <w:sz w:val="16"/>
                <w:szCs w:val="16"/>
              </w:rPr>
              <w:t>⨁⨁⨁</w:t>
            </w:r>
            <w:r w:rsidRPr="00F5183B">
              <w:rPr>
                <w:rStyle w:val="quality-sign"/>
                <w:rFonts w:ascii="Segoe UI Symbol" w:eastAsia="MS Gothic" w:hAnsi="Segoe UI Symbol" w:cs="Segoe UI Symbol"/>
                <w:sz w:val="16"/>
                <w:szCs w:val="16"/>
              </w:rPr>
              <w:t>◯</w:t>
            </w:r>
            <w:r w:rsidRPr="00F5183B">
              <w:rPr>
                <w:rFonts w:ascii="Arial" w:hAnsi="Arial" w:cs="Arial"/>
                <w:sz w:val="16"/>
                <w:szCs w:val="16"/>
              </w:rPr>
              <w:br/>
            </w:r>
            <w:r w:rsidRPr="00F5183B">
              <w:rPr>
                <w:rStyle w:val="quality-text"/>
                <w:rFonts w:ascii="Arial" w:hAnsi="Arial" w:cs="Arial"/>
                <w:sz w:val="16"/>
                <w:szCs w:val="16"/>
              </w:rPr>
              <w:t>MODERATE</w:t>
            </w:r>
            <w:r w:rsidRPr="00F5183B">
              <w:rPr>
                <w:rFonts w:ascii="Arial" w:hAnsi="Arial" w:cs="Arial"/>
                <w:sz w:val="16"/>
                <w:szCs w:val="16"/>
              </w:rPr>
              <w:t xml:space="preserve"> </w:t>
            </w:r>
            <w:r w:rsidRPr="00F5183B">
              <w:rPr>
                <w:rFonts w:ascii="Arial" w:hAnsi="Arial" w:cs="Arial"/>
                <w:sz w:val="16"/>
                <w:szCs w:val="16"/>
                <w:vertAlign w:val="superscript"/>
              </w:rPr>
              <w:t>32</w:t>
            </w:r>
            <w:r w:rsidRPr="00F5183B">
              <w:rPr>
                <w:rStyle w:val="comma"/>
                <w:rFonts w:ascii="Arial" w:hAnsi="Arial" w:cs="Arial"/>
                <w:sz w:val="16"/>
                <w:szCs w:val="16"/>
                <w:vertAlign w:val="superscript"/>
              </w:rPr>
              <w:t>,</w:t>
            </w:r>
            <w:proofErr w:type="gramStart"/>
            <w:r w:rsidRPr="00F5183B">
              <w:rPr>
                <w:rFonts w:ascii="Arial" w:hAnsi="Arial" w:cs="Arial"/>
                <w:sz w:val="16"/>
                <w:szCs w:val="16"/>
                <w:vertAlign w:val="superscript"/>
              </w:rPr>
              <w:t>33</w:t>
            </w:r>
            <w:r w:rsidRPr="00F5183B">
              <w:rPr>
                <w:rStyle w:val="comma"/>
                <w:rFonts w:ascii="Arial" w:hAnsi="Arial" w:cs="Arial"/>
                <w:sz w:val="16"/>
                <w:szCs w:val="16"/>
                <w:vertAlign w:val="superscript"/>
              </w:rPr>
              <w:t>,</w:t>
            </w:r>
            <w:r w:rsidRPr="00F5183B">
              <w:rPr>
                <w:rFonts w:ascii="Arial" w:hAnsi="Arial" w:cs="Arial"/>
                <w:sz w:val="16"/>
                <w:szCs w:val="16"/>
                <w:vertAlign w:val="superscript"/>
              </w:rPr>
              <w:t>b</w:t>
            </w:r>
            <w:proofErr w:type="gramEnd"/>
            <w:r w:rsidRPr="00F5183B">
              <w:rPr>
                <w:rStyle w:val="comma"/>
                <w:rFonts w:ascii="Arial" w:hAnsi="Arial" w:cs="Arial"/>
                <w:sz w:val="16"/>
                <w:szCs w:val="16"/>
                <w:vertAlign w:val="superscript"/>
              </w:rPr>
              <w:t>,</w:t>
            </w:r>
            <w:r w:rsidRPr="00F5183B">
              <w:rPr>
                <w:rFonts w:ascii="Arial" w:hAnsi="Arial" w:cs="Arial"/>
                <w:sz w:val="16"/>
                <w:szCs w:val="16"/>
                <w:vertAlign w:val="superscript"/>
              </w:rPr>
              <w:t>d</w:t>
            </w:r>
            <w:r w:rsidRPr="00F5183B">
              <w:rPr>
                <w:rStyle w:val="comma"/>
                <w:rFonts w:ascii="Arial" w:hAnsi="Arial" w:cs="Arial"/>
                <w:sz w:val="16"/>
                <w:szCs w:val="16"/>
                <w:vertAlign w:val="superscript"/>
              </w:rPr>
              <w:t>,</w:t>
            </w:r>
            <w:r w:rsidRPr="00F5183B">
              <w:rPr>
                <w:rFonts w:ascii="Arial" w:hAnsi="Arial" w:cs="Arial"/>
                <w:sz w:val="16"/>
                <w:szCs w:val="16"/>
                <w:vertAlign w:val="superscript"/>
              </w:rPr>
              <w:t>z</w:t>
            </w:r>
          </w:p>
        </w:tc>
        <w:tc>
          <w:tcPr>
            <w:tcW w:w="561" w:type="pct"/>
            <w:tcBorders>
              <w:top w:val="single" w:sz="6" w:space="0" w:color="000000"/>
              <w:left w:val="nil"/>
              <w:bottom w:val="single" w:sz="6" w:space="0" w:color="000000"/>
              <w:right w:val="nil"/>
            </w:tcBorders>
            <w:vAlign w:val="center"/>
            <w:hideMark/>
          </w:tcPr>
          <w:p w14:paraId="03497848" w14:textId="77777777" w:rsidR="00D3318E" w:rsidRPr="00F5183B" w:rsidRDefault="00D3318E" w:rsidP="00E350F6">
            <w:pPr>
              <w:rPr>
                <w:rFonts w:ascii="Arial" w:hAnsi="Arial" w:cs="Arial"/>
                <w:b/>
                <w:bCs/>
                <w:i/>
                <w:iCs/>
                <w:color w:val="404040" w:themeColor="text1" w:themeTint="BF"/>
                <w:sz w:val="16"/>
                <w:szCs w:val="16"/>
              </w:rPr>
            </w:pPr>
            <w:r w:rsidRPr="00F5183B">
              <w:rPr>
                <w:rStyle w:val="cell"/>
                <w:rFonts w:ascii="Arial" w:hAnsi="Arial" w:cs="Arial"/>
                <w:sz w:val="16"/>
                <w:szCs w:val="16"/>
              </w:rPr>
              <w:t>-</w:t>
            </w:r>
            <w:r w:rsidRPr="00F5183B">
              <w:rPr>
                <w:rFonts w:ascii="Arial" w:hAnsi="Arial" w:cs="Arial"/>
                <w:sz w:val="16"/>
                <w:szCs w:val="16"/>
              </w:rPr>
              <w:t xml:space="preserve"> </w:t>
            </w:r>
          </w:p>
        </w:tc>
        <w:tc>
          <w:tcPr>
            <w:tcW w:w="655" w:type="pct"/>
            <w:tcBorders>
              <w:top w:val="single" w:sz="6" w:space="0" w:color="000000"/>
              <w:left w:val="nil"/>
              <w:bottom w:val="single" w:sz="6" w:space="0" w:color="000000"/>
              <w:right w:val="nil"/>
            </w:tcBorders>
            <w:shd w:val="clear" w:color="auto" w:fill="EDEDED"/>
            <w:vAlign w:val="center"/>
            <w:hideMark/>
          </w:tcPr>
          <w:p w14:paraId="349815B5" w14:textId="77777777" w:rsidR="00D3318E" w:rsidRPr="00F5183B" w:rsidRDefault="00D3318E" w:rsidP="00E350F6">
            <w:pPr>
              <w:rPr>
                <w:rFonts w:ascii="Arial" w:hAnsi="Arial" w:cs="Arial"/>
                <w:b/>
                <w:bCs/>
                <w:i/>
                <w:iCs/>
                <w:color w:val="404040" w:themeColor="text1" w:themeTint="BF"/>
                <w:sz w:val="16"/>
                <w:szCs w:val="16"/>
              </w:rPr>
            </w:pPr>
            <w:r w:rsidRPr="00F5183B">
              <w:rPr>
                <w:rStyle w:val="cell-value"/>
                <w:rFonts w:ascii="Arial" w:hAnsi="Arial" w:cs="Arial"/>
                <w:sz w:val="16"/>
                <w:szCs w:val="16"/>
              </w:rPr>
              <w:t xml:space="preserve">The mean feNO leval change from baseline was </w:t>
            </w:r>
            <w:r w:rsidRPr="00F5183B">
              <w:rPr>
                <w:rStyle w:val="cell-value"/>
                <w:rFonts w:ascii="Arial" w:hAnsi="Arial" w:cs="Arial"/>
                <w:b/>
                <w:bCs/>
                <w:sz w:val="16"/>
                <w:szCs w:val="16"/>
              </w:rPr>
              <w:t>0</w:t>
            </w:r>
            <w:r w:rsidRPr="00F5183B">
              <w:rPr>
                <w:rStyle w:val="cell-value"/>
                <w:rFonts w:ascii="Arial" w:hAnsi="Arial" w:cs="Arial"/>
                <w:sz w:val="16"/>
                <w:szCs w:val="16"/>
              </w:rPr>
              <w:t xml:space="preserve"> ppb</w:t>
            </w:r>
            <w:r w:rsidRPr="00F5183B">
              <w:rPr>
                <w:rFonts w:ascii="Arial" w:hAnsi="Arial" w:cs="Arial"/>
                <w:sz w:val="16"/>
                <w:szCs w:val="16"/>
              </w:rPr>
              <w:t xml:space="preserve"> </w:t>
            </w:r>
          </w:p>
        </w:tc>
        <w:tc>
          <w:tcPr>
            <w:tcW w:w="839" w:type="pct"/>
            <w:tcBorders>
              <w:top w:val="single" w:sz="6" w:space="0" w:color="000000"/>
              <w:left w:val="nil"/>
              <w:bottom w:val="single" w:sz="6" w:space="0" w:color="000000"/>
              <w:right w:val="nil"/>
            </w:tcBorders>
            <w:shd w:val="clear" w:color="auto" w:fill="EDEDED"/>
            <w:vAlign w:val="center"/>
            <w:hideMark/>
          </w:tcPr>
          <w:p w14:paraId="49859965" w14:textId="2EFA5D2A" w:rsidR="00D3318E" w:rsidRPr="00F5183B" w:rsidRDefault="00D3318E" w:rsidP="00E350F6">
            <w:pPr>
              <w:rPr>
                <w:rFonts w:ascii="Arial" w:hAnsi="Arial" w:cs="Arial"/>
                <w:b/>
                <w:bCs/>
                <w:i/>
                <w:iCs/>
                <w:color w:val="404040" w:themeColor="text1" w:themeTint="BF"/>
                <w:sz w:val="16"/>
                <w:szCs w:val="16"/>
              </w:rPr>
            </w:pPr>
            <w:r w:rsidRPr="00F5183B">
              <w:rPr>
                <w:rStyle w:val="cell-value"/>
                <w:rFonts w:ascii="Arial" w:hAnsi="Arial" w:cs="Arial"/>
                <w:sz w:val="16"/>
                <w:szCs w:val="16"/>
              </w:rPr>
              <w:t xml:space="preserve">MD </w:t>
            </w:r>
            <w:r w:rsidRPr="00F5183B">
              <w:rPr>
                <w:rStyle w:val="cell-value"/>
                <w:rFonts w:ascii="Arial" w:hAnsi="Arial" w:cs="Arial"/>
                <w:b/>
                <w:bCs/>
                <w:sz w:val="16"/>
                <w:szCs w:val="16"/>
              </w:rPr>
              <w:t>4.65 ppb lower</w:t>
            </w:r>
            <w:r w:rsidRPr="00F5183B">
              <w:rPr>
                <w:rFonts w:ascii="Arial" w:hAnsi="Arial" w:cs="Arial"/>
                <w:sz w:val="16"/>
                <w:szCs w:val="16"/>
              </w:rPr>
              <w:br/>
            </w:r>
            <w:r w:rsidRPr="00F5183B">
              <w:rPr>
                <w:rStyle w:val="cell-value"/>
                <w:rFonts w:ascii="Arial" w:hAnsi="Arial" w:cs="Arial"/>
                <w:sz w:val="16"/>
                <w:szCs w:val="16"/>
              </w:rPr>
              <w:t>(</w:t>
            </w:r>
            <w:r w:rsidR="00D64229">
              <w:rPr>
                <w:rStyle w:val="cell-value"/>
                <w:rFonts w:ascii="Arial" w:hAnsi="Arial" w:cs="Arial"/>
                <w:sz w:val="16"/>
                <w:szCs w:val="16"/>
              </w:rPr>
              <w:t>-</w:t>
            </w:r>
            <w:r w:rsidRPr="00F5183B">
              <w:rPr>
                <w:rStyle w:val="cell-value"/>
                <w:rFonts w:ascii="Arial" w:hAnsi="Arial" w:cs="Arial"/>
                <w:sz w:val="16"/>
                <w:szCs w:val="16"/>
              </w:rPr>
              <w:t xml:space="preserve">7.39 to </w:t>
            </w:r>
            <w:r w:rsidR="00D64229">
              <w:rPr>
                <w:rStyle w:val="cell-value"/>
                <w:rFonts w:ascii="Arial" w:hAnsi="Arial" w:cs="Arial"/>
                <w:sz w:val="16"/>
                <w:szCs w:val="16"/>
              </w:rPr>
              <w:t>-</w:t>
            </w:r>
            <w:r w:rsidRPr="00F5183B">
              <w:rPr>
                <w:rStyle w:val="cell-value"/>
                <w:rFonts w:ascii="Arial" w:hAnsi="Arial" w:cs="Arial"/>
                <w:sz w:val="16"/>
                <w:szCs w:val="16"/>
              </w:rPr>
              <w:t>1.92)</w:t>
            </w:r>
            <w:r w:rsidRPr="00F5183B">
              <w:rPr>
                <w:rFonts w:ascii="Arial" w:hAnsi="Arial" w:cs="Arial"/>
                <w:sz w:val="16"/>
                <w:szCs w:val="16"/>
              </w:rPr>
              <w:t xml:space="preserve"> </w:t>
            </w:r>
            <w:r w:rsidRPr="00F5183B">
              <w:rPr>
                <w:rFonts w:ascii="Arial" w:hAnsi="Arial" w:cs="Arial"/>
                <w:sz w:val="16"/>
                <w:szCs w:val="16"/>
                <w:vertAlign w:val="superscript"/>
              </w:rPr>
              <w:t>aa</w:t>
            </w:r>
          </w:p>
        </w:tc>
      </w:tr>
      <w:tr w:rsidR="00D3318E" w:rsidRPr="00F87E48" w14:paraId="3B83F9C2" w14:textId="77777777" w:rsidTr="00E350F6">
        <w:trPr>
          <w:cantSplit/>
        </w:trPr>
        <w:tc>
          <w:tcPr>
            <w:tcW w:w="0" w:type="auto"/>
            <w:gridSpan w:val="6"/>
            <w:tcBorders>
              <w:top w:val="single" w:sz="6" w:space="0" w:color="000000"/>
              <w:left w:val="nil"/>
              <w:bottom w:val="single" w:sz="6" w:space="0" w:color="000000"/>
              <w:right w:val="nil"/>
            </w:tcBorders>
            <w:hideMark/>
          </w:tcPr>
          <w:p w14:paraId="21510044" w14:textId="77777777" w:rsidR="00D3318E" w:rsidRPr="00F5183B" w:rsidRDefault="00D3318E" w:rsidP="00E350F6">
            <w:pPr>
              <w:rPr>
                <w:rFonts w:ascii="Arial" w:hAnsi="Arial" w:cs="Arial"/>
                <w:sz w:val="16"/>
                <w:szCs w:val="16"/>
              </w:rPr>
            </w:pPr>
            <w:r w:rsidRPr="00F5183B">
              <w:rPr>
                <w:rFonts w:ascii="Arial" w:hAnsi="Arial" w:cs="Arial"/>
                <w:sz w:val="16"/>
                <w:szCs w:val="16"/>
              </w:rPr>
              <w:lastRenderedPageBreak/>
              <w:t>*</w:t>
            </w:r>
            <w:r w:rsidRPr="00F5183B">
              <w:rPr>
                <w:rFonts w:ascii="Arial" w:hAnsi="Arial" w:cs="Arial"/>
                <w:b/>
                <w:bCs/>
                <w:sz w:val="16"/>
                <w:szCs w:val="16"/>
              </w:rPr>
              <w:t>The risk in the intervention group</w:t>
            </w:r>
            <w:r w:rsidRPr="00F5183B">
              <w:rPr>
                <w:rFonts w:ascii="Arial" w:hAnsi="Arial" w:cs="Arial"/>
                <w:sz w:val="16"/>
                <w:szCs w:val="16"/>
              </w:rPr>
              <w:t xml:space="preserve"> (and its 95% confidence interval) is based on the assumed risk in the comparison group and the </w:t>
            </w:r>
            <w:r w:rsidRPr="00F5183B">
              <w:rPr>
                <w:rFonts w:ascii="Arial" w:hAnsi="Arial" w:cs="Arial"/>
                <w:b/>
                <w:bCs/>
                <w:sz w:val="16"/>
                <w:szCs w:val="16"/>
              </w:rPr>
              <w:t>relative effect</w:t>
            </w:r>
            <w:r w:rsidRPr="00F5183B">
              <w:rPr>
                <w:rFonts w:ascii="Arial" w:hAnsi="Arial" w:cs="Arial"/>
                <w:sz w:val="16"/>
                <w:szCs w:val="16"/>
              </w:rPr>
              <w:t xml:space="preserve"> of the intervention (and its 95% CI). </w:t>
            </w:r>
            <w:r w:rsidRPr="00F5183B">
              <w:rPr>
                <w:rFonts w:ascii="Arial" w:hAnsi="Arial" w:cs="Arial"/>
                <w:sz w:val="16"/>
                <w:szCs w:val="16"/>
              </w:rPr>
              <w:br/>
            </w:r>
            <w:r w:rsidRPr="00F5183B">
              <w:rPr>
                <w:rFonts w:ascii="Arial" w:hAnsi="Arial" w:cs="Arial"/>
                <w:sz w:val="16"/>
                <w:szCs w:val="16"/>
              </w:rPr>
              <w:br/>
            </w:r>
            <w:r w:rsidRPr="00F5183B">
              <w:rPr>
                <w:rFonts w:ascii="Arial" w:hAnsi="Arial" w:cs="Arial"/>
                <w:b/>
                <w:bCs/>
                <w:sz w:val="16"/>
                <w:szCs w:val="16"/>
              </w:rPr>
              <w:t>CI:</w:t>
            </w:r>
            <w:r w:rsidRPr="00F5183B">
              <w:rPr>
                <w:rFonts w:ascii="Arial" w:hAnsi="Arial" w:cs="Arial"/>
                <w:sz w:val="16"/>
                <w:szCs w:val="16"/>
              </w:rPr>
              <w:t xml:space="preserve"> Confidence interval; </w:t>
            </w:r>
            <w:r w:rsidRPr="00F5183B">
              <w:rPr>
                <w:rFonts w:ascii="Arial" w:hAnsi="Arial" w:cs="Arial"/>
                <w:b/>
                <w:bCs/>
                <w:sz w:val="16"/>
                <w:szCs w:val="16"/>
              </w:rPr>
              <w:t>MD:</w:t>
            </w:r>
            <w:r w:rsidRPr="00F5183B">
              <w:rPr>
                <w:rFonts w:ascii="Arial" w:hAnsi="Arial" w:cs="Arial"/>
                <w:sz w:val="16"/>
                <w:szCs w:val="16"/>
              </w:rPr>
              <w:t xml:space="preserve"> Mean difference; </w:t>
            </w:r>
            <w:r w:rsidRPr="00F5183B">
              <w:rPr>
                <w:rFonts w:ascii="Arial" w:hAnsi="Arial" w:cs="Arial"/>
                <w:b/>
                <w:bCs/>
                <w:sz w:val="16"/>
                <w:szCs w:val="16"/>
              </w:rPr>
              <w:t>RR:</w:t>
            </w:r>
            <w:r w:rsidRPr="00F5183B">
              <w:rPr>
                <w:rFonts w:ascii="Arial" w:hAnsi="Arial" w:cs="Arial"/>
                <w:sz w:val="16"/>
                <w:szCs w:val="16"/>
              </w:rPr>
              <w:t xml:space="preserve"> Risk ratio; </w:t>
            </w:r>
            <w:r w:rsidRPr="00F5183B">
              <w:rPr>
                <w:rFonts w:ascii="Arial" w:hAnsi="Arial" w:cs="Arial"/>
                <w:b/>
                <w:bCs/>
                <w:sz w:val="16"/>
                <w:szCs w:val="16"/>
              </w:rPr>
              <w:t>SMD:</w:t>
            </w:r>
            <w:r w:rsidRPr="00F5183B">
              <w:rPr>
                <w:rFonts w:ascii="Arial" w:hAnsi="Arial" w:cs="Arial"/>
                <w:sz w:val="16"/>
                <w:szCs w:val="16"/>
              </w:rPr>
              <w:t xml:space="preserve"> Standardised mean difference </w:t>
            </w:r>
          </w:p>
        </w:tc>
      </w:tr>
      <w:tr w:rsidR="00D3318E" w:rsidRPr="00F87E48" w14:paraId="2361CB81" w14:textId="77777777" w:rsidTr="00E350F6">
        <w:trPr>
          <w:cantSplit/>
        </w:trPr>
        <w:tc>
          <w:tcPr>
            <w:tcW w:w="0" w:type="auto"/>
            <w:gridSpan w:val="6"/>
            <w:tcBorders>
              <w:top w:val="single" w:sz="6" w:space="0" w:color="000000"/>
              <w:left w:val="nil"/>
              <w:bottom w:val="single" w:sz="6" w:space="0" w:color="000000"/>
              <w:right w:val="nil"/>
            </w:tcBorders>
            <w:hideMark/>
          </w:tcPr>
          <w:p w14:paraId="51116523" w14:textId="77777777" w:rsidR="00D3318E" w:rsidRPr="00F5183B" w:rsidRDefault="00D3318E" w:rsidP="00E350F6">
            <w:pPr>
              <w:rPr>
                <w:rFonts w:ascii="Arial" w:hAnsi="Arial" w:cs="Arial"/>
                <w:sz w:val="16"/>
                <w:szCs w:val="16"/>
              </w:rPr>
            </w:pPr>
            <w:r w:rsidRPr="00F5183B">
              <w:rPr>
                <w:rFonts w:ascii="Arial" w:hAnsi="Arial" w:cs="Arial"/>
                <w:b/>
                <w:bCs/>
                <w:sz w:val="16"/>
                <w:szCs w:val="16"/>
              </w:rPr>
              <w:t>GRADE Working Group grades of evidence</w:t>
            </w:r>
            <w:r w:rsidRPr="00F5183B">
              <w:rPr>
                <w:rFonts w:ascii="Arial" w:hAnsi="Arial" w:cs="Arial"/>
                <w:sz w:val="16"/>
                <w:szCs w:val="16"/>
              </w:rPr>
              <w:br/>
            </w:r>
            <w:r w:rsidRPr="00F5183B">
              <w:rPr>
                <w:rFonts w:ascii="Arial" w:hAnsi="Arial" w:cs="Arial"/>
                <w:b/>
                <w:bCs/>
                <w:sz w:val="16"/>
                <w:szCs w:val="16"/>
              </w:rPr>
              <w:t>High certainty:</w:t>
            </w:r>
            <w:r w:rsidRPr="00F5183B">
              <w:rPr>
                <w:rFonts w:ascii="Arial" w:hAnsi="Arial" w:cs="Arial"/>
                <w:sz w:val="16"/>
                <w:szCs w:val="16"/>
              </w:rPr>
              <w:t xml:space="preserve"> </w:t>
            </w:r>
            <w:r>
              <w:rPr>
                <w:rFonts w:ascii="Arial" w:hAnsi="Arial" w:cs="Arial"/>
                <w:sz w:val="16"/>
                <w:szCs w:val="16"/>
              </w:rPr>
              <w:t xml:space="preserve">High </w:t>
            </w:r>
            <w:r w:rsidRPr="00F5183B">
              <w:rPr>
                <w:rFonts w:ascii="Arial" w:hAnsi="Arial" w:cs="Arial"/>
                <w:sz w:val="16"/>
                <w:szCs w:val="16"/>
              </w:rPr>
              <w:t>confiden</w:t>
            </w:r>
            <w:r>
              <w:rPr>
                <w:rFonts w:ascii="Arial" w:hAnsi="Arial" w:cs="Arial"/>
                <w:sz w:val="16"/>
                <w:szCs w:val="16"/>
              </w:rPr>
              <w:t>ce</w:t>
            </w:r>
            <w:r w:rsidRPr="00F5183B">
              <w:rPr>
                <w:rFonts w:ascii="Arial" w:hAnsi="Arial" w:cs="Arial"/>
                <w:sz w:val="16"/>
                <w:szCs w:val="16"/>
              </w:rPr>
              <w:t xml:space="preserve"> that the true effect lies close to that of the estimate of the effect</w:t>
            </w:r>
            <w:r w:rsidRPr="00F5183B">
              <w:rPr>
                <w:rFonts w:ascii="Arial" w:hAnsi="Arial" w:cs="Arial"/>
                <w:sz w:val="16"/>
                <w:szCs w:val="16"/>
              </w:rPr>
              <w:br/>
            </w:r>
            <w:r w:rsidRPr="00F5183B">
              <w:rPr>
                <w:rFonts w:ascii="Arial" w:hAnsi="Arial" w:cs="Arial"/>
                <w:b/>
                <w:bCs/>
                <w:sz w:val="16"/>
                <w:szCs w:val="16"/>
              </w:rPr>
              <w:t>Moderate certainty:</w:t>
            </w:r>
            <w:r w:rsidRPr="00F5183B">
              <w:rPr>
                <w:rFonts w:ascii="Arial" w:hAnsi="Arial" w:cs="Arial"/>
                <w:sz w:val="16"/>
                <w:szCs w:val="16"/>
              </w:rPr>
              <w:t xml:space="preserve"> </w:t>
            </w:r>
            <w:r>
              <w:rPr>
                <w:rFonts w:ascii="Arial" w:hAnsi="Arial" w:cs="Arial"/>
                <w:sz w:val="16"/>
                <w:szCs w:val="16"/>
              </w:rPr>
              <w:t>M</w:t>
            </w:r>
            <w:r w:rsidRPr="00F5183B">
              <w:rPr>
                <w:rFonts w:ascii="Arial" w:hAnsi="Arial" w:cs="Arial"/>
                <w:sz w:val="16"/>
                <w:szCs w:val="16"/>
              </w:rPr>
              <w:t>oderate confiden</w:t>
            </w:r>
            <w:r>
              <w:rPr>
                <w:rFonts w:ascii="Arial" w:hAnsi="Arial" w:cs="Arial"/>
                <w:sz w:val="16"/>
                <w:szCs w:val="16"/>
              </w:rPr>
              <w:t>ce</w:t>
            </w:r>
            <w:r w:rsidRPr="00F5183B">
              <w:rPr>
                <w:rFonts w:ascii="Arial" w:hAnsi="Arial" w:cs="Arial"/>
                <w:sz w:val="16"/>
                <w:szCs w:val="16"/>
              </w:rPr>
              <w:t xml:space="preserve"> in the effect estimate: </w:t>
            </w:r>
            <w:r>
              <w:rPr>
                <w:rFonts w:ascii="Arial" w:hAnsi="Arial" w:cs="Arial"/>
                <w:sz w:val="16"/>
                <w:szCs w:val="16"/>
              </w:rPr>
              <w:t>t</w:t>
            </w:r>
            <w:r w:rsidRPr="00F5183B">
              <w:rPr>
                <w:rFonts w:ascii="Arial" w:hAnsi="Arial" w:cs="Arial"/>
                <w:sz w:val="16"/>
                <w:szCs w:val="16"/>
              </w:rPr>
              <w:t>he true effect is likely to be close to the estimate of the effect, but there is a possibility that it is substantially different</w:t>
            </w:r>
            <w:r w:rsidRPr="00F5183B">
              <w:rPr>
                <w:rFonts w:ascii="Arial" w:hAnsi="Arial" w:cs="Arial"/>
                <w:sz w:val="16"/>
                <w:szCs w:val="16"/>
              </w:rPr>
              <w:br/>
            </w:r>
            <w:r w:rsidRPr="00F5183B">
              <w:rPr>
                <w:rFonts w:ascii="Arial" w:hAnsi="Arial" w:cs="Arial"/>
                <w:b/>
                <w:bCs/>
                <w:sz w:val="16"/>
                <w:szCs w:val="16"/>
              </w:rPr>
              <w:t>Low certainty:</w:t>
            </w:r>
            <w:r w:rsidRPr="00F5183B">
              <w:rPr>
                <w:rFonts w:ascii="Arial" w:hAnsi="Arial" w:cs="Arial"/>
                <w:sz w:val="16"/>
                <w:szCs w:val="16"/>
              </w:rPr>
              <w:t xml:space="preserve"> </w:t>
            </w:r>
            <w:r>
              <w:rPr>
                <w:rFonts w:ascii="Arial" w:hAnsi="Arial" w:cs="Arial"/>
                <w:sz w:val="16"/>
                <w:szCs w:val="16"/>
              </w:rPr>
              <w:t>Limited</w:t>
            </w:r>
            <w:r w:rsidRPr="00F5183B">
              <w:rPr>
                <w:rFonts w:ascii="Arial" w:hAnsi="Arial" w:cs="Arial"/>
                <w:sz w:val="16"/>
                <w:szCs w:val="16"/>
              </w:rPr>
              <w:t xml:space="preserve"> confidence in the effect estimate: </w:t>
            </w:r>
            <w:r>
              <w:rPr>
                <w:rFonts w:ascii="Arial" w:hAnsi="Arial" w:cs="Arial"/>
                <w:sz w:val="16"/>
                <w:szCs w:val="16"/>
              </w:rPr>
              <w:t>t</w:t>
            </w:r>
            <w:r w:rsidRPr="00F5183B">
              <w:rPr>
                <w:rFonts w:ascii="Arial" w:hAnsi="Arial" w:cs="Arial"/>
                <w:sz w:val="16"/>
                <w:szCs w:val="16"/>
              </w:rPr>
              <w:t>he true effect may be substantially different from the estimate of the effect</w:t>
            </w:r>
            <w:r w:rsidRPr="00F5183B">
              <w:rPr>
                <w:rFonts w:ascii="Arial" w:hAnsi="Arial" w:cs="Arial"/>
                <w:sz w:val="16"/>
                <w:szCs w:val="16"/>
              </w:rPr>
              <w:br/>
            </w:r>
            <w:r w:rsidRPr="00F5183B">
              <w:rPr>
                <w:rFonts w:ascii="Arial" w:hAnsi="Arial" w:cs="Arial"/>
                <w:b/>
                <w:bCs/>
                <w:sz w:val="16"/>
                <w:szCs w:val="16"/>
              </w:rPr>
              <w:t>Very low certainty:</w:t>
            </w:r>
            <w:r w:rsidRPr="00F5183B">
              <w:rPr>
                <w:rFonts w:ascii="Arial" w:hAnsi="Arial" w:cs="Arial"/>
                <w:sz w:val="16"/>
                <w:szCs w:val="16"/>
              </w:rPr>
              <w:t xml:space="preserve"> </w:t>
            </w:r>
            <w:r>
              <w:rPr>
                <w:rFonts w:ascii="Arial" w:hAnsi="Arial" w:cs="Arial"/>
                <w:sz w:val="16"/>
                <w:szCs w:val="16"/>
              </w:rPr>
              <w:t>V</w:t>
            </w:r>
            <w:r w:rsidRPr="00F5183B">
              <w:rPr>
                <w:rFonts w:ascii="Arial" w:hAnsi="Arial" w:cs="Arial"/>
                <w:sz w:val="16"/>
                <w:szCs w:val="16"/>
              </w:rPr>
              <w:t xml:space="preserve">ery little confidence in the effect estimate: </w:t>
            </w:r>
            <w:r>
              <w:rPr>
                <w:rFonts w:ascii="Arial" w:hAnsi="Arial" w:cs="Arial"/>
                <w:sz w:val="16"/>
                <w:szCs w:val="16"/>
              </w:rPr>
              <w:t>t</w:t>
            </w:r>
            <w:r w:rsidRPr="00F5183B">
              <w:rPr>
                <w:rFonts w:ascii="Arial" w:hAnsi="Arial" w:cs="Arial"/>
                <w:sz w:val="16"/>
                <w:szCs w:val="16"/>
              </w:rPr>
              <w:t xml:space="preserve">he true effect is likely to be substantially different from the estimate of effect </w:t>
            </w:r>
          </w:p>
        </w:tc>
      </w:tr>
    </w:tbl>
    <w:p w14:paraId="79C8DAE4" w14:textId="77777777" w:rsidR="00D3318E" w:rsidRPr="00213857" w:rsidRDefault="00D3318E" w:rsidP="00D3318E">
      <w:pPr>
        <w:pStyle w:val="Heading4"/>
        <w:jc w:val="both"/>
        <w:rPr>
          <w:rFonts w:ascii="Arial" w:hAnsi="Arial" w:cs="Arial"/>
          <w:color w:val="000000"/>
          <w:sz w:val="16"/>
          <w:szCs w:val="16"/>
        </w:rPr>
      </w:pPr>
      <w:r w:rsidRPr="00213857">
        <w:rPr>
          <w:rFonts w:ascii="Arial" w:hAnsi="Arial" w:cs="Arial"/>
          <w:color w:val="000000"/>
          <w:sz w:val="16"/>
          <w:szCs w:val="16"/>
        </w:rPr>
        <w:t>Explanations</w:t>
      </w:r>
    </w:p>
    <w:p w14:paraId="29826486" w14:textId="77777777" w:rsidR="00D3318E" w:rsidRPr="00213857" w:rsidRDefault="00D3318E" w:rsidP="00D3318E">
      <w:pPr>
        <w:pStyle w:val="ListParagraph"/>
        <w:numPr>
          <w:ilvl w:val="0"/>
          <w:numId w:val="10"/>
        </w:numPr>
        <w:spacing w:after="200" w:line="276" w:lineRule="auto"/>
        <w:jc w:val="both"/>
        <w:rPr>
          <w:rFonts w:ascii="Arial" w:hAnsi="Arial" w:cs="Arial"/>
          <w:color w:val="000000"/>
          <w:sz w:val="16"/>
          <w:szCs w:val="16"/>
        </w:rPr>
      </w:pPr>
      <w:proofErr w:type="gramStart"/>
      <w:r w:rsidRPr="00213857">
        <w:rPr>
          <w:rFonts w:ascii="Arial" w:hAnsi="Arial" w:cs="Arial"/>
          <w:color w:val="000000"/>
          <w:sz w:val="16"/>
          <w:szCs w:val="16"/>
        </w:rPr>
        <w:t>Clinical</w:t>
      </w:r>
      <w:proofErr w:type="gramEnd"/>
      <w:r w:rsidRPr="00213857">
        <w:rPr>
          <w:rFonts w:ascii="Arial" w:hAnsi="Arial" w:cs="Arial"/>
          <w:color w:val="000000"/>
          <w:sz w:val="16"/>
          <w:szCs w:val="16"/>
        </w:rPr>
        <w:t xml:space="preserve"> significant asthma exacerbation: episodes of asthma worsening requiring treatment with systemic corticosteroids. </w:t>
      </w:r>
    </w:p>
    <w:p w14:paraId="0A5740B9" w14:textId="77777777" w:rsidR="00D3318E" w:rsidRPr="00213857" w:rsidRDefault="00D3318E" w:rsidP="00D3318E">
      <w:pPr>
        <w:pStyle w:val="ListParagraph"/>
        <w:numPr>
          <w:ilvl w:val="0"/>
          <w:numId w:val="10"/>
        </w:numPr>
        <w:spacing w:after="200" w:line="276" w:lineRule="auto"/>
        <w:jc w:val="both"/>
        <w:rPr>
          <w:rFonts w:ascii="Arial" w:hAnsi="Arial" w:cs="Arial"/>
          <w:color w:val="000000"/>
          <w:sz w:val="16"/>
          <w:szCs w:val="16"/>
        </w:rPr>
      </w:pPr>
      <w:r w:rsidRPr="00213857">
        <w:rPr>
          <w:rFonts w:ascii="Arial" w:hAnsi="Arial" w:cs="Arial"/>
          <w:color w:val="000000"/>
          <w:sz w:val="16"/>
          <w:szCs w:val="16"/>
        </w:rPr>
        <w:t xml:space="preserve">Despite some studies being at high risk of bias for some of the domains, the effect observed in all of them is similar. </w:t>
      </w:r>
    </w:p>
    <w:p w14:paraId="505ABD17" w14:textId="77777777" w:rsidR="00D3318E" w:rsidRPr="00213857" w:rsidRDefault="00D3318E" w:rsidP="00D3318E">
      <w:pPr>
        <w:pStyle w:val="ListParagraph"/>
        <w:numPr>
          <w:ilvl w:val="0"/>
          <w:numId w:val="10"/>
        </w:numPr>
        <w:spacing w:after="200" w:line="276" w:lineRule="auto"/>
        <w:jc w:val="both"/>
        <w:rPr>
          <w:rFonts w:ascii="Arial" w:hAnsi="Arial" w:cs="Arial"/>
          <w:color w:val="000000"/>
          <w:sz w:val="16"/>
          <w:szCs w:val="16"/>
        </w:rPr>
      </w:pPr>
      <w:r w:rsidRPr="00213857">
        <w:rPr>
          <w:rFonts w:ascii="Arial" w:hAnsi="Arial" w:cs="Arial"/>
          <w:color w:val="000000"/>
          <w:sz w:val="16"/>
          <w:szCs w:val="16"/>
        </w:rPr>
        <w:t xml:space="preserve">Lanier included patients aged 6-12 years old, all </w:t>
      </w:r>
      <w:r>
        <w:rPr>
          <w:rFonts w:ascii="Arial" w:hAnsi="Arial" w:cs="Arial"/>
          <w:color w:val="000000"/>
          <w:sz w:val="16"/>
          <w:szCs w:val="16"/>
        </w:rPr>
        <w:t>had</w:t>
      </w:r>
      <w:r w:rsidRPr="00213857">
        <w:rPr>
          <w:rFonts w:ascii="Arial" w:hAnsi="Arial" w:cs="Arial"/>
          <w:color w:val="000000"/>
          <w:sz w:val="16"/>
          <w:szCs w:val="16"/>
        </w:rPr>
        <w:t xml:space="preserve"> allergic asthma</w:t>
      </w:r>
      <w:r>
        <w:rPr>
          <w:rFonts w:ascii="Arial" w:hAnsi="Arial" w:cs="Arial"/>
          <w:color w:val="000000"/>
          <w:sz w:val="16"/>
          <w:szCs w:val="16"/>
        </w:rPr>
        <w:t xml:space="preserve"> (68)</w:t>
      </w:r>
      <w:r w:rsidRPr="00213857">
        <w:rPr>
          <w:rFonts w:ascii="Arial" w:hAnsi="Arial" w:cs="Arial"/>
          <w:color w:val="000000"/>
          <w:sz w:val="16"/>
          <w:szCs w:val="16"/>
        </w:rPr>
        <w:t xml:space="preserve">. </w:t>
      </w:r>
    </w:p>
    <w:p w14:paraId="44150AEC" w14:textId="77777777" w:rsidR="00D3318E" w:rsidRPr="00213857" w:rsidRDefault="00D3318E" w:rsidP="00D3318E">
      <w:pPr>
        <w:pStyle w:val="ListParagraph"/>
        <w:numPr>
          <w:ilvl w:val="0"/>
          <w:numId w:val="10"/>
        </w:numPr>
        <w:spacing w:after="200" w:line="276" w:lineRule="auto"/>
        <w:jc w:val="both"/>
        <w:rPr>
          <w:rFonts w:ascii="Arial" w:hAnsi="Arial" w:cs="Arial"/>
          <w:color w:val="000000"/>
          <w:sz w:val="16"/>
          <w:szCs w:val="16"/>
        </w:rPr>
      </w:pPr>
      <w:r w:rsidRPr="00213857">
        <w:rPr>
          <w:rFonts w:ascii="Arial" w:hAnsi="Arial" w:cs="Arial"/>
          <w:color w:val="000000"/>
          <w:sz w:val="16"/>
          <w:szCs w:val="16"/>
        </w:rPr>
        <w:t xml:space="preserve">Included studies were all funded by industry, and all showed positive results. No industry-independent observational or randomized studies were identified to </w:t>
      </w:r>
      <w:r>
        <w:rPr>
          <w:rFonts w:ascii="Arial" w:hAnsi="Arial" w:cs="Arial"/>
          <w:color w:val="000000"/>
          <w:sz w:val="16"/>
          <w:szCs w:val="16"/>
        </w:rPr>
        <w:t>compare</w:t>
      </w:r>
      <w:r w:rsidRPr="00213857">
        <w:rPr>
          <w:rFonts w:ascii="Arial" w:hAnsi="Arial" w:cs="Arial"/>
          <w:color w:val="000000"/>
          <w:sz w:val="16"/>
          <w:szCs w:val="16"/>
        </w:rPr>
        <w:t xml:space="preserve"> the results. Therefore, </w:t>
      </w:r>
      <w:r>
        <w:rPr>
          <w:rFonts w:ascii="Arial" w:hAnsi="Arial" w:cs="Arial"/>
          <w:color w:val="000000"/>
          <w:sz w:val="16"/>
          <w:szCs w:val="16"/>
        </w:rPr>
        <w:t>evidence was</w:t>
      </w:r>
      <w:r w:rsidRPr="00213857">
        <w:rPr>
          <w:rFonts w:ascii="Arial" w:hAnsi="Arial" w:cs="Arial"/>
          <w:color w:val="000000"/>
          <w:sz w:val="16"/>
          <w:szCs w:val="16"/>
        </w:rPr>
        <w:t xml:space="preserve"> downgraded for potential publication bias (</w:t>
      </w:r>
      <w:r>
        <w:rPr>
          <w:rFonts w:ascii="Arial" w:hAnsi="Arial" w:cs="Arial"/>
          <w:color w:val="000000"/>
          <w:sz w:val="16"/>
          <w:szCs w:val="16"/>
        </w:rPr>
        <w:t>102</w:t>
      </w:r>
      <w:r w:rsidRPr="00213857">
        <w:rPr>
          <w:rFonts w:ascii="Arial" w:hAnsi="Arial" w:cs="Arial"/>
          <w:color w:val="000000"/>
          <w:sz w:val="16"/>
          <w:szCs w:val="16"/>
        </w:rPr>
        <w:t xml:space="preserve">). </w:t>
      </w:r>
    </w:p>
    <w:p w14:paraId="7650EB54" w14:textId="77777777" w:rsidR="00D3318E" w:rsidRPr="00213857" w:rsidRDefault="00D3318E" w:rsidP="00D3318E">
      <w:pPr>
        <w:pStyle w:val="ListParagraph"/>
        <w:numPr>
          <w:ilvl w:val="0"/>
          <w:numId w:val="10"/>
        </w:numPr>
        <w:spacing w:after="200" w:line="276" w:lineRule="auto"/>
        <w:jc w:val="both"/>
        <w:rPr>
          <w:rFonts w:ascii="Arial" w:hAnsi="Arial" w:cs="Arial"/>
          <w:color w:val="000000"/>
          <w:sz w:val="16"/>
          <w:szCs w:val="16"/>
        </w:rPr>
      </w:pPr>
      <w:r w:rsidRPr="00213857">
        <w:rPr>
          <w:rFonts w:ascii="Arial" w:hAnsi="Arial" w:cs="Arial"/>
          <w:color w:val="000000"/>
          <w:sz w:val="16"/>
          <w:szCs w:val="16"/>
        </w:rPr>
        <w:t>9 studies</w:t>
      </w:r>
      <w:r>
        <w:rPr>
          <w:rFonts w:ascii="Arial" w:hAnsi="Arial" w:cs="Arial"/>
          <w:color w:val="000000"/>
          <w:sz w:val="16"/>
          <w:szCs w:val="16"/>
        </w:rPr>
        <w:t xml:space="preserve"> included</w:t>
      </w:r>
      <w:r w:rsidRPr="00213857">
        <w:rPr>
          <w:rFonts w:ascii="Arial" w:hAnsi="Arial" w:cs="Arial"/>
          <w:color w:val="000000"/>
          <w:sz w:val="16"/>
          <w:szCs w:val="16"/>
        </w:rPr>
        <w:t xml:space="preserve"> </w:t>
      </w:r>
      <w:r>
        <w:rPr>
          <w:rFonts w:ascii="Arial" w:hAnsi="Arial" w:cs="Arial"/>
          <w:color w:val="000000"/>
          <w:sz w:val="16"/>
          <w:szCs w:val="16"/>
        </w:rPr>
        <w:t>reported</w:t>
      </w:r>
      <w:r w:rsidRPr="00213857">
        <w:rPr>
          <w:rFonts w:ascii="Arial" w:hAnsi="Arial" w:cs="Arial"/>
          <w:color w:val="000000"/>
          <w:sz w:val="16"/>
          <w:szCs w:val="16"/>
        </w:rPr>
        <w:t xml:space="preserve"> exacerbation</w:t>
      </w:r>
      <w:r>
        <w:rPr>
          <w:rFonts w:ascii="Arial" w:hAnsi="Arial" w:cs="Arial"/>
          <w:color w:val="000000"/>
          <w:sz w:val="16"/>
          <w:szCs w:val="16"/>
        </w:rPr>
        <w:t>s</w:t>
      </w:r>
      <w:r w:rsidRPr="00213857">
        <w:rPr>
          <w:rFonts w:ascii="Arial" w:hAnsi="Arial" w:cs="Arial"/>
          <w:color w:val="000000"/>
          <w:sz w:val="16"/>
          <w:szCs w:val="16"/>
        </w:rPr>
        <w:t xml:space="preserve"> as "patients who had ≥1 exacerbation", the pooled risk ratio was 0.59(95% CI 0.52-0.67). 3 studies</w:t>
      </w:r>
      <w:r>
        <w:rPr>
          <w:rFonts w:ascii="Arial" w:hAnsi="Arial" w:cs="Arial"/>
          <w:color w:val="000000"/>
          <w:sz w:val="16"/>
          <w:szCs w:val="16"/>
        </w:rPr>
        <w:t xml:space="preserve"> included</w:t>
      </w:r>
      <w:r w:rsidRPr="00213857">
        <w:rPr>
          <w:rFonts w:ascii="Arial" w:hAnsi="Arial" w:cs="Arial"/>
          <w:color w:val="000000"/>
          <w:sz w:val="16"/>
          <w:szCs w:val="16"/>
        </w:rPr>
        <w:t xml:space="preserve"> report</w:t>
      </w:r>
      <w:r>
        <w:rPr>
          <w:rFonts w:ascii="Arial" w:hAnsi="Arial" w:cs="Arial"/>
          <w:color w:val="000000"/>
          <w:sz w:val="16"/>
          <w:szCs w:val="16"/>
        </w:rPr>
        <w:t>ed</w:t>
      </w:r>
      <w:r w:rsidRPr="00213857">
        <w:rPr>
          <w:rFonts w:ascii="Arial" w:hAnsi="Arial" w:cs="Arial"/>
          <w:color w:val="000000"/>
          <w:sz w:val="16"/>
          <w:szCs w:val="16"/>
        </w:rPr>
        <w:t xml:space="preserve"> clinically significant severe asthma exacerbation, the pooled rate ration was 0.51 (95% CI 0.39-0.67) </w:t>
      </w:r>
    </w:p>
    <w:p w14:paraId="1960EF6D" w14:textId="77777777" w:rsidR="00D3318E" w:rsidRPr="00213857" w:rsidRDefault="00D3318E" w:rsidP="00D3318E">
      <w:pPr>
        <w:pStyle w:val="ListParagraph"/>
        <w:numPr>
          <w:ilvl w:val="0"/>
          <w:numId w:val="10"/>
        </w:numPr>
        <w:spacing w:after="200" w:line="276" w:lineRule="auto"/>
        <w:jc w:val="both"/>
        <w:rPr>
          <w:rFonts w:ascii="Arial" w:hAnsi="Arial" w:cs="Arial"/>
          <w:color w:val="000000"/>
          <w:sz w:val="16"/>
          <w:szCs w:val="16"/>
        </w:rPr>
      </w:pPr>
      <w:r w:rsidRPr="00213857">
        <w:rPr>
          <w:rFonts w:ascii="Arial" w:hAnsi="Arial" w:cs="Arial"/>
          <w:color w:val="000000"/>
          <w:sz w:val="16"/>
          <w:szCs w:val="16"/>
        </w:rPr>
        <w:t>The pooled effect of risk ratio evaluated at 24-28 weeks (</w:t>
      </w:r>
      <w:r>
        <w:rPr>
          <w:rFonts w:ascii="Arial" w:hAnsi="Arial" w:cs="Arial"/>
          <w:color w:val="000000"/>
          <w:sz w:val="16"/>
          <w:szCs w:val="16"/>
        </w:rPr>
        <w:t>44</w:t>
      </w:r>
      <w:r w:rsidRPr="00213857">
        <w:rPr>
          <w:rFonts w:ascii="Arial" w:hAnsi="Arial" w:cs="Arial"/>
          <w:color w:val="000000"/>
          <w:sz w:val="16"/>
          <w:szCs w:val="16"/>
        </w:rPr>
        <w:t xml:space="preserve">, </w:t>
      </w:r>
      <w:r>
        <w:rPr>
          <w:rFonts w:ascii="Arial" w:hAnsi="Arial" w:cs="Arial"/>
          <w:color w:val="000000"/>
          <w:sz w:val="16"/>
          <w:szCs w:val="16"/>
        </w:rPr>
        <w:t>54</w:t>
      </w:r>
      <w:r w:rsidRPr="00213857">
        <w:rPr>
          <w:rFonts w:ascii="Arial" w:hAnsi="Arial" w:cs="Arial"/>
          <w:color w:val="000000"/>
          <w:sz w:val="16"/>
          <w:szCs w:val="16"/>
        </w:rPr>
        <w:t xml:space="preserve">, </w:t>
      </w:r>
      <w:r>
        <w:rPr>
          <w:rFonts w:ascii="Arial" w:hAnsi="Arial" w:cs="Arial"/>
          <w:color w:val="000000"/>
          <w:sz w:val="16"/>
          <w:szCs w:val="16"/>
        </w:rPr>
        <w:t>68</w:t>
      </w:r>
      <w:r w:rsidRPr="00213857">
        <w:rPr>
          <w:rFonts w:ascii="Arial" w:hAnsi="Arial" w:cs="Arial"/>
          <w:color w:val="000000"/>
          <w:sz w:val="16"/>
          <w:szCs w:val="16"/>
        </w:rPr>
        <w:t xml:space="preserve">, </w:t>
      </w:r>
      <w:r>
        <w:rPr>
          <w:rFonts w:ascii="Arial" w:hAnsi="Arial" w:cs="Arial"/>
          <w:color w:val="000000"/>
          <w:sz w:val="16"/>
          <w:szCs w:val="16"/>
        </w:rPr>
        <w:t>63</w:t>
      </w:r>
      <w:r w:rsidRPr="00213857">
        <w:rPr>
          <w:rFonts w:ascii="Arial" w:hAnsi="Arial" w:cs="Arial"/>
          <w:color w:val="000000"/>
          <w:sz w:val="16"/>
          <w:szCs w:val="16"/>
        </w:rPr>
        <w:t>) and at 48-52 weeks (</w:t>
      </w:r>
      <w:r>
        <w:rPr>
          <w:rFonts w:ascii="Arial" w:hAnsi="Arial" w:cs="Arial"/>
          <w:color w:val="000000"/>
          <w:sz w:val="16"/>
          <w:szCs w:val="16"/>
        </w:rPr>
        <w:t>42</w:t>
      </w:r>
      <w:r w:rsidRPr="00213857">
        <w:rPr>
          <w:rFonts w:ascii="Arial" w:hAnsi="Arial" w:cs="Arial"/>
          <w:color w:val="000000"/>
          <w:sz w:val="16"/>
          <w:szCs w:val="16"/>
        </w:rPr>
        <w:t xml:space="preserve">, </w:t>
      </w:r>
      <w:r>
        <w:rPr>
          <w:rFonts w:ascii="Arial" w:hAnsi="Arial" w:cs="Arial"/>
          <w:color w:val="000000"/>
          <w:sz w:val="16"/>
          <w:szCs w:val="16"/>
        </w:rPr>
        <w:t>51</w:t>
      </w:r>
      <w:r w:rsidRPr="00213857">
        <w:rPr>
          <w:rFonts w:ascii="Arial" w:hAnsi="Arial" w:cs="Arial"/>
          <w:color w:val="000000"/>
          <w:sz w:val="16"/>
          <w:szCs w:val="16"/>
        </w:rPr>
        <w:t xml:space="preserve">, </w:t>
      </w:r>
      <w:r>
        <w:rPr>
          <w:rFonts w:ascii="Arial" w:hAnsi="Arial" w:cs="Arial"/>
          <w:color w:val="000000"/>
          <w:sz w:val="16"/>
          <w:szCs w:val="16"/>
        </w:rPr>
        <w:t>68</w:t>
      </w:r>
      <w:r w:rsidRPr="00213857">
        <w:rPr>
          <w:rFonts w:ascii="Arial" w:hAnsi="Arial" w:cs="Arial"/>
          <w:color w:val="000000"/>
          <w:sz w:val="16"/>
          <w:szCs w:val="16"/>
        </w:rPr>
        <w:t xml:space="preserve">, </w:t>
      </w:r>
      <w:r>
        <w:rPr>
          <w:rFonts w:ascii="Arial" w:hAnsi="Arial" w:cs="Arial"/>
          <w:color w:val="000000"/>
          <w:sz w:val="16"/>
          <w:szCs w:val="16"/>
        </w:rPr>
        <w:t>55</w:t>
      </w:r>
      <w:r w:rsidRPr="00213857">
        <w:rPr>
          <w:rFonts w:ascii="Arial" w:hAnsi="Arial" w:cs="Arial"/>
          <w:color w:val="000000"/>
          <w:sz w:val="16"/>
          <w:szCs w:val="16"/>
        </w:rPr>
        <w:t xml:space="preserve">). Lanier 2009 included patients aged 6-12 years old. </w:t>
      </w:r>
    </w:p>
    <w:p w14:paraId="36CDF074" w14:textId="77777777" w:rsidR="00D3318E" w:rsidRPr="00213857" w:rsidRDefault="00D3318E" w:rsidP="00D3318E">
      <w:pPr>
        <w:pStyle w:val="ListParagraph"/>
        <w:numPr>
          <w:ilvl w:val="0"/>
          <w:numId w:val="10"/>
        </w:numPr>
        <w:spacing w:after="200" w:line="276" w:lineRule="auto"/>
        <w:jc w:val="both"/>
        <w:rPr>
          <w:rFonts w:ascii="Arial" w:hAnsi="Arial" w:cs="Arial"/>
          <w:color w:val="000000"/>
          <w:sz w:val="16"/>
          <w:szCs w:val="16"/>
        </w:rPr>
      </w:pPr>
      <w:r w:rsidRPr="00213857">
        <w:rPr>
          <w:rFonts w:ascii="Arial" w:hAnsi="Arial" w:cs="Arial"/>
          <w:color w:val="000000"/>
          <w:sz w:val="16"/>
          <w:szCs w:val="16"/>
        </w:rPr>
        <w:t>Downgraded because the effect of omalizumab is beneficial but the upper side of the CI is less than the minimal important difference (MID=0.5) (</w:t>
      </w:r>
      <w:r>
        <w:rPr>
          <w:rFonts w:ascii="Arial" w:hAnsi="Arial" w:cs="Arial"/>
          <w:color w:val="000000"/>
          <w:sz w:val="16"/>
          <w:szCs w:val="16"/>
        </w:rPr>
        <w:t>32</w:t>
      </w:r>
      <w:r w:rsidRPr="00213857">
        <w:rPr>
          <w:rFonts w:ascii="Arial" w:hAnsi="Arial" w:cs="Arial"/>
          <w:color w:val="000000"/>
          <w:sz w:val="16"/>
          <w:szCs w:val="16"/>
        </w:rPr>
        <w:t xml:space="preserve">). </w:t>
      </w:r>
    </w:p>
    <w:p w14:paraId="158E7367" w14:textId="77777777" w:rsidR="00D3318E" w:rsidRPr="00213857" w:rsidRDefault="00D3318E" w:rsidP="00D3318E">
      <w:pPr>
        <w:pStyle w:val="ListParagraph"/>
        <w:numPr>
          <w:ilvl w:val="0"/>
          <w:numId w:val="10"/>
        </w:numPr>
        <w:spacing w:after="200" w:line="276" w:lineRule="auto"/>
        <w:jc w:val="both"/>
        <w:rPr>
          <w:rFonts w:ascii="Arial" w:hAnsi="Arial" w:cs="Arial"/>
          <w:color w:val="000000"/>
          <w:sz w:val="16"/>
          <w:szCs w:val="16"/>
        </w:rPr>
      </w:pPr>
      <w:r w:rsidRPr="00213857">
        <w:rPr>
          <w:rFonts w:ascii="Arial" w:hAnsi="Arial" w:cs="Arial"/>
          <w:color w:val="000000"/>
          <w:sz w:val="16"/>
          <w:szCs w:val="16"/>
        </w:rPr>
        <w:t>Asthma control using asthma control test (ACT) was assessed by three studies (</w:t>
      </w:r>
      <w:r>
        <w:rPr>
          <w:rFonts w:ascii="Arial" w:hAnsi="Arial" w:cs="Arial"/>
          <w:color w:val="000000"/>
          <w:sz w:val="16"/>
          <w:szCs w:val="16"/>
        </w:rPr>
        <w:t>65</w:t>
      </w:r>
      <w:r w:rsidRPr="00213857">
        <w:rPr>
          <w:rFonts w:ascii="Arial" w:hAnsi="Arial" w:cs="Arial"/>
          <w:color w:val="000000"/>
          <w:sz w:val="16"/>
          <w:szCs w:val="16"/>
        </w:rPr>
        <w:t xml:space="preserve">, </w:t>
      </w:r>
      <w:r>
        <w:rPr>
          <w:rFonts w:ascii="Arial" w:hAnsi="Arial" w:cs="Arial"/>
          <w:color w:val="000000"/>
          <w:sz w:val="16"/>
          <w:szCs w:val="16"/>
        </w:rPr>
        <w:t>43</w:t>
      </w:r>
      <w:r w:rsidRPr="00213857">
        <w:rPr>
          <w:rFonts w:ascii="Arial" w:hAnsi="Arial" w:cs="Arial"/>
          <w:color w:val="000000"/>
          <w:sz w:val="16"/>
          <w:szCs w:val="16"/>
        </w:rPr>
        <w:t xml:space="preserve">, </w:t>
      </w:r>
      <w:r>
        <w:rPr>
          <w:rFonts w:ascii="Arial" w:hAnsi="Arial" w:cs="Arial"/>
          <w:color w:val="000000"/>
          <w:sz w:val="16"/>
          <w:szCs w:val="16"/>
        </w:rPr>
        <w:t>56</w:t>
      </w:r>
      <w:r w:rsidRPr="00213857">
        <w:rPr>
          <w:rFonts w:ascii="Arial" w:hAnsi="Arial" w:cs="Arial"/>
          <w:color w:val="000000"/>
          <w:sz w:val="16"/>
          <w:szCs w:val="16"/>
        </w:rPr>
        <w:t xml:space="preserve">), the pooled mean different was 0.57(95% CI 0.17-0.97). We also included the </w:t>
      </w:r>
      <w:r>
        <w:rPr>
          <w:rFonts w:ascii="Arial" w:hAnsi="Arial" w:cs="Arial"/>
          <w:color w:val="000000"/>
          <w:sz w:val="16"/>
          <w:szCs w:val="16"/>
        </w:rPr>
        <w:t>ACQ</w:t>
      </w:r>
      <w:r w:rsidRPr="00213857">
        <w:rPr>
          <w:rFonts w:ascii="Arial" w:hAnsi="Arial" w:cs="Arial"/>
          <w:color w:val="000000"/>
          <w:sz w:val="16"/>
          <w:szCs w:val="16"/>
        </w:rPr>
        <w:t xml:space="preserve"> score</w:t>
      </w:r>
      <w:r>
        <w:rPr>
          <w:rFonts w:ascii="Arial" w:hAnsi="Arial" w:cs="Arial"/>
          <w:color w:val="000000"/>
          <w:sz w:val="16"/>
          <w:szCs w:val="16"/>
        </w:rPr>
        <w:t>s</w:t>
      </w:r>
      <w:r w:rsidRPr="00213857">
        <w:rPr>
          <w:rFonts w:ascii="Arial" w:hAnsi="Arial" w:cs="Arial"/>
          <w:color w:val="000000"/>
          <w:sz w:val="16"/>
          <w:szCs w:val="16"/>
        </w:rPr>
        <w:t xml:space="preserve"> assessed by 5 studies (</w:t>
      </w:r>
      <w:r>
        <w:rPr>
          <w:rFonts w:ascii="Arial" w:hAnsi="Arial" w:cs="Arial"/>
          <w:color w:val="000000"/>
          <w:sz w:val="16"/>
          <w:szCs w:val="16"/>
        </w:rPr>
        <w:t>68</w:t>
      </w:r>
      <w:r w:rsidRPr="00213857">
        <w:rPr>
          <w:rFonts w:ascii="Arial" w:hAnsi="Arial" w:cs="Arial"/>
          <w:color w:val="000000"/>
          <w:sz w:val="16"/>
          <w:szCs w:val="16"/>
        </w:rPr>
        <w:t xml:space="preserve">, </w:t>
      </w:r>
      <w:r>
        <w:rPr>
          <w:rFonts w:ascii="Arial" w:hAnsi="Arial" w:cs="Arial"/>
          <w:color w:val="000000"/>
          <w:sz w:val="16"/>
          <w:szCs w:val="16"/>
        </w:rPr>
        <w:t>5</w:t>
      </w:r>
      <w:r w:rsidRPr="00213857">
        <w:rPr>
          <w:rFonts w:ascii="Arial" w:hAnsi="Arial" w:cs="Arial"/>
          <w:color w:val="000000"/>
          <w:sz w:val="16"/>
          <w:szCs w:val="16"/>
        </w:rPr>
        <w:t xml:space="preserve">1, </w:t>
      </w:r>
      <w:r>
        <w:rPr>
          <w:rFonts w:ascii="Arial" w:hAnsi="Arial" w:cs="Arial"/>
          <w:color w:val="000000"/>
          <w:sz w:val="16"/>
          <w:szCs w:val="16"/>
        </w:rPr>
        <w:t>52</w:t>
      </w:r>
      <w:r w:rsidRPr="00213857">
        <w:rPr>
          <w:rFonts w:ascii="Arial" w:hAnsi="Arial" w:cs="Arial"/>
          <w:color w:val="000000"/>
          <w:sz w:val="16"/>
          <w:szCs w:val="16"/>
        </w:rPr>
        <w:t xml:space="preserve">, </w:t>
      </w:r>
      <w:r>
        <w:rPr>
          <w:rFonts w:ascii="Arial" w:hAnsi="Arial" w:cs="Arial"/>
          <w:color w:val="000000"/>
          <w:sz w:val="16"/>
          <w:szCs w:val="16"/>
        </w:rPr>
        <w:t>59, 46</w:t>
      </w:r>
      <w:r w:rsidRPr="00213857">
        <w:rPr>
          <w:rFonts w:ascii="Arial" w:hAnsi="Arial" w:cs="Arial"/>
          <w:color w:val="000000"/>
          <w:sz w:val="16"/>
          <w:szCs w:val="16"/>
        </w:rPr>
        <w:t xml:space="preserve">), the pooled standard mean difference was -0.20 (95% CI -0.26 - -0.14)  </w:t>
      </w:r>
    </w:p>
    <w:p w14:paraId="14EDE10E" w14:textId="77777777" w:rsidR="00D3318E" w:rsidRPr="00213857" w:rsidRDefault="00D3318E" w:rsidP="00D3318E">
      <w:pPr>
        <w:pStyle w:val="ListParagraph"/>
        <w:numPr>
          <w:ilvl w:val="0"/>
          <w:numId w:val="10"/>
        </w:numPr>
        <w:spacing w:after="200" w:line="276" w:lineRule="auto"/>
        <w:jc w:val="both"/>
        <w:rPr>
          <w:rFonts w:ascii="Arial" w:hAnsi="Arial" w:cs="Arial"/>
          <w:color w:val="000000"/>
          <w:sz w:val="16"/>
          <w:szCs w:val="16"/>
        </w:rPr>
      </w:pPr>
      <w:r w:rsidRPr="00213857">
        <w:rPr>
          <w:rFonts w:ascii="Arial" w:hAnsi="Arial" w:cs="Arial"/>
          <w:color w:val="000000"/>
          <w:sz w:val="16"/>
          <w:szCs w:val="16"/>
        </w:rPr>
        <w:t>The pooled effect of ACQ-6 evaluated at 16 weeks (</w:t>
      </w:r>
      <w:r>
        <w:rPr>
          <w:rFonts w:ascii="Arial" w:hAnsi="Arial" w:cs="Arial"/>
          <w:color w:val="000000"/>
          <w:sz w:val="16"/>
          <w:szCs w:val="16"/>
        </w:rPr>
        <w:t>44</w:t>
      </w:r>
      <w:r w:rsidRPr="00213857">
        <w:rPr>
          <w:rFonts w:ascii="Arial" w:hAnsi="Arial" w:cs="Arial"/>
          <w:color w:val="000000"/>
          <w:sz w:val="16"/>
          <w:szCs w:val="16"/>
        </w:rPr>
        <w:t>), 24-32 weeks (</w:t>
      </w:r>
      <w:r>
        <w:rPr>
          <w:rFonts w:ascii="Arial" w:hAnsi="Arial" w:cs="Arial"/>
          <w:color w:val="000000"/>
          <w:sz w:val="16"/>
          <w:szCs w:val="16"/>
        </w:rPr>
        <w:t>44</w:t>
      </w:r>
      <w:r w:rsidRPr="00213857">
        <w:rPr>
          <w:rFonts w:ascii="Arial" w:hAnsi="Arial" w:cs="Arial"/>
          <w:color w:val="000000"/>
          <w:sz w:val="16"/>
          <w:szCs w:val="16"/>
        </w:rPr>
        <w:t xml:space="preserve">, </w:t>
      </w:r>
      <w:r>
        <w:rPr>
          <w:rFonts w:ascii="Arial" w:hAnsi="Arial" w:cs="Arial"/>
          <w:color w:val="000000"/>
          <w:sz w:val="16"/>
          <w:szCs w:val="16"/>
        </w:rPr>
        <w:t>59</w:t>
      </w:r>
      <w:r w:rsidRPr="00213857">
        <w:rPr>
          <w:rFonts w:ascii="Arial" w:hAnsi="Arial" w:cs="Arial"/>
          <w:color w:val="000000"/>
          <w:sz w:val="16"/>
          <w:szCs w:val="16"/>
        </w:rPr>
        <w:t>), and at 52 weeks (</w:t>
      </w:r>
      <w:r>
        <w:rPr>
          <w:rFonts w:ascii="Arial" w:hAnsi="Arial" w:cs="Arial"/>
          <w:color w:val="000000"/>
          <w:sz w:val="16"/>
          <w:szCs w:val="16"/>
        </w:rPr>
        <w:t>56</w:t>
      </w:r>
      <w:r w:rsidRPr="00213857">
        <w:rPr>
          <w:rFonts w:ascii="Arial" w:hAnsi="Arial" w:cs="Arial"/>
          <w:color w:val="000000"/>
          <w:sz w:val="16"/>
          <w:szCs w:val="16"/>
        </w:rPr>
        <w:t xml:space="preserve">). </w:t>
      </w:r>
    </w:p>
    <w:p w14:paraId="04DF9721" w14:textId="77777777" w:rsidR="00D3318E" w:rsidRPr="00213857" w:rsidRDefault="00D3318E" w:rsidP="00D3318E">
      <w:pPr>
        <w:pStyle w:val="ListParagraph"/>
        <w:numPr>
          <w:ilvl w:val="0"/>
          <w:numId w:val="10"/>
        </w:numPr>
        <w:spacing w:after="200" w:line="276" w:lineRule="auto"/>
        <w:jc w:val="both"/>
        <w:rPr>
          <w:rFonts w:ascii="Arial" w:hAnsi="Arial" w:cs="Arial"/>
          <w:color w:val="000000"/>
          <w:sz w:val="16"/>
          <w:szCs w:val="16"/>
        </w:rPr>
      </w:pPr>
      <w:r w:rsidRPr="00213857">
        <w:rPr>
          <w:rFonts w:ascii="Arial" w:hAnsi="Arial" w:cs="Arial"/>
          <w:color w:val="000000"/>
          <w:sz w:val="16"/>
          <w:szCs w:val="16"/>
        </w:rPr>
        <w:t xml:space="preserve">Although there were a high I2 (67%.), this was influenced by only one study with low number of events. </w:t>
      </w:r>
    </w:p>
    <w:p w14:paraId="10B57394" w14:textId="77777777" w:rsidR="00D3318E" w:rsidRPr="00213857" w:rsidRDefault="00D3318E" w:rsidP="00D3318E">
      <w:pPr>
        <w:pStyle w:val="ListParagraph"/>
        <w:numPr>
          <w:ilvl w:val="0"/>
          <w:numId w:val="10"/>
        </w:numPr>
        <w:spacing w:after="200" w:line="276" w:lineRule="auto"/>
        <w:jc w:val="both"/>
        <w:rPr>
          <w:rFonts w:ascii="Arial" w:hAnsi="Arial" w:cs="Arial"/>
          <w:color w:val="000000"/>
          <w:sz w:val="16"/>
          <w:szCs w:val="16"/>
        </w:rPr>
      </w:pPr>
      <w:r w:rsidRPr="00213857">
        <w:rPr>
          <w:rFonts w:ascii="Arial" w:hAnsi="Arial" w:cs="Arial"/>
          <w:color w:val="000000"/>
          <w:sz w:val="16"/>
          <w:szCs w:val="16"/>
        </w:rPr>
        <w:t>The pooled data were assessed at 16 and 20 weeks (</w:t>
      </w:r>
      <w:r>
        <w:rPr>
          <w:rFonts w:ascii="Arial" w:hAnsi="Arial" w:cs="Arial"/>
          <w:color w:val="000000"/>
          <w:sz w:val="16"/>
          <w:szCs w:val="16"/>
        </w:rPr>
        <w:t>48</w:t>
      </w:r>
      <w:r w:rsidRPr="00213857">
        <w:rPr>
          <w:rFonts w:ascii="Arial" w:hAnsi="Arial" w:cs="Arial"/>
          <w:color w:val="000000"/>
          <w:sz w:val="16"/>
          <w:szCs w:val="16"/>
        </w:rPr>
        <w:t xml:space="preserve">, </w:t>
      </w:r>
      <w:r>
        <w:rPr>
          <w:rFonts w:ascii="Arial" w:hAnsi="Arial" w:cs="Arial"/>
          <w:color w:val="000000"/>
          <w:sz w:val="16"/>
          <w:szCs w:val="16"/>
        </w:rPr>
        <w:t>62</w:t>
      </w:r>
      <w:r w:rsidRPr="00213857">
        <w:rPr>
          <w:rFonts w:ascii="Arial" w:hAnsi="Arial" w:cs="Arial"/>
          <w:color w:val="000000"/>
          <w:sz w:val="16"/>
          <w:szCs w:val="16"/>
        </w:rPr>
        <w:t>), and 52 weeks (</w:t>
      </w:r>
      <w:r>
        <w:rPr>
          <w:rFonts w:ascii="Arial" w:hAnsi="Arial" w:cs="Arial"/>
          <w:color w:val="000000"/>
          <w:sz w:val="16"/>
          <w:szCs w:val="16"/>
        </w:rPr>
        <w:t>68</w:t>
      </w:r>
      <w:r w:rsidRPr="00213857">
        <w:rPr>
          <w:rFonts w:ascii="Arial" w:hAnsi="Arial" w:cs="Arial"/>
          <w:color w:val="000000"/>
          <w:sz w:val="16"/>
          <w:szCs w:val="16"/>
        </w:rPr>
        <w:t xml:space="preserve">); Other studies evaluated at 24-28 weeks. GETE evaluated by patients show that omalizumab is more effective than placebo, the risk ratio was 1.49 (1.26-1.77), see full text report. </w:t>
      </w:r>
    </w:p>
    <w:p w14:paraId="1C1FBD26" w14:textId="77777777" w:rsidR="00D3318E" w:rsidRPr="00213857" w:rsidRDefault="00D3318E" w:rsidP="00D3318E">
      <w:pPr>
        <w:pStyle w:val="ListParagraph"/>
        <w:numPr>
          <w:ilvl w:val="0"/>
          <w:numId w:val="10"/>
        </w:numPr>
        <w:spacing w:after="200" w:line="276" w:lineRule="auto"/>
        <w:jc w:val="both"/>
        <w:rPr>
          <w:rFonts w:ascii="Arial" w:hAnsi="Arial" w:cs="Arial"/>
          <w:color w:val="000000"/>
          <w:sz w:val="16"/>
          <w:szCs w:val="16"/>
        </w:rPr>
      </w:pPr>
      <w:r w:rsidRPr="00213857">
        <w:rPr>
          <w:rFonts w:ascii="Arial" w:hAnsi="Arial" w:cs="Arial"/>
          <w:color w:val="000000"/>
          <w:sz w:val="16"/>
          <w:szCs w:val="16"/>
        </w:rPr>
        <w:t xml:space="preserve">Statistically </w:t>
      </w:r>
      <w:r>
        <w:rPr>
          <w:rFonts w:ascii="Arial" w:hAnsi="Arial" w:cs="Arial"/>
          <w:color w:val="000000"/>
          <w:sz w:val="16"/>
          <w:szCs w:val="16"/>
        </w:rPr>
        <w:t xml:space="preserve">significant </w:t>
      </w:r>
      <w:r w:rsidRPr="00213857">
        <w:rPr>
          <w:rFonts w:ascii="Arial" w:hAnsi="Arial" w:cs="Arial"/>
          <w:color w:val="000000"/>
          <w:sz w:val="16"/>
          <w:szCs w:val="16"/>
        </w:rPr>
        <w:t xml:space="preserve">(I2=83%), but probably unimportant heterogeneity. </w:t>
      </w:r>
    </w:p>
    <w:p w14:paraId="08A8201E" w14:textId="77777777" w:rsidR="00D3318E" w:rsidRPr="00213857" w:rsidRDefault="00D3318E" w:rsidP="00D3318E">
      <w:pPr>
        <w:pStyle w:val="ListParagraph"/>
        <w:numPr>
          <w:ilvl w:val="0"/>
          <w:numId w:val="10"/>
        </w:numPr>
        <w:spacing w:after="200" w:line="276" w:lineRule="auto"/>
        <w:jc w:val="both"/>
        <w:rPr>
          <w:rFonts w:ascii="Arial" w:hAnsi="Arial" w:cs="Arial"/>
          <w:color w:val="000000"/>
          <w:sz w:val="16"/>
          <w:szCs w:val="16"/>
        </w:rPr>
      </w:pPr>
      <w:r w:rsidRPr="00213857">
        <w:rPr>
          <w:rFonts w:ascii="Arial" w:hAnsi="Arial" w:cs="Arial"/>
          <w:color w:val="000000"/>
          <w:sz w:val="16"/>
          <w:szCs w:val="16"/>
        </w:rPr>
        <w:t xml:space="preserve">The mean change of </w:t>
      </w:r>
      <w:r>
        <w:rPr>
          <w:rFonts w:ascii="Arial" w:hAnsi="Arial" w:cs="Arial"/>
          <w:color w:val="000000"/>
          <w:sz w:val="16"/>
          <w:szCs w:val="16"/>
        </w:rPr>
        <w:t>AQLQ</w:t>
      </w:r>
      <w:r w:rsidRPr="00213857">
        <w:rPr>
          <w:rFonts w:ascii="Arial" w:hAnsi="Arial" w:cs="Arial"/>
          <w:color w:val="000000"/>
          <w:sz w:val="16"/>
          <w:szCs w:val="16"/>
        </w:rPr>
        <w:t xml:space="preserve"> </w:t>
      </w:r>
      <w:r>
        <w:rPr>
          <w:rFonts w:ascii="Arial" w:hAnsi="Arial" w:cs="Arial"/>
          <w:color w:val="000000"/>
          <w:sz w:val="16"/>
          <w:szCs w:val="16"/>
        </w:rPr>
        <w:t>scores</w:t>
      </w:r>
      <w:r w:rsidRPr="00213857">
        <w:rPr>
          <w:rFonts w:ascii="Arial" w:hAnsi="Arial" w:cs="Arial"/>
          <w:color w:val="000000"/>
          <w:sz w:val="16"/>
          <w:szCs w:val="16"/>
        </w:rPr>
        <w:t xml:space="preserve"> was assessed by 7 studies, the pooled standard mean difference was 0,34 (95% IC 0.18-0.49) </w:t>
      </w:r>
    </w:p>
    <w:p w14:paraId="34E4D30D" w14:textId="77777777" w:rsidR="00D3318E" w:rsidRPr="00213857" w:rsidRDefault="00D3318E" w:rsidP="00D3318E">
      <w:pPr>
        <w:pStyle w:val="ListParagraph"/>
        <w:numPr>
          <w:ilvl w:val="0"/>
          <w:numId w:val="10"/>
        </w:numPr>
        <w:spacing w:after="200" w:line="276" w:lineRule="auto"/>
        <w:jc w:val="both"/>
        <w:rPr>
          <w:rFonts w:ascii="Arial" w:hAnsi="Arial" w:cs="Arial"/>
          <w:color w:val="000000"/>
          <w:sz w:val="16"/>
          <w:szCs w:val="16"/>
        </w:rPr>
      </w:pPr>
      <w:r w:rsidRPr="00213857">
        <w:rPr>
          <w:rFonts w:ascii="Arial" w:hAnsi="Arial" w:cs="Arial"/>
          <w:color w:val="000000"/>
          <w:sz w:val="16"/>
          <w:szCs w:val="16"/>
        </w:rPr>
        <w:t>Milgrom reported FEV1 in children (6-12 years old) for 28 weeks follow up</w:t>
      </w:r>
      <w:r>
        <w:rPr>
          <w:rFonts w:ascii="Arial" w:hAnsi="Arial" w:cs="Arial"/>
          <w:color w:val="000000"/>
          <w:sz w:val="16"/>
          <w:szCs w:val="16"/>
        </w:rPr>
        <w:t xml:space="preserve"> (64)</w:t>
      </w:r>
      <w:r w:rsidRPr="00213857">
        <w:rPr>
          <w:rFonts w:ascii="Arial" w:hAnsi="Arial" w:cs="Arial"/>
          <w:color w:val="000000"/>
          <w:sz w:val="16"/>
          <w:szCs w:val="16"/>
        </w:rPr>
        <w:t>. The Mean change from baseline was 93.9 mL in the omalizumab group and 28.3 mL in the placebo group. Lanier reported between group differences in FEV1 at week 48 and 52 in 40 ml (p=0.28) and 52 ml (p=0.16)</w:t>
      </w:r>
      <w:r>
        <w:rPr>
          <w:rFonts w:ascii="Arial" w:hAnsi="Arial" w:cs="Arial"/>
          <w:color w:val="000000"/>
          <w:sz w:val="16"/>
          <w:szCs w:val="16"/>
        </w:rPr>
        <w:t xml:space="preserve"> (41)</w:t>
      </w:r>
      <w:r w:rsidRPr="00213857">
        <w:rPr>
          <w:rFonts w:ascii="Arial" w:hAnsi="Arial" w:cs="Arial"/>
          <w:color w:val="000000"/>
          <w:sz w:val="16"/>
          <w:szCs w:val="16"/>
        </w:rPr>
        <w:t xml:space="preserve">. </w:t>
      </w:r>
    </w:p>
    <w:p w14:paraId="49815D62" w14:textId="77777777" w:rsidR="00D3318E" w:rsidRPr="00213857" w:rsidRDefault="00D3318E" w:rsidP="00D3318E">
      <w:pPr>
        <w:pStyle w:val="ListParagraph"/>
        <w:numPr>
          <w:ilvl w:val="0"/>
          <w:numId w:val="10"/>
        </w:numPr>
        <w:spacing w:after="200" w:line="276" w:lineRule="auto"/>
        <w:jc w:val="both"/>
        <w:rPr>
          <w:rFonts w:ascii="Arial" w:hAnsi="Arial" w:cs="Arial"/>
          <w:color w:val="000000"/>
          <w:sz w:val="16"/>
          <w:szCs w:val="16"/>
        </w:rPr>
      </w:pPr>
      <w:r w:rsidRPr="00213857">
        <w:rPr>
          <w:rFonts w:ascii="Arial" w:hAnsi="Arial" w:cs="Arial"/>
          <w:color w:val="000000"/>
          <w:sz w:val="16"/>
          <w:szCs w:val="16"/>
        </w:rPr>
        <w:t>Lung function was also reported as ratio FEV1/FVCx100. Busse reported the ratio in 77.5±0.38 in the interventio</w:t>
      </w:r>
      <w:r>
        <w:rPr>
          <w:rFonts w:ascii="Arial" w:hAnsi="Arial" w:cs="Arial"/>
          <w:color w:val="000000"/>
          <w:sz w:val="16"/>
          <w:szCs w:val="16"/>
        </w:rPr>
        <w:t>n</w:t>
      </w:r>
      <w:r w:rsidRPr="00213857">
        <w:rPr>
          <w:rFonts w:ascii="Arial" w:hAnsi="Arial" w:cs="Arial"/>
          <w:color w:val="000000"/>
          <w:sz w:val="16"/>
          <w:szCs w:val="16"/>
        </w:rPr>
        <w:t xml:space="preserve"> group and 77.3±0.36 in the placebo group</w:t>
      </w:r>
      <w:r>
        <w:rPr>
          <w:rFonts w:ascii="Arial" w:hAnsi="Arial" w:cs="Arial"/>
          <w:color w:val="000000"/>
          <w:sz w:val="16"/>
          <w:szCs w:val="16"/>
        </w:rPr>
        <w:t xml:space="preserve"> (63)</w:t>
      </w:r>
      <w:r w:rsidRPr="00213857">
        <w:rPr>
          <w:rFonts w:ascii="Arial" w:hAnsi="Arial" w:cs="Arial"/>
          <w:color w:val="000000"/>
          <w:sz w:val="16"/>
          <w:szCs w:val="16"/>
        </w:rPr>
        <w:t>. Milgrom also reported mean FVC in children (6-12 years old) for 28 weeks follow up. Mean FVC change from baseline was 132.7 in the omalizumab group and 132.7 mL in the placebo group at week 28</w:t>
      </w:r>
      <w:r>
        <w:rPr>
          <w:rFonts w:ascii="Arial" w:hAnsi="Arial" w:cs="Arial"/>
          <w:color w:val="000000"/>
          <w:sz w:val="16"/>
          <w:szCs w:val="16"/>
        </w:rPr>
        <w:t xml:space="preserve"> (64)</w:t>
      </w:r>
      <w:r w:rsidRPr="00213857">
        <w:rPr>
          <w:rFonts w:ascii="Arial" w:hAnsi="Arial" w:cs="Arial"/>
          <w:color w:val="000000"/>
          <w:sz w:val="16"/>
          <w:szCs w:val="16"/>
        </w:rPr>
        <w:t xml:space="preserve">. See full text report. </w:t>
      </w:r>
    </w:p>
    <w:p w14:paraId="02E85345" w14:textId="77777777" w:rsidR="00D3318E" w:rsidRPr="00213857" w:rsidRDefault="00D3318E" w:rsidP="00D3318E">
      <w:pPr>
        <w:pStyle w:val="ListParagraph"/>
        <w:numPr>
          <w:ilvl w:val="0"/>
          <w:numId w:val="10"/>
        </w:numPr>
        <w:spacing w:after="200" w:line="276" w:lineRule="auto"/>
        <w:jc w:val="both"/>
        <w:rPr>
          <w:rFonts w:ascii="Arial" w:hAnsi="Arial" w:cs="Arial"/>
          <w:color w:val="000000"/>
          <w:sz w:val="16"/>
          <w:szCs w:val="16"/>
        </w:rPr>
      </w:pPr>
      <w:r w:rsidRPr="00213857">
        <w:rPr>
          <w:rFonts w:ascii="Arial" w:hAnsi="Arial" w:cs="Arial"/>
          <w:color w:val="000000"/>
          <w:sz w:val="16"/>
          <w:szCs w:val="16"/>
        </w:rPr>
        <w:t>Downgraded because FEV1 and PEF are considered surrogate outcome</w:t>
      </w:r>
      <w:r>
        <w:rPr>
          <w:rFonts w:ascii="Arial" w:hAnsi="Arial" w:cs="Arial"/>
          <w:color w:val="000000"/>
          <w:sz w:val="16"/>
          <w:szCs w:val="16"/>
        </w:rPr>
        <w:t>s</w:t>
      </w:r>
      <w:r w:rsidRPr="00213857">
        <w:rPr>
          <w:rFonts w:ascii="Arial" w:hAnsi="Arial" w:cs="Arial"/>
          <w:color w:val="000000"/>
          <w:sz w:val="16"/>
          <w:szCs w:val="16"/>
        </w:rPr>
        <w:t xml:space="preserve"> </w:t>
      </w:r>
      <w:r>
        <w:rPr>
          <w:rFonts w:ascii="Arial" w:hAnsi="Arial" w:cs="Arial"/>
          <w:color w:val="000000"/>
          <w:sz w:val="16"/>
          <w:szCs w:val="16"/>
        </w:rPr>
        <w:t>for</w:t>
      </w:r>
      <w:r w:rsidRPr="00213857">
        <w:rPr>
          <w:rFonts w:ascii="Arial" w:hAnsi="Arial" w:cs="Arial"/>
          <w:color w:val="000000"/>
          <w:sz w:val="16"/>
          <w:szCs w:val="16"/>
        </w:rPr>
        <w:t xml:space="preserve"> asthma control, with a</w:t>
      </w:r>
      <w:r>
        <w:rPr>
          <w:rFonts w:ascii="Arial" w:hAnsi="Arial" w:cs="Arial"/>
          <w:color w:val="000000"/>
          <w:sz w:val="16"/>
          <w:szCs w:val="16"/>
        </w:rPr>
        <w:t>n</w:t>
      </w:r>
      <w:r w:rsidRPr="00213857">
        <w:rPr>
          <w:rFonts w:ascii="Arial" w:hAnsi="Arial" w:cs="Arial"/>
          <w:color w:val="000000"/>
          <w:sz w:val="16"/>
          <w:szCs w:val="16"/>
        </w:rPr>
        <w:t xml:space="preserve"> </w:t>
      </w:r>
      <w:r>
        <w:rPr>
          <w:rFonts w:ascii="Arial" w:hAnsi="Arial" w:cs="Arial"/>
          <w:color w:val="000000"/>
          <w:sz w:val="16"/>
          <w:szCs w:val="16"/>
        </w:rPr>
        <w:t>inconsistent</w:t>
      </w:r>
      <w:r w:rsidRPr="00213857">
        <w:rPr>
          <w:rFonts w:ascii="Arial" w:hAnsi="Arial" w:cs="Arial"/>
          <w:color w:val="000000"/>
          <w:sz w:val="16"/>
          <w:szCs w:val="16"/>
        </w:rPr>
        <w:t xml:space="preserve"> correlation with asthma symptoms (</w:t>
      </w:r>
      <w:r>
        <w:rPr>
          <w:rFonts w:ascii="Arial" w:hAnsi="Arial" w:cs="Arial"/>
          <w:color w:val="000000"/>
          <w:sz w:val="16"/>
          <w:szCs w:val="16"/>
        </w:rPr>
        <w:t>101</w:t>
      </w:r>
      <w:r w:rsidRPr="00213857">
        <w:rPr>
          <w:rFonts w:ascii="Arial" w:hAnsi="Arial" w:cs="Arial"/>
          <w:color w:val="000000"/>
          <w:sz w:val="16"/>
          <w:szCs w:val="16"/>
        </w:rPr>
        <w:t xml:space="preserve">). </w:t>
      </w:r>
    </w:p>
    <w:p w14:paraId="25CF294D" w14:textId="77777777" w:rsidR="00D3318E" w:rsidRPr="00213857" w:rsidRDefault="00D3318E" w:rsidP="00D3318E">
      <w:pPr>
        <w:pStyle w:val="ListParagraph"/>
        <w:numPr>
          <w:ilvl w:val="0"/>
          <w:numId w:val="10"/>
        </w:numPr>
        <w:spacing w:after="200" w:line="276" w:lineRule="auto"/>
        <w:jc w:val="both"/>
        <w:rPr>
          <w:rFonts w:ascii="Arial" w:hAnsi="Arial" w:cs="Arial"/>
          <w:color w:val="000000"/>
          <w:sz w:val="16"/>
          <w:szCs w:val="16"/>
        </w:rPr>
      </w:pPr>
      <w:r w:rsidRPr="00213857">
        <w:rPr>
          <w:rFonts w:ascii="Arial" w:hAnsi="Arial" w:cs="Arial"/>
          <w:color w:val="000000"/>
          <w:sz w:val="16"/>
          <w:szCs w:val="16"/>
        </w:rPr>
        <w:t>The minimal important difference (MID) for FEV1 is 0.20 L (</w:t>
      </w:r>
      <w:r>
        <w:rPr>
          <w:rFonts w:ascii="Arial" w:hAnsi="Arial" w:cs="Arial"/>
          <w:color w:val="000000"/>
          <w:sz w:val="16"/>
          <w:szCs w:val="16"/>
        </w:rPr>
        <w:t xml:space="preserve">Guidelines Development Group </w:t>
      </w:r>
      <w:r w:rsidRPr="00213857">
        <w:rPr>
          <w:rFonts w:ascii="Arial" w:hAnsi="Arial" w:cs="Arial"/>
          <w:color w:val="000000"/>
          <w:sz w:val="16"/>
          <w:szCs w:val="16"/>
        </w:rPr>
        <w:t xml:space="preserve">consensus). </w:t>
      </w:r>
    </w:p>
    <w:p w14:paraId="17704166" w14:textId="77777777" w:rsidR="00D3318E" w:rsidRPr="00213857" w:rsidRDefault="00D3318E" w:rsidP="00D3318E">
      <w:pPr>
        <w:pStyle w:val="ListParagraph"/>
        <w:numPr>
          <w:ilvl w:val="0"/>
          <w:numId w:val="10"/>
        </w:numPr>
        <w:spacing w:after="200" w:line="276" w:lineRule="auto"/>
        <w:jc w:val="both"/>
        <w:rPr>
          <w:rFonts w:ascii="Arial" w:hAnsi="Arial" w:cs="Arial"/>
          <w:color w:val="000000"/>
          <w:sz w:val="16"/>
          <w:szCs w:val="16"/>
        </w:rPr>
      </w:pPr>
      <w:r w:rsidRPr="00213857">
        <w:rPr>
          <w:rFonts w:ascii="Arial" w:hAnsi="Arial" w:cs="Arial"/>
          <w:color w:val="000000"/>
          <w:sz w:val="16"/>
          <w:szCs w:val="16"/>
        </w:rPr>
        <w:t>Included studies were all funded by industry, and all showed positive results. One observational study showed similar results (</w:t>
      </w:r>
      <w:r>
        <w:rPr>
          <w:rFonts w:ascii="Arial" w:hAnsi="Arial" w:cs="Arial"/>
          <w:color w:val="000000"/>
          <w:sz w:val="16"/>
          <w:szCs w:val="16"/>
        </w:rPr>
        <w:t>102</w:t>
      </w:r>
      <w:r w:rsidRPr="00213857">
        <w:rPr>
          <w:rFonts w:ascii="Arial" w:hAnsi="Arial" w:cs="Arial"/>
          <w:color w:val="000000"/>
          <w:sz w:val="16"/>
          <w:szCs w:val="16"/>
        </w:rPr>
        <w:t xml:space="preserve">), therefore, we did not downgrade for potential publication bias. </w:t>
      </w:r>
    </w:p>
    <w:p w14:paraId="4889A90A" w14:textId="77777777" w:rsidR="00D3318E" w:rsidRPr="00213857" w:rsidRDefault="00D3318E" w:rsidP="00D3318E">
      <w:pPr>
        <w:pStyle w:val="ListParagraph"/>
        <w:numPr>
          <w:ilvl w:val="0"/>
          <w:numId w:val="10"/>
        </w:numPr>
        <w:spacing w:after="200" w:line="276" w:lineRule="auto"/>
        <w:jc w:val="both"/>
        <w:rPr>
          <w:rFonts w:ascii="Arial" w:hAnsi="Arial" w:cs="Arial"/>
          <w:color w:val="000000"/>
          <w:sz w:val="16"/>
          <w:szCs w:val="16"/>
        </w:rPr>
      </w:pPr>
      <w:r w:rsidRPr="00213857">
        <w:rPr>
          <w:rFonts w:ascii="Arial" w:hAnsi="Arial" w:cs="Arial"/>
          <w:color w:val="000000"/>
          <w:sz w:val="16"/>
          <w:szCs w:val="16"/>
        </w:rPr>
        <w:lastRenderedPageBreak/>
        <w:t xml:space="preserve">The predicted value for pre-bronchodilator FEV1 was assessed by 6 studies, the pooled standard mean difference was 1.05 (95% CI 0.35-1.75), see full text report. </w:t>
      </w:r>
    </w:p>
    <w:p w14:paraId="6426CD4E" w14:textId="77777777" w:rsidR="00D3318E" w:rsidRPr="00213857" w:rsidRDefault="00D3318E" w:rsidP="00D3318E">
      <w:pPr>
        <w:pStyle w:val="ListParagraph"/>
        <w:numPr>
          <w:ilvl w:val="0"/>
          <w:numId w:val="10"/>
        </w:numPr>
        <w:spacing w:after="200" w:line="276" w:lineRule="auto"/>
        <w:jc w:val="both"/>
        <w:rPr>
          <w:rFonts w:ascii="Arial" w:hAnsi="Arial" w:cs="Arial"/>
          <w:color w:val="000000"/>
          <w:sz w:val="16"/>
          <w:szCs w:val="16"/>
        </w:rPr>
      </w:pPr>
      <w:r w:rsidRPr="00213857">
        <w:rPr>
          <w:rFonts w:ascii="Arial" w:hAnsi="Arial" w:cs="Arial"/>
          <w:color w:val="000000"/>
          <w:sz w:val="16"/>
          <w:szCs w:val="16"/>
        </w:rPr>
        <w:t xml:space="preserve">Milgrom 2001 reported PEFR in children (6-12 years old) with 28 weeks of follow up. Mean morning PEFR change from baseline was 8.5 L/min in the omalizumab group, and 1 L/min in the placebo group at week 28) </w:t>
      </w:r>
    </w:p>
    <w:p w14:paraId="3F9F2006" w14:textId="77777777" w:rsidR="00D3318E" w:rsidRPr="00213857" w:rsidRDefault="00D3318E" w:rsidP="00D3318E">
      <w:pPr>
        <w:pStyle w:val="ListParagraph"/>
        <w:numPr>
          <w:ilvl w:val="0"/>
          <w:numId w:val="10"/>
        </w:numPr>
        <w:spacing w:after="200" w:line="276" w:lineRule="auto"/>
        <w:jc w:val="both"/>
        <w:rPr>
          <w:rFonts w:ascii="Arial" w:hAnsi="Arial" w:cs="Arial"/>
          <w:color w:val="000000"/>
          <w:sz w:val="16"/>
          <w:szCs w:val="16"/>
        </w:rPr>
      </w:pPr>
      <w:r w:rsidRPr="00213857">
        <w:rPr>
          <w:rFonts w:ascii="Arial" w:hAnsi="Arial" w:cs="Arial"/>
          <w:color w:val="000000"/>
          <w:sz w:val="16"/>
          <w:szCs w:val="16"/>
        </w:rPr>
        <w:t>Average MID is 18.8L/min (</w:t>
      </w:r>
      <w:r>
        <w:rPr>
          <w:rFonts w:ascii="Arial" w:hAnsi="Arial" w:cs="Arial"/>
          <w:color w:val="000000"/>
          <w:sz w:val="16"/>
          <w:szCs w:val="16"/>
        </w:rPr>
        <w:t>30</w:t>
      </w:r>
      <w:r w:rsidRPr="00213857">
        <w:rPr>
          <w:rFonts w:ascii="Arial" w:hAnsi="Arial" w:cs="Arial"/>
          <w:color w:val="000000"/>
          <w:sz w:val="16"/>
          <w:szCs w:val="16"/>
        </w:rPr>
        <w:t xml:space="preserve">) </w:t>
      </w:r>
    </w:p>
    <w:p w14:paraId="569C553A" w14:textId="77777777" w:rsidR="00D3318E" w:rsidRPr="00213857" w:rsidRDefault="00D3318E" w:rsidP="00D3318E">
      <w:pPr>
        <w:pStyle w:val="ListParagraph"/>
        <w:numPr>
          <w:ilvl w:val="0"/>
          <w:numId w:val="10"/>
        </w:numPr>
        <w:spacing w:after="200" w:line="276" w:lineRule="auto"/>
        <w:jc w:val="both"/>
        <w:rPr>
          <w:rFonts w:ascii="Arial" w:hAnsi="Arial" w:cs="Arial"/>
          <w:color w:val="000000"/>
          <w:sz w:val="16"/>
          <w:szCs w:val="16"/>
        </w:rPr>
      </w:pPr>
      <w:r w:rsidRPr="00213857">
        <w:rPr>
          <w:rFonts w:ascii="Arial" w:hAnsi="Arial" w:cs="Arial"/>
          <w:color w:val="000000"/>
          <w:sz w:val="16"/>
          <w:szCs w:val="16"/>
        </w:rPr>
        <w:t>High heterogeneity (91%)</w:t>
      </w:r>
      <w:r>
        <w:rPr>
          <w:rFonts w:ascii="Arial" w:hAnsi="Arial" w:cs="Arial"/>
          <w:color w:val="000000"/>
          <w:sz w:val="16"/>
          <w:szCs w:val="16"/>
        </w:rPr>
        <w:t>;</w:t>
      </w:r>
      <w:r w:rsidRPr="00213857">
        <w:rPr>
          <w:rFonts w:ascii="Arial" w:hAnsi="Arial" w:cs="Arial"/>
          <w:color w:val="000000"/>
          <w:sz w:val="16"/>
          <w:szCs w:val="16"/>
        </w:rPr>
        <w:t xml:space="preserve"> Not downgraded as all effects favour intervention. </w:t>
      </w:r>
    </w:p>
    <w:p w14:paraId="467E841C" w14:textId="77777777" w:rsidR="00D3318E" w:rsidRPr="00213857" w:rsidRDefault="00D3318E" w:rsidP="00D3318E">
      <w:pPr>
        <w:pStyle w:val="ListParagraph"/>
        <w:numPr>
          <w:ilvl w:val="0"/>
          <w:numId w:val="10"/>
        </w:numPr>
        <w:spacing w:after="200" w:line="276" w:lineRule="auto"/>
        <w:jc w:val="both"/>
        <w:rPr>
          <w:rFonts w:ascii="Arial" w:hAnsi="Arial" w:cs="Arial"/>
          <w:color w:val="000000"/>
          <w:sz w:val="16"/>
          <w:szCs w:val="16"/>
        </w:rPr>
      </w:pPr>
      <w:r w:rsidRPr="00213857">
        <w:rPr>
          <w:rFonts w:ascii="Arial" w:hAnsi="Arial" w:cs="Arial"/>
          <w:color w:val="000000"/>
          <w:sz w:val="16"/>
          <w:szCs w:val="16"/>
        </w:rPr>
        <w:t>For rescue medication use</w:t>
      </w:r>
      <w:r>
        <w:rPr>
          <w:rFonts w:ascii="Arial" w:hAnsi="Arial" w:cs="Arial"/>
          <w:color w:val="000000"/>
          <w:sz w:val="16"/>
          <w:szCs w:val="16"/>
        </w:rPr>
        <w:t xml:space="preserve"> </w:t>
      </w:r>
      <w:r w:rsidRPr="00213857">
        <w:rPr>
          <w:rFonts w:ascii="Arial" w:hAnsi="Arial" w:cs="Arial"/>
          <w:color w:val="000000"/>
          <w:sz w:val="16"/>
          <w:szCs w:val="16"/>
        </w:rPr>
        <w:t xml:space="preserve">MID is </w:t>
      </w:r>
      <w:r>
        <w:rPr>
          <w:rFonts w:ascii="Arial" w:hAnsi="Arial" w:cs="Arial"/>
          <w:color w:val="000000"/>
          <w:sz w:val="16"/>
          <w:szCs w:val="16"/>
        </w:rPr>
        <w:t>the</w:t>
      </w:r>
      <w:r w:rsidRPr="00213857">
        <w:rPr>
          <w:rFonts w:ascii="Arial" w:hAnsi="Arial" w:cs="Arial"/>
          <w:color w:val="000000"/>
          <w:sz w:val="16"/>
          <w:szCs w:val="16"/>
        </w:rPr>
        <w:t xml:space="preserve"> reduction by 0.81 puffs/day (</w:t>
      </w:r>
      <w:r>
        <w:rPr>
          <w:rFonts w:ascii="Arial" w:hAnsi="Arial" w:cs="Arial"/>
          <w:color w:val="000000"/>
          <w:sz w:val="16"/>
          <w:szCs w:val="16"/>
        </w:rPr>
        <w:t>30</w:t>
      </w:r>
      <w:r w:rsidRPr="00213857">
        <w:rPr>
          <w:rFonts w:ascii="Arial" w:hAnsi="Arial" w:cs="Arial"/>
          <w:color w:val="000000"/>
          <w:sz w:val="16"/>
          <w:szCs w:val="16"/>
        </w:rPr>
        <w:t xml:space="preserve">) </w:t>
      </w:r>
    </w:p>
    <w:p w14:paraId="7E9F118A" w14:textId="77777777" w:rsidR="00D3318E" w:rsidRPr="00213857" w:rsidRDefault="00D3318E" w:rsidP="00D3318E">
      <w:pPr>
        <w:pStyle w:val="ListParagraph"/>
        <w:numPr>
          <w:ilvl w:val="0"/>
          <w:numId w:val="10"/>
        </w:numPr>
        <w:spacing w:after="200" w:line="276" w:lineRule="auto"/>
        <w:jc w:val="both"/>
        <w:rPr>
          <w:rFonts w:ascii="Arial" w:hAnsi="Arial" w:cs="Arial"/>
          <w:color w:val="000000"/>
          <w:sz w:val="16"/>
          <w:szCs w:val="16"/>
        </w:rPr>
      </w:pPr>
      <w:r w:rsidRPr="00213857">
        <w:rPr>
          <w:rFonts w:ascii="Arial" w:hAnsi="Arial" w:cs="Arial"/>
          <w:color w:val="000000"/>
          <w:sz w:val="16"/>
          <w:szCs w:val="16"/>
        </w:rPr>
        <w:t xml:space="preserve">Statistically significant (68% (p=0.004)) but probably unimportant heterogeneity. </w:t>
      </w:r>
    </w:p>
    <w:p w14:paraId="3770E680" w14:textId="77777777" w:rsidR="00D3318E" w:rsidRPr="00213857" w:rsidRDefault="00D3318E" w:rsidP="00D3318E">
      <w:pPr>
        <w:pStyle w:val="ListParagraph"/>
        <w:numPr>
          <w:ilvl w:val="0"/>
          <w:numId w:val="10"/>
        </w:numPr>
        <w:spacing w:after="200" w:line="276" w:lineRule="auto"/>
        <w:jc w:val="both"/>
        <w:rPr>
          <w:rFonts w:ascii="Arial" w:hAnsi="Arial" w:cs="Arial"/>
          <w:color w:val="000000"/>
          <w:sz w:val="16"/>
          <w:szCs w:val="16"/>
        </w:rPr>
      </w:pPr>
      <w:r w:rsidRPr="00213857">
        <w:rPr>
          <w:rFonts w:ascii="Arial" w:hAnsi="Arial" w:cs="Arial"/>
          <w:color w:val="000000"/>
          <w:sz w:val="16"/>
          <w:szCs w:val="16"/>
        </w:rPr>
        <w:t>The MID of FeNO change from baseline is more than 10ppb (</w:t>
      </w:r>
      <w:r>
        <w:rPr>
          <w:rFonts w:ascii="Arial" w:hAnsi="Arial" w:cs="Arial"/>
          <w:color w:val="000000"/>
          <w:sz w:val="16"/>
          <w:szCs w:val="16"/>
        </w:rPr>
        <w:t>33</w:t>
      </w:r>
      <w:r w:rsidRPr="00213857">
        <w:rPr>
          <w:rFonts w:ascii="Arial" w:hAnsi="Arial" w:cs="Arial"/>
          <w:color w:val="000000"/>
          <w:sz w:val="16"/>
          <w:szCs w:val="16"/>
        </w:rPr>
        <w:t xml:space="preserve">). </w:t>
      </w:r>
    </w:p>
    <w:p w14:paraId="014790A6" w14:textId="77777777" w:rsidR="00D3318E" w:rsidRPr="00213857" w:rsidRDefault="00D3318E" w:rsidP="00D3318E">
      <w:pPr>
        <w:pStyle w:val="ListParagraph"/>
        <w:numPr>
          <w:ilvl w:val="0"/>
          <w:numId w:val="10"/>
        </w:numPr>
        <w:spacing w:after="200" w:line="276" w:lineRule="auto"/>
        <w:jc w:val="both"/>
        <w:rPr>
          <w:rFonts w:ascii="Arial" w:hAnsi="Arial" w:cs="Arial"/>
          <w:color w:val="000000"/>
          <w:sz w:val="16"/>
          <w:szCs w:val="16"/>
        </w:rPr>
      </w:pPr>
      <w:r w:rsidRPr="00213857">
        <w:rPr>
          <w:rFonts w:ascii="Arial" w:hAnsi="Arial" w:cs="Arial"/>
          <w:color w:val="000000"/>
          <w:sz w:val="16"/>
          <w:szCs w:val="16"/>
        </w:rPr>
        <w:t>Downgraded because FeN</w:t>
      </w:r>
      <w:r>
        <w:rPr>
          <w:rFonts w:ascii="Arial" w:hAnsi="Arial" w:cs="Arial"/>
          <w:color w:val="000000"/>
          <w:sz w:val="16"/>
          <w:szCs w:val="16"/>
        </w:rPr>
        <w:t>O</w:t>
      </w:r>
      <w:r w:rsidRPr="00213857">
        <w:rPr>
          <w:rFonts w:ascii="Arial" w:hAnsi="Arial" w:cs="Arial"/>
          <w:color w:val="000000"/>
          <w:sz w:val="16"/>
          <w:szCs w:val="16"/>
        </w:rPr>
        <w:t xml:space="preserve"> is not consistently considered a good surrogate of </w:t>
      </w:r>
      <w:r>
        <w:rPr>
          <w:rFonts w:ascii="Arial" w:hAnsi="Arial" w:cs="Arial"/>
          <w:color w:val="000000"/>
          <w:sz w:val="16"/>
          <w:szCs w:val="16"/>
        </w:rPr>
        <w:t xml:space="preserve">asthmatic </w:t>
      </w:r>
      <w:r w:rsidRPr="00213857">
        <w:rPr>
          <w:rFonts w:ascii="Arial" w:hAnsi="Arial" w:cs="Arial"/>
          <w:color w:val="000000"/>
          <w:sz w:val="16"/>
          <w:szCs w:val="16"/>
        </w:rPr>
        <w:t>inflammation (</w:t>
      </w:r>
      <w:r>
        <w:rPr>
          <w:rFonts w:ascii="Arial" w:hAnsi="Arial" w:cs="Arial"/>
          <w:color w:val="000000"/>
          <w:sz w:val="16"/>
          <w:szCs w:val="16"/>
        </w:rPr>
        <w:t>105</w:t>
      </w:r>
      <w:r w:rsidRPr="00213857">
        <w:rPr>
          <w:rFonts w:ascii="Arial" w:hAnsi="Arial" w:cs="Arial"/>
          <w:color w:val="000000"/>
          <w:sz w:val="16"/>
          <w:szCs w:val="16"/>
        </w:rPr>
        <w:t xml:space="preserve">, </w:t>
      </w:r>
      <w:r>
        <w:rPr>
          <w:rFonts w:ascii="Arial" w:hAnsi="Arial" w:cs="Arial"/>
          <w:color w:val="000000"/>
          <w:sz w:val="16"/>
          <w:szCs w:val="16"/>
        </w:rPr>
        <w:t>106</w:t>
      </w:r>
      <w:r w:rsidRPr="00213857">
        <w:rPr>
          <w:rFonts w:ascii="Arial" w:hAnsi="Arial" w:cs="Arial"/>
          <w:color w:val="000000"/>
          <w:sz w:val="16"/>
          <w:szCs w:val="16"/>
        </w:rPr>
        <w:t xml:space="preserve">) </w:t>
      </w:r>
    </w:p>
    <w:p w14:paraId="3184E31B" w14:textId="7E3E0032" w:rsidR="00D3318E" w:rsidRDefault="00D3318E" w:rsidP="00D3318E">
      <w:pPr>
        <w:pStyle w:val="ListParagraph"/>
        <w:numPr>
          <w:ilvl w:val="0"/>
          <w:numId w:val="10"/>
        </w:numPr>
        <w:spacing w:after="200" w:line="276" w:lineRule="auto"/>
        <w:jc w:val="both"/>
        <w:rPr>
          <w:rFonts w:ascii="Arial" w:hAnsi="Arial" w:cs="Arial"/>
          <w:color w:val="000000"/>
          <w:sz w:val="16"/>
          <w:szCs w:val="16"/>
        </w:rPr>
      </w:pPr>
      <w:r w:rsidRPr="00213857">
        <w:rPr>
          <w:rFonts w:ascii="Arial" w:hAnsi="Arial" w:cs="Arial"/>
          <w:color w:val="000000"/>
          <w:sz w:val="16"/>
          <w:szCs w:val="16"/>
        </w:rPr>
        <w:t>FeNO change was reported according to IgE level by one study (</w:t>
      </w:r>
      <w:r>
        <w:rPr>
          <w:rFonts w:ascii="Arial" w:hAnsi="Arial" w:cs="Arial"/>
          <w:color w:val="000000"/>
          <w:sz w:val="16"/>
          <w:szCs w:val="16"/>
        </w:rPr>
        <w:t>64</w:t>
      </w:r>
      <w:r w:rsidRPr="00213857">
        <w:rPr>
          <w:rFonts w:ascii="Arial" w:hAnsi="Arial" w:cs="Arial"/>
          <w:color w:val="000000"/>
          <w:sz w:val="16"/>
          <w:szCs w:val="16"/>
        </w:rPr>
        <w:t xml:space="preserve">). The median percentage change was -7.2 (for IgE 30-300 IU/ml) and -16 (for IgE 700–2,000 IU/ml) in the Omalizumab group and 64 in the placebo group. </w:t>
      </w:r>
    </w:p>
    <w:p w14:paraId="4D145F64" w14:textId="630852F4" w:rsidR="00D3318E" w:rsidRPr="0033289E" w:rsidRDefault="0033289E" w:rsidP="00D3318E">
      <w:pPr>
        <w:pStyle w:val="ListParagraph"/>
        <w:numPr>
          <w:ilvl w:val="0"/>
          <w:numId w:val="10"/>
        </w:numPr>
        <w:spacing w:after="200" w:line="276" w:lineRule="auto"/>
        <w:jc w:val="both"/>
        <w:rPr>
          <w:rFonts w:ascii="Arial" w:hAnsi="Arial" w:cs="Arial"/>
          <w:color w:val="000000"/>
          <w:sz w:val="16"/>
          <w:szCs w:val="16"/>
        </w:rPr>
      </w:pPr>
      <w:r w:rsidRPr="0058276D">
        <w:rPr>
          <w:rFonts w:ascii="Arial" w:hAnsi="Arial" w:cs="Arial"/>
          <w:color w:val="000000"/>
          <w:sz w:val="16"/>
          <w:szCs w:val="16"/>
        </w:rPr>
        <w:t>The effect may both be harmful or beneficial</w:t>
      </w:r>
    </w:p>
    <w:p w14:paraId="0DA1DCB1" w14:textId="16D4D6B8" w:rsidR="002D745B" w:rsidRPr="0033289E" w:rsidRDefault="0033289E" w:rsidP="002D745B">
      <w:pPr>
        <w:jc w:val="both"/>
        <w:rPr>
          <w:rFonts w:ascii="Arial" w:hAnsi="Arial" w:cs="Arial"/>
          <w:sz w:val="20"/>
          <w:szCs w:val="20"/>
        </w:rPr>
      </w:pPr>
      <w:r w:rsidRPr="0033289E">
        <w:rPr>
          <w:rFonts w:ascii="Arial" w:hAnsi="Arial" w:cs="Arial"/>
          <w:b/>
          <w:sz w:val="20"/>
          <w:szCs w:val="20"/>
        </w:rPr>
        <w:t>Table S</w:t>
      </w:r>
      <w:r w:rsidR="002D745B" w:rsidRPr="0033289E">
        <w:rPr>
          <w:rFonts w:ascii="Arial" w:hAnsi="Arial" w:cs="Arial"/>
          <w:b/>
          <w:sz w:val="20"/>
          <w:szCs w:val="20"/>
        </w:rPr>
        <w:t xml:space="preserve"> </w:t>
      </w:r>
      <w:r w:rsidRPr="0033289E">
        <w:rPr>
          <w:rFonts w:ascii="Arial" w:hAnsi="Arial" w:cs="Arial"/>
          <w:b/>
          <w:sz w:val="20"/>
          <w:szCs w:val="20"/>
        </w:rPr>
        <w:t>4</w:t>
      </w:r>
      <w:r w:rsidR="002D745B" w:rsidRPr="0033289E">
        <w:rPr>
          <w:rFonts w:ascii="Arial" w:hAnsi="Arial" w:cs="Arial"/>
          <w:b/>
          <w:sz w:val="20"/>
          <w:szCs w:val="20"/>
        </w:rPr>
        <w:t>3</w:t>
      </w:r>
      <w:r w:rsidR="002D745B" w:rsidRPr="0033289E">
        <w:rPr>
          <w:rFonts w:ascii="Arial" w:hAnsi="Arial" w:cs="Arial"/>
          <w:sz w:val="20"/>
          <w:szCs w:val="20"/>
        </w:rPr>
        <w:t xml:space="preserve">: </w:t>
      </w:r>
      <w:r w:rsidRPr="0033289E">
        <w:rPr>
          <w:rFonts w:ascii="Arial" w:hAnsi="Arial" w:cs="Arial"/>
          <w:sz w:val="20"/>
          <w:szCs w:val="20"/>
        </w:rPr>
        <w:t>Economical evaluation of o</w:t>
      </w:r>
      <w:r w:rsidR="002D745B" w:rsidRPr="0033289E">
        <w:rPr>
          <w:rFonts w:ascii="Arial" w:hAnsi="Arial" w:cs="Arial"/>
          <w:sz w:val="20"/>
          <w:szCs w:val="20"/>
        </w:rPr>
        <w:t>malizumab in addition to standard therapy vs. standard therapy</w:t>
      </w:r>
      <w:r w:rsidRPr="0033289E">
        <w:rPr>
          <w:rFonts w:ascii="Arial" w:hAnsi="Arial" w:cs="Arial"/>
          <w:sz w:val="20"/>
          <w:szCs w:val="20"/>
        </w:rPr>
        <w:t xml:space="preserve"> for severe allergic asthma</w:t>
      </w:r>
    </w:p>
    <w:tbl>
      <w:tblPr>
        <w:tblW w:w="5000" w:type="pct"/>
        <w:jc w:val="center"/>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0A0" w:firstRow="1" w:lastRow="0" w:firstColumn="1" w:lastColumn="0" w:noHBand="0" w:noVBand="0"/>
      </w:tblPr>
      <w:tblGrid>
        <w:gridCol w:w="785"/>
        <w:gridCol w:w="1129"/>
        <w:gridCol w:w="1108"/>
        <w:gridCol w:w="1218"/>
        <w:gridCol w:w="1121"/>
        <w:gridCol w:w="1049"/>
        <w:gridCol w:w="1024"/>
        <w:gridCol w:w="1594"/>
        <w:gridCol w:w="1764"/>
        <w:gridCol w:w="1573"/>
        <w:gridCol w:w="1057"/>
      </w:tblGrid>
      <w:tr w:rsidR="002D745B" w:rsidRPr="00F87E48" w14:paraId="411C6057" w14:textId="77777777" w:rsidTr="00E350F6">
        <w:trPr>
          <w:cantSplit/>
          <w:trHeight w:val="222"/>
          <w:tblHeader/>
          <w:jc w:val="center"/>
        </w:trPr>
        <w:tc>
          <w:tcPr>
            <w:tcW w:w="2766" w:type="pct"/>
            <w:gridSpan w:val="7"/>
            <w:tcBorders>
              <w:top w:val="single" w:sz="6" w:space="0" w:color="000000"/>
              <w:bottom w:val="single" w:sz="6" w:space="0" w:color="000000"/>
              <w:right w:val="single" w:sz="6" w:space="0" w:color="000000"/>
            </w:tcBorders>
            <w:shd w:val="clear" w:color="auto" w:fill="DDDDDD"/>
          </w:tcPr>
          <w:p w14:paraId="159C3776" w14:textId="77777777"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b/>
                <w:bCs/>
                <w:sz w:val="16"/>
                <w:szCs w:val="16"/>
              </w:rPr>
              <w:t>Quality assessment</w:t>
            </w:r>
          </w:p>
        </w:tc>
        <w:tc>
          <w:tcPr>
            <w:tcW w:w="1876" w:type="pct"/>
            <w:gridSpan w:val="3"/>
            <w:tcBorders>
              <w:top w:val="single" w:sz="6" w:space="0" w:color="000000"/>
              <w:left w:val="single" w:sz="6" w:space="0" w:color="000000"/>
              <w:bottom w:val="single" w:sz="6" w:space="0" w:color="000000"/>
              <w:right w:val="single" w:sz="6" w:space="0" w:color="000000"/>
            </w:tcBorders>
            <w:shd w:val="clear" w:color="auto" w:fill="DDDDDD"/>
          </w:tcPr>
          <w:p w14:paraId="25087672" w14:textId="77777777"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b/>
                <w:bCs/>
                <w:sz w:val="16"/>
                <w:szCs w:val="16"/>
              </w:rPr>
              <w:t>Summary of resources and costs</w:t>
            </w:r>
          </w:p>
        </w:tc>
        <w:tc>
          <w:tcPr>
            <w:tcW w:w="358" w:type="pct"/>
            <w:vMerge w:val="restart"/>
            <w:tcBorders>
              <w:top w:val="single" w:sz="6" w:space="0" w:color="000000"/>
              <w:left w:val="single" w:sz="6" w:space="0" w:color="000000"/>
            </w:tcBorders>
            <w:shd w:val="clear" w:color="auto" w:fill="DDDDDD"/>
          </w:tcPr>
          <w:p w14:paraId="50B4BF51" w14:textId="77777777"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b/>
                <w:bCs/>
                <w:sz w:val="16"/>
                <w:szCs w:val="16"/>
              </w:rPr>
              <w:t>Quality</w:t>
            </w:r>
          </w:p>
        </w:tc>
      </w:tr>
      <w:tr w:rsidR="002D745B" w:rsidRPr="00F87E48" w14:paraId="60A04E5E" w14:textId="77777777" w:rsidTr="00E350F6">
        <w:trPr>
          <w:cantSplit/>
          <w:trHeight w:val="519"/>
          <w:tblHeader/>
          <w:jc w:val="center"/>
        </w:trPr>
        <w:tc>
          <w:tcPr>
            <w:tcW w:w="306" w:type="pct"/>
            <w:tcBorders>
              <w:top w:val="single" w:sz="6" w:space="0" w:color="000000"/>
              <w:bottom w:val="single" w:sz="6" w:space="0" w:color="000000"/>
              <w:right w:val="single" w:sz="6" w:space="0" w:color="000000"/>
            </w:tcBorders>
            <w:shd w:val="clear" w:color="auto" w:fill="DDDDDD"/>
          </w:tcPr>
          <w:p w14:paraId="78A8C23E" w14:textId="77777777"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b/>
                <w:bCs/>
                <w:sz w:val="16"/>
                <w:szCs w:val="16"/>
              </w:rPr>
              <w:t>Nº. of studies</w:t>
            </w:r>
          </w:p>
        </w:tc>
        <w:tc>
          <w:tcPr>
            <w:tcW w:w="414" w:type="pct"/>
            <w:tcBorders>
              <w:top w:val="single" w:sz="6" w:space="0" w:color="000000"/>
              <w:left w:val="single" w:sz="6" w:space="0" w:color="000000"/>
              <w:bottom w:val="single" w:sz="6" w:space="0" w:color="000000"/>
              <w:right w:val="single" w:sz="6" w:space="0" w:color="000000"/>
            </w:tcBorders>
            <w:shd w:val="clear" w:color="auto" w:fill="DDDDDD"/>
          </w:tcPr>
          <w:p w14:paraId="7D30C027" w14:textId="77777777"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b/>
                <w:bCs/>
                <w:sz w:val="16"/>
                <w:szCs w:val="16"/>
              </w:rPr>
              <w:t>Study design</w:t>
            </w:r>
          </w:p>
        </w:tc>
        <w:tc>
          <w:tcPr>
            <w:tcW w:w="426" w:type="pct"/>
            <w:tcBorders>
              <w:top w:val="single" w:sz="6" w:space="0" w:color="000000"/>
              <w:left w:val="single" w:sz="6" w:space="0" w:color="000000"/>
              <w:bottom w:val="single" w:sz="6" w:space="0" w:color="000000"/>
              <w:right w:val="single" w:sz="6" w:space="0" w:color="000000"/>
            </w:tcBorders>
            <w:shd w:val="clear" w:color="auto" w:fill="DDDDDD"/>
          </w:tcPr>
          <w:p w14:paraId="52488D48" w14:textId="77777777"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b/>
                <w:bCs/>
                <w:sz w:val="16"/>
                <w:szCs w:val="16"/>
              </w:rPr>
              <w:t>Limitations</w:t>
            </w:r>
          </w:p>
        </w:tc>
        <w:tc>
          <w:tcPr>
            <w:tcW w:w="426" w:type="pct"/>
            <w:tcBorders>
              <w:top w:val="single" w:sz="6" w:space="0" w:color="000000"/>
              <w:left w:val="single" w:sz="6" w:space="0" w:color="000000"/>
              <w:bottom w:val="single" w:sz="6" w:space="0" w:color="000000"/>
              <w:right w:val="single" w:sz="6" w:space="0" w:color="000000"/>
            </w:tcBorders>
            <w:shd w:val="clear" w:color="auto" w:fill="DDDDDD"/>
          </w:tcPr>
          <w:p w14:paraId="4460D966" w14:textId="77777777"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b/>
                <w:bCs/>
                <w:sz w:val="16"/>
                <w:szCs w:val="16"/>
              </w:rPr>
              <w:t>Inconsistency</w:t>
            </w:r>
          </w:p>
        </w:tc>
        <w:tc>
          <w:tcPr>
            <w:tcW w:w="431" w:type="pct"/>
            <w:tcBorders>
              <w:top w:val="single" w:sz="6" w:space="0" w:color="000000"/>
              <w:left w:val="single" w:sz="6" w:space="0" w:color="000000"/>
              <w:bottom w:val="single" w:sz="6" w:space="0" w:color="000000"/>
              <w:right w:val="single" w:sz="6" w:space="0" w:color="000000"/>
            </w:tcBorders>
            <w:shd w:val="clear" w:color="auto" w:fill="DDDDDD"/>
          </w:tcPr>
          <w:p w14:paraId="5280FA84" w14:textId="77777777"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b/>
                <w:bCs/>
                <w:sz w:val="16"/>
                <w:szCs w:val="16"/>
              </w:rPr>
              <w:t>Indirectness</w:t>
            </w:r>
          </w:p>
        </w:tc>
        <w:tc>
          <w:tcPr>
            <w:tcW w:w="368" w:type="pct"/>
            <w:tcBorders>
              <w:top w:val="single" w:sz="6" w:space="0" w:color="000000"/>
              <w:left w:val="single" w:sz="6" w:space="0" w:color="000000"/>
              <w:bottom w:val="single" w:sz="6" w:space="0" w:color="000000"/>
              <w:right w:val="single" w:sz="6" w:space="0" w:color="000000"/>
            </w:tcBorders>
            <w:shd w:val="clear" w:color="auto" w:fill="DDDDDD"/>
          </w:tcPr>
          <w:p w14:paraId="39177956" w14:textId="77777777"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b/>
                <w:bCs/>
                <w:sz w:val="16"/>
                <w:szCs w:val="16"/>
              </w:rPr>
              <w:t>Imprecision</w:t>
            </w:r>
          </w:p>
        </w:tc>
        <w:tc>
          <w:tcPr>
            <w:tcW w:w="395" w:type="pct"/>
            <w:tcBorders>
              <w:top w:val="single" w:sz="6" w:space="0" w:color="000000"/>
              <w:left w:val="single" w:sz="6" w:space="0" w:color="000000"/>
              <w:bottom w:val="single" w:sz="6" w:space="0" w:color="000000"/>
              <w:right w:val="single" w:sz="6" w:space="0" w:color="000000"/>
            </w:tcBorders>
            <w:shd w:val="clear" w:color="auto" w:fill="DDDDDD"/>
          </w:tcPr>
          <w:p w14:paraId="5496BAD9" w14:textId="77777777"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b/>
                <w:bCs/>
                <w:sz w:val="16"/>
                <w:szCs w:val="16"/>
              </w:rPr>
              <w:t>Publication bias</w:t>
            </w:r>
          </w:p>
        </w:tc>
        <w:tc>
          <w:tcPr>
            <w:tcW w:w="607" w:type="pct"/>
            <w:tcBorders>
              <w:top w:val="single" w:sz="6" w:space="0" w:color="000000"/>
              <w:left w:val="single" w:sz="6" w:space="0" w:color="000000"/>
              <w:bottom w:val="single" w:sz="6" w:space="0" w:color="000000"/>
              <w:right w:val="single" w:sz="6" w:space="0" w:color="000000"/>
            </w:tcBorders>
            <w:shd w:val="clear" w:color="auto" w:fill="DDDDDD"/>
          </w:tcPr>
          <w:p w14:paraId="358AF22C" w14:textId="77777777"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b/>
                <w:bCs/>
                <w:sz w:val="16"/>
                <w:szCs w:val="16"/>
              </w:rPr>
              <w:t>Incremental cost per patient (range)*</w:t>
            </w:r>
          </w:p>
        </w:tc>
        <w:tc>
          <w:tcPr>
            <w:tcW w:w="670" w:type="pct"/>
            <w:tcBorders>
              <w:top w:val="single" w:sz="6" w:space="0" w:color="000000"/>
              <w:left w:val="single" w:sz="6" w:space="0" w:color="000000"/>
              <w:bottom w:val="single" w:sz="6" w:space="0" w:color="000000"/>
              <w:right w:val="single" w:sz="6" w:space="0" w:color="000000"/>
            </w:tcBorders>
            <w:shd w:val="clear" w:color="auto" w:fill="DDDDDD"/>
          </w:tcPr>
          <w:p w14:paraId="2E794592" w14:textId="77777777"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b/>
                <w:bCs/>
                <w:sz w:val="16"/>
                <w:szCs w:val="16"/>
              </w:rPr>
              <w:t>Incremental effect per patient (range)*</w:t>
            </w:r>
          </w:p>
        </w:tc>
        <w:tc>
          <w:tcPr>
            <w:tcW w:w="599" w:type="pct"/>
            <w:tcBorders>
              <w:top w:val="single" w:sz="6" w:space="0" w:color="000000"/>
              <w:left w:val="single" w:sz="6" w:space="0" w:color="000000"/>
              <w:bottom w:val="single" w:sz="6" w:space="0" w:color="000000"/>
              <w:right w:val="single" w:sz="6" w:space="0" w:color="000000"/>
            </w:tcBorders>
            <w:shd w:val="clear" w:color="auto" w:fill="DDDDDD"/>
          </w:tcPr>
          <w:p w14:paraId="7D6EC5BB" w14:textId="77777777"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b/>
                <w:bCs/>
                <w:sz w:val="16"/>
                <w:szCs w:val="16"/>
              </w:rPr>
              <w:t xml:space="preserve">ICER </w:t>
            </w:r>
          </w:p>
          <w:p w14:paraId="1DA49304" w14:textId="77777777"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b/>
                <w:bCs/>
                <w:sz w:val="16"/>
                <w:szCs w:val="16"/>
              </w:rPr>
              <w:t>(range)</w:t>
            </w:r>
          </w:p>
        </w:tc>
        <w:tc>
          <w:tcPr>
            <w:tcW w:w="358" w:type="pct"/>
            <w:vMerge/>
            <w:tcBorders>
              <w:left w:val="single" w:sz="6" w:space="0" w:color="000000"/>
              <w:bottom w:val="single" w:sz="6" w:space="0" w:color="000000"/>
            </w:tcBorders>
            <w:shd w:val="clear" w:color="auto" w:fill="DDDDDD"/>
          </w:tcPr>
          <w:p w14:paraId="4DA8D280" w14:textId="77777777" w:rsidR="002D745B" w:rsidRPr="00E30A41" w:rsidRDefault="002D745B" w:rsidP="00E350F6">
            <w:pPr>
              <w:jc w:val="both"/>
              <w:rPr>
                <w:rFonts w:ascii="Arial" w:hAnsi="Arial" w:cs="Arial"/>
                <w:b/>
                <w:bCs/>
                <w:sz w:val="16"/>
                <w:szCs w:val="16"/>
              </w:rPr>
            </w:pPr>
          </w:p>
        </w:tc>
      </w:tr>
      <w:tr w:rsidR="002D745B" w:rsidRPr="00F87E48" w14:paraId="5DD481FA" w14:textId="77777777" w:rsidTr="00E350F6">
        <w:trPr>
          <w:cantSplit/>
          <w:trHeight w:val="238"/>
          <w:jc w:val="center"/>
        </w:trPr>
        <w:tc>
          <w:tcPr>
            <w:tcW w:w="5000" w:type="pct"/>
            <w:gridSpan w:val="11"/>
            <w:tcBorders>
              <w:top w:val="single" w:sz="6" w:space="0" w:color="000000"/>
              <w:bottom w:val="single" w:sz="6" w:space="0" w:color="000000"/>
            </w:tcBorders>
            <w:shd w:val="clear" w:color="auto" w:fill="EDEDED"/>
          </w:tcPr>
          <w:p w14:paraId="00EB4C23" w14:textId="77777777" w:rsidR="002D745B" w:rsidRPr="00E30A41" w:rsidRDefault="002D745B" w:rsidP="00E350F6">
            <w:pPr>
              <w:jc w:val="both"/>
              <w:rPr>
                <w:rFonts w:ascii="Arial" w:hAnsi="Arial" w:cs="Arial"/>
                <w:sz w:val="16"/>
                <w:szCs w:val="16"/>
              </w:rPr>
            </w:pPr>
            <w:r w:rsidRPr="00E30A41">
              <w:rPr>
                <w:rStyle w:val="label"/>
                <w:rFonts w:ascii="Arial" w:hAnsi="Arial" w:cs="Arial"/>
                <w:sz w:val="16"/>
                <w:szCs w:val="16"/>
              </w:rPr>
              <w:t xml:space="preserve">ICER per </w:t>
            </w:r>
            <w:r w:rsidRPr="00E30A41">
              <w:rPr>
                <w:rFonts w:ascii="Arial" w:hAnsi="Arial" w:cs="Arial"/>
                <w:color w:val="1A1718"/>
                <w:sz w:val="16"/>
                <w:szCs w:val="16"/>
                <w:lang w:eastAsia="en-GB"/>
              </w:rPr>
              <w:t xml:space="preserve">QALY (high quality </w:t>
            </w:r>
            <w:proofErr w:type="gramStart"/>
            <w:r w:rsidRPr="00E30A41">
              <w:rPr>
                <w:rFonts w:ascii="Arial" w:hAnsi="Arial" w:cs="Arial"/>
                <w:color w:val="1A1718"/>
                <w:sz w:val="16"/>
                <w:szCs w:val="16"/>
                <w:lang w:eastAsia="en-GB"/>
              </w:rPr>
              <w:t>studies  -</w:t>
            </w:r>
            <w:proofErr w:type="gramEnd"/>
            <w:r w:rsidRPr="00E30A41">
              <w:rPr>
                <w:rFonts w:ascii="Arial" w:hAnsi="Arial" w:cs="Arial"/>
                <w:color w:val="1A1718"/>
                <w:sz w:val="16"/>
                <w:szCs w:val="16"/>
                <w:lang w:eastAsia="en-GB"/>
              </w:rPr>
              <w:t xml:space="preserve"> not funded by Industry)</w:t>
            </w:r>
          </w:p>
        </w:tc>
      </w:tr>
      <w:tr w:rsidR="002D745B" w:rsidRPr="00F87E48" w14:paraId="7FED60E4" w14:textId="77777777" w:rsidTr="00E350F6">
        <w:trPr>
          <w:cantSplit/>
          <w:trHeight w:val="408"/>
          <w:jc w:val="center"/>
        </w:trPr>
        <w:tc>
          <w:tcPr>
            <w:tcW w:w="306" w:type="pct"/>
            <w:tcBorders>
              <w:bottom w:val="single" w:sz="6" w:space="0" w:color="000000"/>
              <w:right w:val="single" w:sz="6" w:space="0" w:color="000000"/>
            </w:tcBorders>
          </w:tcPr>
          <w:p w14:paraId="3C8B348E" w14:textId="77777777"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sz w:val="16"/>
                <w:szCs w:val="16"/>
              </w:rPr>
              <w:t>7</w:t>
            </w:r>
            <w:r w:rsidRPr="00E30A41">
              <w:rPr>
                <w:rFonts w:ascii="Arial" w:hAnsi="Arial" w:cs="Arial"/>
                <w:sz w:val="16"/>
                <w:szCs w:val="16"/>
                <w:vertAlign w:val="superscript"/>
              </w:rPr>
              <w:t>a-g</w:t>
            </w:r>
          </w:p>
        </w:tc>
        <w:tc>
          <w:tcPr>
            <w:tcW w:w="414" w:type="pct"/>
            <w:tcBorders>
              <w:left w:val="single" w:sz="6" w:space="0" w:color="000000"/>
              <w:bottom w:val="single" w:sz="6" w:space="0" w:color="000000"/>
              <w:right w:val="single" w:sz="6" w:space="0" w:color="000000"/>
            </w:tcBorders>
          </w:tcPr>
          <w:p w14:paraId="436BFDA2" w14:textId="77777777"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sz w:val="16"/>
                <w:szCs w:val="16"/>
              </w:rPr>
              <w:t>Cost-utility,</w:t>
            </w:r>
          </w:p>
          <w:p w14:paraId="20EE05B9" w14:textId="77777777"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sz w:val="16"/>
                <w:szCs w:val="16"/>
              </w:rPr>
              <w:t>Markov model</w:t>
            </w:r>
          </w:p>
        </w:tc>
        <w:tc>
          <w:tcPr>
            <w:tcW w:w="426" w:type="pct"/>
            <w:tcBorders>
              <w:left w:val="single" w:sz="6" w:space="0" w:color="000000"/>
              <w:bottom w:val="single" w:sz="6" w:space="0" w:color="000000"/>
              <w:right w:val="single" w:sz="6" w:space="0" w:color="000000"/>
            </w:tcBorders>
          </w:tcPr>
          <w:p w14:paraId="665E43D3" w14:textId="77777777"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sz w:val="16"/>
                <w:szCs w:val="16"/>
              </w:rPr>
              <w:t>Not serious</w:t>
            </w:r>
            <w:r w:rsidRPr="00E30A41">
              <w:rPr>
                <w:rFonts w:ascii="Arial" w:hAnsi="Arial" w:cs="Arial"/>
                <w:sz w:val="16"/>
                <w:szCs w:val="16"/>
                <w:vertAlign w:val="superscript"/>
              </w:rPr>
              <w:t>1</w:t>
            </w:r>
          </w:p>
        </w:tc>
        <w:tc>
          <w:tcPr>
            <w:tcW w:w="426" w:type="pct"/>
            <w:tcBorders>
              <w:left w:val="single" w:sz="6" w:space="0" w:color="000000"/>
              <w:bottom w:val="single" w:sz="6" w:space="0" w:color="000000"/>
              <w:right w:val="single" w:sz="6" w:space="0" w:color="000000"/>
            </w:tcBorders>
          </w:tcPr>
          <w:p w14:paraId="495CE9A4" w14:textId="77777777"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sz w:val="16"/>
                <w:szCs w:val="16"/>
              </w:rPr>
              <w:t>Not serious</w:t>
            </w:r>
            <w:r w:rsidRPr="00E30A41">
              <w:rPr>
                <w:rFonts w:ascii="Arial" w:hAnsi="Arial" w:cs="Arial"/>
                <w:sz w:val="16"/>
                <w:szCs w:val="16"/>
                <w:vertAlign w:val="superscript"/>
              </w:rPr>
              <w:t>2</w:t>
            </w:r>
          </w:p>
        </w:tc>
        <w:tc>
          <w:tcPr>
            <w:tcW w:w="431" w:type="pct"/>
            <w:tcBorders>
              <w:left w:val="single" w:sz="6" w:space="0" w:color="000000"/>
              <w:bottom w:val="single" w:sz="6" w:space="0" w:color="000000"/>
              <w:right w:val="single" w:sz="6" w:space="0" w:color="000000"/>
            </w:tcBorders>
          </w:tcPr>
          <w:p w14:paraId="0C7C1950" w14:textId="77777777"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sz w:val="16"/>
                <w:szCs w:val="16"/>
              </w:rPr>
              <w:t>Not serious</w:t>
            </w:r>
            <w:r w:rsidRPr="00E30A41">
              <w:rPr>
                <w:rFonts w:ascii="Arial" w:hAnsi="Arial" w:cs="Arial"/>
                <w:sz w:val="16"/>
                <w:szCs w:val="16"/>
                <w:vertAlign w:val="superscript"/>
              </w:rPr>
              <w:t>3</w:t>
            </w:r>
          </w:p>
        </w:tc>
        <w:tc>
          <w:tcPr>
            <w:tcW w:w="368" w:type="pct"/>
            <w:tcBorders>
              <w:left w:val="single" w:sz="6" w:space="0" w:color="000000"/>
              <w:bottom w:val="single" w:sz="6" w:space="0" w:color="000000"/>
              <w:right w:val="single" w:sz="6" w:space="0" w:color="000000"/>
            </w:tcBorders>
          </w:tcPr>
          <w:p w14:paraId="0FE3D8A6" w14:textId="77777777"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sz w:val="16"/>
                <w:szCs w:val="16"/>
              </w:rPr>
              <w:t>Serious</w:t>
            </w:r>
            <w:r w:rsidRPr="00E30A41">
              <w:rPr>
                <w:rFonts w:ascii="Arial" w:hAnsi="Arial" w:cs="Arial"/>
                <w:sz w:val="16"/>
                <w:szCs w:val="16"/>
                <w:vertAlign w:val="superscript"/>
              </w:rPr>
              <w:t>4</w:t>
            </w:r>
          </w:p>
        </w:tc>
        <w:tc>
          <w:tcPr>
            <w:tcW w:w="395" w:type="pct"/>
            <w:tcBorders>
              <w:left w:val="single" w:sz="6" w:space="0" w:color="000000"/>
              <w:bottom w:val="single" w:sz="6" w:space="0" w:color="000000"/>
              <w:right w:val="single" w:sz="6" w:space="0" w:color="000000"/>
            </w:tcBorders>
          </w:tcPr>
          <w:p w14:paraId="32FB0FD4" w14:textId="77777777"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sz w:val="16"/>
                <w:szCs w:val="16"/>
              </w:rPr>
              <w:t>Not serious</w:t>
            </w:r>
          </w:p>
        </w:tc>
        <w:tc>
          <w:tcPr>
            <w:tcW w:w="607" w:type="pct"/>
            <w:tcBorders>
              <w:left w:val="single" w:sz="6" w:space="0" w:color="000000"/>
              <w:bottom w:val="single" w:sz="6" w:space="0" w:color="000000"/>
              <w:right w:val="single" w:sz="6" w:space="0" w:color="000000"/>
            </w:tcBorders>
          </w:tcPr>
          <w:p w14:paraId="649B0258" w14:textId="77777777" w:rsidR="002D745B" w:rsidRPr="00E30A41" w:rsidRDefault="002D745B" w:rsidP="00E350F6">
            <w:pPr>
              <w:pStyle w:val="Default"/>
              <w:jc w:val="both"/>
              <w:rPr>
                <w:rFonts w:ascii="Arial" w:hAnsi="Arial" w:cs="Arial"/>
                <w:b/>
                <w:bCs/>
                <w:i/>
                <w:iCs/>
                <w:sz w:val="16"/>
                <w:szCs w:val="16"/>
                <w:lang w:val="en-GB"/>
              </w:rPr>
            </w:pPr>
            <w:r w:rsidRPr="00E30A41">
              <w:rPr>
                <w:rFonts w:ascii="Arial" w:hAnsi="Arial" w:cs="Arial"/>
                <w:sz w:val="16"/>
                <w:szCs w:val="16"/>
                <w:lang w:val="en-GB"/>
              </w:rPr>
              <w:t>39,720 £ to 179,415 $</w:t>
            </w:r>
          </w:p>
          <w:p w14:paraId="29B5CB01" w14:textId="77777777" w:rsidR="002D745B" w:rsidRPr="00E30A41" w:rsidRDefault="002D745B" w:rsidP="00E350F6">
            <w:pPr>
              <w:pStyle w:val="Default"/>
              <w:jc w:val="both"/>
              <w:rPr>
                <w:rFonts w:ascii="Arial" w:hAnsi="Arial" w:cs="Arial"/>
                <w:b/>
                <w:bCs/>
                <w:i/>
                <w:iCs/>
                <w:sz w:val="16"/>
                <w:szCs w:val="16"/>
                <w:lang w:val="en-GB"/>
              </w:rPr>
            </w:pPr>
            <w:r w:rsidRPr="00E30A41">
              <w:rPr>
                <w:rFonts w:ascii="Arial" w:hAnsi="Arial" w:cs="Arial"/>
                <w:sz w:val="16"/>
                <w:szCs w:val="16"/>
                <w:lang w:val="en-GB"/>
              </w:rPr>
              <w:t>(5year to lifetime horizon)</w:t>
            </w:r>
          </w:p>
        </w:tc>
        <w:tc>
          <w:tcPr>
            <w:tcW w:w="670" w:type="pct"/>
            <w:tcBorders>
              <w:top w:val="single" w:sz="6" w:space="0" w:color="000000"/>
              <w:left w:val="single" w:sz="6" w:space="0" w:color="000000"/>
              <w:bottom w:val="single" w:sz="6" w:space="0" w:color="000000"/>
              <w:right w:val="single" w:sz="6" w:space="0" w:color="000000"/>
            </w:tcBorders>
          </w:tcPr>
          <w:p w14:paraId="3E39A175" w14:textId="77777777" w:rsidR="002D745B" w:rsidRPr="00E30A41" w:rsidRDefault="002D745B" w:rsidP="00E350F6">
            <w:pPr>
              <w:pStyle w:val="Default"/>
              <w:jc w:val="both"/>
              <w:rPr>
                <w:rFonts w:ascii="Arial" w:hAnsi="Arial" w:cs="Arial"/>
                <w:b/>
                <w:bCs/>
                <w:i/>
                <w:iCs/>
                <w:color w:val="auto"/>
                <w:sz w:val="16"/>
                <w:szCs w:val="16"/>
                <w:lang w:val="en-GB"/>
              </w:rPr>
            </w:pPr>
            <w:r w:rsidRPr="00E30A41">
              <w:rPr>
                <w:rFonts w:ascii="Arial" w:hAnsi="Arial" w:cs="Arial"/>
                <w:color w:val="auto"/>
                <w:sz w:val="16"/>
                <w:szCs w:val="16"/>
                <w:lang w:val="en-GB"/>
              </w:rPr>
              <w:t>0.18 to 0.67 QALYs</w:t>
            </w:r>
          </w:p>
          <w:p w14:paraId="43F3D2E8" w14:textId="77777777" w:rsidR="002D745B" w:rsidRPr="00E30A41" w:rsidRDefault="002D745B" w:rsidP="00E350F6">
            <w:pPr>
              <w:pStyle w:val="Default"/>
              <w:jc w:val="both"/>
              <w:rPr>
                <w:rFonts w:ascii="Arial" w:hAnsi="Arial" w:cs="Arial"/>
                <w:b/>
                <w:bCs/>
                <w:color w:val="auto"/>
                <w:sz w:val="16"/>
                <w:szCs w:val="16"/>
                <w:lang w:val="en-GB"/>
              </w:rPr>
            </w:pPr>
            <w:r w:rsidRPr="00E30A41">
              <w:rPr>
                <w:rFonts w:ascii="Arial" w:hAnsi="Arial" w:cs="Arial"/>
                <w:sz w:val="16"/>
                <w:szCs w:val="16"/>
                <w:lang w:val="en-GB"/>
              </w:rPr>
              <w:t>(5year to lifetime horizon)</w:t>
            </w:r>
          </w:p>
          <w:p w14:paraId="7BEEDA1B" w14:textId="77777777" w:rsidR="002D745B" w:rsidRPr="00E30A41" w:rsidRDefault="002D745B" w:rsidP="00E350F6">
            <w:pPr>
              <w:pStyle w:val="Default"/>
              <w:jc w:val="both"/>
              <w:rPr>
                <w:rFonts w:ascii="Arial" w:hAnsi="Arial" w:cs="Arial"/>
                <w:sz w:val="16"/>
                <w:szCs w:val="16"/>
                <w:lang w:val="en-GB"/>
              </w:rPr>
            </w:pPr>
          </w:p>
        </w:tc>
        <w:tc>
          <w:tcPr>
            <w:tcW w:w="599" w:type="pct"/>
            <w:tcBorders>
              <w:top w:val="single" w:sz="6" w:space="0" w:color="000000"/>
              <w:left w:val="single" w:sz="6" w:space="0" w:color="000000"/>
              <w:bottom w:val="single" w:sz="6" w:space="0" w:color="000000"/>
              <w:right w:val="single" w:sz="6" w:space="0" w:color="000000"/>
            </w:tcBorders>
          </w:tcPr>
          <w:p w14:paraId="1532371F" w14:textId="40B88CD7" w:rsidR="002D745B" w:rsidRPr="00E30A41" w:rsidRDefault="002D745B" w:rsidP="00E350F6">
            <w:pPr>
              <w:pStyle w:val="Default"/>
              <w:jc w:val="both"/>
              <w:rPr>
                <w:rFonts w:ascii="Arial" w:hAnsi="Arial" w:cs="Arial"/>
                <w:b/>
                <w:bCs/>
                <w:i/>
                <w:iCs/>
                <w:sz w:val="16"/>
                <w:szCs w:val="16"/>
                <w:lang w:val="en-GB"/>
              </w:rPr>
            </w:pPr>
            <w:r w:rsidRPr="00E30A41">
              <w:rPr>
                <w:rFonts w:ascii="Arial" w:hAnsi="Arial" w:cs="Arial"/>
                <w:sz w:val="16"/>
                <w:szCs w:val="16"/>
                <w:lang w:val="en-GB"/>
              </w:rPr>
              <w:t>53,348 £ to 821,000 $ / QALY</w:t>
            </w:r>
            <w:r w:rsidR="00111973" w:rsidRPr="00FD3FC4">
              <w:rPr>
                <w:rFonts w:ascii="Arial" w:hAnsi="Arial" w:cs="Arial"/>
                <w:sz w:val="16"/>
                <w:szCs w:val="16"/>
                <w:vertAlign w:val="superscript"/>
                <w:lang w:val="en-GB"/>
              </w:rPr>
              <w:t>5</w:t>
            </w:r>
          </w:p>
        </w:tc>
        <w:tc>
          <w:tcPr>
            <w:tcW w:w="358" w:type="pct"/>
            <w:tcBorders>
              <w:left w:val="single" w:sz="6" w:space="0" w:color="000000"/>
              <w:bottom w:val="single" w:sz="6" w:space="0" w:color="000000"/>
            </w:tcBorders>
          </w:tcPr>
          <w:p w14:paraId="427956BC" w14:textId="77777777" w:rsidR="002D745B" w:rsidRPr="00E30A41" w:rsidRDefault="002D745B" w:rsidP="00E350F6">
            <w:pPr>
              <w:jc w:val="both"/>
              <w:rPr>
                <w:rStyle w:val="quality-sign"/>
                <w:rFonts w:ascii="Arial" w:eastAsia="MS Mincho" w:hAnsi="Arial" w:cs="Arial"/>
                <w:color w:val="000000"/>
                <w:sz w:val="16"/>
                <w:szCs w:val="16"/>
                <w:lang w:eastAsia="en-GB"/>
              </w:rPr>
            </w:pPr>
            <w:r w:rsidRPr="00E30A41">
              <w:rPr>
                <w:rStyle w:val="quality-sign"/>
                <w:rFonts w:ascii="Cambria Math" w:hAnsi="Cambria Math" w:cs="Cambria Math"/>
                <w:sz w:val="16"/>
                <w:szCs w:val="16"/>
              </w:rPr>
              <w:t>⨁⨁⨁</w:t>
            </w:r>
            <w:r w:rsidRPr="00E30A41">
              <w:rPr>
                <w:rStyle w:val="quality-sign"/>
                <w:rFonts w:ascii="Segoe UI Symbol" w:eastAsia="ヒラギノ角ゴシック W3" w:hAnsi="Segoe UI Symbol" w:cs="Segoe UI Symbol"/>
                <w:sz w:val="16"/>
                <w:szCs w:val="16"/>
              </w:rPr>
              <w:t>◯</w:t>
            </w:r>
          </w:p>
          <w:p w14:paraId="44014629" w14:textId="77777777" w:rsidR="002D745B" w:rsidRPr="00E30A41" w:rsidRDefault="002D745B" w:rsidP="00E350F6">
            <w:pPr>
              <w:jc w:val="both"/>
              <w:rPr>
                <w:rStyle w:val="quality-sign"/>
                <w:rFonts w:ascii="Arial" w:hAnsi="Arial" w:cs="Arial"/>
                <w:sz w:val="16"/>
                <w:szCs w:val="16"/>
              </w:rPr>
            </w:pPr>
            <w:r w:rsidRPr="00E30A41">
              <w:rPr>
                <w:rStyle w:val="quality-sign"/>
                <w:rFonts w:ascii="Arial" w:hAnsi="Arial" w:cs="Arial"/>
                <w:sz w:val="16"/>
                <w:szCs w:val="16"/>
              </w:rPr>
              <w:t xml:space="preserve">MODERATE </w:t>
            </w:r>
          </w:p>
        </w:tc>
      </w:tr>
      <w:tr w:rsidR="002D745B" w:rsidRPr="00F87E48" w14:paraId="4D545DC2" w14:textId="77777777" w:rsidTr="00E350F6">
        <w:trPr>
          <w:cantSplit/>
          <w:trHeight w:val="238"/>
          <w:jc w:val="center"/>
        </w:trPr>
        <w:tc>
          <w:tcPr>
            <w:tcW w:w="5000" w:type="pct"/>
            <w:gridSpan w:val="11"/>
            <w:tcBorders>
              <w:top w:val="single" w:sz="6" w:space="0" w:color="000000"/>
              <w:bottom w:val="single" w:sz="6" w:space="0" w:color="000000"/>
            </w:tcBorders>
            <w:shd w:val="clear" w:color="auto" w:fill="EDEDED"/>
          </w:tcPr>
          <w:p w14:paraId="50AB0E67" w14:textId="77777777" w:rsidR="002D745B" w:rsidRPr="00E30A41" w:rsidRDefault="002D745B" w:rsidP="00E350F6">
            <w:pPr>
              <w:jc w:val="both"/>
              <w:rPr>
                <w:rFonts w:ascii="Arial" w:hAnsi="Arial" w:cs="Arial"/>
                <w:sz w:val="16"/>
                <w:szCs w:val="16"/>
              </w:rPr>
            </w:pPr>
            <w:r w:rsidRPr="00E30A41">
              <w:rPr>
                <w:rStyle w:val="label"/>
                <w:rFonts w:ascii="Arial" w:hAnsi="Arial" w:cs="Arial"/>
                <w:sz w:val="16"/>
                <w:szCs w:val="16"/>
              </w:rPr>
              <w:t xml:space="preserve">ICER per </w:t>
            </w:r>
            <w:r w:rsidRPr="00E30A41">
              <w:rPr>
                <w:rFonts w:ascii="Arial" w:hAnsi="Arial" w:cs="Arial"/>
                <w:color w:val="1A1718"/>
                <w:sz w:val="16"/>
                <w:szCs w:val="16"/>
                <w:lang w:eastAsia="en-GB"/>
              </w:rPr>
              <w:t xml:space="preserve">QALY (high quality </w:t>
            </w:r>
            <w:proofErr w:type="gramStart"/>
            <w:r w:rsidRPr="00E30A41">
              <w:rPr>
                <w:rFonts w:ascii="Arial" w:hAnsi="Arial" w:cs="Arial"/>
                <w:color w:val="1A1718"/>
                <w:sz w:val="16"/>
                <w:szCs w:val="16"/>
                <w:lang w:eastAsia="en-GB"/>
              </w:rPr>
              <w:t>studies  -</w:t>
            </w:r>
            <w:proofErr w:type="gramEnd"/>
            <w:r w:rsidRPr="00E30A41">
              <w:rPr>
                <w:rFonts w:ascii="Arial" w:hAnsi="Arial" w:cs="Arial"/>
                <w:color w:val="1A1718"/>
                <w:sz w:val="16"/>
                <w:szCs w:val="16"/>
                <w:lang w:eastAsia="en-GB"/>
              </w:rPr>
              <w:t xml:space="preserve"> funded by Industry)</w:t>
            </w:r>
          </w:p>
        </w:tc>
      </w:tr>
      <w:tr w:rsidR="002D745B" w:rsidRPr="00F87E48" w14:paraId="3AA53380" w14:textId="77777777" w:rsidTr="00E350F6">
        <w:trPr>
          <w:cantSplit/>
          <w:trHeight w:val="408"/>
          <w:jc w:val="center"/>
        </w:trPr>
        <w:tc>
          <w:tcPr>
            <w:tcW w:w="306" w:type="pct"/>
            <w:tcBorders>
              <w:bottom w:val="single" w:sz="6" w:space="0" w:color="000000"/>
              <w:right w:val="single" w:sz="6" w:space="0" w:color="000000"/>
            </w:tcBorders>
          </w:tcPr>
          <w:p w14:paraId="389DBB3C" w14:textId="77777777"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sz w:val="16"/>
                <w:szCs w:val="16"/>
              </w:rPr>
              <w:t>5</w:t>
            </w:r>
            <w:r w:rsidRPr="00E30A41">
              <w:rPr>
                <w:rFonts w:ascii="Arial" w:hAnsi="Arial" w:cs="Arial"/>
                <w:sz w:val="16"/>
                <w:szCs w:val="16"/>
                <w:vertAlign w:val="superscript"/>
              </w:rPr>
              <w:t>h-l</w:t>
            </w:r>
          </w:p>
        </w:tc>
        <w:tc>
          <w:tcPr>
            <w:tcW w:w="414" w:type="pct"/>
            <w:tcBorders>
              <w:left w:val="single" w:sz="6" w:space="0" w:color="000000"/>
              <w:bottom w:val="single" w:sz="6" w:space="0" w:color="000000"/>
              <w:right w:val="single" w:sz="6" w:space="0" w:color="000000"/>
            </w:tcBorders>
          </w:tcPr>
          <w:p w14:paraId="1624CBE2" w14:textId="77777777"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sz w:val="16"/>
                <w:szCs w:val="16"/>
              </w:rPr>
              <w:t>Cost-utility,</w:t>
            </w:r>
          </w:p>
          <w:p w14:paraId="1CAE63D6" w14:textId="77777777"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sz w:val="16"/>
                <w:szCs w:val="16"/>
              </w:rPr>
              <w:t>Markov model</w:t>
            </w:r>
          </w:p>
        </w:tc>
        <w:tc>
          <w:tcPr>
            <w:tcW w:w="426" w:type="pct"/>
            <w:tcBorders>
              <w:left w:val="single" w:sz="6" w:space="0" w:color="000000"/>
              <w:bottom w:val="single" w:sz="6" w:space="0" w:color="000000"/>
              <w:right w:val="single" w:sz="6" w:space="0" w:color="000000"/>
            </w:tcBorders>
          </w:tcPr>
          <w:p w14:paraId="6938CE33" w14:textId="77777777"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sz w:val="16"/>
                <w:szCs w:val="16"/>
              </w:rPr>
              <w:t>Not serious</w:t>
            </w:r>
            <w:r w:rsidRPr="00E30A41">
              <w:rPr>
                <w:rFonts w:ascii="Arial" w:hAnsi="Arial" w:cs="Arial"/>
                <w:sz w:val="16"/>
                <w:szCs w:val="16"/>
                <w:vertAlign w:val="superscript"/>
              </w:rPr>
              <w:t>1</w:t>
            </w:r>
          </w:p>
        </w:tc>
        <w:tc>
          <w:tcPr>
            <w:tcW w:w="426" w:type="pct"/>
            <w:tcBorders>
              <w:left w:val="single" w:sz="6" w:space="0" w:color="000000"/>
              <w:bottom w:val="single" w:sz="6" w:space="0" w:color="000000"/>
              <w:right w:val="single" w:sz="6" w:space="0" w:color="000000"/>
            </w:tcBorders>
          </w:tcPr>
          <w:p w14:paraId="434B62FA" w14:textId="77777777"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sz w:val="16"/>
                <w:szCs w:val="16"/>
              </w:rPr>
              <w:t>Not serious</w:t>
            </w:r>
            <w:r w:rsidRPr="00E30A41">
              <w:rPr>
                <w:rFonts w:ascii="Arial" w:hAnsi="Arial" w:cs="Arial"/>
                <w:sz w:val="16"/>
                <w:szCs w:val="16"/>
                <w:vertAlign w:val="superscript"/>
              </w:rPr>
              <w:t>2</w:t>
            </w:r>
          </w:p>
        </w:tc>
        <w:tc>
          <w:tcPr>
            <w:tcW w:w="431" w:type="pct"/>
            <w:tcBorders>
              <w:left w:val="single" w:sz="6" w:space="0" w:color="000000"/>
              <w:bottom w:val="single" w:sz="6" w:space="0" w:color="000000"/>
              <w:right w:val="single" w:sz="6" w:space="0" w:color="000000"/>
            </w:tcBorders>
          </w:tcPr>
          <w:p w14:paraId="3E20F29A" w14:textId="623CA797"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sz w:val="16"/>
                <w:szCs w:val="16"/>
              </w:rPr>
              <w:t>Not serious</w:t>
            </w:r>
            <w:r w:rsidR="006D2694">
              <w:rPr>
                <w:rFonts w:ascii="Arial" w:hAnsi="Arial" w:cs="Arial"/>
                <w:sz w:val="16"/>
                <w:szCs w:val="16"/>
                <w:vertAlign w:val="superscript"/>
              </w:rPr>
              <w:t>6</w:t>
            </w:r>
          </w:p>
        </w:tc>
        <w:tc>
          <w:tcPr>
            <w:tcW w:w="368" w:type="pct"/>
            <w:tcBorders>
              <w:left w:val="single" w:sz="6" w:space="0" w:color="000000"/>
              <w:bottom w:val="single" w:sz="6" w:space="0" w:color="000000"/>
              <w:right w:val="single" w:sz="6" w:space="0" w:color="000000"/>
            </w:tcBorders>
          </w:tcPr>
          <w:p w14:paraId="1107D95C" w14:textId="4BF64564"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sz w:val="16"/>
                <w:szCs w:val="16"/>
              </w:rPr>
              <w:t>Serious</w:t>
            </w:r>
            <w:r w:rsidR="006D2694">
              <w:rPr>
                <w:rFonts w:ascii="Arial" w:hAnsi="Arial" w:cs="Arial"/>
                <w:sz w:val="16"/>
                <w:szCs w:val="16"/>
                <w:vertAlign w:val="superscript"/>
              </w:rPr>
              <w:t>7</w:t>
            </w:r>
          </w:p>
        </w:tc>
        <w:tc>
          <w:tcPr>
            <w:tcW w:w="395" w:type="pct"/>
            <w:tcBorders>
              <w:left w:val="single" w:sz="6" w:space="0" w:color="000000"/>
              <w:bottom w:val="single" w:sz="6" w:space="0" w:color="000000"/>
              <w:right w:val="single" w:sz="6" w:space="0" w:color="000000"/>
            </w:tcBorders>
          </w:tcPr>
          <w:p w14:paraId="752A68F9" w14:textId="41D0D8A2" w:rsidR="002D745B" w:rsidRPr="00E30A41" w:rsidRDefault="002D745B" w:rsidP="00E350F6">
            <w:pPr>
              <w:jc w:val="both"/>
              <w:rPr>
                <w:rFonts w:ascii="Arial" w:eastAsiaTheme="majorEastAsia" w:hAnsi="Arial" w:cs="Arial"/>
                <w:b/>
                <w:bCs/>
                <w:i/>
                <w:iCs/>
                <w:color w:val="404040" w:themeColor="text1" w:themeTint="BF"/>
                <w:sz w:val="16"/>
                <w:szCs w:val="16"/>
                <w:highlight w:val="green"/>
              </w:rPr>
            </w:pPr>
            <w:r w:rsidRPr="00E30A41">
              <w:rPr>
                <w:rFonts w:ascii="Arial" w:hAnsi="Arial" w:cs="Arial"/>
                <w:sz w:val="16"/>
                <w:szCs w:val="16"/>
              </w:rPr>
              <w:t>Serious</w:t>
            </w:r>
            <w:r w:rsidR="006D2694">
              <w:rPr>
                <w:rFonts w:ascii="Arial" w:hAnsi="Arial" w:cs="Arial"/>
                <w:sz w:val="16"/>
                <w:szCs w:val="16"/>
                <w:vertAlign w:val="superscript"/>
              </w:rPr>
              <w:t>8</w:t>
            </w:r>
          </w:p>
        </w:tc>
        <w:tc>
          <w:tcPr>
            <w:tcW w:w="607" w:type="pct"/>
            <w:tcBorders>
              <w:left w:val="single" w:sz="6" w:space="0" w:color="000000"/>
              <w:bottom w:val="single" w:sz="6" w:space="0" w:color="000000"/>
              <w:right w:val="single" w:sz="6" w:space="0" w:color="000000"/>
            </w:tcBorders>
          </w:tcPr>
          <w:p w14:paraId="770A0E64" w14:textId="77777777" w:rsidR="002D745B" w:rsidRPr="00E30A41" w:rsidRDefault="002D745B" w:rsidP="00E350F6">
            <w:pPr>
              <w:pStyle w:val="Default"/>
              <w:jc w:val="both"/>
              <w:rPr>
                <w:rFonts w:ascii="Arial" w:hAnsi="Arial" w:cs="Arial"/>
                <w:b/>
                <w:bCs/>
                <w:i/>
                <w:iCs/>
                <w:sz w:val="16"/>
                <w:szCs w:val="16"/>
                <w:highlight w:val="green"/>
                <w:lang w:val="en-GB"/>
              </w:rPr>
            </w:pPr>
            <w:r w:rsidRPr="00E30A41">
              <w:rPr>
                <w:rFonts w:ascii="Arial" w:hAnsi="Arial" w:cs="Arial"/>
                <w:sz w:val="16"/>
                <w:szCs w:val="16"/>
                <w:lang w:val="en-GB"/>
              </w:rPr>
              <w:t>33,854 € to 91,100 $ (5year to lifetime horizon)</w:t>
            </w:r>
          </w:p>
        </w:tc>
        <w:tc>
          <w:tcPr>
            <w:tcW w:w="670" w:type="pct"/>
            <w:tcBorders>
              <w:top w:val="single" w:sz="6" w:space="0" w:color="000000"/>
              <w:left w:val="single" w:sz="6" w:space="0" w:color="000000"/>
              <w:bottom w:val="single" w:sz="6" w:space="0" w:color="000000"/>
              <w:right w:val="single" w:sz="6" w:space="0" w:color="000000"/>
            </w:tcBorders>
          </w:tcPr>
          <w:p w14:paraId="57D70EEF" w14:textId="77777777" w:rsidR="002D745B" w:rsidRPr="00E30A41" w:rsidRDefault="002D745B" w:rsidP="00E350F6">
            <w:pPr>
              <w:pStyle w:val="Default"/>
              <w:jc w:val="both"/>
              <w:rPr>
                <w:rFonts w:ascii="Arial" w:hAnsi="Arial" w:cs="Arial"/>
                <w:b/>
                <w:bCs/>
                <w:i/>
                <w:iCs/>
                <w:color w:val="auto"/>
                <w:sz w:val="16"/>
                <w:szCs w:val="16"/>
                <w:lang w:val="en-GB"/>
              </w:rPr>
            </w:pPr>
            <w:r w:rsidRPr="00E30A41">
              <w:rPr>
                <w:rFonts w:ascii="Arial" w:hAnsi="Arial" w:cs="Arial"/>
                <w:color w:val="auto"/>
                <w:sz w:val="16"/>
                <w:szCs w:val="16"/>
                <w:lang w:val="en-GB"/>
              </w:rPr>
              <w:t>0.32 to 1.46 QALYs</w:t>
            </w:r>
          </w:p>
          <w:p w14:paraId="7064C35C" w14:textId="77777777" w:rsidR="002D745B" w:rsidRPr="00E30A41" w:rsidRDefault="002D745B" w:rsidP="00E350F6">
            <w:pPr>
              <w:pStyle w:val="Default"/>
              <w:jc w:val="both"/>
              <w:rPr>
                <w:rFonts w:ascii="Arial" w:hAnsi="Arial" w:cs="Arial"/>
                <w:b/>
                <w:bCs/>
                <w:color w:val="auto"/>
                <w:sz w:val="16"/>
                <w:szCs w:val="16"/>
                <w:lang w:val="en-GB"/>
              </w:rPr>
            </w:pPr>
            <w:r w:rsidRPr="00E30A41">
              <w:rPr>
                <w:rFonts w:ascii="Arial" w:hAnsi="Arial" w:cs="Arial"/>
                <w:sz w:val="16"/>
                <w:szCs w:val="16"/>
                <w:lang w:val="en-GB"/>
              </w:rPr>
              <w:t>(5year to lifetime horizon)</w:t>
            </w:r>
          </w:p>
          <w:p w14:paraId="64A786C6" w14:textId="77777777" w:rsidR="002D745B" w:rsidRPr="00E30A41" w:rsidRDefault="002D745B" w:rsidP="00E350F6">
            <w:pPr>
              <w:pStyle w:val="Default"/>
              <w:jc w:val="both"/>
              <w:rPr>
                <w:rFonts w:ascii="Arial" w:hAnsi="Arial" w:cs="Arial"/>
                <w:sz w:val="16"/>
                <w:szCs w:val="16"/>
                <w:highlight w:val="green"/>
                <w:lang w:val="en-GB"/>
              </w:rPr>
            </w:pPr>
          </w:p>
        </w:tc>
        <w:tc>
          <w:tcPr>
            <w:tcW w:w="599" w:type="pct"/>
            <w:tcBorders>
              <w:top w:val="single" w:sz="6" w:space="0" w:color="000000"/>
              <w:left w:val="single" w:sz="6" w:space="0" w:color="000000"/>
              <w:bottom w:val="single" w:sz="6" w:space="0" w:color="000000"/>
              <w:right w:val="single" w:sz="6" w:space="0" w:color="000000"/>
            </w:tcBorders>
          </w:tcPr>
          <w:p w14:paraId="09EA3891" w14:textId="29AB1E88" w:rsidR="002D745B" w:rsidRPr="00E30A41" w:rsidRDefault="002D745B" w:rsidP="00E350F6">
            <w:pPr>
              <w:pStyle w:val="Default"/>
              <w:jc w:val="both"/>
              <w:rPr>
                <w:rFonts w:ascii="Arial" w:hAnsi="Arial" w:cs="Arial"/>
                <w:b/>
                <w:bCs/>
                <w:i/>
                <w:iCs/>
                <w:sz w:val="16"/>
                <w:szCs w:val="16"/>
                <w:highlight w:val="green"/>
                <w:lang w:val="en-GB"/>
              </w:rPr>
            </w:pPr>
            <w:r w:rsidRPr="00E30A41">
              <w:rPr>
                <w:rFonts w:ascii="Arial" w:hAnsi="Arial" w:cs="Arial"/>
                <w:sz w:val="16"/>
                <w:szCs w:val="16"/>
                <w:lang w:val="en-GB"/>
              </w:rPr>
              <w:t xml:space="preserve">31,209 € to 287,200 </w:t>
            </w:r>
            <w:proofErr w:type="gramStart"/>
            <w:r w:rsidRPr="00E30A41">
              <w:rPr>
                <w:rFonts w:ascii="Arial" w:hAnsi="Arial" w:cs="Arial"/>
                <w:sz w:val="16"/>
                <w:szCs w:val="16"/>
                <w:lang w:val="en-GB"/>
              </w:rPr>
              <w:t>$  /</w:t>
            </w:r>
            <w:proofErr w:type="gramEnd"/>
            <w:r w:rsidRPr="00E30A41">
              <w:rPr>
                <w:rFonts w:ascii="Arial" w:hAnsi="Arial" w:cs="Arial"/>
                <w:sz w:val="16"/>
                <w:szCs w:val="16"/>
                <w:lang w:val="en-GB"/>
              </w:rPr>
              <w:t xml:space="preserve"> QALY</w:t>
            </w:r>
            <w:r w:rsidR="006D2694" w:rsidRPr="00FD3FC4">
              <w:rPr>
                <w:rFonts w:ascii="Arial" w:hAnsi="Arial" w:cs="Arial"/>
                <w:sz w:val="16"/>
                <w:szCs w:val="16"/>
                <w:vertAlign w:val="superscript"/>
                <w:lang w:val="en-GB"/>
              </w:rPr>
              <w:t>5</w:t>
            </w:r>
          </w:p>
        </w:tc>
        <w:tc>
          <w:tcPr>
            <w:tcW w:w="358" w:type="pct"/>
            <w:tcBorders>
              <w:left w:val="single" w:sz="6" w:space="0" w:color="000000"/>
              <w:bottom w:val="single" w:sz="6" w:space="0" w:color="000000"/>
            </w:tcBorders>
          </w:tcPr>
          <w:p w14:paraId="7988D5F5" w14:textId="77777777" w:rsidR="002D745B" w:rsidRPr="00E30A41" w:rsidRDefault="002D745B" w:rsidP="00E350F6">
            <w:pPr>
              <w:jc w:val="both"/>
              <w:rPr>
                <w:rStyle w:val="quality-sign"/>
                <w:rFonts w:ascii="Arial" w:eastAsia="MS Mincho" w:hAnsi="Arial" w:cs="Arial"/>
                <w:color w:val="000000"/>
                <w:sz w:val="16"/>
                <w:szCs w:val="16"/>
                <w:lang w:eastAsia="en-GB"/>
              </w:rPr>
            </w:pPr>
            <w:r w:rsidRPr="00E30A41">
              <w:rPr>
                <w:rStyle w:val="quality-sign"/>
                <w:rFonts w:ascii="Cambria Math" w:hAnsi="Cambria Math" w:cs="Cambria Math"/>
                <w:sz w:val="16"/>
                <w:szCs w:val="16"/>
              </w:rPr>
              <w:t>⨁⨁</w:t>
            </w:r>
            <w:r w:rsidRPr="00E30A41">
              <w:rPr>
                <w:rStyle w:val="quality-sign"/>
                <w:rFonts w:ascii="Segoe UI Symbol" w:eastAsia="ヒラギノ角ゴシック W3" w:hAnsi="Segoe UI Symbol" w:cs="Segoe UI Symbol"/>
                <w:sz w:val="16"/>
                <w:szCs w:val="16"/>
              </w:rPr>
              <w:t>◯◯</w:t>
            </w:r>
          </w:p>
          <w:p w14:paraId="11851C8E" w14:textId="77777777" w:rsidR="002D745B" w:rsidRPr="00E30A41" w:rsidRDefault="002D745B" w:rsidP="00E350F6">
            <w:pPr>
              <w:jc w:val="both"/>
              <w:rPr>
                <w:rStyle w:val="quality-sign"/>
                <w:rFonts w:ascii="Arial" w:hAnsi="Arial" w:cs="Arial"/>
                <w:sz w:val="16"/>
                <w:szCs w:val="16"/>
              </w:rPr>
            </w:pPr>
            <w:r w:rsidRPr="00E30A41">
              <w:rPr>
                <w:rStyle w:val="quality-sign"/>
                <w:rFonts w:ascii="Arial" w:hAnsi="Arial" w:cs="Arial"/>
                <w:sz w:val="16"/>
                <w:szCs w:val="16"/>
              </w:rPr>
              <w:t>LOW</w:t>
            </w:r>
          </w:p>
        </w:tc>
      </w:tr>
      <w:tr w:rsidR="002D745B" w:rsidRPr="00F87E48" w14:paraId="45EFB249" w14:textId="77777777" w:rsidTr="00E350F6">
        <w:trPr>
          <w:cantSplit/>
          <w:trHeight w:val="238"/>
          <w:jc w:val="center"/>
        </w:trPr>
        <w:tc>
          <w:tcPr>
            <w:tcW w:w="5000" w:type="pct"/>
            <w:gridSpan w:val="11"/>
            <w:tcBorders>
              <w:top w:val="single" w:sz="6" w:space="0" w:color="000000"/>
              <w:bottom w:val="single" w:sz="6" w:space="0" w:color="000000"/>
            </w:tcBorders>
            <w:shd w:val="clear" w:color="auto" w:fill="EDEDED"/>
          </w:tcPr>
          <w:p w14:paraId="6EB58D04" w14:textId="77777777" w:rsidR="002D745B" w:rsidRPr="00E30A41" w:rsidRDefault="002D745B" w:rsidP="00E350F6">
            <w:pPr>
              <w:jc w:val="both"/>
              <w:rPr>
                <w:rFonts w:ascii="Arial" w:hAnsi="Arial" w:cs="Arial"/>
                <w:sz w:val="16"/>
                <w:szCs w:val="16"/>
              </w:rPr>
            </w:pPr>
            <w:r w:rsidRPr="00E30A41">
              <w:rPr>
                <w:rStyle w:val="label"/>
                <w:rFonts w:ascii="Arial" w:hAnsi="Arial" w:cs="Arial"/>
                <w:sz w:val="16"/>
                <w:szCs w:val="16"/>
              </w:rPr>
              <w:t xml:space="preserve">ICER per </w:t>
            </w:r>
            <w:r w:rsidRPr="00E30A41">
              <w:rPr>
                <w:rFonts w:ascii="Arial" w:hAnsi="Arial" w:cs="Arial"/>
                <w:color w:val="1A1718"/>
                <w:sz w:val="16"/>
                <w:szCs w:val="16"/>
                <w:lang w:eastAsia="en-GB"/>
              </w:rPr>
              <w:t>QALY (low quality studies)</w:t>
            </w:r>
          </w:p>
        </w:tc>
      </w:tr>
      <w:tr w:rsidR="002D745B" w:rsidRPr="00F87E48" w14:paraId="04106BC1" w14:textId="77777777" w:rsidTr="00E350F6">
        <w:trPr>
          <w:cantSplit/>
          <w:trHeight w:val="408"/>
          <w:jc w:val="center"/>
        </w:trPr>
        <w:tc>
          <w:tcPr>
            <w:tcW w:w="306" w:type="pct"/>
            <w:tcBorders>
              <w:right w:val="single" w:sz="6" w:space="0" w:color="000000"/>
            </w:tcBorders>
          </w:tcPr>
          <w:p w14:paraId="179780A6" w14:textId="77777777"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sz w:val="16"/>
                <w:szCs w:val="16"/>
              </w:rPr>
              <w:t>3</w:t>
            </w:r>
            <w:r w:rsidRPr="00E30A41">
              <w:rPr>
                <w:rFonts w:ascii="Arial" w:hAnsi="Arial" w:cs="Arial"/>
                <w:sz w:val="16"/>
                <w:szCs w:val="16"/>
                <w:vertAlign w:val="superscript"/>
              </w:rPr>
              <w:t>m-o</w:t>
            </w:r>
          </w:p>
        </w:tc>
        <w:tc>
          <w:tcPr>
            <w:tcW w:w="414" w:type="pct"/>
            <w:tcBorders>
              <w:left w:val="single" w:sz="6" w:space="0" w:color="000000"/>
              <w:right w:val="single" w:sz="6" w:space="0" w:color="000000"/>
            </w:tcBorders>
          </w:tcPr>
          <w:p w14:paraId="2A2F29E3" w14:textId="77777777"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sz w:val="16"/>
                <w:szCs w:val="16"/>
              </w:rPr>
              <w:t>Cost-utility, pre-post study</w:t>
            </w:r>
          </w:p>
        </w:tc>
        <w:tc>
          <w:tcPr>
            <w:tcW w:w="426" w:type="pct"/>
            <w:tcBorders>
              <w:left w:val="single" w:sz="6" w:space="0" w:color="000000"/>
              <w:right w:val="single" w:sz="6" w:space="0" w:color="000000"/>
            </w:tcBorders>
          </w:tcPr>
          <w:p w14:paraId="6E66AB2D" w14:textId="04138763"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sz w:val="16"/>
                <w:szCs w:val="16"/>
              </w:rPr>
              <w:t>Very serious</w:t>
            </w:r>
            <w:r w:rsidR="006D2694">
              <w:rPr>
                <w:rFonts w:ascii="Arial" w:hAnsi="Arial" w:cs="Arial"/>
                <w:sz w:val="16"/>
                <w:szCs w:val="16"/>
                <w:vertAlign w:val="superscript"/>
              </w:rPr>
              <w:t>9</w:t>
            </w:r>
          </w:p>
        </w:tc>
        <w:tc>
          <w:tcPr>
            <w:tcW w:w="426" w:type="pct"/>
            <w:tcBorders>
              <w:left w:val="single" w:sz="6" w:space="0" w:color="000000"/>
              <w:right w:val="single" w:sz="6" w:space="0" w:color="000000"/>
            </w:tcBorders>
          </w:tcPr>
          <w:p w14:paraId="73C1C2A6" w14:textId="7C3D8DD8"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sz w:val="16"/>
                <w:szCs w:val="16"/>
              </w:rPr>
              <w:t>Not serious</w:t>
            </w:r>
            <w:r w:rsidR="006D2694">
              <w:rPr>
                <w:rFonts w:ascii="Arial" w:hAnsi="Arial" w:cs="Arial"/>
                <w:sz w:val="16"/>
                <w:szCs w:val="16"/>
                <w:vertAlign w:val="superscript"/>
              </w:rPr>
              <w:t>10</w:t>
            </w:r>
          </w:p>
        </w:tc>
        <w:tc>
          <w:tcPr>
            <w:tcW w:w="431" w:type="pct"/>
            <w:tcBorders>
              <w:left w:val="single" w:sz="6" w:space="0" w:color="000000"/>
              <w:right w:val="single" w:sz="6" w:space="0" w:color="000000"/>
            </w:tcBorders>
          </w:tcPr>
          <w:p w14:paraId="6B554A52" w14:textId="6077901A"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sz w:val="16"/>
                <w:szCs w:val="16"/>
              </w:rPr>
              <w:t>Not serious</w:t>
            </w:r>
            <w:r w:rsidRPr="00E30A41">
              <w:rPr>
                <w:rFonts w:ascii="Arial" w:hAnsi="Arial" w:cs="Arial"/>
                <w:sz w:val="16"/>
                <w:szCs w:val="16"/>
                <w:vertAlign w:val="superscript"/>
              </w:rPr>
              <w:t>1</w:t>
            </w:r>
            <w:r w:rsidR="006D2694">
              <w:rPr>
                <w:rFonts w:ascii="Arial" w:hAnsi="Arial" w:cs="Arial"/>
                <w:sz w:val="16"/>
                <w:szCs w:val="16"/>
                <w:vertAlign w:val="superscript"/>
              </w:rPr>
              <w:t>1</w:t>
            </w:r>
          </w:p>
        </w:tc>
        <w:tc>
          <w:tcPr>
            <w:tcW w:w="368" w:type="pct"/>
            <w:tcBorders>
              <w:left w:val="single" w:sz="6" w:space="0" w:color="000000"/>
              <w:right w:val="single" w:sz="6" w:space="0" w:color="000000"/>
            </w:tcBorders>
          </w:tcPr>
          <w:p w14:paraId="42111AE8" w14:textId="65E0205E"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sz w:val="16"/>
                <w:szCs w:val="16"/>
              </w:rPr>
              <w:t>Not serious</w:t>
            </w:r>
            <w:r w:rsidRPr="00E30A41">
              <w:rPr>
                <w:rFonts w:ascii="Arial" w:hAnsi="Arial" w:cs="Arial"/>
                <w:sz w:val="16"/>
                <w:szCs w:val="16"/>
                <w:vertAlign w:val="superscript"/>
              </w:rPr>
              <w:t>1</w:t>
            </w:r>
            <w:r w:rsidR="006D2694">
              <w:rPr>
                <w:rFonts w:ascii="Arial" w:hAnsi="Arial" w:cs="Arial"/>
                <w:sz w:val="16"/>
                <w:szCs w:val="16"/>
                <w:vertAlign w:val="superscript"/>
              </w:rPr>
              <w:t>2</w:t>
            </w:r>
          </w:p>
        </w:tc>
        <w:tc>
          <w:tcPr>
            <w:tcW w:w="395" w:type="pct"/>
            <w:tcBorders>
              <w:left w:val="single" w:sz="6" w:space="0" w:color="000000"/>
              <w:right w:val="single" w:sz="6" w:space="0" w:color="000000"/>
            </w:tcBorders>
          </w:tcPr>
          <w:p w14:paraId="25421E82" w14:textId="624697B4"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sz w:val="16"/>
                <w:szCs w:val="16"/>
              </w:rPr>
              <w:t>Serious</w:t>
            </w:r>
            <w:r w:rsidRPr="00E30A41">
              <w:rPr>
                <w:rFonts w:ascii="Arial" w:hAnsi="Arial" w:cs="Arial"/>
                <w:sz w:val="16"/>
                <w:szCs w:val="16"/>
                <w:vertAlign w:val="superscript"/>
              </w:rPr>
              <w:t>1</w:t>
            </w:r>
            <w:r w:rsidR="006D2694">
              <w:rPr>
                <w:rFonts w:ascii="Arial" w:hAnsi="Arial" w:cs="Arial"/>
                <w:sz w:val="16"/>
                <w:szCs w:val="16"/>
                <w:vertAlign w:val="superscript"/>
              </w:rPr>
              <w:t>3</w:t>
            </w:r>
          </w:p>
        </w:tc>
        <w:tc>
          <w:tcPr>
            <w:tcW w:w="607" w:type="pct"/>
            <w:tcBorders>
              <w:left w:val="single" w:sz="6" w:space="0" w:color="000000"/>
              <w:right w:val="single" w:sz="6" w:space="0" w:color="000000"/>
            </w:tcBorders>
          </w:tcPr>
          <w:p w14:paraId="74992E1A" w14:textId="77777777" w:rsidR="002D745B" w:rsidRPr="00E30A41" w:rsidRDefault="002D745B" w:rsidP="00E350F6">
            <w:pPr>
              <w:pStyle w:val="Default"/>
              <w:jc w:val="both"/>
              <w:rPr>
                <w:rFonts w:ascii="Arial" w:hAnsi="Arial" w:cs="Arial"/>
                <w:b/>
                <w:bCs/>
                <w:i/>
                <w:iCs/>
                <w:sz w:val="16"/>
                <w:szCs w:val="16"/>
                <w:lang w:val="en-GB"/>
              </w:rPr>
            </w:pPr>
            <w:r w:rsidRPr="00E30A41">
              <w:rPr>
                <w:rFonts w:ascii="Arial" w:hAnsi="Arial" w:cs="Arial"/>
                <w:sz w:val="16"/>
                <w:szCs w:val="16"/>
                <w:lang w:val="en-GB"/>
              </w:rPr>
              <w:t>3,581 € to 5,169 €</w:t>
            </w:r>
          </w:p>
          <w:p w14:paraId="338A8339" w14:textId="77777777" w:rsidR="002D745B" w:rsidRPr="00E30A41" w:rsidRDefault="002D745B" w:rsidP="00E350F6">
            <w:pPr>
              <w:pStyle w:val="Default"/>
              <w:jc w:val="both"/>
              <w:rPr>
                <w:rFonts w:ascii="Arial" w:hAnsi="Arial" w:cs="Arial"/>
                <w:b/>
                <w:bCs/>
                <w:i/>
                <w:iCs/>
                <w:sz w:val="16"/>
                <w:szCs w:val="16"/>
                <w:lang w:val="en-GB"/>
              </w:rPr>
            </w:pPr>
            <w:r w:rsidRPr="00E30A41">
              <w:rPr>
                <w:rFonts w:ascii="Arial" w:hAnsi="Arial" w:cs="Arial"/>
                <w:sz w:val="16"/>
                <w:szCs w:val="16"/>
                <w:lang w:val="en-GB"/>
              </w:rPr>
              <w:t xml:space="preserve">(10 months to </w:t>
            </w:r>
            <w:proofErr w:type="gramStart"/>
            <w:r w:rsidRPr="00E30A41">
              <w:rPr>
                <w:rFonts w:ascii="Arial" w:hAnsi="Arial" w:cs="Arial"/>
                <w:sz w:val="16"/>
                <w:szCs w:val="16"/>
                <w:lang w:val="en-GB"/>
              </w:rPr>
              <w:t>1 year</w:t>
            </w:r>
            <w:proofErr w:type="gramEnd"/>
            <w:r w:rsidRPr="00E30A41">
              <w:rPr>
                <w:rFonts w:ascii="Arial" w:hAnsi="Arial" w:cs="Arial"/>
                <w:sz w:val="16"/>
                <w:szCs w:val="16"/>
                <w:lang w:val="en-GB"/>
              </w:rPr>
              <w:t xml:space="preserve"> horizon)</w:t>
            </w:r>
          </w:p>
        </w:tc>
        <w:tc>
          <w:tcPr>
            <w:tcW w:w="670" w:type="pct"/>
            <w:tcBorders>
              <w:top w:val="single" w:sz="6" w:space="0" w:color="000000"/>
              <w:left w:val="single" w:sz="6" w:space="0" w:color="000000"/>
              <w:bottom w:val="single" w:sz="6" w:space="0" w:color="000000"/>
              <w:right w:val="single" w:sz="6" w:space="0" w:color="000000"/>
            </w:tcBorders>
          </w:tcPr>
          <w:p w14:paraId="63D8EB36" w14:textId="77777777" w:rsidR="002D745B" w:rsidRPr="00E30A41" w:rsidRDefault="002D745B" w:rsidP="00E350F6">
            <w:pPr>
              <w:pStyle w:val="Default"/>
              <w:jc w:val="both"/>
              <w:rPr>
                <w:rFonts w:ascii="Arial" w:hAnsi="Arial" w:cs="Arial"/>
                <w:b/>
                <w:bCs/>
                <w:i/>
                <w:iCs/>
                <w:color w:val="auto"/>
                <w:sz w:val="16"/>
                <w:szCs w:val="16"/>
                <w:lang w:val="en-GB"/>
              </w:rPr>
            </w:pPr>
            <w:r w:rsidRPr="00E30A41">
              <w:rPr>
                <w:rFonts w:ascii="Arial" w:hAnsi="Arial" w:cs="Arial"/>
                <w:color w:val="auto"/>
                <w:sz w:val="16"/>
                <w:szCs w:val="16"/>
                <w:lang w:val="en-GB"/>
              </w:rPr>
              <w:t>0.13 to 0.22 QALYs</w:t>
            </w:r>
          </w:p>
          <w:p w14:paraId="13C457BA" w14:textId="77777777" w:rsidR="002D745B" w:rsidRPr="00E30A41" w:rsidRDefault="002D745B" w:rsidP="00E350F6">
            <w:pPr>
              <w:pStyle w:val="Default"/>
              <w:jc w:val="both"/>
              <w:rPr>
                <w:rFonts w:ascii="Arial" w:hAnsi="Arial" w:cs="Arial"/>
                <w:b/>
                <w:bCs/>
                <w:i/>
                <w:iCs/>
                <w:color w:val="auto"/>
                <w:sz w:val="16"/>
                <w:szCs w:val="16"/>
                <w:lang w:val="en-GB"/>
              </w:rPr>
            </w:pPr>
            <w:r w:rsidRPr="00E30A41">
              <w:rPr>
                <w:rFonts w:ascii="Arial" w:hAnsi="Arial" w:cs="Arial"/>
                <w:sz w:val="16"/>
                <w:szCs w:val="16"/>
                <w:lang w:val="en-GB"/>
              </w:rPr>
              <w:t xml:space="preserve">(10 months to </w:t>
            </w:r>
            <w:proofErr w:type="gramStart"/>
            <w:r w:rsidRPr="00E30A41">
              <w:rPr>
                <w:rFonts w:ascii="Arial" w:hAnsi="Arial" w:cs="Arial"/>
                <w:sz w:val="16"/>
                <w:szCs w:val="16"/>
                <w:lang w:val="en-GB"/>
              </w:rPr>
              <w:t>1 year</w:t>
            </w:r>
            <w:proofErr w:type="gramEnd"/>
            <w:r w:rsidRPr="00E30A41">
              <w:rPr>
                <w:rFonts w:ascii="Arial" w:hAnsi="Arial" w:cs="Arial"/>
                <w:sz w:val="16"/>
                <w:szCs w:val="16"/>
                <w:lang w:val="en-GB"/>
              </w:rPr>
              <w:t xml:space="preserve"> horizon)</w:t>
            </w:r>
          </w:p>
        </w:tc>
        <w:tc>
          <w:tcPr>
            <w:tcW w:w="599" w:type="pct"/>
            <w:tcBorders>
              <w:top w:val="single" w:sz="6" w:space="0" w:color="000000"/>
              <w:left w:val="single" w:sz="6" w:space="0" w:color="000000"/>
              <w:bottom w:val="single" w:sz="6" w:space="0" w:color="000000"/>
              <w:right w:val="single" w:sz="6" w:space="0" w:color="000000"/>
            </w:tcBorders>
          </w:tcPr>
          <w:p w14:paraId="6E663DA1" w14:textId="77777777" w:rsidR="002D745B" w:rsidRPr="00E30A41" w:rsidRDefault="002D745B" w:rsidP="00E350F6">
            <w:pPr>
              <w:pStyle w:val="Default"/>
              <w:jc w:val="both"/>
              <w:rPr>
                <w:rFonts w:ascii="Arial" w:hAnsi="Arial" w:cs="Arial"/>
                <w:b/>
                <w:bCs/>
                <w:i/>
                <w:iCs/>
                <w:sz w:val="16"/>
                <w:szCs w:val="16"/>
                <w:lang w:val="en-GB"/>
              </w:rPr>
            </w:pPr>
            <w:r w:rsidRPr="00E30A41">
              <w:rPr>
                <w:rFonts w:ascii="Arial" w:hAnsi="Arial" w:cs="Arial"/>
                <w:sz w:val="16"/>
                <w:szCs w:val="16"/>
                <w:lang w:val="en-GB"/>
              </w:rPr>
              <w:t>23,880 € to 26,865 € / QALY</w:t>
            </w:r>
          </w:p>
        </w:tc>
        <w:tc>
          <w:tcPr>
            <w:tcW w:w="358" w:type="pct"/>
            <w:tcBorders>
              <w:left w:val="single" w:sz="6" w:space="0" w:color="000000"/>
            </w:tcBorders>
          </w:tcPr>
          <w:p w14:paraId="63573921" w14:textId="77777777" w:rsidR="002D745B" w:rsidRPr="00E30A41" w:rsidRDefault="002D745B" w:rsidP="00E350F6">
            <w:pPr>
              <w:jc w:val="both"/>
              <w:rPr>
                <w:rStyle w:val="quality-sign"/>
                <w:rFonts w:ascii="Arial" w:eastAsia="MS Mincho" w:hAnsi="Arial" w:cs="Arial"/>
                <w:color w:val="000000"/>
                <w:sz w:val="16"/>
                <w:szCs w:val="16"/>
                <w:lang w:eastAsia="en-GB"/>
              </w:rPr>
            </w:pPr>
            <w:r w:rsidRPr="00E30A41">
              <w:rPr>
                <w:rStyle w:val="quality-sign"/>
                <w:rFonts w:ascii="Cambria Math" w:hAnsi="Cambria Math" w:cs="Cambria Math"/>
                <w:sz w:val="16"/>
                <w:szCs w:val="16"/>
              </w:rPr>
              <w:t>⨁</w:t>
            </w:r>
            <w:r w:rsidRPr="00E30A41">
              <w:rPr>
                <w:rStyle w:val="quality-sign"/>
                <w:rFonts w:ascii="Segoe UI Symbol" w:eastAsia="ヒラギノ角ゴシック W3" w:hAnsi="Segoe UI Symbol" w:cs="Segoe UI Symbol"/>
                <w:sz w:val="16"/>
                <w:szCs w:val="16"/>
              </w:rPr>
              <w:t>◯◯◯</w:t>
            </w:r>
          </w:p>
          <w:p w14:paraId="243799B5" w14:textId="77777777" w:rsidR="002D745B" w:rsidRPr="00E30A41" w:rsidRDefault="002D745B" w:rsidP="00E350F6">
            <w:pPr>
              <w:jc w:val="both"/>
              <w:rPr>
                <w:rStyle w:val="quality-sign"/>
                <w:rFonts w:ascii="Arial" w:hAnsi="Arial" w:cs="Arial"/>
                <w:sz w:val="16"/>
                <w:szCs w:val="16"/>
              </w:rPr>
            </w:pPr>
            <w:r w:rsidRPr="00E30A41">
              <w:rPr>
                <w:rStyle w:val="quality-sign"/>
                <w:rFonts w:ascii="Arial" w:hAnsi="Arial" w:cs="Arial"/>
                <w:sz w:val="16"/>
                <w:szCs w:val="16"/>
              </w:rPr>
              <w:t>VERY LOW</w:t>
            </w:r>
          </w:p>
        </w:tc>
      </w:tr>
      <w:tr w:rsidR="002D745B" w:rsidRPr="00F87E48" w14:paraId="4D9C630F" w14:textId="77777777" w:rsidTr="00E350F6">
        <w:trPr>
          <w:cantSplit/>
          <w:trHeight w:val="238"/>
          <w:jc w:val="center"/>
        </w:trPr>
        <w:tc>
          <w:tcPr>
            <w:tcW w:w="5000" w:type="pct"/>
            <w:gridSpan w:val="11"/>
            <w:tcBorders>
              <w:top w:val="single" w:sz="6" w:space="0" w:color="000000"/>
              <w:bottom w:val="single" w:sz="6" w:space="0" w:color="000000"/>
            </w:tcBorders>
            <w:shd w:val="clear" w:color="auto" w:fill="EDEDED"/>
          </w:tcPr>
          <w:p w14:paraId="05028B08" w14:textId="77777777" w:rsidR="002D745B" w:rsidRPr="00E30A41" w:rsidRDefault="002D745B" w:rsidP="00E350F6">
            <w:pPr>
              <w:jc w:val="both"/>
              <w:rPr>
                <w:rFonts w:ascii="Arial" w:hAnsi="Arial" w:cs="Arial"/>
                <w:sz w:val="16"/>
                <w:szCs w:val="16"/>
              </w:rPr>
            </w:pPr>
            <w:r w:rsidRPr="00E30A41">
              <w:rPr>
                <w:rStyle w:val="label"/>
                <w:rFonts w:ascii="Arial" w:hAnsi="Arial" w:cs="Arial"/>
                <w:sz w:val="16"/>
                <w:szCs w:val="16"/>
              </w:rPr>
              <w:t>ICER per avoid exacerbation (low quality studies)</w:t>
            </w:r>
          </w:p>
        </w:tc>
      </w:tr>
      <w:tr w:rsidR="002D745B" w:rsidRPr="00F87E48" w14:paraId="04C35614" w14:textId="77777777" w:rsidTr="00E350F6">
        <w:trPr>
          <w:cantSplit/>
          <w:trHeight w:val="408"/>
          <w:jc w:val="center"/>
        </w:trPr>
        <w:tc>
          <w:tcPr>
            <w:tcW w:w="306" w:type="pct"/>
            <w:tcBorders>
              <w:bottom w:val="single" w:sz="6" w:space="0" w:color="000000"/>
              <w:right w:val="single" w:sz="6" w:space="0" w:color="000000"/>
            </w:tcBorders>
          </w:tcPr>
          <w:p w14:paraId="03911649" w14:textId="77777777"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sz w:val="16"/>
                <w:szCs w:val="16"/>
              </w:rPr>
              <w:lastRenderedPageBreak/>
              <w:t>4</w:t>
            </w:r>
            <w:r w:rsidRPr="00E30A41">
              <w:rPr>
                <w:rFonts w:ascii="Arial" w:hAnsi="Arial" w:cs="Arial"/>
                <w:sz w:val="16"/>
                <w:szCs w:val="16"/>
                <w:vertAlign w:val="superscript"/>
              </w:rPr>
              <w:t>p-s</w:t>
            </w:r>
          </w:p>
        </w:tc>
        <w:tc>
          <w:tcPr>
            <w:tcW w:w="414" w:type="pct"/>
            <w:tcBorders>
              <w:left w:val="single" w:sz="6" w:space="0" w:color="000000"/>
              <w:bottom w:val="single" w:sz="6" w:space="0" w:color="000000"/>
              <w:right w:val="single" w:sz="6" w:space="0" w:color="000000"/>
            </w:tcBorders>
          </w:tcPr>
          <w:p w14:paraId="7010AE35" w14:textId="77777777"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sz w:val="16"/>
                <w:szCs w:val="16"/>
              </w:rPr>
              <w:t>Cost-effectiveness, pre-post study</w:t>
            </w:r>
          </w:p>
        </w:tc>
        <w:tc>
          <w:tcPr>
            <w:tcW w:w="426" w:type="pct"/>
            <w:tcBorders>
              <w:left w:val="single" w:sz="6" w:space="0" w:color="000000"/>
              <w:bottom w:val="single" w:sz="6" w:space="0" w:color="000000"/>
              <w:right w:val="single" w:sz="6" w:space="0" w:color="000000"/>
            </w:tcBorders>
          </w:tcPr>
          <w:p w14:paraId="4AF8103A" w14:textId="4936C143"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sz w:val="16"/>
                <w:szCs w:val="16"/>
              </w:rPr>
              <w:t>Very serious</w:t>
            </w:r>
            <w:r w:rsidR="006D2694">
              <w:rPr>
                <w:rFonts w:ascii="Arial" w:hAnsi="Arial" w:cs="Arial"/>
                <w:sz w:val="16"/>
                <w:szCs w:val="16"/>
                <w:vertAlign w:val="superscript"/>
              </w:rPr>
              <w:t>9</w:t>
            </w:r>
          </w:p>
        </w:tc>
        <w:tc>
          <w:tcPr>
            <w:tcW w:w="426" w:type="pct"/>
            <w:tcBorders>
              <w:left w:val="single" w:sz="6" w:space="0" w:color="000000"/>
              <w:bottom w:val="single" w:sz="6" w:space="0" w:color="000000"/>
              <w:right w:val="single" w:sz="6" w:space="0" w:color="000000"/>
            </w:tcBorders>
          </w:tcPr>
          <w:p w14:paraId="29936D58" w14:textId="54A0FE41"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sz w:val="16"/>
                <w:szCs w:val="16"/>
              </w:rPr>
              <w:t>Not serious</w:t>
            </w:r>
            <w:r w:rsidR="006D2694">
              <w:rPr>
                <w:rFonts w:ascii="Arial" w:hAnsi="Arial" w:cs="Arial"/>
                <w:sz w:val="16"/>
                <w:szCs w:val="16"/>
                <w:vertAlign w:val="superscript"/>
              </w:rPr>
              <w:t>10</w:t>
            </w:r>
          </w:p>
        </w:tc>
        <w:tc>
          <w:tcPr>
            <w:tcW w:w="431" w:type="pct"/>
            <w:tcBorders>
              <w:left w:val="single" w:sz="6" w:space="0" w:color="000000"/>
              <w:bottom w:val="single" w:sz="6" w:space="0" w:color="000000"/>
              <w:right w:val="single" w:sz="6" w:space="0" w:color="000000"/>
            </w:tcBorders>
          </w:tcPr>
          <w:p w14:paraId="17D68E81" w14:textId="3F46F86D"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sz w:val="16"/>
                <w:szCs w:val="16"/>
              </w:rPr>
              <w:t>Not serious</w:t>
            </w:r>
            <w:r w:rsidRPr="00E30A41">
              <w:rPr>
                <w:rFonts w:ascii="Arial" w:hAnsi="Arial" w:cs="Arial"/>
                <w:sz w:val="16"/>
                <w:szCs w:val="16"/>
                <w:vertAlign w:val="superscript"/>
              </w:rPr>
              <w:t>1</w:t>
            </w:r>
            <w:r w:rsidR="006D2694">
              <w:rPr>
                <w:rFonts w:ascii="Arial" w:hAnsi="Arial" w:cs="Arial"/>
                <w:sz w:val="16"/>
                <w:szCs w:val="16"/>
                <w:vertAlign w:val="superscript"/>
              </w:rPr>
              <w:t>4</w:t>
            </w:r>
          </w:p>
        </w:tc>
        <w:tc>
          <w:tcPr>
            <w:tcW w:w="368" w:type="pct"/>
            <w:tcBorders>
              <w:left w:val="single" w:sz="6" w:space="0" w:color="000000"/>
              <w:bottom w:val="single" w:sz="6" w:space="0" w:color="000000"/>
              <w:right w:val="single" w:sz="6" w:space="0" w:color="000000"/>
            </w:tcBorders>
          </w:tcPr>
          <w:p w14:paraId="1D25B3EC" w14:textId="20B54E42" w:rsidR="002D745B" w:rsidRPr="00E30A41" w:rsidRDefault="002D745B" w:rsidP="00E350F6">
            <w:pPr>
              <w:jc w:val="both"/>
              <w:rPr>
                <w:rFonts w:ascii="Arial" w:eastAsiaTheme="majorEastAsia" w:hAnsi="Arial" w:cs="Arial"/>
                <w:i/>
                <w:iCs/>
                <w:color w:val="404040" w:themeColor="text1" w:themeTint="BF"/>
                <w:sz w:val="16"/>
                <w:szCs w:val="16"/>
              </w:rPr>
            </w:pPr>
            <w:r w:rsidRPr="00E30A41">
              <w:rPr>
                <w:rFonts w:ascii="Arial" w:hAnsi="Arial" w:cs="Arial"/>
                <w:sz w:val="16"/>
                <w:szCs w:val="16"/>
              </w:rPr>
              <w:t>Not serious</w:t>
            </w:r>
            <w:r w:rsidRPr="00E30A41">
              <w:rPr>
                <w:rFonts w:ascii="Arial" w:hAnsi="Arial" w:cs="Arial"/>
                <w:sz w:val="16"/>
                <w:szCs w:val="16"/>
                <w:vertAlign w:val="superscript"/>
              </w:rPr>
              <w:t>1</w:t>
            </w:r>
            <w:r w:rsidR="006D2694">
              <w:rPr>
                <w:rFonts w:ascii="Arial" w:hAnsi="Arial" w:cs="Arial"/>
                <w:sz w:val="16"/>
                <w:szCs w:val="16"/>
                <w:vertAlign w:val="superscript"/>
              </w:rPr>
              <w:t>2</w:t>
            </w:r>
          </w:p>
        </w:tc>
        <w:tc>
          <w:tcPr>
            <w:tcW w:w="395" w:type="pct"/>
            <w:tcBorders>
              <w:left w:val="single" w:sz="6" w:space="0" w:color="000000"/>
              <w:bottom w:val="single" w:sz="6" w:space="0" w:color="000000"/>
              <w:right w:val="single" w:sz="6" w:space="0" w:color="000000"/>
            </w:tcBorders>
          </w:tcPr>
          <w:p w14:paraId="4A741C08" w14:textId="6687F997"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sz w:val="16"/>
                <w:szCs w:val="16"/>
              </w:rPr>
              <w:t>Serious</w:t>
            </w:r>
            <w:r w:rsidRPr="00E30A41">
              <w:rPr>
                <w:rFonts w:ascii="Arial" w:hAnsi="Arial" w:cs="Arial"/>
                <w:sz w:val="16"/>
                <w:szCs w:val="16"/>
                <w:vertAlign w:val="superscript"/>
              </w:rPr>
              <w:t>1</w:t>
            </w:r>
            <w:r w:rsidR="006D2694">
              <w:rPr>
                <w:rFonts w:ascii="Arial" w:hAnsi="Arial" w:cs="Arial"/>
                <w:sz w:val="16"/>
                <w:szCs w:val="16"/>
                <w:vertAlign w:val="superscript"/>
              </w:rPr>
              <w:t>5</w:t>
            </w:r>
          </w:p>
        </w:tc>
        <w:tc>
          <w:tcPr>
            <w:tcW w:w="607" w:type="pct"/>
            <w:tcBorders>
              <w:left w:val="single" w:sz="6" w:space="0" w:color="000000"/>
              <w:bottom w:val="single" w:sz="6" w:space="0" w:color="000000"/>
              <w:right w:val="single" w:sz="6" w:space="0" w:color="000000"/>
            </w:tcBorders>
          </w:tcPr>
          <w:p w14:paraId="63643AB1" w14:textId="77777777" w:rsidR="002D745B" w:rsidRPr="00E30A41" w:rsidRDefault="002D745B" w:rsidP="00E350F6">
            <w:pPr>
              <w:pStyle w:val="Default"/>
              <w:jc w:val="both"/>
              <w:rPr>
                <w:rFonts w:ascii="Arial" w:hAnsi="Arial" w:cs="Arial"/>
                <w:b/>
                <w:bCs/>
                <w:i/>
                <w:iCs/>
                <w:sz w:val="16"/>
                <w:szCs w:val="16"/>
                <w:lang w:val="en-GB"/>
              </w:rPr>
            </w:pPr>
            <w:r w:rsidRPr="00E30A41">
              <w:rPr>
                <w:rFonts w:ascii="Arial" w:hAnsi="Arial" w:cs="Arial"/>
                <w:sz w:val="16"/>
                <w:szCs w:val="16"/>
                <w:lang w:val="en-GB"/>
              </w:rPr>
              <w:t>8,731 € to NR</w:t>
            </w:r>
          </w:p>
          <w:p w14:paraId="172C85B3" w14:textId="77777777" w:rsidR="002D745B" w:rsidRPr="00E30A41" w:rsidRDefault="002D745B" w:rsidP="00E350F6">
            <w:pPr>
              <w:pStyle w:val="Default"/>
              <w:jc w:val="both"/>
              <w:rPr>
                <w:rFonts w:ascii="Arial" w:hAnsi="Arial" w:cs="Arial"/>
                <w:b/>
                <w:bCs/>
                <w:i/>
                <w:iCs/>
                <w:sz w:val="16"/>
                <w:szCs w:val="16"/>
                <w:lang w:val="en-GB"/>
              </w:rPr>
            </w:pPr>
            <w:r w:rsidRPr="00E30A41">
              <w:rPr>
                <w:rFonts w:ascii="Arial" w:hAnsi="Arial" w:cs="Arial"/>
                <w:sz w:val="16"/>
                <w:szCs w:val="16"/>
                <w:lang w:val="en-GB"/>
              </w:rPr>
              <w:t>(</w:t>
            </w:r>
            <w:proofErr w:type="gramStart"/>
            <w:r w:rsidRPr="00E30A41">
              <w:rPr>
                <w:rFonts w:ascii="Arial" w:hAnsi="Arial" w:cs="Arial"/>
                <w:sz w:val="16"/>
                <w:szCs w:val="16"/>
                <w:lang w:val="en-GB"/>
              </w:rPr>
              <w:t>1 year</w:t>
            </w:r>
            <w:proofErr w:type="gramEnd"/>
            <w:r w:rsidRPr="00E30A41">
              <w:rPr>
                <w:rFonts w:ascii="Arial" w:hAnsi="Arial" w:cs="Arial"/>
                <w:sz w:val="16"/>
                <w:szCs w:val="16"/>
                <w:lang w:val="en-GB"/>
              </w:rPr>
              <w:t xml:space="preserve"> horizon)</w:t>
            </w:r>
          </w:p>
        </w:tc>
        <w:tc>
          <w:tcPr>
            <w:tcW w:w="670" w:type="pct"/>
            <w:tcBorders>
              <w:top w:val="single" w:sz="6" w:space="0" w:color="000000"/>
              <w:left w:val="single" w:sz="6" w:space="0" w:color="000000"/>
              <w:bottom w:val="single" w:sz="6" w:space="0" w:color="000000"/>
              <w:right w:val="single" w:sz="6" w:space="0" w:color="000000"/>
            </w:tcBorders>
          </w:tcPr>
          <w:p w14:paraId="2211DF00" w14:textId="77777777" w:rsidR="002D745B" w:rsidRPr="00E30A41" w:rsidRDefault="002D745B" w:rsidP="00E350F6">
            <w:pPr>
              <w:pStyle w:val="Default"/>
              <w:jc w:val="both"/>
              <w:rPr>
                <w:rFonts w:ascii="Arial" w:hAnsi="Arial" w:cs="Arial"/>
                <w:b/>
                <w:bCs/>
                <w:i/>
                <w:iCs/>
                <w:color w:val="auto"/>
                <w:sz w:val="16"/>
                <w:szCs w:val="16"/>
                <w:lang w:val="en-GB"/>
              </w:rPr>
            </w:pPr>
            <w:r w:rsidRPr="00E30A41">
              <w:rPr>
                <w:rFonts w:ascii="Arial" w:hAnsi="Arial" w:cs="Arial"/>
                <w:color w:val="auto"/>
                <w:sz w:val="16"/>
                <w:szCs w:val="16"/>
                <w:lang w:val="en-GB"/>
              </w:rPr>
              <w:t>NR to 7.72 avoided exacerbations</w:t>
            </w:r>
          </w:p>
          <w:p w14:paraId="22A4B49B" w14:textId="77777777" w:rsidR="002D745B" w:rsidRPr="00E30A41" w:rsidRDefault="002D745B" w:rsidP="00E350F6">
            <w:pPr>
              <w:pStyle w:val="Default"/>
              <w:jc w:val="both"/>
              <w:rPr>
                <w:rFonts w:ascii="Arial" w:hAnsi="Arial" w:cs="Arial"/>
                <w:b/>
                <w:bCs/>
                <w:i/>
                <w:iCs/>
                <w:color w:val="auto"/>
                <w:sz w:val="16"/>
                <w:szCs w:val="16"/>
                <w:lang w:val="en-GB"/>
              </w:rPr>
            </w:pPr>
            <w:r w:rsidRPr="00E30A41">
              <w:rPr>
                <w:rFonts w:ascii="Arial" w:hAnsi="Arial" w:cs="Arial"/>
                <w:sz w:val="16"/>
                <w:szCs w:val="16"/>
                <w:lang w:val="en-GB"/>
              </w:rPr>
              <w:t>(</w:t>
            </w:r>
            <w:proofErr w:type="gramStart"/>
            <w:r w:rsidRPr="00E30A41">
              <w:rPr>
                <w:rFonts w:ascii="Arial" w:hAnsi="Arial" w:cs="Arial"/>
                <w:sz w:val="16"/>
                <w:szCs w:val="16"/>
                <w:lang w:val="en-GB"/>
              </w:rPr>
              <w:t>1 year</w:t>
            </w:r>
            <w:proofErr w:type="gramEnd"/>
            <w:r w:rsidRPr="00E30A41">
              <w:rPr>
                <w:rFonts w:ascii="Arial" w:hAnsi="Arial" w:cs="Arial"/>
                <w:sz w:val="16"/>
                <w:szCs w:val="16"/>
                <w:lang w:val="en-GB"/>
              </w:rPr>
              <w:t xml:space="preserve"> horizon)</w:t>
            </w:r>
          </w:p>
        </w:tc>
        <w:tc>
          <w:tcPr>
            <w:tcW w:w="599" w:type="pct"/>
            <w:tcBorders>
              <w:top w:val="single" w:sz="6" w:space="0" w:color="000000"/>
              <w:left w:val="single" w:sz="6" w:space="0" w:color="000000"/>
              <w:bottom w:val="single" w:sz="6" w:space="0" w:color="000000"/>
              <w:right w:val="single" w:sz="6" w:space="0" w:color="000000"/>
            </w:tcBorders>
          </w:tcPr>
          <w:p w14:paraId="23B15B3A" w14:textId="77777777" w:rsidR="002D745B" w:rsidRPr="00E30A41" w:rsidRDefault="002D745B" w:rsidP="00E350F6">
            <w:pPr>
              <w:pStyle w:val="Default"/>
              <w:jc w:val="both"/>
              <w:rPr>
                <w:rFonts w:ascii="Arial" w:hAnsi="Arial" w:cs="Arial"/>
                <w:b/>
                <w:bCs/>
                <w:i/>
                <w:iCs/>
                <w:sz w:val="16"/>
                <w:szCs w:val="16"/>
                <w:lang w:val="en-GB"/>
              </w:rPr>
            </w:pPr>
            <w:r w:rsidRPr="00E30A41">
              <w:rPr>
                <w:rFonts w:ascii="Arial" w:hAnsi="Arial" w:cs="Arial"/>
                <w:sz w:val="16"/>
                <w:szCs w:val="16"/>
                <w:lang w:val="en-GB"/>
              </w:rPr>
              <w:t>1,131 € to 17,721 € / avoided exacerbation</w:t>
            </w:r>
          </w:p>
        </w:tc>
        <w:tc>
          <w:tcPr>
            <w:tcW w:w="358" w:type="pct"/>
            <w:tcBorders>
              <w:left w:val="single" w:sz="6" w:space="0" w:color="000000"/>
              <w:bottom w:val="single" w:sz="6" w:space="0" w:color="000000"/>
            </w:tcBorders>
          </w:tcPr>
          <w:p w14:paraId="66058D65" w14:textId="77777777" w:rsidR="002D745B" w:rsidRPr="00E30A41" w:rsidRDefault="002D745B" w:rsidP="00E350F6">
            <w:pPr>
              <w:jc w:val="both"/>
              <w:rPr>
                <w:rStyle w:val="quality-sign"/>
                <w:rFonts w:ascii="Arial" w:eastAsia="MS Mincho" w:hAnsi="Arial" w:cs="Arial"/>
                <w:color w:val="000000"/>
                <w:sz w:val="16"/>
                <w:szCs w:val="16"/>
                <w:lang w:eastAsia="en-GB"/>
              </w:rPr>
            </w:pPr>
            <w:r w:rsidRPr="00E30A41">
              <w:rPr>
                <w:rStyle w:val="quality-sign"/>
                <w:rFonts w:ascii="Cambria Math" w:hAnsi="Cambria Math" w:cs="Cambria Math"/>
                <w:sz w:val="16"/>
                <w:szCs w:val="16"/>
              </w:rPr>
              <w:t>⨁</w:t>
            </w:r>
            <w:r w:rsidRPr="00E30A41">
              <w:rPr>
                <w:rStyle w:val="quality-sign"/>
                <w:rFonts w:ascii="Segoe UI Symbol" w:eastAsia="ヒラギノ角ゴシック W3" w:hAnsi="Segoe UI Symbol" w:cs="Segoe UI Symbol"/>
                <w:sz w:val="16"/>
                <w:szCs w:val="16"/>
              </w:rPr>
              <w:t>◯◯◯</w:t>
            </w:r>
          </w:p>
          <w:p w14:paraId="7E0E46E9" w14:textId="77777777" w:rsidR="002D745B" w:rsidRPr="00E30A41" w:rsidRDefault="002D745B" w:rsidP="00E350F6">
            <w:pPr>
              <w:jc w:val="both"/>
              <w:rPr>
                <w:rStyle w:val="quality-sign"/>
                <w:rFonts w:ascii="Arial" w:hAnsi="Arial" w:cs="Arial"/>
                <w:sz w:val="16"/>
                <w:szCs w:val="16"/>
              </w:rPr>
            </w:pPr>
            <w:r w:rsidRPr="00E30A41">
              <w:rPr>
                <w:rStyle w:val="quality-sign"/>
                <w:rFonts w:ascii="Arial" w:hAnsi="Arial" w:cs="Arial"/>
                <w:sz w:val="16"/>
                <w:szCs w:val="16"/>
              </w:rPr>
              <w:t>VERY LOW</w:t>
            </w:r>
          </w:p>
        </w:tc>
      </w:tr>
      <w:tr w:rsidR="002D745B" w:rsidRPr="00F87E48" w14:paraId="628CF60A" w14:textId="77777777" w:rsidTr="00E350F6">
        <w:trPr>
          <w:cantSplit/>
          <w:trHeight w:val="238"/>
          <w:jc w:val="center"/>
        </w:trPr>
        <w:tc>
          <w:tcPr>
            <w:tcW w:w="5000" w:type="pct"/>
            <w:gridSpan w:val="11"/>
            <w:tcBorders>
              <w:top w:val="single" w:sz="6" w:space="0" w:color="000000"/>
              <w:bottom w:val="single" w:sz="6" w:space="0" w:color="000000"/>
            </w:tcBorders>
            <w:shd w:val="clear" w:color="auto" w:fill="EDEDED"/>
          </w:tcPr>
          <w:p w14:paraId="54C9F370" w14:textId="77777777" w:rsidR="002D745B" w:rsidRPr="00E30A41" w:rsidRDefault="002D745B" w:rsidP="00E350F6">
            <w:pPr>
              <w:jc w:val="both"/>
              <w:rPr>
                <w:rFonts w:ascii="Arial" w:hAnsi="Arial" w:cs="Arial"/>
                <w:sz w:val="16"/>
                <w:szCs w:val="16"/>
              </w:rPr>
            </w:pPr>
            <w:r w:rsidRPr="00E30A41">
              <w:rPr>
                <w:rStyle w:val="label"/>
                <w:rFonts w:ascii="Arial" w:hAnsi="Arial" w:cs="Arial"/>
                <w:sz w:val="16"/>
                <w:szCs w:val="16"/>
              </w:rPr>
              <w:t xml:space="preserve">ICER per </w:t>
            </w:r>
            <w:r w:rsidRPr="00E30A41">
              <w:rPr>
                <w:rFonts w:ascii="Arial" w:hAnsi="Arial" w:cs="Arial"/>
                <w:sz w:val="16"/>
                <w:szCs w:val="16"/>
              </w:rPr>
              <w:t xml:space="preserve">increase in ACT (Asthma Control Test) score </w:t>
            </w:r>
          </w:p>
        </w:tc>
      </w:tr>
      <w:tr w:rsidR="002D745B" w:rsidRPr="00F87E48" w14:paraId="1A321F90" w14:textId="77777777" w:rsidTr="00E350F6">
        <w:trPr>
          <w:cantSplit/>
          <w:trHeight w:val="408"/>
          <w:jc w:val="center"/>
        </w:trPr>
        <w:tc>
          <w:tcPr>
            <w:tcW w:w="306" w:type="pct"/>
            <w:tcBorders>
              <w:bottom w:val="single" w:sz="6" w:space="0" w:color="000000"/>
              <w:right w:val="single" w:sz="6" w:space="0" w:color="000000"/>
            </w:tcBorders>
          </w:tcPr>
          <w:p w14:paraId="54C7BC1E" w14:textId="77777777"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sz w:val="16"/>
                <w:szCs w:val="16"/>
              </w:rPr>
              <w:t>2</w:t>
            </w:r>
            <w:proofErr w:type="gramStart"/>
            <w:r w:rsidRPr="00E30A41">
              <w:rPr>
                <w:rFonts w:ascii="Arial" w:hAnsi="Arial" w:cs="Arial"/>
                <w:sz w:val="16"/>
                <w:szCs w:val="16"/>
                <w:vertAlign w:val="superscript"/>
              </w:rPr>
              <w:t>p,s</w:t>
            </w:r>
            <w:proofErr w:type="gramEnd"/>
          </w:p>
        </w:tc>
        <w:tc>
          <w:tcPr>
            <w:tcW w:w="414" w:type="pct"/>
            <w:tcBorders>
              <w:left w:val="single" w:sz="6" w:space="0" w:color="000000"/>
              <w:bottom w:val="single" w:sz="6" w:space="0" w:color="000000"/>
              <w:right w:val="single" w:sz="6" w:space="0" w:color="000000"/>
            </w:tcBorders>
          </w:tcPr>
          <w:p w14:paraId="0D88A69D" w14:textId="77777777"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sz w:val="16"/>
                <w:szCs w:val="16"/>
              </w:rPr>
              <w:t>Cost-effectiveness, pre-post study</w:t>
            </w:r>
          </w:p>
        </w:tc>
        <w:tc>
          <w:tcPr>
            <w:tcW w:w="426" w:type="pct"/>
            <w:tcBorders>
              <w:left w:val="single" w:sz="6" w:space="0" w:color="000000"/>
              <w:bottom w:val="single" w:sz="6" w:space="0" w:color="000000"/>
              <w:right w:val="single" w:sz="6" w:space="0" w:color="000000"/>
            </w:tcBorders>
          </w:tcPr>
          <w:p w14:paraId="4E6C9519" w14:textId="097EF7DE"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sz w:val="16"/>
                <w:szCs w:val="16"/>
              </w:rPr>
              <w:t>Very serious</w:t>
            </w:r>
            <w:r w:rsidR="006D2694">
              <w:rPr>
                <w:rFonts w:ascii="Arial" w:hAnsi="Arial" w:cs="Arial"/>
                <w:sz w:val="16"/>
                <w:szCs w:val="16"/>
                <w:vertAlign w:val="superscript"/>
              </w:rPr>
              <w:t>9</w:t>
            </w:r>
          </w:p>
        </w:tc>
        <w:tc>
          <w:tcPr>
            <w:tcW w:w="426" w:type="pct"/>
            <w:tcBorders>
              <w:left w:val="single" w:sz="6" w:space="0" w:color="000000"/>
              <w:bottom w:val="single" w:sz="6" w:space="0" w:color="000000"/>
              <w:right w:val="single" w:sz="6" w:space="0" w:color="000000"/>
            </w:tcBorders>
          </w:tcPr>
          <w:p w14:paraId="36A0C589" w14:textId="66F7A33D"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sz w:val="16"/>
                <w:szCs w:val="16"/>
              </w:rPr>
              <w:t>Not serious</w:t>
            </w:r>
            <w:r w:rsidR="006D2694">
              <w:rPr>
                <w:rFonts w:ascii="Arial" w:hAnsi="Arial" w:cs="Arial"/>
                <w:sz w:val="16"/>
                <w:szCs w:val="16"/>
                <w:vertAlign w:val="superscript"/>
              </w:rPr>
              <w:t>10</w:t>
            </w:r>
          </w:p>
        </w:tc>
        <w:tc>
          <w:tcPr>
            <w:tcW w:w="431" w:type="pct"/>
            <w:tcBorders>
              <w:left w:val="single" w:sz="6" w:space="0" w:color="000000"/>
              <w:bottom w:val="single" w:sz="6" w:space="0" w:color="000000"/>
              <w:right w:val="single" w:sz="6" w:space="0" w:color="000000"/>
            </w:tcBorders>
          </w:tcPr>
          <w:p w14:paraId="50C6F05C" w14:textId="453E3FB7"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sz w:val="16"/>
                <w:szCs w:val="16"/>
              </w:rPr>
              <w:t>Not serious</w:t>
            </w:r>
            <w:r w:rsidRPr="00E30A41">
              <w:rPr>
                <w:rFonts w:ascii="Arial" w:hAnsi="Arial" w:cs="Arial"/>
                <w:sz w:val="16"/>
                <w:szCs w:val="16"/>
                <w:vertAlign w:val="superscript"/>
              </w:rPr>
              <w:t>1</w:t>
            </w:r>
            <w:r w:rsidR="006D2694">
              <w:rPr>
                <w:rFonts w:ascii="Arial" w:hAnsi="Arial" w:cs="Arial"/>
                <w:sz w:val="16"/>
                <w:szCs w:val="16"/>
                <w:vertAlign w:val="superscript"/>
              </w:rPr>
              <w:t>4</w:t>
            </w:r>
          </w:p>
        </w:tc>
        <w:tc>
          <w:tcPr>
            <w:tcW w:w="368" w:type="pct"/>
            <w:tcBorders>
              <w:left w:val="single" w:sz="6" w:space="0" w:color="000000"/>
              <w:bottom w:val="single" w:sz="6" w:space="0" w:color="000000"/>
              <w:right w:val="single" w:sz="6" w:space="0" w:color="000000"/>
            </w:tcBorders>
          </w:tcPr>
          <w:p w14:paraId="7AFFE038" w14:textId="001F202F"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sz w:val="16"/>
                <w:szCs w:val="16"/>
              </w:rPr>
              <w:t>Not serious</w:t>
            </w:r>
            <w:r w:rsidRPr="00E30A41">
              <w:rPr>
                <w:rFonts w:ascii="Arial" w:hAnsi="Arial" w:cs="Arial"/>
                <w:sz w:val="16"/>
                <w:szCs w:val="16"/>
                <w:vertAlign w:val="superscript"/>
              </w:rPr>
              <w:t>1</w:t>
            </w:r>
            <w:r w:rsidR="006D2694">
              <w:rPr>
                <w:rFonts w:ascii="Arial" w:hAnsi="Arial" w:cs="Arial"/>
                <w:sz w:val="16"/>
                <w:szCs w:val="16"/>
                <w:vertAlign w:val="superscript"/>
              </w:rPr>
              <w:t>2</w:t>
            </w:r>
          </w:p>
        </w:tc>
        <w:tc>
          <w:tcPr>
            <w:tcW w:w="395" w:type="pct"/>
            <w:tcBorders>
              <w:left w:val="single" w:sz="6" w:space="0" w:color="000000"/>
              <w:bottom w:val="single" w:sz="6" w:space="0" w:color="000000"/>
              <w:right w:val="single" w:sz="6" w:space="0" w:color="000000"/>
            </w:tcBorders>
          </w:tcPr>
          <w:p w14:paraId="4549CCA3" w14:textId="4522503D" w:rsidR="002D745B" w:rsidRPr="00E30A41" w:rsidRDefault="002D745B" w:rsidP="00E350F6">
            <w:pPr>
              <w:jc w:val="both"/>
              <w:rPr>
                <w:rFonts w:ascii="Arial" w:eastAsiaTheme="majorEastAsia" w:hAnsi="Arial" w:cs="Arial"/>
                <w:i/>
                <w:iCs/>
                <w:color w:val="404040" w:themeColor="text1" w:themeTint="BF"/>
                <w:sz w:val="16"/>
                <w:szCs w:val="16"/>
              </w:rPr>
            </w:pPr>
            <w:r w:rsidRPr="00E30A41">
              <w:rPr>
                <w:rFonts w:ascii="Arial" w:hAnsi="Arial" w:cs="Arial"/>
                <w:sz w:val="16"/>
                <w:szCs w:val="16"/>
              </w:rPr>
              <w:t>Serious</w:t>
            </w:r>
            <w:r w:rsidRPr="00E30A41">
              <w:rPr>
                <w:rFonts w:ascii="Arial" w:hAnsi="Arial" w:cs="Arial"/>
                <w:sz w:val="16"/>
                <w:szCs w:val="16"/>
                <w:vertAlign w:val="superscript"/>
              </w:rPr>
              <w:t>1</w:t>
            </w:r>
            <w:r w:rsidR="006D2694">
              <w:rPr>
                <w:rFonts w:ascii="Arial" w:hAnsi="Arial" w:cs="Arial"/>
                <w:sz w:val="16"/>
                <w:szCs w:val="16"/>
                <w:vertAlign w:val="superscript"/>
              </w:rPr>
              <w:t>6</w:t>
            </w:r>
          </w:p>
        </w:tc>
        <w:tc>
          <w:tcPr>
            <w:tcW w:w="607" w:type="pct"/>
            <w:tcBorders>
              <w:left w:val="single" w:sz="6" w:space="0" w:color="000000"/>
              <w:bottom w:val="single" w:sz="6" w:space="0" w:color="000000"/>
              <w:right w:val="single" w:sz="6" w:space="0" w:color="000000"/>
            </w:tcBorders>
          </w:tcPr>
          <w:p w14:paraId="3B3C72A4" w14:textId="77777777" w:rsidR="002D745B" w:rsidRPr="00E30A41" w:rsidRDefault="002D745B" w:rsidP="00E350F6">
            <w:pPr>
              <w:pStyle w:val="Default"/>
              <w:jc w:val="both"/>
              <w:rPr>
                <w:rFonts w:ascii="Arial" w:hAnsi="Arial" w:cs="Arial"/>
                <w:b/>
                <w:bCs/>
                <w:i/>
                <w:iCs/>
                <w:sz w:val="16"/>
                <w:szCs w:val="16"/>
                <w:lang w:val="en-GB"/>
              </w:rPr>
            </w:pPr>
            <w:r w:rsidRPr="00E30A41">
              <w:rPr>
                <w:rFonts w:ascii="Arial" w:hAnsi="Arial" w:cs="Arial"/>
                <w:sz w:val="16"/>
                <w:szCs w:val="16"/>
                <w:lang w:val="en-GB"/>
              </w:rPr>
              <w:t>8,731 € to 9,979 €</w:t>
            </w:r>
          </w:p>
          <w:p w14:paraId="1906C6DC" w14:textId="77777777" w:rsidR="002D745B" w:rsidRPr="00E30A41" w:rsidRDefault="002D745B" w:rsidP="00E350F6">
            <w:pPr>
              <w:pStyle w:val="Default"/>
              <w:jc w:val="both"/>
              <w:rPr>
                <w:rFonts w:ascii="Arial" w:hAnsi="Arial" w:cs="Arial"/>
                <w:b/>
                <w:bCs/>
                <w:i/>
                <w:iCs/>
                <w:sz w:val="16"/>
                <w:szCs w:val="16"/>
                <w:lang w:val="en-GB"/>
              </w:rPr>
            </w:pPr>
            <w:r w:rsidRPr="00E30A41">
              <w:rPr>
                <w:rFonts w:ascii="Arial" w:hAnsi="Arial" w:cs="Arial"/>
                <w:sz w:val="16"/>
                <w:szCs w:val="16"/>
                <w:lang w:val="en-GB"/>
              </w:rPr>
              <w:t>(</w:t>
            </w:r>
            <w:proofErr w:type="gramStart"/>
            <w:r w:rsidRPr="00E30A41">
              <w:rPr>
                <w:rFonts w:ascii="Arial" w:hAnsi="Arial" w:cs="Arial"/>
                <w:sz w:val="16"/>
                <w:szCs w:val="16"/>
                <w:lang w:val="en-GB"/>
              </w:rPr>
              <w:t>1 year</w:t>
            </w:r>
            <w:proofErr w:type="gramEnd"/>
            <w:r w:rsidRPr="00E30A41">
              <w:rPr>
                <w:rFonts w:ascii="Arial" w:hAnsi="Arial" w:cs="Arial"/>
                <w:sz w:val="16"/>
                <w:szCs w:val="16"/>
                <w:lang w:val="en-GB"/>
              </w:rPr>
              <w:t xml:space="preserve"> horizon)</w:t>
            </w:r>
          </w:p>
        </w:tc>
        <w:tc>
          <w:tcPr>
            <w:tcW w:w="670" w:type="pct"/>
            <w:tcBorders>
              <w:top w:val="single" w:sz="6" w:space="0" w:color="000000"/>
              <w:left w:val="single" w:sz="6" w:space="0" w:color="000000"/>
              <w:bottom w:val="single" w:sz="6" w:space="0" w:color="000000"/>
              <w:right w:val="single" w:sz="6" w:space="0" w:color="000000"/>
            </w:tcBorders>
          </w:tcPr>
          <w:p w14:paraId="3407B220" w14:textId="77777777" w:rsidR="002D745B" w:rsidRPr="00E30A41" w:rsidRDefault="002D745B" w:rsidP="00E350F6">
            <w:pPr>
              <w:pStyle w:val="Default"/>
              <w:jc w:val="both"/>
              <w:rPr>
                <w:rFonts w:ascii="Arial" w:hAnsi="Arial" w:cs="Arial"/>
                <w:b/>
                <w:bCs/>
                <w:i/>
                <w:iCs/>
                <w:color w:val="auto"/>
                <w:sz w:val="16"/>
                <w:szCs w:val="16"/>
                <w:lang w:val="en-GB"/>
              </w:rPr>
            </w:pPr>
            <w:r w:rsidRPr="00E30A41">
              <w:rPr>
                <w:rFonts w:ascii="Arial" w:hAnsi="Arial" w:cs="Arial"/>
                <w:color w:val="auto"/>
                <w:sz w:val="16"/>
                <w:szCs w:val="16"/>
                <w:lang w:val="en-GB"/>
              </w:rPr>
              <w:t>6.35 to 8.4 mean increase in ACT score</w:t>
            </w:r>
          </w:p>
          <w:p w14:paraId="2649450D" w14:textId="77777777" w:rsidR="002D745B" w:rsidRPr="00E30A41" w:rsidRDefault="002D745B" w:rsidP="00E350F6">
            <w:pPr>
              <w:pStyle w:val="Default"/>
              <w:jc w:val="both"/>
              <w:rPr>
                <w:rFonts w:ascii="Arial" w:hAnsi="Arial" w:cs="Arial"/>
                <w:b/>
                <w:bCs/>
                <w:i/>
                <w:iCs/>
                <w:color w:val="auto"/>
                <w:sz w:val="16"/>
                <w:szCs w:val="16"/>
                <w:lang w:val="en-GB"/>
              </w:rPr>
            </w:pPr>
            <w:r w:rsidRPr="00E30A41">
              <w:rPr>
                <w:rFonts w:ascii="Arial" w:hAnsi="Arial" w:cs="Arial"/>
                <w:sz w:val="16"/>
                <w:szCs w:val="16"/>
                <w:lang w:val="en-GB"/>
              </w:rPr>
              <w:t>(</w:t>
            </w:r>
            <w:proofErr w:type="gramStart"/>
            <w:r w:rsidRPr="00E30A41">
              <w:rPr>
                <w:rFonts w:ascii="Arial" w:hAnsi="Arial" w:cs="Arial"/>
                <w:sz w:val="16"/>
                <w:szCs w:val="16"/>
                <w:lang w:val="en-GB"/>
              </w:rPr>
              <w:t>1 year</w:t>
            </w:r>
            <w:proofErr w:type="gramEnd"/>
            <w:r w:rsidRPr="00E30A41">
              <w:rPr>
                <w:rFonts w:ascii="Arial" w:hAnsi="Arial" w:cs="Arial"/>
                <w:sz w:val="16"/>
                <w:szCs w:val="16"/>
                <w:lang w:val="en-GB"/>
              </w:rPr>
              <w:t xml:space="preserve"> horizon)</w:t>
            </w:r>
          </w:p>
        </w:tc>
        <w:tc>
          <w:tcPr>
            <w:tcW w:w="599" w:type="pct"/>
            <w:tcBorders>
              <w:top w:val="single" w:sz="6" w:space="0" w:color="000000"/>
              <w:left w:val="single" w:sz="6" w:space="0" w:color="000000"/>
              <w:bottom w:val="single" w:sz="6" w:space="0" w:color="000000"/>
              <w:right w:val="single" w:sz="6" w:space="0" w:color="000000"/>
            </w:tcBorders>
          </w:tcPr>
          <w:p w14:paraId="63EACBE0" w14:textId="77777777" w:rsidR="002D745B" w:rsidRPr="00E30A41" w:rsidRDefault="002D745B" w:rsidP="00E350F6">
            <w:pPr>
              <w:pStyle w:val="Default"/>
              <w:jc w:val="both"/>
              <w:rPr>
                <w:rFonts w:ascii="Arial" w:hAnsi="Arial" w:cs="Arial"/>
                <w:b/>
                <w:bCs/>
                <w:i/>
                <w:iCs/>
                <w:sz w:val="16"/>
                <w:szCs w:val="16"/>
                <w:lang w:val="en-GB"/>
              </w:rPr>
            </w:pPr>
            <w:r w:rsidRPr="00E30A41">
              <w:rPr>
                <w:rFonts w:ascii="Arial" w:hAnsi="Arial" w:cs="Arial"/>
                <w:sz w:val="16"/>
                <w:szCs w:val="16"/>
                <w:lang w:val="en-GB"/>
              </w:rPr>
              <w:t>3,555 € to 4,124 € / 3 points increase in ACT score</w:t>
            </w:r>
          </w:p>
        </w:tc>
        <w:tc>
          <w:tcPr>
            <w:tcW w:w="358" w:type="pct"/>
            <w:tcBorders>
              <w:left w:val="single" w:sz="6" w:space="0" w:color="000000"/>
              <w:bottom w:val="single" w:sz="6" w:space="0" w:color="000000"/>
            </w:tcBorders>
          </w:tcPr>
          <w:p w14:paraId="419C4D81" w14:textId="77777777" w:rsidR="002D745B" w:rsidRPr="00E30A41" w:rsidRDefault="002D745B" w:rsidP="00E350F6">
            <w:pPr>
              <w:jc w:val="both"/>
              <w:rPr>
                <w:rStyle w:val="quality-sign"/>
                <w:rFonts w:ascii="Arial" w:eastAsia="MS Mincho" w:hAnsi="Arial" w:cs="Arial"/>
                <w:color w:val="000000"/>
                <w:sz w:val="16"/>
                <w:szCs w:val="16"/>
                <w:lang w:eastAsia="en-GB"/>
              </w:rPr>
            </w:pPr>
            <w:r w:rsidRPr="00E30A41">
              <w:rPr>
                <w:rStyle w:val="quality-sign"/>
                <w:rFonts w:ascii="Cambria Math" w:hAnsi="Cambria Math" w:cs="Cambria Math"/>
                <w:sz w:val="16"/>
                <w:szCs w:val="16"/>
              </w:rPr>
              <w:t>⨁</w:t>
            </w:r>
            <w:r w:rsidRPr="00E30A41">
              <w:rPr>
                <w:rStyle w:val="quality-sign"/>
                <w:rFonts w:ascii="Segoe UI Symbol" w:eastAsia="ヒラギノ角ゴシック W3" w:hAnsi="Segoe UI Symbol" w:cs="Segoe UI Symbol"/>
                <w:sz w:val="16"/>
                <w:szCs w:val="16"/>
              </w:rPr>
              <w:t>◯◯◯</w:t>
            </w:r>
          </w:p>
          <w:p w14:paraId="245634BE" w14:textId="77777777" w:rsidR="002D745B" w:rsidRPr="00E30A41" w:rsidRDefault="002D745B" w:rsidP="00E350F6">
            <w:pPr>
              <w:jc w:val="both"/>
              <w:rPr>
                <w:rStyle w:val="quality-sign"/>
                <w:rFonts w:ascii="Arial" w:hAnsi="Arial" w:cs="Arial"/>
                <w:sz w:val="16"/>
                <w:szCs w:val="16"/>
              </w:rPr>
            </w:pPr>
            <w:r w:rsidRPr="00E30A41">
              <w:rPr>
                <w:rStyle w:val="quality-sign"/>
                <w:rFonts w:ascii="Arial" w:hAnsi="Arial" w:cs="Arial"/>
                <w:sz w:val="16"/>
                <w:szCs w:val="16"/>
              </w:rPr>
              <w:t>VERY LOW</w:t>
            </w:r>
          </w:p>
        </w:tc>
      </w:tr>
      <w:tr w:rsidR="002D745B" w:rsidRPr="00F87E48" w14:paraId="421B2566" w14:textId="77777777" w:rsidTr="00E350F6">
        <w:trPr>
          <w:cantSplit/>
          <w:trHeight w:val="238"/>
          <w:jc w:val="center"/>
        </w:trPr>
        <w:tc>
          <w:tcPr>
            <w:tcW w:w="5000" w:type="pct"/>
            <w:gridSpan w:val="11"/>
            <w:tcBorders>
              <w:top w:val="single" w:sz="6" w:space="0" w:color="000000"/>
              <w:bottom w:val="single" w:sz="6" w:space="0" w:color="000000"/>
            </w:tcBorders>
            <w:shd w:val="clear" w:color="auto" w:fill="EDEDED"/>
          </w:tcPr>
          <w:p w14:paraId="0FF1962E" w14:textId="77777777" w:rsidR="002D745B" w:rsidRPr="00E30A41" w:rsidRDefault="002D745B" w:rsidP="00E350F6">
            <w:pPr>
              <w:jc w:val="both"/>
              <w:rPr>
                <w:rFonts w:ascii="Arial" w:hAnsi="Arial" w:cs="Arial"/>
                <w:sz w:val="16"/>
                <w:szCs w:val="16"/>
              </w:rPr>
            </w:pPr>
            <w:r w:rsidRPr="00E30A41">
              <w:rPr>
                <w:rStyle w:val="label"/>
                <w:rFonts w:ascii="Arial" w:hAnsi="Arial" w:cs="Arial"/>
                <w:sz w:val="16"/>
                <w:szCs w:val="16"/>
              </w:rPr>
              <w:t xml:space="preserve">ICER per </w:t>
            </w:r>
            <w:r w:rsidRPr="00E30A41">
              <w:rPr>
                <w:rFonts w:ascii="Arial" w:hAnsi="Arial" w:cs="Arial"/>
                <w:sz w:val="16"/>
                <w:szCs w:val="16"/>
              </w:rPr>
              <w:t xml:space="preserve">increase in AQLQ (Juniper Asthma-Related Quality of Life Questionnaire) score </w:t>
            </w:r>
          </w:p>
        </w:tc>
      </w:tr>
      <w:tr w:rsidR="002D745B" w:rsidRPr="00F87E48" w14:paraId="6E39CD79" w14:textId="77777777" w:rsidTr="00E350F6">
        <w:trPr>
          <w:cantSplit/>
          <w:trHeight w:val="408"/>
          <w:jc w:val="center"/>
        </w:trPr>
        <w:tc>
          <w:tcPr>
            <w:tcW w:w="306" w:type="pct"/>
            <w:tcBorders>
              <w:bottom w:val="single" w:sz="6" w:space="0" w:color="000000"/>
              <w:right w:val="single" w:sz="6" w:space="0" w:color="000000"/>
            </w:tcBorders>
          </w:tcPr>
          <w:p w14:paraId="267686DC" w14:textId="77777777"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sz w:val="16"/>
                <w:szCs w:val="16"/>
              </w:rPr>
              <w:t>1</w:t>
            </w:r>
            <w:r w:rsidRPr="00E30A41">
              <w:rPr>
                <w:rFonts w:ascii="Arial" w:hAnsi="Arial" w:cs="Arial"/>
                <w:sz w:val="16"/>
                <w:szCs w:val="16"/>
                <w:vertAlign w:val="superscript"/>
              </w:rPr>
              <w:t>t</w:t>
            </w:r>
          </w:p>
        </w:tc>
        <w:tc>
          <w:tcPr>
            <w:tcW w:w="414" w:type="pct"/>
            <w:tcBorders>
              <w:left w:val="single" w:sz="6" w:space="0" w:color="000000"/>
              <w:bottom w:val="single" w:sz="6" w:space="0" w:color="000000"/>
              <w:right w:val="single" w:sz="6" w:space="0" w:color="000000"/>
            </w:tcBorders>
          </w:tcPr>
          <w:p w14:paraId="2C20605E" w14:textId="77777777"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sz w:val="16"/>
                <w:szCs w:val="16"/>
              </w:rPr>
              <w:t xml:space="preserve">Cost-effectiveness, </w:t>
            </w:r>
            <w:proofErr w:type="gramStart"/>
            <w:r w:rsidRPr="00E30A41">
              <w:rPr>
                <w:rFonts w:ascii="Arial" w:hAnsi="Arial" w:cs="Arial"/>
                <w:sz w:val="16"/>
                <w:szCs w:val="16"/>
              </w:rPr>
              <w:t>trial based</w:t>
            </w:r>
            <w:proofErr w:type="gramEnd"/>
            <w:r w:rsidRPr="00E30A41">
              <w:rPr>
                <w:rFonts w:ascii="Arial" w:hAnsi="Arial" w:cs="Arial"/>
                <w:sz w:val="16"/>
                <w:szCs w:val="16"/>
              </w:rPr>
              <w:t xml:space="preserve"> study</w:t>
            </w:r>
          </w:p>
        </w:tc>
        <w:tc>
          <w:tcPr>
            <w:tcW w:w="426" w:type="pct"/>
            <w:tcBorders>
              <w:left w:val="single" w:sz="6" w:space="0" w:color="000000"/>
              <w:bottom w:val="single" w:sz="6" w:space="0" w:color="000000"/>
              <w:right w:val="single" w:sz="6" w:space="0" w:color="000000"/>
            </w:tcBorders>
          </w:tcPr>
          <w:p w14:paraId="711DC3B2" w14:textId="506D1199"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sz w:val="16"/>
                <w:szCs w:val="16"/>
              </w:rPr>
              <w:t>Very serious</w:t>
            </w:r>
            <w:r w:rsidR="006D2694">
              <w:rPr>
                <w:rFonts w:ascii="Arial" w:hAnsi="Arial" w:cs="Arial"/>
                <w:sz w:val="16"/>
                <w:szCs w:val="16"/>
                <w:vertAlign w:val="superscript"/>
              </w:rPr>
              <w:t>9</w:t>
            </w:r>
          </w:p>
        </w:tc>
        <w:tc>
          <w:tcPr>
            <w:tcW w:w="426" w:type="pct"/>
            <w:tcBorders>
              <w:left w:val="single" w:sz="6" w:space="0" w:color="000000"/>
              <w:bottom w:val="single" w:sz="6" w:space="0" w:color="000000"/>
              <w:right w:val="single" w:sz="6" w:space="0" w:color="000000"/>
            </w:tcBorders>
          </w:tcPr>
          <w:p w14:paraId="1DE983CB" w14:textId="77777777"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sz w:val="16"/>
                <w:szCs w:val="16"/>
              </w:rPr>
              <w:t>Not serious</w:t>
            </w:r>
          </w:p>
        </w:tc>
        <w:tc>
          <w:tcPr>
            <w:tcW w:w="431" w:type="pct"/>
            <w:tcBorders>
              <w:left w:val="single" w:sz="6" w:space="0" w:color="000000"/>
              <w:bottom w:val="single" w:sz="6" w:space="0" w:color="000000"/>
              <w:right w:val="single" w:sz="6" w:space="0" w:color="000000"/>
            </w:tcBorders>
          </w:tcPr>
          <w:p w14:paraId="2271CD9A" w14:textId="77777777"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sz w:val="16"/>
                <w:szCs w:val="16"/>
              </w:rPr>
              <w:t>Not serious</w:t>
            </w:r>
          </w:p>
        </w:tc>
        <w:tc>
          <w:tcPr>
            <w:tcW w:w="368" w:type="pct"/>
            <w:tcBorders>
              <w:left w:val="single" w:sz="6" w:space="0" w:color="000000"/>
              <w:bottom w:val="single" w:sz="6" w:space="0" w:color="000000"/>
              <w:right w:val="single" w:sz="6" w:space="0" w:color="000000"/>
            </w:tcBorders>
          </w:tcPr>
          <w:p w14:paraId="02E95209" w14:textId="77777777"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sz w:val="16"/>
                <w:szCs w:val="16"/>
              </w:rPr>
              <w:t>Not serious</w:t>
            </w:r>
          </w:p>
        </w:tc>
        <w:tc>
          <w:tcPr>
            <w:tcW w:w="395" w:type="pct"/>
            <w:tcBorders>
              <w:left w:val="single" w:sz="6" w:space="0" w:color="000000"/>
              <w:bottom w:val="single" w:sz="6" w:space="0" w:color="000000"/>
              <w:right w:val="single" w:sz="6" w:space="0" w:color="000000"/>
            </w:tcBorders>
          </w:tcPr>
          <w:p w14:paraId="4BFCC284" w14:textId="0348EFDB"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sz w:val="16"/>
                <w:szCs w:val="16"/>
              </w:rPr>
              <w:t>Serious</w:t>
            </w:r>
            <w:r w:rsidRPr="00E30A41">
              <w:rPr>
                <w:rFonts w:ascii="Arial" w:hAnsi="Arial" w:cs="Arial"/>
                <w:sz w:val="16"/>
                <w:szCs w:val="16"/>
                <w:vertAlign w:val="superscript"/>
              </w:rPr>
              <w:t>1</w:t>
            </w:r>
            <w:r w:rsidR="006D2694">
              <w:rPr>
                <w:rFonts w:ascii="Arial" w:hAnsi="Arial" w:cs="Arial"/>
                <w:sz w:val="16"/>
                <w:szCs w:val="16"/>
                <w:vertAlign w:val="superscript"/>
              </w:rPr>
              <w:t>7</w:t>
            </w:r>
          </w:p>
        </w:tc>
        <w:tc>
          <w:tcPr>
            <w:tcW w:w="607" w:type="pct"/>
            <w:tcBorders>
              <w:left w:val="single" w:sz="6" w:space="0" w:color="000000"/>
              <w:bottom w:val="single" w:sz="6" w:space="0" w:color="000000"/>
              <w:right w:val="single" w:sz="6" w:space="0" w:color="000000"/>
            </w:tcBorders>
          </w:tcPr>
          <w:p w14:paraId="3ABF11FB" w14:textId="77777777" w:rsidR="002D745B" w:rsidRPr="00E30A41" w:rsidRDefault="002D745B" w:rsidP="00E350F6">
            <w:pPr>
              <w:pStyle w:val="Default"/>
              <w:jc w:val="both"/>
              <w:rPr>
                <w:rFonts w:ascii="Arial" w:hAnsi="Arial" w:cs="Arial"/>
                <w:b/>
                <w:bCs/>
                <w:i/>
                <w:iCs/>
                <w:sz w:val="16"/>
                <w:szCs w:val="16"/>
                <w:lang w:val="en-GB"/>
              </w:rPr>
            </w:pPr>
            <w:r w:rsidRPr="00E30A41">
              <w:rPr>
                <w:rFonts w:ascii="Arial" w:hAnsi="Arial" w:cs="Arial"/>
                <w:sz w:val="16"/>
                <w:szCs w:val="16"/>
                <w:lang w:val="en-GB"/>
              </w:rPr>
              <w:t>NR</w:t>
            </w:r>
          </w:p>
        </w:tc>
        <w:tc>
          <w:tcPr>
            <w:tcW w:w="670" w:type="pct"/>
            <w:tcBorders>
              <w:top w:val="single" w:sz="6" w:space="0" w:color="000000"/>
              <w:left w:val="single" w:sz="6" w:space="0" w:color="000000"/>
              <w:bottom w:val="single" w:sz="6" w:space="0" w:color="000000"/>
              <w:right w:val="single" w:sz="6" w:space="0" w:color="000000"/>
            </w:tcBorders>
          </w:tcPr>
          <w:p w14:paraId="4F21945D" w14:textId="77777777" w:rsidR="002D745B" w:rsidRPr="00E30A41" w:rsidRDefault="002D745B" w:rsidP="00E350F6">
            <w:pPr>
              <w:pStyle w:val="Default"/>
              <w:jc w:val="both"/>
              <w:rPr>
                <w:rFonts w:ascii="Arial" w:hAnsi="Arial" w:cs="Arial"/>
                <w:b/>
                <w:bCs/>
                <w:i/>
                <w:iCs/>
                <w:color w:val="auto"/>
                <w:sz w:val="16"/>
                <w:szCs w:val="16"/>
                <w:lang w:val="en-GB"/>
              </w:rPr>
            </w:pPr>
            <w:r w:rsidRPr="00E30A41">
              <w:rPr>
                <w:rFonts w:ascii="Arial" w:hAnsi="Arial" w:cs="Arial"/>
                <w:color w:val="auto"/>
                <w:sz w:val="16"/>
                <w:szCs w:val="16"/>
                <w:lang w:val="en-GB"/>
              </w:rPr>
              <w:t>NR</w:t>
            </w:r>
          </w:p>
        </w:tc>
        <w:tc>
          <w:tcPr>
            <w:tcW w:w="599" w:type="pct"/>
            <w:tcBorders>
              <w:top w:val="single" w:sz="6" w:space="0" w:color="000000"/>
              <w:left w:val="single" w:sz="6" w:space="0" w:color="000000"/>
              <w:bottom w:val="single" w:sz="6" w:space="0" w:color="000000"/>
              <w:right w:val="single" w:sz="6" w:space="0" w:color="000000"/>
            </w:tcBorders>
          </w:tcPr>
          <w:p w14:paraId="564586E1" w14:textId="77777777" w:rsidR="002D745B" w:rsidRPr="00E30A41" w:rsidRDefault="002D745B" w:rsidP="00E350F6">
            <w:pPr>
              <w:pStyle w:val="Default"/>
              <w:jc w:val="both"/>
              <w:rPr>
                <w:rFonts w:ascii="Arial" w:hAnsi="Arial" w:cs="Arial"/>
                <w:b/>
                <w:bCs/>
                <w:i/>
                <w:iCs/>
                <w:sz w:val="16"/>
                <w:szCs w:val="16"/>
                <w:lang w:val="en-GB"/>
              </w:rPr>
            </w:pPr>
            <w:r w:rsidRPr="00E30A41">
              <w:rPr>
                <w:rFonts w:ascii="Arial" w:hAnsi="Arial" w:cs="Arial"/>
                <w:sz w:val="16"/>
                <w:szCs w:val="16"/>
                <w:lang w:val="en-GB"/>
              </w:rPr>
              <w:t>378 $ / 0.5-point increase in AQLQ score</w:t>
            </w:r>
          </w:p>
        </w:tc>
        <w:tc>
          <w:tcPr>
            <w:tcW w:w="358" w:type="pct"/>
            <w:tcBorders>
              <w:left w:val="single" w:sz="6" w:space="0" w:color="000000"/>
              <w:bottom w:val="single" w:sz="6" w:space="0" w:color="000000"/>
            </w:tcBorders>
          </w:tcPr>
          <w:p w14:paraId="44545070" w14:textId="77777777" w:rsidR="002D745B" w:rsidRPr="00E30A41" w:rsidRDefault="002D745B" w:rsidP="00E350F6">
            <w:pPr>
              <w:jc w:val="both"/>
              <w:rPr>
                <w:rStyle w:val="quality-sign"/>
                <w:rFonts w:ascii="Arial" w:eastAsia="MS Mincho" w:hAnsi="Arial" w:cs="Arial"/>
                <w:color w:val="000000"/>
                <w:sz w:val="16"/>
                <w:szCs w:val="16"/>
                <w:lang w:eastAsia="en-GB"/>
              </w:rPr>
            </w:pPr>
            <w:r w:rsidRPr="00E30A41">
              <w:rPr>
                <w:rStyle w:val="quality-sign"/>
                <w:rFonts w:ascii="Cambria Math" w:hAnsi="Cambria Math" w:cs="Cambria Math"/>
                <w:sz w:val="16"/>
                <w:szCs w:val="16"/>
              </w:rPr>
              <w:t>⨁</w:t>
            </w:r>
            <w:r w:rsidRPr="00E30A41">
              <w:rPr>
                <w:rStyle w:val="quality-sign"/>
                <w:rFonts w:ascii="Segoe UI Symbol" w:eastAsia="ヒラギノ角ゴシック W3" w:hAnsi="Segoe UI Symbol" w:cs="Segoe UI Symbol"/>
                <w:sz w:val="16"/>
                <w:szCs w:val="16"/>
              </w:rPr>
              <w:t>◯◯◯</w:t>
            </w:r>
          </w:p>
          <w:p w14:paraId="719EA556" w14:textId="77777777" w:rsidR="002D745B" w:rsidRPr="00E30A41" w:rsidRDefault="002D745B" w:rsidP="00E350F6">
            <w:pPr>
              <w:jc w:val="both"/>
              <w:rPr>
                <w:rStyle w:val="quality-sign"/>
                <w:rFonts w:ascii="Arial" w:hAnsi="Arial" w:cs="Arial"/>
                <w:sz w:val="16"/>
                <w:szCs w:val="16"/>
              </w:rPr>
            </w:pPr>
            <w:r w:rsidRPr="00E30A41">
              <w:rPr>
                <w:rStyle w:val="quality-sign"/>
                <w:rFonts w:ascii="Arial" w:hAnsi="Arial" w:cs="Arial"/>
                <w:sz w:val="16"/>
                <w:szCs w:val="16"/>
              </w:rPr>
              <w:t>VERY LOW</w:t>
            </w:r>
          </w:p>
        </w:tc>
      </w:tr>
      <w:tr w:rsidR="002D745B" w:rsidRPr="00F87E48" w14:paraId="3E93CC5E" w14:textId="77777777" w:rsidTr="00E350F6">
        <w:trPr>
          <w:cantSplit/>
          <w:trHeight w:val="238"/>
          <w:jc w:val="center"/>
        </w:trPr>
        <w:tc>
          <w:tcPr>
            <w:tcW w:w="5000" w:type="pct"/>
            <w:gridSpan w:val="11"/>
            <w:tcBorders>
              <w:top w:val="single" w:sz="6" w:space="0" w:color="000000"/>
              <w:bottom w:val="single" w:sz="6" w:space="0" w:color="000000"/>
            </w:tcBorders>
            <w:shd w:val="clear" w:color="auto" w:fill="EDEDED"/>
          </w:tcPr>
          <w:p w14:paraId="3A8C9744" w14:textId="77777777" w:rsidR="002D745B" w:rsidRPr="00E30A41" w:rsidRDefault="002D745B" w:rsidP="00E350F6">
            <w:pPr>
              <w:jc w:val="both"/>
              <w:rPr>
                <w:rFonts w:ascii="Arial" w:hAnsi="Arial" w:cs="Arial"/>
                <w:sz w:val="16"/>
                <w:szCs w:val="16"/>
              </w:rPr>
            </w:pPr>
            <w:r w:rsidRPr="00E30A41">
              <w:rPr>
                <w:rStyle w:val="label"/>
                <w:rFonts w:ascii="Arial" w:hAnsi="Arial" w:cs="Arial"/>
                <w:sz w:val="16"/>
                <w:szCs w:val="16"/>
              </w:rPr>
              <w:t xml:space="preserve">ICER per controlled day </w:t>
            </w:r>
          </w:p>
        </w:tc>
      </w:tr>
      <w:tr w:rsidR="002D745B" w:rsidRPr="00F87E48" w14:paraId="43610487" w14:textId="77777777" w:rsidTr="00E350F6">
        <w:trPr>
          <w:cantSplit/>
          <w:trHeight w:val="408"/>
          <w:jc w:val="center"/>
        </w:trPr>
        <w:tc>
          <w:tcPr>
            <w:tcW w:w="306" w:type="pct"/>
            <w:tcBorders>
              <w:bottom w:val="single" w:sz="6" w:space="0" w:color="000000"/>
              <w:right w:val="single" w:sz="6" w:space="0" w:color="000000"/>
            </w:tcBorders>
          </w:tcPr>
          <w:p w14:paraId="4714029F" w14:textId="77777777"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sz w:val="16"/>
                <w:szCs w:val="16"/>
              </w:rPr>
              <w:t>1</w:t>
            </w:r>
            <w:r w:rsidRPr="00E30A41">
              <w:rPr>
                <w:rFonts w:ascii="Arial" w:hAnsi="Arial" w:cs="Arial"/>
                <w:sz w:val="16"/>
                <w:szCs w:val="16"/>
                <w:vertAlign w:val="superscript"/>
              </w:rPr>
              <w:t>t</w:t>
            </w:r>
          </w:p>
        </w:tc>
        <w:tc>
          <w:tcPr>
            <w:tcW w:w="414" w:type="pct"/>
            <w:tcBorders>
              <w:left w:val="single" w:sz="6" w:space="0" w:color="000000"/>
              <w:bottom w:val="single" w:sz="6" w:space="0" w:color="000000"/>
              <w:right w:val="single" w:sz="6" w:space="0" w:color="000000"/>
            </w:tcBorders>
          </w:tcPr>
          <w:p w14:paraId="65B56ABF" w14:textId="77777777"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sz w:val="16"/>
                <w:szCs w:val="16"/>
              </w:rPr>
              <w:t xml:space="preserve">Cost-effectiveness, </w:t>
            </w:r>
            <w:proofErr w:type="gramStart"/>
            <w:r w:rsidRPr="00E30A41">
              <w:rPr>
                <w:rFonts w:ascii="Arial" w:hAnsi="Arial" w:cs="Arial"/>
                <w:sz w:val="16"/>
                <w:szCs w:val="16"/>
              </w:rPr>
              <w:t>trial based</w:t>
            </w:r>
            <w:proofErr w:type="gramEnd"/>
            <w:r w:rsidRPr="00E30A41">
              <w:rPr>
                <w:rFonts w:ascii="Arial" w:hAnsi="Arial" w:cs="Arial"/>
                <w:sz w:val="16"/>
                <w:szCs w:val="16"/>
              </w:rPr>
              <w:t xml:space="preserve"> study</w:t>
            </w:r>
          </w:p>
        </w:tc>
        <w:tc>
          <w:tcPr>
            <w:tcW w:w="426" w:type="pct"/>
            <w:tcBorders>
              <w:left w:val="single" w:sz="6" w:space="0" w:color="000000"/>
              <w:bottom w:val="single" w:sz="6" w:space="0" w:color="000000"/>
              <w:right w:val="single" w:sz="6" w:space="0" w:color="000000"/>
            </w:tcBorders>
          </w:tcPr>
          <w:p w14:paraId="7BCD0B2F" w14:textId="20264CCC" w:rsidR="002D745B" w:rsidRPr="00E30A41" w:rsidRDefault="002D745B" w:rsidP="00E350F6">
            <w:pPr>
              <w:jc w:val="both"/>
              <w:rPr>
                <w:rFonts w:ascii="Arial" w:eastAsiaTheme="majorEastAsia" w:hAnsi="Arial" w:cs="Arial"/>
                <w:i/>
                <w:iCs/>
                <w:color w:val="404040" w:themeColor="text1" w:themeTint="BF"/>
                <w:sz w:val="16"/>
                <w:szCs w:val="16"/>
              </w:rPr>
            </w:pPr>
            <w:r w:rsidRPr="00E30A41">
              <w:rPr>
                <w:rFonts w:ascii="Arial" w:hAnsi="Arial" w:cs="Arial"/>
                <w:sz w:val="16"/>
                <w:szCs w:val="16"/>
              </w:rPr>
              <w:t>Very serious</w:t>
            </w:r>
            <w:r w:rsidR="006D2694">
              <w:rPr>
                <w:rFonts w:ascii="Arial" w:hAnsi="Arial" w:cs="Arial"/>
                <w:sz w:val="16"/>
                <w:szCs w:val="16"/>
                <w:vertAlign w:val="superscript"/>
              </w:rPr>
              <w:t>9</w:t>
            </w:r>
          </w:p>
        </w:tc>
        <w:tc>
          <w:tcPr>
            <w:tcW w:w="426" w:type="pct"/>
            <w:tcBorders>
              <w:left w:val="single" w:sz="6" w:space="0" w:color="000000"/>
              <w:bottom w:val="single" w:sz="6" w:space="0" w:color="000000"/>
              <w:right w:val="single" w:sz="6" w:space="0" w:color="000000"/>
            </w:tcBorders>
          </w:tcPr>
          <w:p w14:paraId="0432F633" w14:textId="77777777"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sz w:val="16"/>
                <w:szCs w:val="16"/>
              </w:rPr>
              <w:t>Not serious</w:t>
            </w:r>
          </w:p>
        </w:tc>
        <w:tc>
          <w:tcPr>
            <w:tcW w:w="431" w:type="pct"/>
            <w:tcBorders>
              <w:left w:val="single" w:sz="6" w:space="0" w:color="000000"/>
              <w:bottom w:val="single" w:sz="6" w:space="0" w:color="000000"/>
              <w:right w:val="single" w:sz="6" w:space="0" w:color="000000"/>
            </w:tcBorders>
          </w:tcPr>
          <w:p w14:paraId="321BBA33" w14:textId="77777777"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sz w:val="16"/>
                <w:szCs w:val="16"/>
              </w:rPr>
              <w:t>Not serious</w:t>
            </w:r>
          </w:p>
        </w:tc>
        <w:tc>
          <w:tcPr>
            <w:tcW w:w="368" w:type="pct"/>
            <w:tcBorders>
              <w:left w:val="single" w:sz="6" w:space="0" w:color="000000"/>
              <w:bottom w:val="single" w:sz="6" w:space="0" w:color="000000"/>
              <w:right w:val="single" w:sz="6" w:space="0" w:color="000000"/>
            </w:tcBorders>
          </w:tcPr>
          <w:p w14:paraId="6CC30ECA" w14:textId="77777777"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sz w:val="16"/>
                <w:szCs w:val="16"/>
              </w:rPr>
              <w:t>Not serious</w:t>
            </w:r>
          </w:p>
        </w:tc>
        <w:tc>
          <w:tcPr>
            <w:tcW w:w="395" w:type="pct"/>
            <w:tcBorders>
              <w:left w:val="single" w:sz="6" w:space="0" w:color="000000"/>
              <w:bottom w:val="single" w:sz="6" w:space="0" w:color="000000"/>
              <w:right w:val="single" w:sz="6" w:space="0" w:color="000000"/>
            </w:tcBorders>
          </w:tcPr>
          <w:p w14:paraId="121B5A8A" w14:textId="785CF657" w:rsidR="002D745B" w:rsidRPr="00E30A41" w:rsidRDefault="002D745B" w:rsidP="00E350F6">
            <w:pPr>
              <w:jc w:val="both"/>
              <w:rPr>
                <w:rFonts w:ascii="Arial" w:eastAsiaTheme="majorEastAsia" w:hAnsi="Arial" w:cs="Arial"/>
                <w:b/>
                <w:bCs/>
                <w:i/>
                <w:iCs/>
                <w:color w:val="404040" w:themeColor="text1" w:themeTint="BF"/>
                <w:sz w:val="16"/>
                <w:szCs w:val="16"/>
              </w:rPr>
            </w:pPr>
            <w:r w:rsidRPr="00E30A41">
              <w:rPr>
                <w:rFonts w:ascii="Arial" w:hAnsi="Arial" w:cs="Arial"/>
                <w:sz w:val="16"/>
                <w:szCs w:val="16"/>
              </w:rPr>
              <w:t>Serious</w:t>
            </w:r>
            <w:r w:rsidRPr="00E30A41">
              <w:rPr>
                <w:rFonts w:ascii="Arial" w:hAnsi="Arial" w:cs="Arial"/>
                <w:sz w:val="16"/>
                <w:szCs w:val="16"/>
                <w:vertAlign w:val="superscript"/>
              </w:rPr>
              <w:t>1</w:t>
            </w:r>
            <w:r w:rsidR="006D2694">
              <w:rPr>
                <w:rFonts w:ascii="Arial" w:hAnsi="Arial" w:cs="Arial"/>
                <w:sz w:val="16"/>
                <w:szCs w:val="16"/>
                <w:vertAlign w:val="superscript"/>
              </w:rPr>
              <w:t>7</w:t>
            </w:r>
          </w:p>
        </w:tc>
        <w:tc>
          <w:tcPr>
            <w:tcW w:w="607" w:type="pct"/>
            <w:tcBorders>
              <w:left w:val="single" w:sz="6" w:space="0" w:color="000000"/>
              <w:bottom w:val="single" w:sz="6" w:space="0" w:color="000000"/>
              <w:right w:val="single" w:sz="6" w:space="0" w:color="000000"/>
            </w:tcBorders>
          </w:tcPr>
          <w:p w14:paraId="3E6D1D0D" w14:textId="77777777" w:rsidR="002D745B" w:rsidRPr="00E30A41" w:rsidRDefault="002D745B" w:rsidP="00E350F6">
            <w:pPr>
              <w:pStyle w:val="Default"/>
              <w:jc w:val="both"/>
              <w:rPr>
                <w:rFonts w:ascii="Arial" w:hAnsi="Arial" w:cs="Arial"/>
                <w:b/>
                <w:bCs/>
                <w:i/>
                <w:iCs/>
                <w:sz w:val="16"/>
                <w:szCs w:val="16"/>
                <w:lang w:val="en-GB"/>
              </w:rPr>
            </w:pPr>
            <w:r w:rsidRPr="00E30A41">
              <w:rPr>
                <w:rFonts w:ascii="Arial" w:hAnsi="Arial" w:cs="Arial"/>
                <w:sz w:val="16"/>
                <w:szCs w:val="16"/>
                <w:lang w:val="en-GB"/>
              </w:rPr>
              <w:t>NR</w:t>
            </w:r>
          </w:p>
        </w:tc>
        <w:tc>
          <w:tcPr>
            <w:tcW w:w="670" w:type="pct"/>
            <w:tcBorders>
              <w:top w:val="single" w:sz="6" w:space="0" w:color="000000"/>
              <w:left w:val="single" w:sz="6" w:space="0" w:color="000000"/>
              <w:bottom w:val="single" w:sz="6" w:space="0" w:color="000000"/>
              <w:right w:val="single" w:sz="6" w:space="0" w:color="000000"/>
            </w:tcBorders>
          </w:tcPr>
          <w:p w14:paraId="7B00490C" w14:textId="77777777" w:rsidR="002D745B" w:rsidRPr="00E30A41" w:rsidRDefault="002D745B" w:rsidP="00E350F6">
            <w:pPr>
              <w:pStyle w:val="Default"/>
              <w:jc w:val="both"/>
              <w:rPr>
                <w:rFonts w:ascii="Arial" w:hAnsi="Arial" w:cs="Arial"/>
                <w:b/>
                <w:bCs/>
                <w:i/>
                <w:iCs/>
                <w:color w:val="auto"/>
                <w:sz w:val="16"/>
                <w:szCs w:val="16"/>
                <w:lang w:val="en-GB"/>
              </w:rPr>
            </w:pPr>
            <w:r w:rsidRPr="00E30A41">
              <w:rPr>
                <w:rFonts w:ascii="Arial" w:hAnsi="Arial" w:cs="Arial"/>
                <w:color w:val="auto"/>
                <w:sz w:val="16"/>
                <w:szCs w:val="16"/>
                <w:lang w:val="en-GB"/>
              </w:rPr>
              <w:t>NR</w:t>
            </w:r>
          </w:p>
        </w:tc>
        <w:tc>
          <w:tcPr>
            <w:tcW w:w="599" w:type="pct"/>
            <w:tcBorders>
              <w:top w:val="single" w:sz="6" w:space="0" w:color="000000"/>
              <w:left w:val="single" w:sz="6" w:space="0" w:color="000000"/>
              <w:bottom w:val="single" w:sz="6" w:space="0" w:color="000000"/>
              <w:right w:val="single" w:sz="6" w:space="0" w:color="000000"/>
            </w:tcBorders>
          </w:tcPr>
          <w:p w14:paraId="54FF3C95" w14:textId="77777777" w:rsidR="002D745B" w:rsidRPr="00E30A41" w:rsidRDefault="002D745B" w:rsidP="00E350F6">
            <w:pPr>
              <w:pStyle w:val="Default"/>
              <w:jc w:val="both"/>
              <w:rPr>
                <w:rFonts w:ascii="Arial" w:hAnsi="Arial" w:cs="Arial"/>
                <w:b/>
                <w:bCs/>
                <w:i/>
                <w:iCs/>
                <w:sz w:val="16"/>
                <w:szCs w:val="16"/>
                <w:lang w:val="en-GB"/>
              </w:rPr>
            </w:pPr>
            <w:r w:rsidRPr="00E30A41">
              <w:rPr>
                <w:rFonts w:ascii="Arial" w:hAnsi="Arial" w:cs="Arial"/>
                <w:sz w:val="16"/>
                <w:szCs w:val="16"/>
                <w:lang w:val="en-GB"/>
              </w:rPr>
              <w:t>523 $ / day</w:t>
            </w:r>
          </w:p>
        </w:tc>
        <w:tc>
          <w:tcPr>
            <w:tcW w:w="358" w:type="pct"/>
            <w:tcBorders>
              <w:left w:val="single" w:sz="6" w:space="0" w:color="000000"/>
              <w:bottom w:val="single" w:sz="6" w:space="0" w:color="000000"/>
            </w:tcBorders>
          </w:tcPr>
          <w:p w14:paraId="5EC3F745" w14:textId="77777777" w:rsidR="002D745B" w:rsidRPr="00E30A41" w:rsidRDefault="002D745B" w:rsidP="00E350F6">
            <w:pPr>
              <w:jc w:val="both"/>
              <w:rPr>
                <w:rStyle w:val="quality-sign"/>
                <w:rFonts w:ascii="Arial" w:eastAsia="MS Mincho" w:hAnsi="Arial" w:cs="Arial"/>
                <w:color w:val="000000"/>
                <w:sz w:val="16"/>
                <w:szCs w:val="16"/>
                <w:lang w:eastAsia="en-GB"/>
              </w:rPr>
            </w:pPr>
            <w:r w:rsidRPr="00E30A41">
              <w:rPr>
                <w:rStyle w:val="quality-sign"/>
                <w:rFonts w:ascii="Cambria Math" w:hAnsi="Cambria Math" w:cs="Cambria Math"/>
                <w:sz w:val="16"/>
                <w:szCs w:val="16"/>
              </w:rPr>
              <w:t>⨁</w:t>
            </w:r>
            <w:r w:rsidRPr="00E30A41">
              <w:rPr>
                <w:rStyle w:val="quality-sign"/>
                <w:rFonts w:ascii="Segoe UI Symbol" w:eastAsia="ヒラギノ角ゴシック W3" w:hAnsi="Segoe UI Symbol" w:cs="Segoe UI Symbol"/>
                <w:sz w:val="16"/>
                <w:szCs w:val="16"/>
              </w:rPr>
              <w:t>◯◯◯</w:t>
            </w:r>
          </w:p>
          <w:p w14:paraId="1EF1F56C" w14:textId="77777777" w:rsidR="002D745B" w:rsidRPr="00E30A41" w:rsidRDefault="002D745B" w:rsidP="00E350F6">
            <w:pPr>
              <w:jc w:val="both"/>
              <w:rPr>
                <w:rStyle w:val="quality-sign"/>
                <w:rFonts w:ascii="Arial" w:hAnsi="Arial" w:cs="Arial"/>
                <w:sz w:val="16"/>
                <w:szCs w:val="16"/>
              </w:rPr>
            </w:pPr>
            <w:r w:rsidRPr="00E30A41">
              <w:rPr>
                <w:rStyle w:val="quality-sign"/>
                <w:rFonts w:ascii="Arial" w:hAnsi="Arial" w:cs="Arial"/>
                <w:sz w:val="16"/>
                <w:szCs w:val="16"/>
              </w:rPr>
              <w:t>VERY LOW</w:t>
            </w:r>
          </w:p>
        </w:tc>
      </w:tr>
    </w:tbl>
    <w:p w14:paraId="7BF79624" w14:textId="77777777" w:rsidR="002D745B" w:rsidRPr="0075421E" w:rsidRDefault="002D745B" w:rsidP="002D745B">
      <w:pPr>
        <w:jc w:val="both"/>
        <w:rPr>
          <w:rFonts w:ascii="Arial" w:hAnsi="Arial" w:cs="Arial"/>
          <w:sz w:val="16"/>
          <w:szCs w:val="16"/>
        </w:rPr>
      </w:pPr>
      <w:r w:rsidRPr="0075421E">
        <w:rPr>
          <w:rFonts w:ascii="Arial" w:hAnsi="Arial" w:cs="Arial"/>
          <w:sz w:val="16"/>
          <w:szCs w:val="16"/>
        </w:rPr>
        <w:t>*Incremental cost and effect due to the addition of omalizumab. Range (minor and maximum value) as reported by the studies.</w:t>
      </w:r>
    </w:p>
    <w:p w14:paraId="6447E0E1" w14:textId="77777777" w:rsidR="002D745B" w:rsidRPr="0075421E" w:rsidRDefault="002D745B" w:rsidP="002D745B">
      <w:pPr>
        <w:jc w:val="both"/>
        <w:rPr>
          <w:rFonts w:ascii="Arial" w:hAnsi="Arial" w:cs="Arial"/>
          <w:sz w:val="16"/>
          <w:szCs w:val="16"/>
        </w:rPr>
      </w:pPr>
      <w:r w:rsidRPr="0075421E">
        <w:rPr>
          <w:rFonts w:ascii="Arial" w:hAnsi="Arial" w:cs="Arial"/>
          <w:sz w:val="16"/>
          <w:szCs w:val="16"/>
        </w:rPr>
        <w:t xml:space="preserve">ICER: Incremental cost-effectiveness ratio. QALY: Quality adjusted life years. ACT: Asthma Control Test. €: Euro. $: US Dollar. NR: Not clearly reported in the study. </w:t>
      </w:r>
      <w:r w:rsidRPr="0075421E">
        <w:rPr>
          <w:rFonts w:ascii="Arial" w:hAnsi="Arial" w:cs="Arial"/>
          <w:color w:val="000000"/>
          <w:sz w:val="16"/>
          <w:szCs w:val="16"/>
          <w:lang w:eastAsia="en-GB"/>
        </w:rPr>
        <w:t>AQLQ: Juniper Asthma-Related Quality of Life Questionnaire.</w:t>
      </w:r>
    </w:p>
    <w:p w14:paraId="348B170B" w14:textId="77777777" w:rsidR="002D745B" w:rsidRPr="0075421E" w:rsidRDefault="002D745B" w:rsidP="002D745B">
      <w:pPr>
        <w:pStyle w:val="ListParagraph"/>
        <w:numPr>
          <w:ilvl w:val="0"/>
          <w:numId w:val="14"/>
        </w:numPr>
        <w:spacing w:after="200" w:line="276" w:lineRule="auto"/>
        <w:jc w:val="both"/>
        <w:rPr>
          <w:rFonts w:ascii="Arial" w:hAnsi="Arial" w:cs="Arial"/>
          <w:sz w:val="16"/>
          <w:szCs w:val="16"/>
        </w:rPr>
      </w:pPr>
      <w:r w:rsidRPr="0075421E">
        <w:rPr>
          <w:rFonts w:ascii="Arial" w:hAnsi="Arial" w:cs="Arial"/>
          <w:sz w:val="16"/>
          <w:szCs w:val="16"/>
        </w:rPr>
        <w:t xml:space="preserve">Markov model studies with low risk of bias (CHEC score 13 or higher). </w:t>
      </w:r>
    </w:p>
    <w:p w14:paraId="56FFCBC6" w14:textId="77777777" w:rsidR="002D745B" w:rsidRPr="0075421E" w:rsidRDefault="002D745B" w:rsidP="002D745B">
      <w:pPr>
        <w:pStyle w:val="ListParagraph"/>
        <w:numPr>
          <w:ilvl w:val="0"/>
          <w:numId w:val="14"/>
        </w:numPr>
        <w:spacing w:after="200" w:line="276" w:lineRule="auto"/>
        <w:jc w:val="both"/>
        <w:rPr>
          <w:rFonts w:ascii="Arial" w:hAnsi="Arial" w:cs="Arial"/>
          <w:sz w:val="16"/>
          <w:szCs w:val="16"/>
        </w:rPr>
      </w:pPr>
      <w:r w:rsidRPr="0075421E">
        <w:rPr>
          <w:rFonts w:ascii="Arial" w:hAnsi="Arial" w:cs="Arial"/>
          <w:sz w:val="16"/>
          <w:szCs w:val="16"/>
        </w:rPr>
        <w:t>All studies reported an ICER higher than 30,000 €, which is the willingness to pay threshold in most European countries.</w:t>
      </w:r>
    </w:p>
    <w:p w14:paraId="2E394F69" w14:textId="77777777" w:rsidR="002D745B" w:rsidRPr="0075421E" w:rsidRDefault="002D745B" w:rsidP="002D745B">
      <w:pPr>
        <w:pStyle w:val="ListParagraph"/>
        <w:numPr>
          <w:ilvl w:val="0"/>
          <w:numId w:val="14"/>
        </w:numPr>
        <w:spacing w:after="200" w:line="276" w:lineRule="auto"/>
        <w:jc w:val="both"/>
        <w:rPr>
          <w:rFonts w:ascii="Arial" w:hAnsi="Arial" w:cs="Arial"/>
          <w:sz w:val="16"/>
          <w:szCs w:val="16"/>
        </w:rPr>
      </w:pPr>
      <w:r w:rsidRPr="0075421E">
        <w:rPr>
          <w:rFonts w:ascii="Arial" w:hAnsi="Arial" w:cs="Arial"/>
          <w:sz w:val="16"/>
          <w:szCs w:val="16"/>
        </w:rPr>
        <w:t xml:space="preserve">Six studies were performed in high-income countries (two in the </w:t>
      </w:r>
      <w:proofErr w:type="gramStart"/>
      <w:r w:rsidRPr="0075421E">
        <w:rPr>
          <w:rFonts w:ascii="Arial" w:hAnsi="Arial" w:cs="Arial"/>
          <w:sz w:val="16"/>
          <w:szCs w:val="16"/>
        </w:rPr>
        <w:t>UK</w:t>
      </w:r>
      <w:r w:rsidRPr="0075421E">
        <w:rPr>
          <w:rFonts w:ascii="Arial" w:hAnsi="Arial" w:cs="Arial"/>
          <w:sz w:val="16"/>
          <w:szCs w:val="16"/>
          <w:vertAlign w:val="superscript"/>
        </w:rPr>
        <w:t>a,c</w:t>
      </w:r>
      <w:proofErr w:type="gramEnd"/>
      <w:r w:rsidRPr="0075421E">
        <w:rPr>
          <w:rFonts w:ascii="Arial" w:hAnsi="Arial" w:cs="Arial"/>
          <w:sz w:val="16"/>
          <w:szCs w:val="16"/>
        </w:rPr>
        <w:t>, three in the USA</w:t>
      </w:r>
      <w:r w:rsidRPr="0075421E">
        <w:rPr>
          <w:rFonts w:ascii="Arial" w:hAnsi="Arial" w:cs="Arial"/>
          <w:sz w:val="16"/>
          <w:szCs w:val="16"/>
          <w:vertAlign w:val="superscript"/>
        </w:rPr>
        <w:t>d,e,f</w:t>
      </w:r>
      <w:r w:rsidRPr="0075421E">
        <w:rPr>
          <w:rFonts w:ascii="Arial" w:hAnsi="Arial" w:cs="Arial"/>
          <w:sz w:val="16"/>
          <w:szCs w:val="16"/>
        </w:rPr>
        <w:t>, one in Japan</w:t>
      </w:r>
      <w:r w:rsidRPr="0075421E">
        <w:rPr>
          <w:rFonts w:ascii="Arial" w:hAnsi="Arial" w:cs="Arial"/>
          <w:sz w:val="16"/>
          <w:szCs w:val="16"/>
          <w:vertAlign w:val="superscript"/>
        </w:rPr>
        <w:t>b</w:t>
      </w:r>
      <w:r w:rsidRPr="0075421E">
        <w:rPr>
          <w:rFonts w:ascii="Arial" w:hAnsi="Arial" w:cs="Arial"/>
          <w:sz w:val="16"/>
          <w:szCs w:val="16"/>
        </w:rPr>
        <w:t>), and one in China</w:t>
      </w:r>
      <w:r w:rsidRPr="0075421E">
        <w:rPr>
          <w:rFonts w:ascii="Arial" w:hAnsi="Arial" w:cs="Arial"/>
          <w:sz w:val="16"/>
          <w:szCs w:val="16"/>
          <w:vertAlign w:val="superscript"/>
        </w:rPr>
        <w:t>g</w:t>
      </w:r>
      <w:r w:rsidRPr="0075421E">
        <w:rPr>
          <w:rFonts w:ascii="Arial" w:hAnsi="Arial" w:cs="Arial"/>
          <w:sz w:val="16"/>
          <w:szCs w:val="16"/>
        </w:rPr>
        <w:t xml:space="preserve">. Three </w:t>
      </w:r>
      <w:proofErr w:type="gramStart"/>
      <w:r w:rsidRPr="0075421E">
        <w:rPr>
          <w:rFonts w:ascii="Arial" w:hAnsi="Arial" w:cs="Arial"/>
          <w:sz w:val="16"/>
          <w:szCs w:val="16"/>
        </w:rPr>
        <w:t>studies</w:t>
      </w:r>
      <w:r w:rsidRPr="0075421E">
        <w:rPr>
          <w:rFonts w:ascii="Arial" w:hAnsi="Arial" w:cs="Arial"/>
          <w:sz w:val="16"/>
          <w:szCs w:val="16"/>
          <w:vertAlign w:val="superscript"/>
        </w:rPr>
        <w:t>a,c</w:t>
      </w:r>
      <w:proofErr w:type="gramEnd"/>
      <w:r w:rsidRPr="0075421E">
        <w:rPr>
          <w:rFonts w:ascii="Arial" w:hAnsi="Arial" w:cs="Arial"/>
          <w:sz w:val="16"/>
          <w:szCs w:val="16"/>
          <w:vertAlign w:val="superscript"/>
        </w:rPr>
        <w:t>,g</w:t>
      </w:r>
      <w:r w:rsidRPr="0075421E">
        <w:rPr>
          <w:rFonts w:ascii="Arial" w:hAnsi="Arial" w:cs="Arial"/>
          <w:sz w:val="16"/>
          <w:szCs w:val="16"/>
        </w:rPr>
        <w:t xml:space="preserve"> included children, whereas the rest only adults.  </w:t>
      </w:r>
    </w:p>
    <w:p w14:paraId="67A838DF" w14:textId="13CFC020" w:rsidR="002D745B" w:rsidRDefault="002D745B" w:rsidP="002D745B">
      <w:pPr>
        <w:pStyle w:val="ListParagraph"/>
        <w:numPr>
          <w:ilvl w:val="0"/>
          <w:numId w:val="14"/>
        </w:numPr>
        <w:spacing w:after="200" w:line="276" w:lineRule="auto"/>
        <w:jc w:val="both"/>
        <w:rPr>
          <w:rFonts w:ascii="Arial" w:hAnsi="Arial" w:cs="Arial"/>
          <w:sz w:val="16"/>
          <w:szCs w:val="16"/>
        </w:rPr>
      </w:pPr>
      <w:r w:rsidRPr="0075421E">
        <w:rPr>
          <w:rFonts w:ascii="Arial" w:hAnsi="Arial" w:cs="Arial"/>
          <w:sz w:val="16"/>
          <w:szCs w:val="16"/>
        </w:rPr>
        <w:t xml:space="preserve">Reported ICERs varied from 53,348 £ to 821,000 $ per QALY. </w:t>
      </w:r>
    </w:p>
    <w:p w14:paraId="240A446C" w14:textId="5E63A886" w:rsidR="006D2694" w:rsidRPr="0075421E" w:rsidRDefault="006D2694" w:rsidP="002D745B">
      <w:pPr>
        <w:pStyle w:val="ListParagraph"/>
        <w:numPr>
          <w:ilvl w:val="0"/>
          <w:numId w:val="14"/>
        </w:numPr>
        <w:spacing w:after="200" w:line="276" w:lineRule="auto"/>
        <w:jc w:val="both"/>
        <w:rPr>
          <w:rFonts w:ascii="Arial" w:hAnsi="Arial" w:cs="Arial"/>
          <w:sz w:val="16"/>
          <w:szCs w:val="16"/>
        </w:rPr>
      </w:pPr>
      <w:r>
        <w:rPr>
          <w:rFonts w:ascii="Arial" w:hAnsi="Arial" w:cs="Arial"/>
          <w:sz w:val="16"/>
          <w:szCs w:val="16"/>
        </w:rPr>
        <w:t>T</w:t>
      </w:r>
      <w:r w:rsidRPr="00383491">
        <w:rPr>
          <w:rFonts w:ascii="Arial" w:hAnsi="Arial" w:cs="Arial"/>
          <w:sz w:val="16"/>
          <w:szCs w:val="16"/>
        </w:rPr>
        <w:t>he incremental cost-effectiveness ratio drops substantially from ~400k/ QALY to ~200k/QALY when the responder definition is factored into the cost-effectiveness model.</w:t>
      </w:r>
    </w:p>
    <w:p w14:paraId="3B9AB906" w14:textId="77777777" w:rsidR="002D745B" w:rsidRPr="0075421E" w:rsidRDefault="002D745B" w:rsidP="002D745B">
      <w:pPr>
        <w:pStyle w:val="ListParagraph"/>
        <w:numPr>
          <w:ilvl w:val="0"/>
          <w:numId w:val="14"/>
        </w:numPr>
        <w:spacing w:after="200" w:line="276" w:lineRule="auto"/>
        <w:jc w:val="both"/>
        <w:rPr>
          <w:rFonts w:ascii="Arial" w:hAnsi="Arial" w:cs="Arial"/>
          <w:sz w:val="16"/>
          <w:szCs w:val="16"/>
        </w:rPr>
      </w:pPr>
      <w:r w:rsidRPr="0075421E">
        <w:rPr>
          <w:rFonts w:ascii="Arial" w:hAnsi="Arial" w:cs="Arial"/>
          <w:sz w:val="16"/>
          <w:szCs w:val="16"/>
        </w:rPr>
        <w:t xml:space="preserve">Four studies were performed in high-income countries (two in </w:t>
      </w:r>
      <w:proofErr w:type="gramStart"/>
      <w:r w:rsidRPr="0075421E">
        <w:rPr>
          <w:rFonts w:ascii="Arial" w:hAnsi="Arial" w:cs="Arial"/>
          <w:sz w:val="16"/>
          <w:szCs w:val="16"/>
        </w:rPr>
        <w:t>Europe</w:t>
      </w:r>
      <w:r w:rsidRPr="0075421E">
        <w:rPr>
          <w:rFonts w:ascii="Arial" w:hAnsi="Arial" w:cs="Arial"/>
          <w:sz w:val="16"/>
          <w:szCs w:val="16"/>
          <w:vertAlign w:val="superscript"/>
        </w:rPr>
        <w:t>h,i</w:t>
      </w:r>
      <w:proofErr w:type="gramEnd"/>
      <w:r w:rsidRPr="0075421E">
        <w:rPr>
          <w:rFonts w:ascii="Arial" w:hAnsi="Arial" w:cs="Arial"/>
          <w:sz w:val="16"/>
          <w:szCs w:val="16"/>
        </w:rPr>
        <w:t>, two in North America</w:t>
      </w:r>
      <w:r w:rsidRPr="0075421E">
        <w:rPr>
          <w:rFonts w:ascii="Arial" w:hAnsi="Arial" w:cs="Arial"/>
          <w:sz w:val="16"/>
          <w:szCs w:val="16"/>
          <w:vertAlign w:val="superscript"/>
        </w:rPr>
        <w:t>j,l</w:t>
      </w:r>
      <w:r w:rsidRPr="0075421E">
        <w:rPr>
          <w:rFonts w:ascii="Arial" w:hAnsi="Arial" w:cs="Arial"/>
          <w:sz w:val="16"/>
          <w:szCs w:val="16"/>
        </w:rPr>
        <w:t xml:space="preserve">), one in Brazil. All included adults.  </w:t>
      </w:r>
    </w:p>
    <w:p w14:paraId="39B8F83E" w14:textId="77777777" w:rsidR="002D745B" w:rsidRPr="0075421E" w:rsidRDefault="002D745B" w:rsidP="002D745B">
      <w:pPr>
        <w:pStyle w:val="ListParagraph"/>
        <w:numPr>
          <w:ilvl w:val="0"/>
          <w:numId w:val="14"/>
        </w:numPr>
        <w:spacing w:after="200" w:line="276" w:lineRule="auto"/>
        <w:jc w:val="both"/>
        <w:rPr>
          <w:rFonts w:ascii="Arial" w:hAnsi="Arial" w:cs="Arial"/>
          <w:sz w:val="16"/>
          <w:szCs w:val="16"/>
        </w:rPr>
      </w:pPr>
      <w:r w:rsidRPr="0075421E">
        <w:rPr>
          <w:rFonts w:ascii="Arial" w:hAnsi="Arial" w:cs="Arial"/>
          <w:sz w:val="16"/>
          <w:szCs w:val="16"/>
        </w:rPr>
        <w:t xml:space="preserve">Reported ICERs varied from 31,209 € to 287,200 $ per QALY. </w:t>
      </w:r>
    </w:p>
    <w:p w14:paraId="08182CEE" w14:textId="77777777" w:rsidR="002D745B" w:rsidRPr="0075421E" w:rsidRDefault="002D745B" w:rsidP="002D745B">
      <w:pPr>
        <w:pStyle w:val="ListParagraph"/>
        <w:numPr>
          <w:ilvl w:val="0"/>
          <w:numId w:val="14"/>
        </w:numPr>
        <w:spacing w:after="200" w:line="276" w:lineRule="auto"/>
        <w:jc w:val="both"/>
        <w:rPr>
          <w:rFonts w:ascii="Arial" w:hAnsi="Arial" w:cs="Arial"/>
          <w:sz w:val="16"/>
          <w:szCs w:val="16"/>
        </w:rPr>
      </w:pPr>
      <w:r w:rsidRPr="0075421E">
        <w:rPr>
          <w:rFonts w:ascii="Arial" w:hAnsi="Arial" w:cs="Arial"/>
          <w:sz w:val="16"/>
          <w:szCs w:val="16"/>
        </w:rPr>
        <w:t>All studies financed by Novartis (manufacturer of omalizumab) reported lower ICERs compared to those not financed by Industry.</w:t>
      </w:r>
    </w:p>
    <w:p w14:paraId="2280681A" w14:textId="77777777" w:rsidR="002D745B" w:rsidRPr="0075421E" w:rsidRDefault="002D745B" w:rsidP="002D745B">
      <w:pPr>
        <w:pStyle w:val="ListParagraph"/>
        <w:numPr>
          <w:ilvl w:val="0"/>
          <w:numId w:val="14"/>
        </w:numPr>
        <w:spacing w:after="200" w:line="276" w:lineRule="auto"/>
        <w:jc w:val="both"/>
        <w:rPr>
          <w:rFonts w:ascii="Arial" w:hAnsi="Arial" w:cs="Arial"/>
          <w:sz w:val="16"/>
          <w:szCs w:val="16"/>
        </w:rPr>
      </w:pPr>
      <w:r w:rsidRPr="0075421E">
        <w:rPr>
          <w:rFonts w:ascii="Arial" w:hAnsi="Arial" w:cs="Arial"/>
          <w:sz w:val="16"/>
          <w:szCs w:val="16"/>
        </w:rPr>
        <w:t xml:space="preserve">CHEC score lower than 13 (see limitations and transferability assessment section). Cost-utility analysis based on a pre-post study has several limitations. The most important is the bias of not including all clinical health states and the potential exclusion of severe patients. Mortality was impossible to be measured (all included patients were alive). Utilities in post-omalizumab are conditioned by pre-omalizumab results. </w:t>
      </w:r>
    </w:p>
    <w:p w14:paraId="3326656B" w14:textId="77777777" w:rsidR="002D745B" w:rsidRPr="0075421E" w:rsidRDefault="002D745B" w:rsidP="002D745B">
      <w:pPr>
        <w:pStyle w:val="ListParagraph"/>
        <w:numPr>
          <w:ilvl w:val="0"/>
          <w:numId w:val="14"/>
        </w:numPr>
        <w:spacing w:after="200" w:line="276" w:lineRule="auto"/>
        <w:jc w:val="both"/>
        <w:rPr>
          <w:rFonts w:ascii="Arial" w:hAnsi="Arial" w:cs="Arial"/>
          <w:sz w:val="16"/>
          <w:szCs w:val="16"/>
        </w:rPr>
      </w:pPr>
      <w:r w:rsidRPr="0075421E">
        <w:rPr>
          <w:rFonts w:ascii="Arial" w:hAnsi="Arial" w:cs="Arial"/>
          <w:sz w:val="16"/>
          <w:szCs w:val="16"/>
        </w:rPr>
        <w:lastRenderedPageBreak/>
        <w:t>All studies reported an ICER lower than 30,000 €, which is the willingness to pay threshold in most European countries.</w:t>
      </w:r>
    </w:p>
    <w:p w14:paraId="630D87A5" w14:textId="77777777" w:rsidR="002D745B" w:rsidRPr="0075421E" w:rsidRDefault="002D745B" w:rsidP="002D745B">
      <w:pPr>
        <w:pStyle w:val="ListParagraph"/>
        <w:numPr>
          <w:ilvl w:val="0"/>
          <w:numId w:val="14"/>
        </w:numPr>
        <w:spacing w:after="200" w:line="276" w:lineRule="auto"/>
        <w:jc w:val="both"/>
        <w:rPr>
          <w:rFonts w:ascii="Arial" w:hAnsi="Arial" w:cs="Arial"/>
          <w:sz w:val="16"/>
          <w:szCs w:val="16"/>
        </w:rPr>
      </w:pPr>
      <w:r w:rsidRPr="0075421E">
        <w:rPr>
          <w:rFonts w:ascii="Arial" w:hAnsi="Arial" w:cs="Arial"/>
          <w:sz w:val="16"/>
          <w:szCs w:val="16"/>
        </w:rPr>
        <w:t>All studies conducted in European countries (2 in Italy, 1 in Spain).</w:t>
      </w:r>
    </w:p>
    <w:p w14:paraId="1919B39D" w14:textId="77777777" w:rsidR="002D745B" w:rsidRPr="0075421E" w:rsidRDefault="002D745B" w:rsidP="002D745B">
      <w:pPr>
        <w:pStyle w:val="ListParagraph"/>
        <w:numPr>
          <w:ilvl w:val="0"/>
          <w:numId w:val="14"/>
        </w:numPr>
        <w:spacing w:after="200" w:line="276" w:lineRule="auto"/>
        <w:jc w:val="both"/>
        <w:rPr>
          <w:rFonts w:ascii="Arial" w:hAnsi="Arial" w:cs="Arial"/>
          <w:sz w:val="16"/>
          <w:szCs w:val="16"/>
        </w:rPr>
      </w:pPr>
      <w:r w:rsidRPr="0075421E">
        <w:rPr>
          <w:rFonts w:ascii="Arial" w:hAnsi="Arial" w:cs="Arial"/>
          <w:sz w:val="16"/>
          <w:szCs w:val="16"/>
        </w:rPr>
        <w:t>Reported ICERs showed scarce variation.</w:t>
      </w:r>
    </w:p>
    <w:p w14:paraId="0A0C4C61" w14:textId="77777777" w:rsidR="002D745B" w:rsidRPr="0075421E" w:rsidRDefault="002D745B" w:rsidP="002D745B">
      <w:pPr>
        <w:pStyle w:val="ListParagraph"/>
        <w:numPr>
          <w:ilvl w:val="0"/>
          <w:numId w:val="14"/>
        </w:numPr>
        <w:spacing w:after="200" w:line="276" w:lineRule="auto"/>
        <w:jc w:val="both"/>
        <w:rPr>
          <w:rFonts w:ascii="Arial" w:hAnsi="Arial" w:cs="Arial"/>
          <w:sz w:val="16"/>
          <w:szCs w:val="16"/>
        </w:rPr>
      </w:pPr>
      <w:r w:rsidRPr="0075421E">
        <w:rPr>
          <w:rFonts w:ascii="Arial" w:hAnsi="Arial" w:cs="Arial"/>
          <w:sz w:val="16"/>
          <w:szCs w:val="16"/>
        </w:rPr>
        <w:t xml:space="preserve">Two studies financed by Novartis, one by a research centre. </w:t>
      </w:r>
    </w:p>
    <w:p w14:paraId="14DADD83" w14:textId="77777777" w:rsidR="002D745B" w:rsidRPr="0075421E" w:rsidRDefault="002D745B" w:rsidP="002D745B">
      <w:pPr>
        <w:pStyle w:val="ListParagraph"/>
        <w:numPr>
          <w:ilvl w:val="0"/>
          <w:numId w:val="14"/>
        </w:numPr>
        <w:spacing w:after="200" w:line="276" w:lineRule="auto"/>
        <w:jc w:val="both"/>
        <w:rPr>
          <w:rFonts w:ascii="Arial" w:hAnsi="Arial" w:cs="Arial"/>
          <w:sz w:val="16"/>
          <w:szCs w:val="16"/>
        </w:rPr>
      </w:pPr>
      <w:r w:rsidRPr="0075421E">
        <w:rPr>
          <w:rFonts w:ascii="Arial" w:hAnsi="Arial" w:cs="Arial"/>
          <w:sz w:val="16"/>
          <w:szCs w:val="16"/>
        </w:rPr>
        <w:t xml:space="preserve">All studies conducted in European countries.  </w:t>
      </w:r>
    </w:p>
    <w:p w14:paraId="2B70ADE1" w14:textId="77777777" w:rsidR="002D745B" w:rsidRPr="0075421E" w:rsidRDefault="002D745B" w:rsidP="002D745B">
      <w:pPr>
        <w:pStyle w:val="ListParagraph"/>
        <w:numPr>
          <w:ilvl w:val="0"/>
          <w:numId w:val="14"/>
        </w:numPr>
        <w:spacing w:after="200" w:line="276" w:lineRule="auto"/>
        <w:jc w:val="both"/>
        <w:rPr>
          <w:rFonts w:ascii="Arial" w:hAnsi="Arial" w:cs="Arial"/>
          <w:sz w:val="16"/>
          <w:szCs w:val="16"/>
        </w:rPr>
      </w:pPr>
      <w:r w:rsidRPr="0075421E">
        <w:rPr>
          <w:rFonts w:ascii="Arial" w:hAnsi="Arial" w:cs="Arial"/>
          <w:sz w:val="16"/>
          <w:szCs w:val="16"/>
        </w:rPr>
        <w:t>Three studies with ICER lower or equal than 2,273 € / avoided exacerbation were financed by Novartis. The higher ICER (17,721 €) was reported by a study non-Industry funded.</w:t>
      </w:r>
    </w:p>
    <w:p w14:paraId="1CCB4890" w14:textId="77777777" w:rsidR="002D745B" w:rsidRPr="0075421E" w:rsidRDefault="002D745B" w:rsidP="002D745B">
      <w:pPr>
        <w:pStyle w:val="ListParagraph"/>
        <w:numPr>
          <w:ilvl w:val="0"/>
          <w:numId w:val="14"/>
        </w:numPr>
        <w:spacing w:after="200" w:line="276" w:lineRule="auto"/>
        <w:jc w:val="both"/>
        <w:rPr>
          <w:rFonts w:ascii="Arial" w:hAnsi="Arial" w:cs="Arial"/>
          <w:sz w:val="16"/>
          <w:szCs w:val="16"/>
        </w:rPr>
      </w:pPr>
      <w:r w:rsidRPr="0075421E">
        <w:rPr>
          <w:rFonts w:ascii="Arial" w:hAnsi="Arial" w:cs="Arial"/>
          <w:sz w:val="16"/>
          <w:szCs w:val="16"/>
        </w:rPr>
        <w:t>Novartis financed the studies.</w:t>
      </w:r>
    </w:p>
    <w:p w14:paraId="3D98A4CA" w14:textId="71DDEEF1" w:rsidR="007708F3" w:rsidRPr="001B2A1F" w:rsidRDefault="002D745B" w:rsidP="007708F3">
      <w:pPr>
        <w:pStyle w:val="ListParagraph"/>
        <w:numPr>
          <w:ilvl w:val="0"/>
          <w:numId w:val="14"/>
        </w:numPr>
        <w:spacing w:after="200" w:line="276" w:lineRule="auto"/>
        <w:jc w:val="both"/>
        <w:rPr>
          <w:rFonts w:ascii="Arial" w:hAnsi="Arial" w:cs="Arial"/>
          <w:sz w:val="16"/>
          <w:szCs w:val="16"/>
        </w:rPr>
      </w:pPr>
      <w:r w:rsidRPr="0075421E">
        <w:rPr>
          <w:rFonts w:ascii="Arial" w:hAnsi="Arial" w:cs="Arial"/>
          <w:sz w:val="16"/>
          <w:szCs w:val="16"/>
        </w:rPr>
        <w:t>Source of funding not reported.</w:t>
      </w:r>
    </w:p>
    <w:p w14:paraId="3ED752F5" w14:textId="50799ACC" w:rsidR="007708F3" w:rsidRPr="001B2A1F" w:rsidRDefault="007708F3" w:rsidP="007708F3">
      <w:pPr>
        <w:rPr>
          <w:b/>
          <w:sz w:val="20"/>
          <w:szCs w:val="20"/>
        </w:rPr>
      </w:pPr>
      <w:r w:rsidRPr="001B2A1F">
        <w:rPr>
          <w:b/>
          <w:sz w:val="20"/>
          <w:szCs w:val="20"/>
        </w:rPr>
        <w:t>Table S</w:t>
      </w:r>
      <w:r w:rsidR="001B2A1F" w:rsidRPr="001B2A1F">
        <w:rPr>
          <w:b/>
          <w:sz w:val="20"/>
          <w:szCs w:val="20"/>
        </w:rPr>
        <w:t>44</w:t>
      </w:r>
      <w:r w:rsidRPr="001B2A1F">
        <w:rPr>
          <w:b/>
          <w:sz w:val="20"/>
          <w:szCs w:val="20"/>
        </w:rPr>
        <w:t>- Evidence to decision table supporting recommendations for omalizumab for severe allergic asthma in adults and adolescents (12-17 years old) (exacerbations)</w:t>
      </w:r>
    </w:p>
    <w:tbl>
      <w:tblPr>
        <w:tblW w:w="0" w:type="auto"/>
        <w:tblCellMar>
          <w:left w:w="0" w:type="dxa"/>
          <w:right w:w="0" w:type="dxa"/>
        </w:tblCellMar>
        <w:tblLook w:val="04A0" w:firstRow="1" w:lastRow="0" w:firstColumn="1" w:lastColumn="0" w:noHBand="0" w:noVBand="1"/>
      </w:tblPr>
      <w:tblGrid>
        <w:gridCol w:w="1975"/>
        <w:gridCol w:w="1701"/>
        <w:gridCol w:w="1984"/>
        <w:gridCol w:w="2127"/>
        <w:gridCol w:w="1842"/>
        <w:gridCol w:w="1276"/>
        <w:gridCol w:w="709"/>
        <w:gridCol w:w="1804"/>
      </w:tblGrid>
      <w:tr w:rsidR="007708F3" w:rsidRPr="005C1453" w14:paraId="231A4137" w14:textId="77777777" w:rsidTr="005E1D37">
        <w:trPr>
          <w:trHeight w:val="19"/>
        </w:trPr>
        <w:tc>
          <w:tcPr>
            <w:tcW w:w="1975" w:type="dxa"/>
            <w:tcBorders>
              <w:top w:val="single" w:sz="8" w:space="0" w:color="FFFFFF"/>
              <w:left w:val="single" w:sz="8" w:space="0" w:color="FFFFFF"/>
              <w:bottom w:val="single" w:sz="24" w:space="0" w:color="FFFFFF"/>
              <w:right w:val="single" w:sz="8" w:space="0" w:color="FFFFFF"/>
            </w:tcBorders>
            <w:shd w:val="clear" w:color="auto" w:fill="5B9BD5"/>
            <w:tcMar>
              <w:top w:w="74" w:type="dxa"/>
              <w:left w:w="74" w:type="dxa"/>
              <w:bottom w:w="74" w:type="dxa"/>
              <w:right w:w="74" w:type="dxa"/>
            </w:tcMar>
            <w:vAlign w:val="center"/>
            <w:hideMark/>
          </w:tcPr>
          <w:p w14:paraId="659654D9" w14:textId="77777777" w:rsidR="007708F3" w:rsidRPr="005C1453" w:rsidRDefault="007708F3" w:rsidP="001B2A1F">
            <w:pPr>
              <w:spacing w:line="276" w:lineRule="auto"/>
              <w:jc w:val="both"/>
              <w:rPr>
                <w:rFonts w:ascii="Arial" w:eastAsia="Calibri" w:hAnsi="Arial" w:cs="Arial"/>
                <w:color w:val="000000"/>
                <w:sz w:val="16"/>
                <w:szCs w:val="16"/>
              </w:rPr>
            </w:pPr>
          </w:p>
        </w:tc>
        <w:tc>
          <w:tcPr>
            <w:tcW w:w="11443" w:type="dxa"/>
            <w:gridSpan w:val="7"/>
            <w:tcBorders>
              <w:top w:val="single" w:sz="8" w:space="0" w:color="FFFFFF"/>
              <w:left w:val="single" w:sz="8" w:space="0" w:color="FFFFFF"/>
              <w:bottom w:val="single" w:sz="24" w:space="0" w:color="FFFFFF"/>
              <w:right w:val="single" w:sz="8" w:space="0" w:color="FFFFFF"/>
            </w:tcBorders>
            <w:shd w:val="clear" w:color="auto" w:fill="5B9BD5"/>
            <w:tcMar>
              <w:top w:w="74" w:type="dxa"/>
              <w:left w:w="74" w:type="dxa"/>
              <w:bottom w:w="74" w:type="dxa"/>
              <w:right w:w="74" w:type="dxa"/>
            </w:tcMar>
            <w:vAlign w:val="center"/>
            <w:hideMark/>
          </w:tcPr>
          <w:p w14:paraId="5341EC7C"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Judgement</w:t>
            </w:r>
          </w:p>
        </w:tc>
      </w:tr>
      <w:tr w:rsidR="007708F3" w:rsidRPr="005C1453" w14:paraId="26391344" w14:textId="77777777" w:rsidTr="005E1D37">
        <w:trPr>
          <w:trHeight w:val="19"/>
        </w:trPr>
        <w:tc>
          <w:tcPr>
            <w:tcW w:w="1975" w:type="dxa"/>
            <w:tcBorders>
              <w:top w:val="single" w:sz="24"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4144B199"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Problem (importance)</w:t>
            </w:r>
          </w:p>
        </w:tc>
        <w:tc>
          <w:tcPr>
            <w:tcW w:w="1701"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35E1387"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No</w:t>
            </w:r>
          </w:p>
        </w:tc>
        <w:tc>
          <w:tcPr>
            <w:tcW w:w="1984"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B1FC675"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no</w:t>
            </w:r>
          </w:p>
        </w:tc>
        <w:tc>
          <w:tcPr>
            <w:tcW w:w="2127"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D0D5AFC"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yes</w:t>
            </w:r>
          </w:p>
        </w:tc>
        <w:tc>
          <w:tcPr>
            <w:tcW w:w="1842" w:type="dxa"/>
            <w:tcBorders>
              <w:top w:val="single" w:sz="24"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24683F47"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Yes</w:t>
            </w:r>
          </w:p>
        </w:tc>
        <w:tc>
          <w:tcPr>
            <w:tcW w:w="1276"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E505671" w14:textId="77777777" w:rsidR="007708F3" w:rsidRPr="005C1453" w:rsidRDefault="007708F3" w:rsidP="001B2A1F">
            <w:pPr>
              <w:spacing w:line="276" w:lineRule="auto"/>
              <w:jc w:val="both"/>
              <w:rPr>
                <w:rFonts w:ascii="Arial" w:eastAsia="Calibri" w:hAnsi="Arial" w:cs="Arial"/>
                <w:color w:val="000000"/>
                <w:sz w:val="16"/>
                <w:szCs w:val="16"/>
              </w:rPr>
            </w:pPr>
          </w:p>
        </w:tc>
        <w:tc>
          <w:tcPr>
            <w:tcW w:w="709"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B110A1C"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Varies</w:t>
            </w:r>
          </w:p>
        </w:tc>
        <w:tc>
          <w:tcPr>
            <w:tcW w:w="1804"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7BDC4F0"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Don't know</w:t>
            </w:r>
          </w:p>
        </w:tc>
      </w:tr>
      <w:tr w:rsidR="007708F3" w:rsidRPr="005C1453" w14:paraId="48482DAB" w14:textId="77777777" w:rsidTr="005E1D37">
        <w:trPr>
          <w:trHeight w:val="19"/>
        </w:trPr>
        <w:tc>
          <w:tcPr>
            <w:tcW w:w="1975"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76A4D6A4"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Desirable Effects</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CCB4199"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Trivial</w:t>
            </w:r>
          </w:p>
        </w:tc>
        <w:tc>
          <w:tcPr>
            <w:tcW w:w="198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CA05357"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Small</w:t>
            </w:r>
          </w:p>
        </w:tc>
        <w:tc>
          <w:tcPr>
            <w:tcW w:w="2127"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DA9F264"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Moderate</w:t>
            </w:r>
          </w:p>
        </w:tc>
        <w:tc>
          <w:tcPr>
            <w:tcW w:w="1842"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7BC4D299"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Large</w:t>
            </w:r>
          </w:p>
        </w:tc>
        <w:tc>
          <w:tcPr>
            <w:tcW w:w="12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8D0238E" w14:textId="77777777" w:rsidR="007708F3" w:rsidRPr="005C1453" w:rsidRDefault="007708F3" w:rsidP="001B2A1F">
            <w:pPr>
              <w:spacing w:line="276" w:lineRule="auto"/>
              <w:jc w:val="both"/>
              <w:rPr>
                <w:rFonts w:ascii="Arial" w:eastAsia="Calibri" w:hAnsi="Arial" w:cs="Arial"/>
                <w:color w:val="000000"/>
                <w:sz w:val="16"/>
                <w:szCs w:val="16"/>
              </w:rPr>
            </w:pPr>
          </w:p>
        </w:tc>
        <w:tc>
          <w:tcPr>
            <w:tcW w:w="709"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3F0CEAE"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Varies</w:t>
            </w:r>
          </w:p>
        </w:tc>
        <w:tc>
          <w:tcPr>
            <w:tcW w:w="180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835F014"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Don't know</w:t>
            </w:r>
          </w:p>
        </w:tc>
      </w:tr>
      <w:tr w:rsidR="007708F3" w:rsidRPr="005C1453" w14:paraId="70C2CCEF" w14:textId="77777777" w:rsidTr="005E1D37">
        <w:trPr>
          <w:trHeight w:val="19"/>
        </w:trPr>
        <w:tc>
          <w:tcPr>
            <w:tcW w:w="1975"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140CE373"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Undesirable Effects</w:t>
            </w: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D7E5C96"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Large</w:t>
            </w:r>
          </w:p>
        </w:tc>
        <w:tc>
          <w:tcPr>
            <w:tcW w:w="198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3B2CDF9"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Moderate</w:t>
            </w:r>
          </w:p>
        </w:tc>
        <w:tc>
          <w:tcPr>
            <w:tcW w:w="2127"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7D947703"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Small</w:t>
            </w:r>
          </w:p>
        </w:tc>
        <w:tc>
          <w:tcPr>
            <w:tcW w:w="1842"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3A698B7"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Trivial</w:t>
            </w:r>
          </w:p>
        </w:tc>
        <w:tc>
          <w:tcPr>
            <w:tcW w:w="127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93D6A3D" w14:textId="77777777" w:rsidR="007708F3" w:rsidRPr="005C1453" w:rsidRDefault="007708F3" w:rsidP="001B2A1F">
            <w:pPr>
              <w:spacing w:line="276" w:lineRule="auto"/>
              <w:jc w:val="both"/>
              <w:rPr>
                <w:rFonts w:ascii="Arial" w:eastAsia="Calibri" w:hAnsi="Arial" w:cs="Arial"/>
                <w:color w:val="000000"/>
                <w:sz w:val="16"/>
                <w:szCs w:val="16"/>
              </w:rPr>
            </w:pPr>
          </w:p>
        </w:tc>
        <w:tc>
          <w:tcPr>
            <w:tcW w:w="709"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421841E"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Varies</w:t>
            </w:r>
          </w:p>
        </w:tc>
        <w:tc>
          <w:tcPr>
            <w:tcW w:w="180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4D66A8F"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Don't know</w:t>
            </w:r>
          </w:p>
        </w:tc>
      </w:tr>
      <w:tr w:rsidR="007708F3" w:rsidRPr="005C1453" w14:paraId="3F5FF84D" w14:textId="77777777" w:rsidTr="005E1D37">
        <w:trPr>
          <w:trHeight w:val="19"/>
        </w:trPr>
        <w:tc>
          <w:tcPr>
            <w:tcW w:w="1975"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7C3CD69F"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Certainty of evidence</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5027DE2"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Very low</w:t>
            </w:r>
          </w:p>
        </w:tc>
        <w:tc>
          <w:tcPr>
            <w:tcW w:w="198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BA42524"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Low</w:t>
            </w:r>
          </w:p>
        </w:tc>
        <w:tc>
          <w:tcPr>
            <w:tcW w:w="2127"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33187FB"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Moderate</w:t>
            </w:r>
          </w:p>
        </w:tc>
        <w:tc>
          <w:tcPr>
            <w:tcW w:w="1842"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0E3A80FA"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High</w:t>
            </w:r>
          </w:p>
        </w:tc>
        <w:tc>
          <w:tcPr>
            <w:tcW w:w="12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572B3A9" w14:textId="77777777" w:rsidR="007708F3" w:rsidRPr="005C1453" w:rsidRDefault="007708F3" w:rsidP="001B2A1F">
            <w:pPr>
              <w:spacing w:line="276" w:lineRule="auto"/>
              <w:jc w:val="both"/>
              <w:rPr>
                <w:rFonts w:ascii="Arial" w:eastAsia="Calibri" w:hAnsi="Arial" w:cs="Arial"/>
                <w:color w:val="000000"/>
                <w:sz w:val="16"/>
                <w:szCs w:val="16"/>
              </w:rPr>
            </w:pPr>
          </w:p>
        </w:tc>
        <w:tc>
          <w:tcPr>
            <w:tcW w:w="709"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C63471D" w14:textId="77777777" w:rsidR="007708F3" w:rsidRPr="005C1453" w:rsidRDefault="007708F3" w:rsidP="001B2A1F">
            <w:pPr>
              <w:spacing w:line="276" w:lineRule="auto"/>
              <w:jc w:val="both"/>
              <w:rPr>
                <w:rFonts w:ascii="Arial" w:eastAsia="Calibri" w:hAnsi="Arial" w:cs="Arial"/>
                <w:color w:val="000000"/>
                <w:sz w:val="16"/>
                <w:szCs w:val="16"/>
              </w:rPr>
            </w:pPr>
          </w:p>
        </w:tc>
        <w:tc>
          <w:tcPr>
            <w:tcW w:w="180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7AC12F5"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No included studies</w:t>
            </w:r>
          </w:p>
        </w:tc>
      </w:tr>
      <w:tr w:rsidR="007708F3" w:rsidRPr="005C1453" w14:paraId="0BB627B9" w14:textId="77777777" w:rsidTr="005E1D37">
        <w:trPr>
          <w:trHeight w:val="19"/>
        </w:trPr>
        <w:tc>
          <w:tcPr>
            <w:tcW w:w="1975"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5FC57DC2"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Values</w:t>
            </w: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67668DF"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Important uncertainty or variability</w:t>
            </w:r>
          </w:p>
        </w:tc>
        <w:tc>
          <w:tcPr>
            <w:tcW w:w="198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7A21457"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Possibly important uncertainty or variability</w:t>
            </w:r>
          </w:p>
        </w:tc>
        <w:tc>
          <w:tcPr>
            <w:tcW w:w="2127"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FF34BF0"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no important uncertainty or variability</w:t>
            </w:r>
          </w:p>
        </w:tc>
        <w:tc>
          <w:tcPr>
            <w:tcW w:w="1842"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53B4F341"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no important uncertainty or variability</w:t>
            </w:r>
          </w:p>
        </w:tc>
        <w:tc>
          <w:tcPr>
            <w:tcW w:w="127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FE4DFE0" w14:textId="77777777" w:rsidR="007708F3" w:rsidRPr="005C1453" w:rsidRDefault="007708F3" w:rsidP="001B2A1F">
            <w:pPr>
              <w:spacing w:line="276" w:lineRule="auto"/>
              <w:jc w:val="both"/>
              <w:rPr>
                <w:rFonts w:ascii="Arial" w:eastAsia="Calibri" w:hAnsi="Arial" w:cs="Arial"/>
                <w:color w:val="000000"/>
                <w:sz w:val="16"/>
                <w:szCs w:val="16"/>
              </w:rPr>
            </w:pPr>
          </w:p>
        </w:tc>
        <w:tc>
          <w:tcPr>
            <w:tcW w:w="709"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A6D775A" w14:textId="77777777" w:rsidR="007708F3" w:rsidRPr="005C1453" w:rsidRDefault="007708F3" w:rsidP="001B2A1F">
            <w:pPr>
              <w:spacing w:line="276" w:lineRule="auto"/>
              <w:jc w:val="both"/>
              <w:rPr>
                <w:rFonts w:ascii="Arial" w:eastAsia="Calibri" w:hAnsi="Arial" w:cs="Arial"/>
                <w:color w:val="000000"/>
                <w:sz w:val="16"/>
                <w:szCs w:val="16"/>
              </w:rPr>
            </w:pPr>
          </w:p>
        </w:tc>
        <w:tc>
          <w:tcPr>
            <w:tcW w:w="180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488B5E1" w14:textId="77777777" w:rsidR="007708F3" w:rsidRPr="005C1453" w:rsidRDefault="007708F3" w:rsidP="001B2A1F">
            <w:pPr>
              <w:spacing w:line="276" w:lineRule="auto"/>
              <w:jc w:val="both"/>
              <w:rPr>
                <w:rFonts w:ascii="Arial" w:eastAsia="Calibri" w:hAnsi="Arial" w:cs="Arial"/>
                <w:color w:val="000000"/>
                <w:sz w:val="16"/>
                <w:szCs w:val="16"/>
              </w:rPr>
            </w:pPr>
          </w:p>
        </w:tc>
      </w:tr>
      <w:tr w:rsidR="007708F3" w:rsidRPr="005C1453" w14:paraId="776BA701" w14:textId="77777777" w:rsidTr="005E1D37">
        <w:trPr>
          <w:trHeight w:val="19"/>
        </w:trPr>
        <w:tc>
          <w:tcPr>
            <w:tcW w:w="1975"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661E9369"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Balance of effects</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E0A0D9E"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Favors the comparison</w:t>
            </w:r>
          </w:p>
        </w:tc>
        <w:tc>
          <w:tcPr>
            <w:tcW w:w="198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2B94483"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favors the comparison</w:t>
            </w:r>
          </w:p>
        </w:tc>
        <w:tc>
          <w:tcPr>
            <w:tcW w:w="2127"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8860E76"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Does not favor either the intervention or the comparison</w:t>
            </w:r>
          </w:p>
        </w:tc>
        <w:tc>
          <w:tcPr>
            <w:tcW w:w="1842"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9E5998A"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favors the intervention</w:t>
            </w:r>
          </w:p>
        </w:tc>
        <w:tc>
          <w:tcPr>
            <w:tcW w:w="1276"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48400059"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Favors the intervention</w:t>
            </w:r>
          </w:p>
        </w:tc>
        <w:tc>
          <w:tcPr>
            <w:tcW w:w="709"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A5A3F88"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Varies</w:t>
            </w:r>
          </w:p>
        </w:tc>
        <w:tc>
          <w:tcPr>
            <w:tcW w:w="180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3441F25"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Don't know</w:t>
            </w:r>
          </w:p>
        </w:tc>
      </w:tr>
      <w:tr w:rsidR="007708F3" w:rsidRPr="005C1453" w14:paraId="4740F8B3" w14:textId="77777777" w:rsidTr="005E1D37">
        <w:trPr>
          <w:trHeight w:val="19"/>
        </w:trPr>
        <w:tc>
          <w:tcPr>
            <w:tcW w:w="1975"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77F2C606"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Resources required</w:t>
            </w: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7A3CD57"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Large costs</w:t>
            </w:r>
          </w:p>
        </w:tc>
        <w:tc>
          <w:tcPr>
            <w:tcW w:w="198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2095182"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Moderate costs</w:t>
            </w:r>
          </w:p>
        </w:tc>
        <w:tc>
          <w:tcPr>
            <w:tcW w:w="2127"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A88A5F7"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Negligible costs and savings</w:t>
            </w:r>
          </w:p>
        </w:tc>
        <w:tc>
          <w:tcPr>
            <w:tcW w:w="1842"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753E858"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Moderate savings</w:t>
            </w:r>
          </w:p>
        </w:tc>
        <w:tc>
          <w:tcPr>
            <w:tcW w:w="127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9055C38"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Large savings</w:t>
            </w:r>
          </w:p>
        </w:tc>
        <w:tc>
          <w:tcPr>
            <w:tcW w:w="709"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5DAFD1E5"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Varies</w:t>
            </w:r>
          </w:p>
        </w:tc>
        <w:tc>
          <w:tcPr>
            <w:tcW w:w="180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D141A47"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Don't know</w:t>
            </w:r>
          </w:p>
        </w:tc>
      </w:tr>
      <w:tr w:rsidR="007708F3" w:rsidRPr="005C1453" w14:paraId="11752C4E" w14:textId="77777777" w:rsidTr="005E1D37">
        <w:trPr>
          <w:trHeight w:val="19"/>
        </w:trPr>
        <w:tc>
          <w:tcPr>
            <w:tcW w:w="1975"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2291BBE1"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Certainty of evidence of required resources</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BE159D7"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Very low</w:t>
            </w:r>
          </w:p>
        </w:tc>
        <w:tc>
          <w:tcPr>
            <w:tcW w:w="198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F40624D"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Low</w:t>
            </w:r>
          </w:p>
        </w:tc>
        <w:tc>
          <w:tcPr>
            <w:tcW w:w="2127"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407EB9C"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Moderate</w:t>
            </w:r>
          </w:p>
        </w:tc>
        <w:tc>
          <w:tcPr>
            <w:tcW w:w="1842"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EE665A9"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High</w:t>
            </w:r>
          </w:p>
        </w:tc>
        <w:tc>
          <w:tcPr>
            <w:tcW w:w="12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7D6E1C2" w14:textId="77777777" w:rsidR="007708F3" w:rsidRPr="005C1453" w:rsidRDefault="007708F3" w:rsidP="001B2A1F">
            <w:pPr>
              <w:spacing w:line="276" w:lineRule="auto"/>
              <w:jc w:val="both"/>
              <w:rPr>
                <w:rFonts w:ascii="Arial" w:eastAsia="Calibri" w:hAnsi="Arial" w:cs="Arial"/>
                <w:color w:val="000000"/>
                <w:sz w:val="16"/>
                <w:szCs w:val="16"/>
              </w:rPr>
            </w:pPr>
          </w:p>
        </w:tc>
        <w:tc>
          <w:tcPr>
            <w:tcW w:w="709"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99F8F63" w14:textId="77777777" w:rsidR="007708F3" w:rsidRPr="005C1453" w:rsidRDefault="007708F3" w:rsidP="001B2A1F">
            <w:pPr>
              <w:spacing w:line="276" w:lineRule="auto"/>
              <w:jc w:val="both"/>
              <w:rPr>
                <w:rFonts w:ascii="Arial" w:eastAsia="Calibri" w:hAnsi="Arial" w:cs="Arial"/>
                <w:color w:val="000000"/>
                <w:sz w:val="16"/>
                <w:szCs w:val="16"/>
              </w:rPr>
            </w:pPr>
          </w:p>
        </w:tc>
        <w:tc>
          <w:tcPr>
            <w:tcW w:w="1804"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794CC6D7" w14:textId="70A3F296"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 xml:space="preserve">No </w:t>
            </w:r>
            <w:r w:rsidR="005E1D37" w:rsidRPr="005C1453">
              <w:rPr>
                <w:rFonts w:ascii="Arial" w:eastAsia="Calibri" w:hAnsi="Arial" w:cs="Arial"/>
                <w:color w:val="000000"/>
                <w:sz w:val="16"/>
                <w:szCs w:val="16"/>
              </w:rPr>
              <w:t xml:space="preserve">studies </w:t>
            </w:r>
            <w:r w:rsidRPr="005C1453">
              <w:rPr>
                <w:rFonts w:ascii="Arial" w:eastAsia="Calibri" w:hAnsi="Arial" w:cs="Arial"/>
                <w:color w:val="000000"/>
                <w:sz w:val="16"/>
                <w:szCs w:val="16"/>
              </w:rPr>
              <w:t xml:space="preserve">included </w:t>
            </w:r>
          </w:p>
        </w:tc>
      </w:tr>
      <w:tr w:rsidR="007708F3" w:rsidRPr="005C1453" w14:paraId="0B0F0D49" w14:textId="77777777" w:rsidTr="005E1D37">
        <w:trPr>
          <w:trHeight w:val="52"/>
        </w:trPr>
        <w:tc>
          <w:tcPr>
            <w:tcW w:w="1975"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57316C19"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Cost effectiveness</w:t>
            </w: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E0CEB07"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Favors the comparison</w:t>
            </w:r>
          </w:p>
        </w:tc>
        <w:tc>
          <w:tcPr>
            <w:tcW w:w="198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0A12D41"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favors the comparison</w:t>
            </w:r>
          </w:p>
        </w:tc>
        <w:tc>
          <w:tcPr>
            <w:tcW w:w="2127"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251FBEA"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Does not favor either the intervention or the comparison</w:t>
            </w:r>
          </w:p>
        </w:tc>
        <w:tc>
          <w:tcPr>
            <w:tcW w:w="1842"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4E3A3006"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favors the intervention</w:t>
            </w:r>
          </w:p>
        </w:tc>
        <w:tc>
          <w:tcPr>
            <w:tcW w:w="127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951454D"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Favors the intervention</w:t>
            </w:r>
          </w:p>
        </w:tc>
        <w:tc>
          <w:tcPr>
            <w:tcW w:w="709"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DDC5CC3"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Varies</w:t>
            </w:r>
          </w:p>
        </w:tc>
        <w:tc>
          <w:tcPr>
            <w:tcW w:w="180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9DF6ABF" w14:textId="553427BF"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 xml:space="preserve">No </w:t>
            </w:r>
            <w:r w:rsidR="005E1D37" w:rsidRPr="005C1453">
              <w:rPr>
                <w:rFonts w:ascii="Arial" w:eastAsia="Calibri" w:hAnsi="Arial" w:cs="Arial"/>
                <w:color w:val="000000"/>
                <w:sz w:val="16"/>
                <w:szCs w:val="16"/>
              </w:rPr>
              <w:t xml:space="preserve">studies </w:t>
            </w:r>
            <w:r w:rsidRPr="005C1453">
              <w:rPr>
                <w:rFonts w:ascii="Arial" w:eastAsia="Calibri" w:hAnsi="Arial" w:cs="Arial"/>
                <w:color w:val="000000"/>
                <w:sz w:val="16"/>
                <w:szCs w:val="16"/>
              </w:rPr>
              <w:t xml:space="preserve">included </w:t>
            </w:r>
          </w:p>
        </w:tc>
      </w:tr>
      <w:tr w:rsidR="007708F3" w:rsidRPr="005C1453" w14:paraId="24EEF14B" w14:textId="77777777" w:rsidTr="005E1D37">
        <w:trPr>
          <w:trHeight w:val="19"/>
        </w:trPr>
        <w:tc>
          <w:tcPr>
            <w:tcW w:w="1975"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5B7D7293"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Equity</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6A14F0F"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Reduced</w:t>
            </w:r>
          </w:p>
        </w:tc>
        <w:tc>
          <w:tcPr>
            <w:tcW w:w="198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562F49A"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reduced</w:t>
            </w:r>
          </w:p>
        </w:tc>
        <w:tc>
          <w:tcPr>
            <w:tcW w:w="2127"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04E7F0D"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no impact</w:t>
            </w:r>
          </w:p>
        </w:tc>
        <w:tc>
          <w:tcPr>
            <w:tcW w:w="1842"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E6CFE06"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increased</w:t>
            </w:r>
          </w:p>
        </w:tc>
        <w:tc>
          <w:tcPr>
            <w:tcW w:w="12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65A0005"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Increased</w:t>
            </w:r>
          </w:p>
        </w:tc>
        <w:tc>
          <w:tcPr>
            <w:tcW w:w="709"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5BFC9D5"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Varies</w:t>
            </w:r>
          </w:p>
        </w:tc>
        <w:tc>
          <w:tcPr>
            <w:tcW w:w="1804"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59AEE0B2"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Don't know</w:t>
            </w:r>
          </w:p>
        </w:tc>
      </w:tr>
      <w:tr w:rsidR="007708F3" w:rsidRPr="005C1453" w14:paraId="37A43E47" w14:textId="77777777" w:rsidTr="005E1D37">
        <w:trPr>
          <w:trHeight w:val="19"/>
        </w:trPr>
        <w:tc>
          <w:tcPr>
            <w:tcW w:w="1975"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7DABA1E9"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Acceptability</w:t>
            </w: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C6F556A"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No</w:t>
            </w:r>
          </w:p>
        </w:tc>
        <w:tc>
          <w:tcPr>
            <w:tcW w:w="198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62CA165"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no</w:t>
            </w:r>
          </w:p>
        </w:tc>
        <w:tc>
          <w:tcPr>
            <w:tcW w:w="2127"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49386A05"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yes</w:t>
            </w:r>
          </w:p>
        </w:tc>
        <w:tc>
          <w:tcPr>
            <w:tcW w:w="1842"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44822DA"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Yes</w:t>
            </w:r>
          </w:p>
        </w:tc>
        <w:tc>
          <w:tcPr>
            <w:tcW w:w="127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E6DC14A" w14:textId="77777777" w:rsidR="007708F3" w:rsidRPr="005C1453" w:rsidRDefault="007708F3" w:rsidP="001B2A1F">
            <w:pPr>
              <w:spacing w:line="276" w:lineRule="auto"/>
              <w:jc w:val="both"/>
              <w:rPr>
                <w:rFonts w:ascii="Arial" w:eastAsia="Calibri" w:hAnsi="Arial" w:cs="Arial"/>
                <w:color w:val="000000"/>
                <w:sz w:val="16"/>
                <w:szCs w:val="16"/>
              </w:rPr>
            </w:pPr>
          </w:p>
        </w:tc>
        <w:tc>
          <w:tcPr>
            <w:tcW w:w="709"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39D0149"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Varies</w:t>
            </w:r>
          </w:p>
        </w:tc>
        <w:tc>
          <w:tcPr>
            <w:tcW w:w="180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9471958"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Don't know</w:t>
            </w:r>
          </w:p>
        </w:tc>
      </w:tr>
      <w:tr w:rsidR="007708F3" w:rsidRPr="005C1453" w14:paraId="3DA9A539" w14:textId="77777777" w:rsidTr="005E1D37">
        <w:trPr>
          <w:trHeight w:val="19"/>
        </w:trPr>
        <w:tc>
          <w:tcPr>
            <w:tcW w:w="1975" w:type="dxa"/>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32F606A1"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Feasibility</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3692A5A"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No</w:t>
            </w:r>
          </w:p>
        </w:tc>
        <w:tc>
          <w:tcPr>
            <w:tcW w:w="198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48A8CB3"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no</w:t>
            </w:r>
          </w:p>
        </w:tc>
        <w:tc>
          <w:tcPr>
            <w:tcW w:w="2127"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224465E1"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yes</w:t>
            </w:r>
          </w:p>
        </w:tc>
        <w:tc>
          <w:tcPr>
            <w:tcW w:w="1842"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5051AB7"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Yes</w:t>
            </w:r>
          </w:p>
        </w:tc>
        <w:tc>
          <w:tcPr>
            <w:tcW w:w="12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FDEBE3E" w14:textId="77777777" w:rsidR="007708F3" w:rsidRPr="005C1453" w:rsidRDefault="007708F3" w:rsidP="001B2A1F">
            <w:pPr>
              <w:spacing w:line="276" w:lineRule="auto"/>
              <w:jc w:val="both"/>
              <w:rPr>
                <w:rFonts w:ascii="Arial" w:eastAsia="Calibri" w:hAnsi="Arial" w:cs="Arial"/>
                <w:color w:val="000000"/>
                <w:sz w:val="16"/>
                <w:szCs w:val="16"/>
              </w:rPr>
            </w:pPr>
          </w:p>
        </w:tc>
        <w:tc>
          <w:tcPr>
            <w:tcW w:w="709"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F35093F"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Varies</w:t>
            </w:r>
          </w:p>
        </w:tc>
        <w:tc>
          <w:tcPr>
            <w:tcW w:w="180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0B07C9E" w14:textId="77777777" w:rsidR="007708F3" w:rsidRPr="005C1453" w:rsidRDefault="007708F3" w:rsidP="001B2A1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Don't know</w:t>
            </w:r>
          </w:p>
        </w:tc>
      </w:tr>
    </w:tbl>
    <w:p w14:paraId="30343DDF" w14:textId="7E2E933D" w:rsidR="007708F3" w:rsidRDefault="007708F3" w:rsidP="007708F3">
      <w:pPr>
        <w:pStyle w:val="ListParagraph"/>
        <w:jc w:val="both"/>
        <w:rPr>
          <w:rFonts w:ascii="Arial" w:hAnsi="Arial" w:cs="Arial"/>
          <w:color w:val="000000"/>
          <w:sz w:val="16"/>
          <w:szCs w:val="16"/>
        </w:rPr>
      </w:pPr>
    </w:p>
    <w:p w14:paraId="5BD39481" w14:textId="5EF4F0C1" w:rsidR="007708F3" w:rsidRDefault="007708F3" w:rsidP="007708F3">
      <w:pPr>
        <w:pStyle w:val="ListParagraph"/>
        <w:jc w:val="both"/>
        <w:rPr>
          <w:rFonts w:ascii="Arial" w:hAnsi="Arial" w:cs="Arial"/>
          <w:color w:val="000000"/>
          <w:sz w:val="16"/>
          <w:szCs w:val="16"/>
        </w:rPr>
      </w:pPr>
    </w:p>
    <w:p w14:paraId="207B3F0C" w14:textId="41F391E3" w:rsidR="007708F3" w:rsidRPr="004C505F" w:rsidRDefault="007708F3" w:rsidP="007708F3">
      <w:pPr>
        <w:rPr>
          <w:b/>
          <w:sz w:val="20"/>
          <w:szCs w:val="20"/>
        </w:rPr>
      </w:pPr>
      <w:r w:rsidRPr="004C505F">
        <w:rPr>
          <w:b/>
          <w:sz w:val="20"/>
          <w:szCs w:val="20"/>
        </w:rPr>
        <w:t>Table S</w:t>
      </w:r>
      <w:r w:rsidR="004C505F" w:rsidRPr="004C505F">
        <w:rPr>
          <w:b/>
          <w:sz w:val="20"/>
          <w:szCs w:val="20"/>
        </w:rPr>
        <w:t>45</w:t>
      </w:r>
      <w:r w:rsidRPr="004C505F">
        <w:rPr>
          <w:b/>
          <w:sz w:val="20"/>
          <w:szCs w:val="20"/>
        </w:rPr>
        <w:t>- Evidence to decision table supporting recommendations for omalizumab for severe allergic asthma in adults and adolescents (12-17 years old) (asthma control, QoL, ICS use, rescue use)</w:t>
      </w:r>
    </w:p>
    <w:tbl>
      <w:tblPr>
        <w:tblW w:w="0" w:type="auto"/>
        <w:tblCellMar>
          <w:left w:w="0" w:type="dxa"/>
          <w:right w:w="0" w:type="dxa"/>
        </w:tblCellMar>
        <w:tblLook w:val="04A0" w:firstRow="1" w:lastRow="0" w:firstColumn="1" w:lastColumn="0" w:noHBand="0" w:noVBand="1"/>
      </w:tblPr>
      <w:tblGrid>
        <w:gridCol w:w="2156"/>
        <w:gridCol w:w="1658"/>
        <w:gridCol w:w="1931"/>
        <w:gridCol w:w="1900"/>
        <w:gridCol w:w="2178"/>
        <w:gridCol w:w="976"/>
        <w:gridCol w:w="673"/>
        <w:gridCol w:w="1946"/>
      </w:tblGrid>
      <w:tr w:rsidR="007708F3" w:rsidRPr="005C1453" w14:paraId="669873F7" w14:textId="77777777" w:rsidTr="004C505F">
        <w:trPr>
          <w:trHeight w:val="19"/>
        </w:trPr>
        <w:tc>
          <w:tcPr>
            <w:tcW w:w="0" w:type="auto"/>
            <w:tcBorders>
              <w:top w:val="single" w:sz="8" w:space="0" w:color="FFFFFF"/>
              <w:left w:val="single" w:sz="8" w:space="0" w:color="FFFFFF"/>
              <w:bottom w:val="single" w:sz="24" w:space="0" w:color="FFFFFF"/>
              <w:right w:val="single" w:sz="8" w:space="0" w:color="FFFFFF"/>
            </w:tcBorders>
            <w:shd w:val="clear" w:color="auto" w:fill="5B9BD5"/>
            <w:tcMar>
              <w:top w:w="74" w:type="dxa"/>
              <w:left w:w="74" w:type="dxa"/>
              <w:bottom w:w="74" w:type="dxa"/>
              <w:right w:w="74" w:type="dxa"/>
            </w:tcMar>
            <w:vAlign w:val="center"/>
            <w:hideMark/>
          </w:tcPr>
          <w:p w14:paraId="332E73EB" w14:textId="77777777" w:rsidR="007708F3" w:rsidRPr="005C1453" w:rsidRDefault="007708F3" w:rsidP="004C505F">
            <w:pPr>
              <w:spacing w:line="276" w:lineRule="auto"/>
              <w:jc w:val="both"/>
              <w:rPr>
                <w:rFonts w:ascii="Arial" w:eastAsia="Calibri" w:hAnsi="Arial" w:cs="Arial"/>
                <w:color w:val="000000"/>
                <w:sz w:val="16"/>
                <w:szCs w:val="16"/>
              </w:rPr>
            </w:pPr>
          </w:p>
        </w:tc>
        <w:tc>
          <w:tcPr>
            <w:tcW w:w="0" w:type="auto"/>
            <w:gridSpan w:val="7"/>
            <w:tcBorders>
              <w:top w:val="single" w:sz="8" w:space="0" w:color="FFFFFF"/>
              <w:left w:val="single" w:sz="8" w:space="0" w:color="FFFFFF"/>
              <w:bottom w:val="single" w:sz="24" w:space="0" w:color="FFFFFF"/>
              <w:right w:val="single" w:sz="8" w:space="0" w:color="FFFFFF"/>
            </w:tcBorders>
            <w:shd w:val="clear" w:color="auto" w:fill="5B9BD5"/>
            <w:tcMar>
              <w:top w:w="74" w:type="dxa"/>
              <w:left w:w="74" w:type="dxa"/>
              <w:bottom w:w="74" w:type="dxa"/>
              <w:right w:w="74" w:type="dxa"/>
            </w:tcMar>
            <w:vAlign w:val="center"/>
            <w:hideMark/>
          </w:tcPr>
          <w:p w14:paraId="1821DFEE"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Judgement</w:t>
            </w:r>
          </w:p>
        </w:tc>
      </w:tr>
      <w:tr w:rsidR="007708F3" w:rsidRPr="005C1453" w14:paraId="6797074D" w14:textId="77777777" w:rsidTr="004C505F">
        <w:trPr>
          <w:trHeight w:val="19"/>
        </w:trPr>
        <w:tc>
          <w:tcPr>
            <w:tcW w:w="0" w:type="auto"/>
            <w:tcBorders>
              <w:top w:val="single" w:sz="24"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01A5C804"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Problem (importance)</w:t>
            </w:r>
          </w:p>
        </w:tc>
        <w:tc>
          <w:tcPr>
            <w:tcW w:w="0" w:type="auto"/>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FF6E98A"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No</w:t>
            </w:r>
          </w:p>
        </w:tc>
        <w:tc>
          <w:tcPr>
            <w:tcW w:w="0" w:type="auto"/>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E6A33CA"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no</w:t>
            </w:r>
          </w:p>
        </w:tc>
        <w:tc>
          <w:tcPr>
            <w:tcW w:w="1900"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B51BDD3"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yes</w:t>
            </w:r>
          </w:p>
        </w:tc>
        <w:tc>
          <w:tcPr>
            <w:tcW w:w="2178" w:type="dxa"/>
            <w:tcBorders>
              <w:top w:val="single" w:sz="24"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69EC21A4"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Yes</w:t>
            </w:r>
          </w:p>
        </w:tc>
        <w:tc>
          <w:tcPr>
            <w:tcW w:w="976"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2D37030" w14:textId="77777777" w:rsidR="007708F3" w:rsidRPr="005C1453" w:rsidRDefault="007708F3" w:rsidP="004C505F">
            <w:pPr>
              <w:spacing w:line="276" w:lineRule="auto"/>
              <w:jc w:val="both"/>
              <w:rPr>
                <w:rFonts w:ascii="Arial" w:eastAsia="Calibri" w:hAnsi="Arial" w:cs="Arial"/>
                <w:color w:val="000000"/>
                <w:sz w:val="16"/>
                <w:szCs w:val="16"/>
              </w:rPr>
            </w:pPr>
          </w:p>
        </w:tc>
        <w:tc>
          <w:tcPr>
            <w:tcW w:w="673"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483B296"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Varies</w:t>
            </w:r>
          </w:p>
        </w:tc>
        <w:tc>
          <w:tcPr>
            <w:tcW w:w="1946"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B66F377"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Don't know</w:t>
            </w:r>
          </w:p>
        </w:tc>
      </w:tr>
      <w:tr w:rsidR="007708F3" w:rsidRPr="005C1453" w14:paraId="570EA67A" w14:textId="77777777" w:rsidTr="004C505F">
        <w:trPr>
          <w:trHeight w:val="1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2800048B"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Desirable Effects</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3BB0DBB"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Trivial</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A0A927A"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Small</w:t>
            </w:r>
          </w:p>
        </w:tc>
        <w:tc>
          <w:tcPr>
            <w:tcW w:w="1900"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2A24077"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Moderate</w:t>
            </w:r>
          </w:p>
        </w:tc>
        <w:tc>
          <w:tcPr>
            <w:tcW w:w="2178"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058FEF86"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Large</w:t>
            </w:r>
          </w:p>
        </w:tc>
        <w:tc>
          <w:tcPr>
            <w:tcW w:w="9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DE4966E" w14:textId="77777777" w:rsidR="007708F3" w:rsidRPr="005C1453" w:rsidRDefault="007708F3" w:rsidP="004C505F">
            <w:pPr>
              <w:spacing w:line="276" w:lineRule="auto"/>
              <w:jc w:val="both"/>
              <w:rPr>
                <w:rFonts w:ascii="Arial" w:eastAsia="Calibri" w:hAnsi="Arial" w:cs="Arial"/>
                <w:color w:val="000000"/>
                <w:sz w:val="16"/>
                <w:szCs w:val="16"/>
              </w:rPr>
            </w:pPr>
          </w:p>
        </w:tc>
        <w:tc>
          <w:tcPr>
            <w:tcW w:w="673"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56C075A"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Varies</w:t>
            </w:r>
          </w:p>
        </w:tc>
        <w:tc>
          <w:tcPr>
            <w:tcW w:w="194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C62D83E"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Don't know</w:t>
            </w:r>
          </w:p>
        </w:tc>
      </w:tr>
      <w:tr w:rsidR="007708F3" w:rsidRPr="005C1453" w14:paraId="06016902" w14:textId="77777777" w:rsidTr="004C505F">
        <w:trPr>
          <w:trHeight w:val="1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68157BFF"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Undesirable Effects</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B42D223"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Large</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D843CCA"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Moderate</w:t>
            </w:r>
          </w:p>
        </w:tc>
        <w:tc>
          <w:tcPr>
            <w:tcW w:w="1900"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051CF471"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Small</w:t>
            </w:r>
          </w:p>
        </w:tc>
        <w:tc>
          <w:tcPr>
            <w:tcW w:w="2178"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2DA4B9F"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Trivial</w:t>
            </w:r>
          </w:p>
        </w:tc>
        <w:tc>
          <w:tcPr>
            <w:tcW w:w="97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B93F1EC" w14:textId="77777777" w:rsidR="007708F3" w:rsidRPr="005C1453" w:rsidRDefault="007708F3" w:rsidP="004C505F">
            <w:pPr>
              <w:spacing w:line="276" w:lineRule="auto"/>
              <w:jc w:val="both"/>
              <w:rPr>
                <w:rFonts w:ascii="Arial" w:eastAsia="Calibri" w:hAnsi="Arial" w:cs="Arial"/>
                <w:color w:val="000000"/>
                <w:sz w:val="16"/>
                <w:szCs w:val="16"/>
              </w:rPr>
            </w:pPr>
          </w:p>
        </w:tc>
        <w:tc>
          <w:tcPr>
            <w:tcW w:w="673"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5B4B870"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Varies</w:t>
            </w:r>
          </w:p>
        </w:tc>
        <w:tc>
          <w:tcPr>
            <w:tcW w:w="194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1146207"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Don't know</w:t>
            </w:r>
          </w:p>
        </w:tc>
      </w:tr>
      <w:tr w:rsidR="007708F3" w:rsidRPr="005C1453" w14:paraId="7C0FB432" w14:textId="77777777" w:rsidTr="004C505F">
        <w:trPr>
          <w:trHeight w:val="1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7F26299F"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Certainty of evidence</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617B16D"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Very low</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5FE9C83"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Low</w:t>
            </w:r>
          </w:p>
        </w:tc>
        <w:tc>
          <w:tcPr>
            <w:tcW w:w="1900"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3C6EF16"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Moderate</w:t>
            </w:r>
          </w:p>
        </w:tc>
        <w:tc>
          <w:tcPr>
            <w:tcW w:w="2178"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51CED9E3"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High</w:t>
            </w:r>
          </w:p>
        </w:tc>
        <w:tc>
          <w:tcPr>
            <w:tcW w:w="9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789AA77" w14:textId="77777777" w:rsidR="007708F3" w:rsidRPr="005C1453" w:rsidRDefault="007708F3" w:rsidP="004C505F">
            <w:pPr>
              <w:spacing w:line="276" w:lineRule="auto"/>
              <w:jc w:val="both"/>
              <w:rPr>
                <w:rFonts w:ascii="Arial" w:eastAsia="Calibri" w:hAnsi="Arial" w:cs="Arial"/>
                <w:color w:val="000000"/>
                <w:sz w:val="16"/>
                <w:szCs w:val="16"/>
              </w:rPr>
            </w:pPr>
          </w:p>
        </w:tc>
        <w:tc>
          <w:tcPr>
            <w:tcW w:w="673"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75D5845" w14:textId="77777777" w:rsidR="007708F3" w:rsidRPr="005C1453" w:rsidRDefault="007708F3" w:rsidP="004C505F">
            <w:pPr>
              <w:spacing w:line="276" w:lineRule="auto"/>
              <w:jc w:val="both"/>
              <w:rPr>
                <w:rFonts w:ascii="Arial" w:eastAsia="Calibri" w:hAnsi="Arial" w:cs="Arial"/>
                <w:color w:val="000000"/>
                <w:sz w:val="16"/>
                <w:szCs w:val="16"/>
              </w:rPr>
            </w:pPr>
          </w:p>
        </w:tc>
        <w:tc>
          <w:tcPr>
            <w:tcW w:w="194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3101C04" w14:textId="47DFCBE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 xml:space="preserve">No </w:t>
            </w:r>
            <w:r w:rsidR="004C505F" w:rsidRPr="005C1453">
              <w:rPr>
                <w:rFonts w:ascii="Arial" w:eastAsia="Calibri" w:hAnsi="Arial" w:cs="Arial"/>
                <w:color w:val="000000"/>
                <w:sz w:val="16"/>
                <w:szCs w:val="16"/>
              </w:rPr>
              <w:t xml:space="preserve">studies </w:t>
            </w:r>
            <w:r w:rsidRPr="005C1453">
              <w:rPr>
                <w:rFonts w:ascii="Arial" w:eastAsia="Calibri" w:hAnsi="Arial" w:cs="Arial"/>
                <w:color w:val="000000"/>
                <w:sz w:val="16"/>
                <w:szCs w:val="16"/>
              </w:rPr>
              <w:t xml:space="preserve">included </w:t>
            </w:r>
          </w:p>
        </w:tc>
      </w:tr>
      <w:tr w:rsidR="007708F3" w:rsidRPr="005C1453" w14:paraId="2218E0A4" w14:textId="77777777" w:rsidTr="004C505F">
        <w:trPr>
          <w:trHeight w:val="1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0180CDD7"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Values</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5656555"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Important uncertainty or variability</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DED3882"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Possibly important uncertainty or variability</w:t>
            </w:r>
          </w:p>
        </w:tc>
        <w:tc>
          <w:tcPr>
            <w:tcW w:w="1900"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09DB53B"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no important uncertainty or variability</w:t>
            </w:r>
          </w:p>
        </w:tc>
        <w:tc>
          <w:tcPr>
            <w:tcW w:w="2178"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6D3E88C0"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no important uncertainty or variability</w:t>
            </w:r>
          </w:p>
        </w:tc>
        <w:tc>
          <w:tcPr>
            <w:tcW w:w="97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3111262" w14:textId="77777777" w:rsidR="007708F3" w:rsidRPr="005C1453" w:rsidRDefault="007708F3" w:rsidP="004C505F">
            <w:pPr>
              <w:spacing w:line="276" w:lineRule="auto"/>
              <w:jc w:val="both"/>
              <w:rPr>
                <w:rFonts w:ascii="Arial" w:eastAsia="Calibri" w:hAnsi="Arial" w:cs="Arial"/>
                <w:color w:val="000000"/>
                <w:sz w:val="16"/>
                <w:szCs w:val="16"/>
              </w:rPr>
            </w:pPr>
          </w:p>
        </w:tc>
        <w:tc>
          <w:tcPr>
            <w:tcW w:w="673"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0FAEAFC" w14:textId="77777777" w:rsidR="007708F3" w:rsidRPr="005C1453" w:rsidRDefault="007708F3" w:rsidP="004C505F">
            <w:pPr>
              <w:spacing w:line="276" w:lineRule="auto"/>
              <w:jc w:val="both"/>
              <w:rPr>
                <w:rFonts w:ascii="Arial" w:eastAsia="Calibri" w:hAnsi="Arial" w:cs="Arial"/>
                <w:color w:val="000000"/>
                <w:sz w:val="16"/>
                <w:szCs w:val="16"/>
              </w:rPr>
            </w:pPr>
          </w:p>
        </w:tc>
        <w:tc>
          <w:tcPr>
            <w:tcW w:w="194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5156D90" w14:textId="77777777" w:rsidR="007708F3" w:rsidRPr="005C1453" w:rsidRDefault="007708F3" w:rsidP="004C505F">
            <w:pPr>
              <w:spacing w:line="276" w:lineRule="auto"/>
              <w:jc w:val="both"/>
              <w:rPr>
                <w:rFonts w:ascii="Arial" w:eastAsia="Calibri" w:hAnsi="Arial" w:cs="Arial"/>
                <w:color w:val="000000"/>
                <w:sz w:val="16"/>
                <w:szCs w:val="16"/>
              </w:rPr>
            </w:pPr>
          </w:p>
        </w:tc>
      </w:tr>
      <w:tr w:rsidR="007708F3" w:rsidRPr="005C1453" w14:paraId="0C32855D" w14:textId="77777777" w:rsidTr="004C505F">
        <w:trPr>
          <w:trHeight w:val="27"/>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2F6EB751"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Balance of effects</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57B59B2"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Favors the comparison</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82CCF24"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favors the comparison</w:t>
            </w:r>
          </w:p>
        </w:tc>
        <w:tc>
          <w:tcPr>
            <w:tcW w:w="1900"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A136ADF"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Does not favor either the intervention or the comparison</w:t>
            </w:r>
          </w:p>
        </w:tc>
        <w:tc>
          <w:tcPr>
            <w:tcW w:w="2178"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35F7E233"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favors the intervention</w:t>
            </w:r>
          </w:p>
        </w:tc>
        <w:tc>
          <w:tcPr>
            <w:tcW w:w="9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4" w:type="dxa"/>
              <w:left w:w="74" w:type="dxa"/>
              <w:bottom w:w="74" w:type="dxa"/>
              <w:right w:w="74" w:type="dxa"/>
            </w:tcMar>
            <w:vAlign w:val="center"/>
            <w:hideMark/>
          </w:tcPr>
          <w:p w14:paraId="01AD9BAB"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Favors the intervention</w:t>
            </w:r>
          </w:p>
        </w:tc>
        <w:tc>
          <w:tcPr>
            <w:tcW w:w="673"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C399A20"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Varies</w:t>
            </w:r>
          </w:p>
        </w:tc>
        <w:tc>
          <w:tcPr>
            <w:tcW w:w="194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8DAC7DF"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Don't know</w:t>
            </w:r>
          </w:p>
        </w:tc>
      </w:tr>
      <w:tr w:rsidR="007708F3" w:rsidRPr="005C1453" w14:paraId="27E22F91" w14:textId="77777777" w:rsidTr="004C505F">
        <w:trPr>
          <w:trHeight w:val="1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093301FA"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Resources required</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4DF8859"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Large costs</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E7E7E79"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Moderate costs</w:t>
            </w:r>
          </w:p>
        </w:tc>
        <w:tc>
          <w:tcPr>
            <w:tcW w:w="1900"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5C6AE04"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Negligible costs and savings</w:t>
            </w:r>
          </w:p>
        </w:tc>
        <w:tc>
          <w:tcPr>
            <w:tcW w:w="2178"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20EA2EC"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Moderate savings</w:t>
            </w:r>
          </w:p>
        </w:tc>
        <w:tc>
          <w:tcPr>
            <w:tcW w:w="97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68D1EEA"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Large savings</w:t>
            </w:r>
          </w:p>
        </w:tc>
        <w:tc>
          <w:tcPr>
            <w:tcW w:w="673"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3EE7AF0E"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Varies</w:t>
            </w:r>
          </w:p>
        </w:tc>
        <w:tc>
          <w:tcPr>
            <w:tcW w:w="194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93380D4"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Don't know</w:t>
            </w:r>
          </w:p>
        </w:tc>
      </w:tr>
      <w:tr w:rsidR="007708F3" w:rsidRPr="005C1453" w14:paraId="17A9184C" w14:textId="77777777" w:rsidTr="004C505F">
        <w:trPr>
          <w:trHeight w:val="1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2B478C64"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Certainty of evidence of required resources</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2E1B370"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Very low</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7ADCB18"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Low</w:t>
            </w:r>
          </w:p>
        </w:tc>
        <w:tc>
          <w:tcPr>
            <w:tcW w:w="1900"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15537DA"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Moderate</w:t>
            </w:r>
          </w:p>
        </w:tc>
        <w:tc>
          <w:tcPr>
            <w:tcW w:w="2178"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D4C81C1"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High</w:t>
            </w:r>
          </w:p>
        </w:tc>
        <w:tc>
          <w:tcPr>
            <w:tcW w:w="9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B1AC7F7" w14:textId="77777777" w:rsidR="007708F3" w:rsidRPr="005C1453" w:rsidRDefault="007708F3" w:rsidP="004C505F">
            <w:pPr>
              <w:spacing w:line="276" w:lineRule="auto"/>
              <w:jc w:val="both"/>
              <w:rPr>
                <w:rFonts w:ascii="Arial" w:eastAsia="Calibri" w:hAnsi="Arial" w:cs="Arial"/>
                <w:color w:val="000000"/>
                <w:sz w:val="16"/>
                <w:szCs w:val="16"/>
              </w:rPr>
            </w:pPr>
          </w:p>
        </w:tc>
        <w:tc>
          <w:tcPr>
            <w:tcW w:w="673"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D763C80" w14:textId="77777777" w:rsidR="007708F3" w:rsidRPr="005C1453" w:rsidRDefault="007708F3" w:rsidP="004C505F">
            <w:pPr>
              <w:spacing w:line="276" w:lineRule="auto"/>
              <w:jc w:val="both"/>
              <w:rPr>
                <w:rFonts w:ascii="Arial" w:eastAsia="Calibri" w:hAnsi="Arial" w:cs="Arial"/>
                <w:color w:val="000000"/>
                <w:sz w:val="16"/>
                <w:szCs w:val="16"/>
              </w:rPr>
            </w:pPr>
          </w:p>
        </w:tc>
        <w:tc>
          <w:tcPr>
            <w:tcW w:w="1946"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4BFBD862" w14:textId="694D5641"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 xml:space="preserve">No </w:t>
            </w:r>
            <w:r w:rsidR="004C505F" w:rsidRPr="005C1453">
              <w:rPr>
                <w:rFonts w:ascii="Arial" w:eastAsia="Calibri" w:hAnsi="Arial" w:cs="Arial"/>
                <w:color w:val="000000"/>
                <w:sz w:val="16"/>
                <w:szCs w:val="16"/>
              </w:rPr>
              <w:t xml:space="preserve">studies </w:t>
            </w:r>
            <w:r w:rsidRPr="005C1453">
              <w:rPr>
                <w:rFonts w:ascii="Arial" w:eastAsia="Calibri" w:hAnsi="Arial" w:cs="Arial"/>
                <w:color w:val="000000"/>
                <w:sz w:val="16"/>
                <w:szCs w:val="16"/>
              </w:rPr>
              <w:t xml:space="preserve">included </w:t>
            </w:r>
          </w:p>
        </w:tc>
      </w:tr>
      <w:tr w:rsidR="007708F3" w:rsidRPr="005C1453" w14:paraId="1AF8BDDB" w14:textId="77777777" w:rsidTr="004C505F">
        <w:trPr>
          <w:trHeight w:val="1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4D15D647"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Cost effectiveness</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9CA443F"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Favors the comparison</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FA918A7"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favors the comparison</w:t>
            </w:r>
          </w:p>
        </w:tc>
        <w:tc>
          <w:tcPr>
            <w:tcW w:w="1900"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5238A7F"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Does not favor either the intervention or the comparison</w:t>
            </w:r>
          </w:p>
        </w:tc>
        <w:tc>
          <w:tcPr>
            <w:tcW w:w="2178"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4F84FD15"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favors the intervention</w:t>
            </w:r>
          </w:p>
        </w:tc>
        <w:tc>
          <w:tcPr>
            <w:tcW w:w="97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BEDEB64"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Favors the intervention</w:t>
            </w:r>
          </w:p>
        </w:tc>
        <w:tc>
          <w:tcPr>
            <w:tcW w:w="673"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16C3039"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Varies</w:t>
            </w:r>
          </w:p>
        </w:tc>
        <w:tc>
          <w:tcPr>
            <w:tcW w:w="194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E82CCD5" w14:textId="13496A41"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 xml:space="preserve">No </w:t>
            </w:r>
            <w:r w:rsidR="004C505F" w:rsidRPr="005C1453">
              <w:rPr>
                <w:rFonts w:ascii="Arial" w:eastAsia="Calibri" w:hAnsi="Arial" w:cs="Arial"/>
                <w:color w:val="000000"/>
                <w:sz w:val="16"/>
                <w:szCs w:val="16"/>
              </w:rPr>
              <w:t xml:space="preserve">studies </w:t>
            </w:r>
            <w:r w:rsidRPr="005C1453">
              <w:rPr>
                <w:rFonts w:ascii="Arial" w:eastAsia="Calibri" w:hAnsi="Arial" w:cs="Arial"/>
                <w:color w:val="000000"/>
                <w:sz w:val="16"/>
                <w:szCs w:val="16"/>
              </w:rPr>
              <w:t xml:space="preserve">included </w:t>
            </w:r>
          </w:p>
        </w:tc>
      </w:tr>
      <w:tr w:rsidR="007708F3" w:rsidRPr="005C1453" w14:paraId="182563FF" w14:textId="77777777" w:rsidTr="004C505F">
        <w:trPr>
          <w:trHeight w:val="1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5398300E"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Equity</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0787D74"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Reduced</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97181FC"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reduced</w:t>
            </w:r>
          </w:p>
        </w:tc>
        <w:tc>
          <w:tcPr>
            <w:tcW w:w="1900"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2949F41"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no impact</w:t>
            </w:r>
          </w:p>
        </w:tc>
        <w:tc>
          <w:tcPr>
            <w:tcW w:w="2178"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AAE3A15"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increased</w:t>
            </w:r>
          </w:p>
        </w:tc>
        <w:tc>
          <w:tcPr>
            <w:tcW w:w="9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8F71DAF"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Increased</w:t>
            </w:r>
          </w:p>
        </w:tc>
        <w:tc>
          <w:tcPr>
            <w:tcW w:w="673"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B3A852F"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Varies</w:t>
            </w:r>
          </w:p>
        </w:tc>
        <w:tc>
          <w:tcPr>
            <w:tcW w:w="1946"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0F144846"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Don't know</w:t>
            </w:r>
          </w:p>
        </w:tc>
      </w:tr>
      <w:tr w:rsidR="007708F3" w:rsidRPr="005C1453" w14:paraId="4BA9B761" w14:textId="77777777" w:rsidTr="004C505F">
        <w:trPr>
          <w:trHeight w:val="1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6D79FACF"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Acceptability</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B97DAD8"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No</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BB39638"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no</w:t>
            </w:r>
          </w:p>
        </w:tc>
        <w:tc>
          <w:tcPr>
            <w:tcW w:w="1900"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03969EAA"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yes</w:t>
            </w:r>
          </w:p>
        </w:tc>
        <w:tc>
          <w:tcPr>
            <w:tcW w:w="2178"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4519BB3"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Yes</w:t>
            </w:r>
          </w:p>
        </w:tc>
        <w:tc>
          <w:tcPr>
            <w:tcW w:w="97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9CF07DC" w14:textId="77777777" w:rsidR="007708F3" w:rsidRPr="005C1453" w:rsidRDefault="007708F3" w:rsidP="004C505F">
            <w:pPr>
              <w:spacing w:line="276" w:lineRule="auto"/>
              <w:jc w:val="both"/>
              <w:rPr>
                <w:rFonts w:ascii="Arial" w:eastAsia="Calibri" w:hAnsi="Arial" w:cs="Arial"/>
                <w:color w:val="000000"/>
                <w:sz w:val="16"/>
                <w:szCs w:val="16"/>
              </w:rPr>
            </w:pPr>
          </w:p>
        </w:tc>
        <w:tc>
          <w:tcPr>
            <w:tcW w:w="673"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66D30A0"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Varies</w:t>
            </w:r>
          </w:p>
        </w:tc>
        <w:tc>
          <w:tcPr>
            <w:tcW w:w="194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5EF62B0"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Don't know</w:t>
            </w:r>
          </w:p>
        </w:tc>
      </w:tr>
      <w:tr w:rsidR="007708F3" w:rsidRPr="005C1453" w14:paraId="20803C9C" w14:textId="77777777" w:rsidTr="004C505F">
        <w:trPr>
          <w:trHeight w:val="1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48ECDBFB"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Feasibility</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1BFFA8F"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No</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CFC19A3"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no</w:t>
            </w:r>
          </w:p>
        </w:tc>
        <w:tc>
          <w:tcPr>
            <w:tcW w:w="1900"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6E706C50"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yes</w:t>
            </w:r>
          </w:p>
        </w:tc>
        <w:tc>
          <w:tcPr>
            <w:tcW w:w="2178"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9F81AB1"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Yes</w:t>
            </w:r>
          </w:p>
        </w:tc>
        <w:tc>
          <w:tcPr>
            <w:tcW w:w="9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E24EC36" w14:textId="77777777" w:rsidR="007708F3" w:rsidRPr="005C1453" w:rsidRDefault="007708F3" w:rsidP="004C505F">
            <w:pPr>
              <w:spacing w:line="276" w:lineRule="auto"/>
              <w:jc w:val="both"/>
              <w:rPr>
                <w:rFonts w:ascii="Arial" w:eastAsia="Calibri" w:hAnsi="Arial" w:cs="Arial"/>
                <w:color w:val="000000"/>
                <w:sz w:val="16"/>
                <w:szCs w:val="16"/>
              </w:rPr>
            </w:pPr>
          </w:p>
        </w:tc>
        <w:tc>
          <w:tcPr>
            <w:tcW w:w="673"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986D3BF"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Varies</w:t>
            </w:r>
          </w:p>
        </w:tc>
        <w:tc>
          <w:tcPr>
            <w:tcW w:w="194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476113D" w14:textId="77777777" w:rsidR="007708F3" w:rsidRPr="005C1453" w:rsidRDefault="007708F3"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Don't know</w:t>
            </w:r>
          </w:p>
        </w:tc>
      </w:tr>
    </w:tbl>
    <w:p w14:paraId="060738F2" w14:textId="447F57A2" w:rsidR="00D3318E" w:rsidRDefault="00D3318E" w:rsidP="00D3318E">
      <w:pPr>
        <w:jc w:val="both"/>
        <w:rPr>
          <w:rFonts w:ascii="Arial" w:hAnsi="Arial" w:cs="Arial"/>
          <w:color w:val="000000"/>
        </w:rPr>
      </w:pPr>
    </w:p>
    <w:p w14:paraId="2FED77B7" w14:textId="77777777" w:rsidR="006D2694" w:rsidRPr="004C505F" w:rsidRDefault="006D2694" w:rsidP="006D2694">
      <w:pPr>
        <w:jc w:val="both"/>
        <w:rPr>
          <w:rFonts w:ascii="Arial" w:hAnsi="Arial" w:cs="Arial"/>
          <w:b/>
          <w:color w:val="000000"/>
          <w:sz w:val="20"/>
          <w:szCs w:val="20"/>
        </w:rPr>
      </w:pPr>
      <w:r w:rsidRPr="004C505F">
        <w:rPr>
          <w:rFonts w:ascii="Arial" w:hAnsi="Arial" w:cs="Arial"/>
          <w:b/>
          <w:color w:val="000000"/>
          <w:sz w:val="20"/>
          <w:szCs w:val="20"/>
        </w:rPr>
        <w:t>Table S46: Effect of omalizumab on asthma exacerbations stratified by blood eosinophils</w:t>
      </w:r>
    </w:p>
    <w:tbl>
      <w:tblPr>
        <w:tblW w:w="0" w:type="auto"/>
        <w:tblCellMar>
          <w:left w:w="0" w:type="dxa"/>
          <w:right w:w="0" w:type="dxa"/>
        </w:tblCellMar>
        <w:tblLook w:val="0420" w:firstRow="1" w:lastRow="0" w:firstColumn="0" w:lastColumn="0" w:noHBand="0" w:noVBand="1"/>
      </w:tblPr>
      <w:tblGrid>
        <w:gridCol w:w="1062"/>
        <w:gridCol w:w="5922"/>
      </w:tblGrid>
      <w:tr w:rsidR="006D2694" w:rsidRPr="00BA7D15" w14:paraId="5E5606BE" w14:textId="77777777" w:rsidTr="00621537">
        <w:trPr>
          <w:trHeight w:val="96"/>
        </w:trPr>
        <w:tc>
          <w:tcPr>
            <w:tcW w:w="0" w:type="auto"/>
            <w:tcBorders>
              <w:top w:val="single" w:sz="18" w:space="0" w:color="000000"/>
              <w:left w:val="nil"/>
              <w:bottom w:val="single" w:sz="8" w:space="0" w:color="FFFFFF"/>
              <w:right w:val="single" w:sz="8" w:space="0" w:color="FFFFFF"/>
            </w:tcBorders>
            <w:shd w:val="clear" w:color="auto" w:fill="92D050"/>
            <w:tcMar>
              <w:top w:w="72" w:type="dxa"/>
              <w:left w:w="144" w:type="dxa"/>
              <w:bottom w:w="72" w:type="dxa"/>
              <w:right w:w="144" w:type="dxa"/>
            </w:tcMar>
            <w:vAlign w:val="center"/>
            <w:hideMark/>
          </w:tcPr>
          <w:p w14:paraId="441666F2" w14:textId="77777777" w:rsidR="006D2694" w:rsidRPr="004C505F" w:rsidRDefault="006D2694" w:rsidP="00621537">
            <w:pPr>
              <w:jc w:val="both"/>
              <w:rPr>
                <w:rFonts w:ascii="Arial" w:hAnsi="Arial" w:cs="Arial"/>
                <w:color w:val="000000"/>
                <w:sz w:val="16"/>
                <w:szCs w:val="16"/>
              </w:rPr>
            </w:pPr>
            <w:r w:rsidRPr="004C505F">
              <w:rPr>
                <w:rFonts w:ascii="Arial" w:hAnsi="Arial" w:cs="Arial"/>
                <w:b/>
                <w:bCs/>
                <w:color w:val="000000"/>
                <w:sz w:val="16"/>
                <w:szCs w:val="16"/>
                <w:lang w:val="es-ES"/>
              </w:rPr>
              <w:t xml:space="preserve">Blood eos </w:t>
            </w:r>
          </w:p>
        </w:tc>
        <w:tc>
          <w:tcPr>
            <w:tcW w:w="5922" w:type="dxa"/>
            <w:tcBorders>
              <w:top w:val="single" w:sz="18" w:space="0" w:color="000000"/>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vAlign w:val="center"/>
            <w:hideMark/>
          </w:tcPr>
          <w:p w14:paraId="2A7825FC" w14:textId="77777777" w:rsidR="006D2694" w:rsidRPr="004C505F" w:rsidRDefault="006D2694" w:rsidP="00621537">
            <w:pPr>
              <w:jc w:val="both"/>
              <w:rPr>
                <w:rFonts w:ascii="Arial" w:hAnsi="Arial" w:cs="Arial"/>
                <w:color w:val="000000"/>
                <w:sz w:val="16"/>
                <w:szCs w:val="16"/>
              </w:rPr>
            </w:pPr>
            <w:r w:rsidRPr="004C505F">
              <w:rPr>
                <w:rFonts w:ascii="Arial" w:hAnsi="Arial" w:cs="Arial"/>
                <w:b/>
                <w:bCs/>
                <w:color w:val="000000"/>
                <w:sz w:val="16"/>
                <w:szCs w:val="16"/>
                <w:lang w:val="es-ES"/>
              </w:rPr>
              <w:t>Exacerbations – incidence rate ratio (95% CI)</w:t>
            </w:r>
          </w:p>
        </w:tc>
      </w:tr>
      <w:tr w:rsidR="006D2694" w:rsidRPr="00BA7D15" w14:paraId="1849E6DB" w14:textId="77777777" w:rsidTr="00621537">
        <w:trPr>
          <w:trHeight w:val="21"/>
        </w:trPr>
        <w:tc>
          <w:tcPr>
            <w:tcW w:w="0" w:type="auto"/>
            <w:tcBorders>
              <w:top w:val="single" w:sz="8" w:space="0" w:color="FFFFFF"/>
              <w:left w:val="nil"/>
              <w:bottom w:val="single" w:sz="8" w:space="0" w:color="FFFFFF"/>
              <w:right w:val="single" w:sz="8" w:space="0" w:color="FFFFFF"/>
            </w:tcBorders>
            <w:shd w:val="clear" w:color="auto" w:fill="E7E7E7"/>
            <w:tcMar>
              <w:top w:w="72" w:type="dxa"/>
              <w:left w:w="144" w:type="dxa"/>
              <w:bottom w:w="72" w:type="dxa"/>
              <w:right w:w="144" w:type="dxa"/>
            </w:tcMar>
            <w:hideMark/>
          </w:tcPr>
          <w:p w14:paraId="254D8AD4" w14:textId="77777777" w:rsidR="006D2694" w:rsidRPr="004C505F" w:rsidRDefault="006D2694" w:rsidP="00621537">
            <w:pPr>
              <w:jc w:val="both"/>
              <w:rPr>
                <w:rFonts w:ascii="Arial" w:hAnsi="Arial" w:cs="Arial"/>
                <w:color w:val="000000"/>
                <w:sz w:val="16"/>
                <w:szCs w:val="16"/>
              </w:rPr>
            </w:pPr>
            <w:r w:rsidRPr="004C505F">
              <w:rPr>
                <w:rFonts w:ascii="Arial" w:hAnsi="Arial" w:cs="Arial"/>
                <w:color w:val="000000"/>
                <w:sz w:val="16"/>
                <w:szCs w:val="16"/>
                <w:lang w:val="es-ES"/>
              </w:rPr>
              <w:t>&gt;200</w:t>
            </w:r>
          </w:p>
        </w:tc>
        <w:tc>
          <w:tcPr>
            <w:tcW w:w="5922"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2AD3BEC2" w14:textId="77777777" w:rsidR="006D2694" w:rsidRPr="004C505F" w:rsidRDefault="006D2694" w:rsidP="00621537">
            <w:pPr>
              <w:jc w:val="both"/>
              <w:rPr>
                <w:rFonts w:ascii="Arial" w:hAnsi="Arial" w:cs="Arial"/>
                <w:color w:val="000000"/>
                <w:sz w:val="16"/>
                <w:szCs w:val="16"/>
              </w:rPr>
            </w:pPr>
            <w:r w:rsidRPr="004C505F">
              <w:rPr>
                <w:rFonts w:ascii="Arial" w:hAnsi="Arial" w:cs="Arial"/>
                <w:color w:val="000000"/>
                <w:sz w:val="16"/>
                <w:szCs w:val="16"/>
                <w:lang w:val="es-ES"/>
              </w:rPr>
              <w:t>0.59 (0.40-0.86)</w:t>
            </w:r>
          </w:p>
        </w:tc>
      </w:tr>
      <w:tr w:rsidR="006D2694" w:rsidRPr="00BA7D15" w14:paraId="21155029" w14:textId="77777777" w:rsidTr="00621537">
        <w:trPr>
          <w:trHeight w:val="21"/>
        </w:trPr>
        <w:tc>
          <w:tcPr>
            <w:tcW w:w="0" w:type="auto"/>
            <w:tcBorders>
              <w:top w:val="single" w:sz="8" w:space="0" w:color="FFFFFF"/>
              <w:left w:val="nil"/>
              <w:bottom w:val="single" w:sz="8" w:space="0" w:color="FFFFFF"/>
              <w:right w:val="single" w:sz="8" w:space="0" w:color="FFFFFF"/>
            </w:tcBorders>
            <w:shd w:val="clear" w:color="auto" w:fill="FFFFFF"/>
            <w:tcMar>
              <w:top w:w="72" w:type="dxa"/>
              <w:left w:w="144" w:type="dxa"/>
              <w:bottom w:w="72" w:type="dxa"/>
              <w:right w:w="144" w:type="dxa"/>
            </w:tcMar>
            <w:hideMark/>
          </w:tcPr>
          <w:p w14:paraId="662A12E2" w14:textId="77777777" w:rsidR="006D2694" w:rsidRPr="004C505F" w:rsidRDefault="006D2694" w:rsidP="00621537">
            <w:pPr>
              <w:jc w:val="both"/>
              <w:rPr>
                <w:rFonts w:ascii="Arial" w:hAnsi="Arial" w:cs="Arial"/>
                <w:color w:val="000000"/>
                <w:sz w:val="16"/>
                <w:szCs w:val="16"/>
              </w:rPr>
            </w:pPr>
            <w:r w:rsidRPr="004C505F">
              <w:rPr>
                <w:rFonts w:ascii="Arial" w:hAnsi="Arial" w:cs="Arial"/>
                <w:color w:val="000000"/>
                <w:sz w:val="16"/>
                <w:szCs w:val="16"/>
                <w:lang w:val="ca-ES"/>
              </w:rPr>
              <w:t>&gt;300</w:t>
            </w:r>
          </w:p>
        </w:tc>
        <w:tc>
          <w:tcPr>
            <w:tcW w:w="5922"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77235232" w14:textId="77777777" w:rsidR="006D2694" w:rsidRPr="004C505F" w:rsidRDefault="006D2694" w:rsidP="00621537">
            <w:pPr>
              <w:jc w:val="both"/>
              <w:rPr>
                <w:rFonts w:ascii="Arial" w:hAnsi="Arial" w:cs="Arial"/>
                <w:color w:val="000000"/>
                <w:sz w:val="16"/>
                <w:szCs w:val="16"/>
              </w:rPr>
            </w:pPr>
            <w:r w:rsidRPr="004C505F">
              <w:rPr>
                <w:rFonts w:ascii="Arial" w:hAnsi="Arial" w:cs="Arial"/>
                <w:color w:val="000000"/>
                <w:sz w:val="16"/>
                <w:szCs w:val="16"/>
                <w:lang w:val="ca-ES"/>
              </w:rPr>
              <w:t>0.37 (0.22 – 0.61)</w:t>
            </w:r>
          </w:p>
        </w:tc>
      </w:tr>
      <w:tr w:rsidR="006D2694" w:rsidRPr="00BA7D15" w14:paraId="6EE21469" w14:textId="77777777" w:rsidTr="00621537">
        <w:trPr>
          <w:trHeight w:val="239"/>
        </w:trPr>
        <w:tc>
          <w:tcPr>
            <w:tcW w:w="0" w:type="auto"/>
            <w:tcBorders>
              <w:top w:val="single" w:sz="8" w:space="0" w:color="FFFFFF"/>
              <w:left w:val="nil"/>
              <w:bottom w:val="single" w:sz="8" w:space="0" w:color="FFFFFF"/>
              <w:right w:val="single" w:sz="8" w:space="0" w:color="FFFFFF"/>
            </w:tcBorders>
            <w:shd w:val="clear" w:color="auto" w:fill="E7E7E7"/>
            <w:tcMar>
              <w:top w:w="72" w:type="dxa"/>
              <w:left w:w="144" w:type="dxa"/>
              <w:bottom w:w="72" w:type="dxa"/>
              <w:right w:w="144" w:type="dxa"/>
            </w:tcMar>
            <w:hideMark/>
          </w:tcPr>
          <w:p w14:paraId="49B10272" w14:textId="77777777" w:rsidR="006D2694" w:rsidRPr="004C505F" w:rsidRDefault="006D2694" w:rsidP="00621537">
            <w:pPr>
              <w:jc w:val="both"/>
              <w:rPr>
                <w:rFonts w:ascii="Arial" w:hAnsi="Arial" w:cs="Arial"/>
                <w:color w:val="000000"/>
                <w:sz w:val="16"/>
                <w:szCs w:val="16"/>
              </w:rPr>
            </w:pPr>
            <w:r w:rsidRPr="004C505F">
              <w:rPr>
                <w:rFonts w:ascii="Arial" w:hAnsi="Arial" w:cs="Arial"/>
                <w:color w:val="000000"/>
                <w:sz w:val="16"/>
                <w:szCs w:val="16"/>
                <w:lang w:val="ca-ES"/>
              </w:rPr>
              <w:lastRenderedPageBreak/>
              <w:t>&gt;400</w:t>
            </w:r>
          </w:p>
        </w:tc>
        <w:tc>
          <w:tcPr>
            <w:tcW w:w="5922"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26B7A92E" w14:textId="77777777" w:rsidR="006D2694" w:rsidRPr="004C505F" w:rsidRDefault="006D2694" w:rsidP="00621537">
            <w:pPr>
              <w:jc w:val="both"/>
              <w:rPr>
                <w:rFonts w:ascii="Arial" w:hAnsi="Arial" w:cs="Arial"/>
                <w:color w:val="000000"/>
                <w:sz w:val="16"/>
                <w:szCs w:val="16"/>
              </w:rPr>
            </w:pPr>
            <w:r w:rsidRPr="004C505F">
              <w:rPr>
                <w:rFonts w:ascii="Arial" w:hAnsi="Arial" w:cs="Arial"/>
                <w:color w:val="000000"/>
                <w:sz w:val="16"/>
                <w:szCs w:val="16"/>
                <w:lang w:val="ca-ES"/>
              </w:rPr>
              <w:t>0.26 (0.12 – 0.56)</w:t>
            </w:r>
          </w:p>
        </w:tc>
      </w:tr>
    </w:tbl>
    <w:p w14:paraId="6451C488" w14:textId="77777777" w:rsidR="006D2694" w:rsidRDefault="006D2694" w:rsidP="00D3318E">
      <w:pPr>
        <w:jc w:val="both"/>
        <w:rPr>
          <w:rFonts w:ascii="Arial" w:hAnsi="Arial" w:cs="Arial"/>
          <w:color w:val="000000"/>
        </w:rPr>
      </w:pPr>
    </w:p>
    <w:p w14:paraId="2B2D800F" w14:textId="4C45795F" w:rsidR="006D2694" w:rsidRPr="004C505F" w:rsidRDefault="006D2694" w:rsidP="006D2694">
      <w:pPr>
        <w:rPr>
          <w:b/>
          <w:sz w:val="20"/>
          <w:szCs w:val="20"/>
        </w:rPr>
      </w:pPr>
      <w:r w:rsidRPr="004C505F">
        <w:rPr>
          <w:b/>
          <w:sz w:val="20"/>
          <w:szCs w:val="20"/>
        </w:rPr>
        <w:t>Table S4</w:t>
      </w:r>
      <w:r>
        <w:rPr>
          <w:b/>
          <w:sz w:val="20"/>
          <w:szCs w:val="20"/>
        </w:rPr>
        <w:t>7</w:t>
      </w:r>
      <w:r w:rsidRPr="004C505F">
        <w:rPr>
          <w:b/>
          <w:sz w:val="20"/>
          <w:szCs w:val="20"/>
        </w:rPr>
        <w:t xml:space="preserve">- Evidence to decision table supporting recommendations for omalizumab for severe allergic asthma in </w:t>
      </w:r>
      <w:r>
        <w:rPr>
          <w:b/>
          <w:sz w:val="20"/>
          <w:szCs w:val="20"/>
        </w:rPr>
        <w:t>children 6</w:t>
      </w:r>
      <w:r w:rsidRPr="004C505F">
        <w:rPr>
          <w:b/>
          <w:sz w:val="20"/>
          <w:szCs w:val="20"/>
        </w:rPr>
        <w:t>-1</w:t>
      </w:r>
      <w:r>
        <w:rPr>
          <w:b/>
          <w:sz w:val="20"/>
          <w:szCs w:val="20"/>
        </w:rPr>
        <w:t>1</w:t>
      </w:r>
      <w:r w:rsidRPr="004C505F">
        <w:rPr>
          <w:b/>
          <w:sz w:val="20"/>
          <w:szCs w:val="20"/>
        </w:rPr>
        <w:t xml:space="preserve"> years old (asthma </w:t>
      </w:r>
      <w:r>
        <w:rPr>
          <w:b/>
          <w:sz w:val="20"/>
          <w:szCs w:val="20"/>
        </w:rPr>
        <w:t xml:space="preserve">exacerbations, </w:t>
      </w:r>
      <w:r w:rsidRPr="004C505F">
        <w:rPr>
          <w:b/>
          <w:sz w:val="20"/>
          <w:szCs w:val="20"/>
        </w:rPr>
        <w:t>control, QoL, ICS use)</w:t>
      </w:r>
    </w:p>
    <w:tbl>
      <w:tblPr>
        <w:tblW w:w="0" w:type="auto"/>
        <w:tblCellMar>
          <w:left w:w="0" w:type="dxa"/>
          <w:right w:w="0" w:type="dxa"/>
        </w:tblCellMar>
        <w:tblLook w:val="04A0" w:firstRow="1" w:lastRow="0" w:firstColumn="1" w:lastColumn="0" w:noHBand="0" w:noVBand="1"/>
      </w:tblPr>
      <w:tblGrid>
        <w:gridCol w:w="2156"/>
        <w:gridCol w:w="1658"/>
        <w:gridCol w:w="1931"/>
        <w:gridCol w:w="1900"/>
        <w:gridCol w:w="2178"/>
        <w:gridCol w:w="976"/>
        <w:gridCol w:w="673"/>
        <w:gridCol w:w="1946"/>
      </w:tblGrid>
      <w:tr w:rsidR="006D2694" w:rsidRPr="005C1453" w14:paraId="6E93A714" w14:textId="77777777" w:rsidTr="00621537">
        <w:trPr>
          <w:trHeight w:val="19"/>
        </w:trPr>
        <w:tc>
          <w:tcPr>
            <w:tcW w:w="0" w:type="auto"/>
            <w:tcBorders>
              <w:top w:val="single" w:sz="8" w:space="0" w:color="FFFFFF"/>
              <w:left w:val="single" w:sz="8" w:space="0" w:color="FFFFFF"/>
              <w:bottom w:val="single" w:sz="24" w:space="0" w:color="FFFFFF"/>
              <w:right w:val="single" w:sz="8" w:space="0" w:color="FFFFFF"/>
            </w:tcBorders>
            <w:shd w:val="clear" w:color="auto" w:fill="5B9BD5"/>
            <w:tcMar>
              <w:top w:w="74" w:type="dxa"/>
              <w:left w:w="74" w:type="dxa"/>
              <w:bottom w:w="74" w:type="dxa"/>
              <w:right w:w="74" w:type="dxa"/>
            </w:tcMar>
            <w:vAlign w:val="center"/>
            <w:hideMark/>
          </w:tcPr>
          <w:p w14:paraId="0B96946C" w14:textId="77777777" w:rsidR="006D2694" w:rsidRPr="005C1453" w:rsidRDefault="006D2694" w:rsidP="00621537">
            <w:pPr>
              <w:spacing w:line="276" w:lineRule="auto"/>
              <w:jc w:val="both"/>
              <w:rPr>
                <w:rFonts w:ascii="Arial" w:eastAsia="Calibri" w:hAnsi="Arial" w:cs="Arial"/>
                <w:color w:val="000000"/>
                <w:sz w:val="16"/>
                <w:szCs w:val="16"/>
              </w:rPr>
            </w:pPr>
          </w:p>
        </w:tc>
        <w:tc>
          <w:tcPr>
            <w:tcW w:w="0" w:type="auto"/>
            <w:gridSpan w:val="7"/>
            <w:tcBorders>
              <w:top w:val="single" w:sz="8" w:space="0" w:color="FFFFFF"/>
              <w:left w:val="single" w:sz="8" w:space="0" w:color="FFFFFF"/>
              <w:bottom w:val="single" w:sz="24" w:space="0" w:color="FFFFFF"/>
              <w:right w:val="single" w:sz="8" w:space="0" w:color="FFFFFF"/>
            </w:tcBorders>
            <w:shd w:val="clear" w:color="auto" w:fill="5B9BD5"/>
            <w:tcMar>
              <w:top w:w="74" w:type="dxa"/>
              <w:left w:w="74" w:type="dxa"/>
              <w:bottom w:w="74" w:type="dxa"/>
              <w:right w:w="74" w:type="dxa"/>
            </w:tcMar>
            <w:vAlign w:val="center"/>
            <w:hideMark/>
          </w:tcPr>
          <w:p w14:paraId="2AC8A5F6"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Judgement</w:t>
            </w:r>
          </w:p>
        </w:tc>
      </w:tr>
      <w:tr w:rsidR="006D2694" w:rsidRPr="005C1453" w14:paraId="384CA06C" w14:textId="77777777" w:rsidTr="00621537">
        <w:trPr>
          <w:trHeight w:val="19"/>
        </w:trPr>
        <w:tc>
          <w:tcPr>
            <w:tcW w:w="0" w:type="auto"/>
            <w:tcBorders>
              <w:top w:val="single" w:sz="24"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317DACDE"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Problem (importance)</w:t>
            </w:r>
          </w:p>
        </w:tc>
        <w:tc>
          <w:tcPr>
            <w:tcW w:w="0" w:type="auto"/>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D5D8B34"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No</w:t>
            </w:r>
          </w:p>
        </w:tc>
        <w:tc>
          <w:tcPr>
            <w:tcW w:w="0" w:type="auto"/>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8B21977"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no</w:t>
            </w:r>
          </w:p>
        </w:tc>
        <w:tc>
          <w:tcPr>
            <w:tcW w:w="1900"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387C052"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yes</w:t>
            </w:r>
          </w:p>
        </w:tc>
        <w:tc>
          <w:tcPr>
            <w:tcW w:w="2178" w:type="dxa"/>
            <w:tcBorders>
              <w:top w:val="single" w:sz="24"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39E9FEAE"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Yes</w:t>
            </w:r>
          </w:p>
        </w:tc>
        <w:tc>
          <w:tcPr>
            <w:tcW w:w="976"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0DC1A79" w14:textId="77777777" w:rsidR="006D2694" w:rsidRPr="005C1453" w:rsidRDefault="006D2694" w:rsidP="00621537">
            <w:pPr>
              <w:spacing w:line="276" w:lineRule="auto"/>
              <w:jc w:val="both"/>
              <w:rPr>
                <w:rFonts w:ascii="Arial" w:eastAsia="Calibri" w:hAnsi="Arial" w:cs="Arial"/>
                <w:color w:val="000000"/>
                <w:sz w:val="16"/>
                <w:szCs w:val="16"/>
              </w:rPr>
            </w:pPr>
          </w:p>
        </w:tc>
        <w:tc>
          <w:tcPr>
            <w:tcW w:w="673"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6F075CF"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Varies</w:t>
            </w:r>
          </w:p>
        </w:tc>
        <w:tc>
          <w:tcPr>
            <w:tcW w:w="1946"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1E48EF3"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Don't know</w:t>
            </w:r>
          </w:p>
        </w:tc>
      </w:tr>
      <w:tr w:rsidR="006D2694" w:rsidRPr="005C1453" w14:paraId="1315CF2A" w14:textId="77777777" w:rsidTr="00621537">
        <w:trPr>
          <w:trHeight w:val="1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6EB32627"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Desirable Effects</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9CB8B9E"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Trivial</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0B82A81"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Small</w:t>
            </w:r>
          </w:p>
        </w:tc>
        <w:tc>
          <w:tcPr>
            <w:tcW w:w="1900"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443653C"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Moderate</w:t>
            </w:r>
          </w:p>
        </w:tc>
        <w:tc>
          <w:tcPr>
            <w:tcW w:w="2178"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588FAED9"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Large</w:t>
            </w:r>
          </w:p>
        </w:tc>
        <w:tc>
          <w:tcPr>
            <w:tcW w:w="9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B33A502" w14:textId="77777777" w:rsidR="006D2694" w:rsidRPr="005C1453" w:rsidRDefault="006D2694" w:rsidP="00621537">
            <w:pPr>
              <w:spacing w:line="276" w:lineRule="auto"/>
              <w:jc w:val="both"/>
              <w:rPr>
                <w:rFonts w:ascii="Arial" w:eastAsia="Calibri" w:hAnsi="Arial" w:cs="Arial"/>
                <w:color w:val="000000"/>
                <w:sz w:val="16"/>
                <w:szCs w:val="16"/>
              </w:rPr>
            </w:pPr>
          </w:p>
        </w:tc>
        <w:tc>
          <w:tcPr>
            <w:tcW w:w="673"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74DFFF7"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Varies</w:t>
            </w:r>
          </w:p>
        </w:tc>
        <w:tc>
          <w:tcPr>
            <w:tcW w:w="194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6617015"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Don't know</w:t>
            </w:r>
          </w:p>
        </w:tc>
      </w:tr>
      <w:tr w:rsidR="006D2694" w:rsidRPr="005C1453" w14:paraId="2CF4EAF7" w14:textId="77777777" w:rsidTr="00621537">
        <w:trPr>
          <w:trHeight w:val="1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46B949B6"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Undesirable Effects</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D4DA195"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Large</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63CC27F"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Moderate</w:t>
            </w:r>
          </w:p>
        </w:tc>
        <w:tc>
          <w:tcPr>
            <w:tcW w:w="1900"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53FE5528"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Small</w:t>
            </w:r>
          </w:p>
        </w:tc>
        <w:tc>
          <w:tcPr>
            <w:tcW w:w="2178"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F15C342"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Trivial</w:t>
            </w:r>
          </w:p>
        </w:tc>
        <w:tc>
          <w:tcPr>
            <w:tcW w:w="97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0F0B21C" w14:textId="77777777" w:rsidR="006D2694" w:rsidRPr="005C1453" w:rsidRDefault="006D2694" w:rsidP="00621537">
            <w:pPr>
              <w:spacing w:line="276" w:lineRule="auto"/>
              <w:jc w:val="both"/>
              <w:rPr>
                <w:rFonts w:ascii="Arial" w:eastAsia="Calibri" w:hAnsi="Arial" w:cs="Arial"/>
                <w:color w:val="000000"/>
                <w:sz w:val="16"/>
                <w:szCs w:val="16"/>
              </w:rPr>
            </w:pPr>
          </w:p>
        </w:tc>
        <w:tc>
          <w:tcPr>
            <w:tcW w:w="673"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CEDD509"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Varies</w:t>
            </w:r>
          </w:p>
        </w:tc>
        <w:tc>
          <w:tcPr>
            <w:tcW w:w="194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B126D39"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Don't know</w:t>
            </w:r>
          </w:p>
        </w:tc>
      </w:tr>
      <w:tr w:rsidR="006D2694" w:rsidRPr="005C1453" w14:paraId="1C000381" w14:textId="77777777" w:rsidTr="00FD3FC4">
        <w:trPr>
          <w:trHeight w:val="1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4AE6D59B"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Certainty of evidence</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49D66EA"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Very low</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581DD0C"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Low</w:t>
            </w:r>
          </w:p>
        </w:tc>
        <w:tc>
          <w:tcPr>
            <w:tcW w:w="1900"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1209FE7D"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Moderate</w:t>
            </w:r>
          </w:p>
        </w:tc>
        <w:tc>
          <w:tcPr>
            <w:tcW w:w="2178" w:type="dxa"/>
            <w:tcBorders>
              <w:top w:val="single" w:sz="8" w:space="0" w:color="FFFFFF"/>
              <w:left w:val="single" w:sz="8" w:space="0" w:color="FFFFFF"/>
              <w:bottom w:val="single" w:sz="8" w:space="0" w:color="FFFFFF"/>
              <w:right w:val="single" w:sz="8" w:space="0" w:color="FFFFFF"/>
            </w:tcBorders>
            <w:shd w:val="clear" w:color="auto" w:fill="D0CECE" w:themeFill="background2" w:themeFillShade="E6"/>
            <w:tcMar>
              <w:top w:w="74" w:type="dxa"/>
              <w:left w:w="74" w:type="dxa"/>
              <w:bottom w:w="74" w:type="dxa"/>
              <w:right w:w="74" w:type="dxa"/>
            </w:tcMar>
            <w:vAlign w:val="center"/>
            <w:hideMark/>
          </w:tcPr>
          <w:p w14:paraId="2474AEE5"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High</w:t>
            </w:r>
          </w:p>
        </w:tc>
        <w:tc>
          <w:tcPr>
            <w:tcW w:w="9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B66447C" w14:textId="77777777" w:rsidR="006D2694" w:rsidRPr="005C1453" w:rsidRDefault="006D2694" w:rsidP="00621537">
            <w:pPr>
              <w:spacing w:line="276" w:lineRule="auto"/>
              <w:jc w:val="both"/>
              <w:rPr>
                <w:rFonts w:ascii="Arial" w:eastAsia="Calibri" w:hAnsi="Arial" w:cs="Arial"/>
                <w:color w:val="000000"/>
                <w:sz w:val="16"/>
                <w:szCs w:val="16"/>
              </w:rPr>
            </w:pPr>
          </w:p>
        </w:tc>
        <w:tc>
          <w:tcPr>
            <w:tcW w:w="673"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D5E12DB" w14:textId="77777777" w:rsidR="006D2694" w:rsidRPr="005C1453" w:rsidRDefault="006D2694" w:rsidP="00621537">
            <w:pPr>
              <w:spacing w:line="276" w:lineRule="auto"/>
              <w:jc w:val="both"/>
              <w:rPr>
                <w:rFonts w:ascii="Arial" w:eastAsia="Calibri" w:hAnsi="Arial" w:cs="Arial"/>
                <w:color w:val="000000"/>
                <w:sz w:val="16"/>
                <w:szCs w:val="16"/>
              </w:rPr>
            </w:pPr>
          </w:p>
        </w:tc>
        <w:tc>
          <w:tcPr>
            <w:tcW w:w="194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D060BCF"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 xml:space="preserve">No studies included </w:t>
            </w:r>
          </w:p>
        </w:tc>
      </w:tr>
      <w:tr w:rsidR="006D2694" w:rsidRPr="005C1453" w14:paraId="7BE035F7" w14:textId="77777777" w:rsidTr="00621537">
        <w:trPr>
          <w:trHeight w:val="1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479336B7"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Values</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5A6F5ED"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Important uncertainty or variability</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1357112"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Possibly important uncertainty or variability</w:t>
            </w:r>
          </w:p>
        </w:tc>
        <w:tc>
          <w:tcPr>
            <w:tcW w:w="1900"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A3F8FA4"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no important uncertainty or variability</w:t>
            </w:r>
          </w:p>
        </w:tc>
        <w:tc>
          <w:tcPr>
            <w:tcW w:w="2178"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137640BA"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no important uncertainty or variability</w:t>
            </w:r>
          </w:p>
        </w:tc>
        <w:tc>
          <w:tcPr>
            <w:tcW w:w="97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A9DD140" w14:textId="77777777" w:rsidR="006D2694" w:rsidRPr="005C1453" w:rsidRDefault="006D2694" w:rsidP="00621537">
            <w:pPr>
              <w:spacing w:line="276" w:lineRule="auto"/>
              <w:jc w:val="both"/>
              <w:rPr>
                <w:rFonts w:ascii="Arial" w:eastAsia="Calibri" w:hAnsi="Arial" w:cs="Arial"/>
                <w:color w:val="000000"/>
                <w:sz w:val="16"/>
                <w:szCs w:val="16"/>
              </w:rPr>
            </w:pPr>
          </w:p>
        </w:tc>
        <w:tc>
          <w:tcPr>
            <w:tcW w:w="673"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3714822" w14:textId="77777777" w:rsidR="006D2694" w:rsidRPr="005C1453" w:rsidRDefault="006D2694" w:rsidP="00621537">
            <w:pPr>
              <w:spacing w:line="276" w:lineRule="auto"/>
              <w:jc w:val="both"/>
              <w:rPr>
                <w:rFonts w:ascii="Arial" w:eastAsia="Calibri" w:hAnsi="Arial" w:cs="Arial"/>
                <w:color w:val="000000"/>
                <w:sz w:val="16"/>
                <w:szCs w:val="16"/>
              </w:rPr>
            </w:pPr>
          </w:p>
        </w:tc>
        <w:tc>
          <w:tcPr>
            <w:tcW w:w="194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BE92FEC" w14:textId="77777777" w:rsidR="006D2694" w:rsidRPr="005C1453" w:rsidRDefault="006D2694" w:rsidP="00621537">
            <w:pPr>
              <w:spacing w:line="276" w:lineRule="auto"/>
              <w:jc w:val="both"/>
              <w:rPr>
                <w:rFonts w:ascii="Arial" w:eastAsia="Calibri" w:hAnsi="Arial" w:cs="Arial"/>
                <w:color w:val="000000"/>
                <w:sz w:val="16"/>
                <w:szCs w:val="16"/>
              </w:rPr>
            </w:pPr>
          </w:p>
        </w:tc>
      </w:tr>
      <w:tr w:rsidR="006D2694" w:rsidRPr="005C1453" w14:paraId="7DE084EF" w14:textId="77777777" w:rsidTr="00621537">
        <w:trPr>
          <w:trHeight w:val="27"/>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63833EA3"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Balance of effects</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D06E16F"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Favors the comparison</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C034095"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favors the comparison</w:t>
            </w:r>
          </w:p>
        </w:tc>
        <w:tc>
          <w:tcPr>
            <w:tcW w:w="1900"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3D16521"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Does not favor either the intervention or the comparison</w:t>
            </w:r>
          </w:p>
        </w:tc>
        <w:tc>
          <w:tcPr>
            <w:tcW w:w="2178"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03216408"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favors the intervention</w:t>
            </w:r>
          </w:p>
        </w:tc>
        <w:tc>
          <w:tcPr>
            <w:tcW w:w="9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4" w:type="dxa"/>
              <w:left w:w="74" w:type="dxa"/>
              <w:bottom w:w="74" w:type="dxa"/>
              <w:right w:w="74" w:type="dxa"/>
            </w:tcMar>
            <w:vAlign w:val="center"/>
            <w:hideMark/>
          </w:tcPr>
          <w:p w14:paraId="33072D7F"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Favors the intervention</w:t>
            </w:r>
          </w:p>
        </w:tc>
        <w:tc>
          <w:tcPr>
            <w:tcW w:w="673"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5692985"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Varies</w:t>
            </w:r>
          </w:p>
        </w:tc>
        <w:tc>
          <w:tcPr>
            <w:tcW w:w="194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E6AAFA1"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Don't know</w:t>
            </w:r>
          </w:p>
        </w:tc>
      </w:tr>
      <w:tr w:rsidR="006D2694" w:rsidRPr="005C1453" w14:paraId="2444DB09" w14:textId="77777777" w:rsidTr="00621537">
        <w:trPr>
          <w:trHeight w:val="1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2958AFAC"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Resources required</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A583439"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Large costs</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4D84746"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Moderate costs</w:t>
            </w:r>
          </w:p>
        </w:tc>
        <w:tc>
          <w:tcPr>
            <w:tcW w:w="1900"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83316BA"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Negligible costs and savings</w:t>
            </w:r>
          </w:p>
        </w:tc>
        <w:tc>
          <w:tcPr>
            <w:tcW w:w="2178"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AFBD6A8"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Moderate savings</w:t>
            </w:r>
          </w:p>
        </w:tc>
        <w:tc>
          <w:tcPr>
            <w:tcW w:w="97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A66B2E2"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Large savings</w:t>
            </w:r>
          </w:p>
        </w:tc>
        <w:tc>
          <w:tcPr>
            <w:tcW w:w="673"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50E98FB9"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Varies</w:t>
            </w:r>
          </w:p>
        </w:tc>
        <w:tc>
          <w:tcPr>
            <w:tcW w:w="194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B3B7D5B"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Don't know</w:t>
            </w:r>
          </w:p>
        </w:tc>
      </w:tr>
      <w:tr w:rsidR="006D2694" w:rsidRPr="005C1453" w14:paraId="4BDCF223" w14:textId="77777777" w:rsidTr="00621537">
        <w:trPr>
          <w:trHeight w:val="1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0093ACFC"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Certainty of evidence of required resources</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C5FE250"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Very low</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579FBB1"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Low</w:t>
            </w:r>
          </w:p>
        </w:tc>
        <w:tc>
          <w:tcPr>
            <w:tcW w:w="1900"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3B9986E"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Moderate</w:t>
            </w:r>
          </w:p>
        </w:tc>
        <w:tc>
          <w:tcPr>
            <w:tcW w:w="2178"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21999B7"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High</w:t>
            </w:r>
          </w:p>
        </w:tc>
        <w:tc>
          <w:tcPr>
            <w:tcW w:w="9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B2ACEBC" w14:textId="77777777" w:rsidR="006D2694" w:rsidRPr="005C1453" w:rsidRDefault="006D2694" w:rsidP="00621537">
            <w:pPr>
              <w:spacing w:line="276" w:lineRule="auto"/>
              <w:jc w:val="both"/>
              <w:rPr>
                <w:rFonts w:ascii="Arial" w:eastAsia="Calibri" w:hAnsi="Arial" w:cs="Arial"/>
                <w:color w:val="000000"/>
                <w:sz w:val="16"/>
                <w:szCs w:val="16"/>
              </w:rPr>
            </w:pPr>
          </w:p>
        </w:tc>
        <w:tc>
          <w:tcPr>
            <w:tcW w:w="673"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449C030" w14:textId="77777777" w:rsidR="006D2694" w:rsidRPr="005C1453" w:rsidRDefault="006D2694" w:rsidP="00621537">
            <w:pPr>
              <w:spacing w:line="276" w:lineRule="auto"/>
              <w:jc w:val="both"/>
              <w:rPr>
                <w:rFonts w:ascii="Arial" w:eastAsia="Calibri" w:hAnsi="Arial" w:cs="Arial"/>
                <w:color w:val="000000"/>
                <w:sz w:val="16"/>
                <w:szCs w:val="16"/>
              </w:rPr>
            </w:pPr>
          </w:p>
        </w:tc>
        <w:tc>
          <w:tcPr>
            <w:tcW w:w="1946"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2C5ECCA0"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 xml:space="preserve">No studies included </w:t>
            </w:r>
          </w:p>
        </w:tc>
      </w:tr>
      <w:tr w:rsidR="006D2694" w:rsidRPr="005C1453" w14:paraId="3566D261" w14:textId="77777777" w:rsidTr="00621537">
        <w:trPr>
          <w:trHeight w:val="1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764204A6"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Cost effectiveness</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DB94FA3"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Favors the comparison</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930F975"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favors the comparison</w:t>
            </w:r>
          </w:p>
        </w:tc>
        <w:tc>
          <w:tcPr>
            <w:tcW w:w="1900"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6DEBDCB"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Does not favor either the intervention or the comparison</w:t>
            </w:r>
          </w:p>
        </w:tc>
        <w:tc>
          <w:tcPr>
            <w:tcW w:w="2178"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3A23E8BE"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favors the intervention</w:t>
            </w:r>
          </w:p>
        </w:tc>
        <w:tc>
          <w:tcPr>
            <w:tcW w:w="97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EA48C41"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Favors the intervention</w:t>
            </w:r>
          </w:p>
        </w:tc>
        <w:tc>
          <w:tcPr>
            <w:tcW w:w="673"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9A55B2D"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Varies</w:t>
            </w:r>
          </w:p>
        </w:tc>
        <w:tc>
          <w:tcPr>
            <w:tcW w:w="194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7A7A4B7"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 xml:space="preserve">No studies included </w:t>
            </w:r>
          </w:p>
        </w:tc>
      </w:tr>
      <w:tr w:rsidR="006D2694" w:rsidRPr="005C1453" w14:paraId="5AFAF452" w14:textId="77777777" w:rsidTr="00621537">
        <w:trPr>
          <w:trHeight w:val="1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44A19B2B"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Equity</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6CAA8DA"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Reduced</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7BC59B6"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reduced</w:t>
            </w:r>
          </w:p>
        </w:tc>
        <w:tc>
          <w:tcPr>
            <w:tcW w:w="1900"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FCA5C87"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no impact</w:t>
            </w:r>
          </w:p>
        </w:tc>
        <w:tc>
          <w:tcPr>
            <w:tcW w:w="2178"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14C96D7"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increased</w:t>
            </w:r>
          </w:p>
        </w:tc>
        <w:tc>
          <w:tcPr>
            <w:tcW w:w="9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24369E2"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Increased</w:t>
            </w:r>
          </w:p>
        </w:tc>
        <w:tc>
          <w:tcPr>
            <w:tcW w:w="673"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F41CA49"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Varies</w:t>
            </w:r>
          </w:p>
        </w:tc>
        <w:tc>
          <w:tcPr>
            <w:tcW w:w="1946"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09FA1B6E"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Don't know</w:t>
            </w:r>
          </w:p>
        </w:tc>
      </w:tr>
      <w:tr w:rsidR="006D2694" w:rsidRPr="005C1453" w14:paraId="3DF9A7A9" w14:textId="77777777" w:rsidTr="00621537">
        <w:trPr>
          <w:trHeight w:val="1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687BD1D1"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Acceptability</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12D2B92"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No</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CED6869"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no</w:t>
            </w:r>
          </w:p>
        </w:tc>
        <w:tc>
          <w:tcPr>
            <w:tcW w:w="1900"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6ACB8565"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yes</w:t>
            </w:r>
          </w:p>
        </w:tc>
        <w:tc>
          <w:tcPr>
            <w:tcW w:w="2178"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CC95A45"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Yes</w:t>
            </w:r>
          </w:p>
        </w:tc>
        <w:tc>
          <w:tcPr>
            <w:tcW w:w="97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398D62A" w14:textId="77777777" w:rsidR="006D2694" w:rsidRPr="005C1453" w:rsidRDefault="006D2694" w:rsidP="00621537">
            <w:pPr>
              <w:spacing w:line="276" w:lineRule="auto"/>
              <w:jc w:val="both"/>
              <w:rPr>
                <w:rFonts w:ascii="Arial" w:eastAsia="Calibri" w:hAnsi="Arial" w:cs="Arial"/>
                <w:color w:val="000000"/>
                <w:sz w:val="16"/>
                <w:szCs w:val="16"/>
              </w:rPr>
            </w:pPr>
          </w:p>
        </w:tc>
        <w:tc>
          <w:tcPr>
            <w:tcW w:w="673"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95D05F0"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Varies</w:t>
            </w:r>
          </w:p>
        </w:tc>
        <w:tc>
          <w:tcPr>
            <w:tcW w:w="194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0B9AB9F"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Don't know</w:t>
            </w:r>
          </w:p>
        </w:tc>
      </w:tr>
      <w:tr w:rsidR="006D2694" w:rsidRPr="005C1453" w14:paraId="3C67E5A5" w14:textId="77777777" w:rsidTr="00621537">
        <w:trPr>
          <w:trHeight w:val="1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2DA1E160"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Feasibility</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64FF7B1"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No</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4DE16A5"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no</w:t>
            </w:r>
          </w:p>
        </w:tc>
        <w:tc>
          <w:tcPr>
            <w:tcW w:w="1900"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47178D82"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yes</w:t>
            </w:r>
          </w:p>
        </w:tc>
        <w:tc>
          <w:tcPr>
            <w:tcW w:w="2178"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D9C9EB2"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Yes</w:t>
            </w:r>
          </w:p>
        </w:tc>
        <w:tc>
          <w:tcPr>
            <w:tcW w:w="9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C811724" w14:textId="77777777" w:rsidR="006D2694" w:rsidRPr="005C1453" w:rsidRDefault="006D2694" w:rsidP="00621537">
            <w:pPr>
              <w:spacing w:line="276" w:lineRule="auto"/>
              <w:jc w:val="both"/>
              <w:rPr>
                <w:rFonts w:ascii="Arial" w:eastAsia="Calibri" w:hAnsi="Arial" w:cs="Arial"/>
                <w:color w:val="000000"/>
                <w:sz w:val="16"/>
                <w:szCs w:val="16"/>
              </w:rPr>
            </w:pPr>
          </w:p>
        </w:tc>
        <w:tc>
          <w:tcPr>
            <w:tcW w:w="673"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F6178F2"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Varies</w:t>
            </w:r>
          </w:p>
        </w:tc>
        <w:tc>
          <w:tcPr>
            <w:tcW w:w="194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969D6F3" w14:textId="77777777" w:rsidR="006D2694" w:rsidRPr="005C1453" w:rsidRDefault="006D2694" w:rsidP="00621537">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Don't know</w:t>
            </w:r>
          </w:p>
        </w:tc>
      </w:tr>
    </w:tbl>
    <w:p w14:paraId="34BF3278" w14:textId="260000C9" w:rsidR="006D2694" w:rsidRDefault="006D2694" w:rsidP="00D3318E">
      <w:pPr>
        <w:jc w:val="both"/>
        <w:rPr>
          <w:rFonts w:ascii="Arial" w:hAnsi="Arial" w:cs="Arial"/>
          <w:color w:val="000000"/>
        </w:rPr>
      </w:pPr>
    </w:p>
    <w:p w14:paraId="692AD4AA" w14:textId="77777777" w:rsidR="006D2694" w:rsidRPr="00F87E48" w:rsidRDefault="006D2694" w:rsidP="00D3318E">
      <w:pPr>
        <w:jc w:val="both"/>
        <w:rPr>
          <w:rFonts w:ascii="Arial" w:hAnsi="Arial" w:cs="Arial"/>
          <w:color w:val="000000"/>
        </w:rPr>
      </w:pPr>
    </w:p>
    <w:p w14:paraId="572DDEA2" w14:textId="77777777" w:rsidR="00BA7D15" w:rsidRPr="00F87E48" w:rsidRDefault="00BA7D15" w:rsidP="00D3318E">
      <w:pPr>
        <w:jc w:val="both"/>
        <w:rPr>
          <w:rFonts w:ascii="Arial" w:hAnsi="Arial" w:cs="Arial"/>
          <w:color w:val="000000"/>
        </w:rPr>
      </w:pPr>
    </w:p>
    <w:p w14:paraId="1A9532F6" w14:textId="77777777" w:rsidR="00D3318E" w:rsidRPr="00F87E48" w:rsidRDefault="00D3318E" w:rsidP="00D3318E">
      <w:pPr>
        <w:jc w:val="both"/>
        <w:rPr>
          <w:rFonts w:ascii="Arial" w:hAnsi="Arial" w:cs="Arial"/>
          <w:color w:val="000000"/>
        </w:rPr>
      </w:pPr>
    </w:p>
    <w:p w14:paraId="68D0C747" w14:textId="77777777" w:rsidR="00D3318E" w:rsidRPr="00F87E48" w:rsidRDefault="00D3318E" w:rsidP="00D3318E">
      <w:pPr>
        <w:jc w:val="both"/>
        <w:rPr>
          <w:rFonts w:ascii="Arial" w:hAnsi="Arial" w:cs="Arial"/>
          <w:color w:val="000000"/>
        </w:rPr>
      </w:pPr>
    </w:p>
    <w:p w14:paraId="52D1F466" w14:textId="5B99D7E7" w:rsidR="00D3318E" w:rsidRDefault="00D3318E" w:rsidP="00596BE0">
      <w:pPr>
        <w:spacing w:line="360" w:lineRule="auto"/>
        <w:jc w:val="both"/>
        <w:rPr>
          <w:rFonts w:ascii="Arial" w:hAnsi="Arial" w:cs="Arial"/>
          <w:shd w:val="clear" w:color="auto" w:fill="FFFFFF"/>
        </w:rPr>
      </w:pPr>
    </w:p>
    <w:p w14:paraId="2358F8EB" w14:textId="77777777" w:rsidR="00EB3ABA" w:rsidRDefault="00EB3ABA" w:rsidP="00EB3ABA">
      <w:pPr>
        <w:jc w:val="both"/>
        <w:rPr>
          <w:rFonts w:ascii="Arial" w:hAnsi="Arial" w:cs="Arial"/>
          <w:b/>
        </w:rPr>
      </w:pPr>
    </w:p>
    <w:p w14:paraId="37FC9382" w14:textId="77777777" w:rsidR="00D3318E" w:rsidRDefault="00D3318E" w:rsidP="00596BE0">
      <w:pPr>
        <w:spacing w:line="360" w:lineRule="auto"/>
        <w:jc w:val="both"/>
        <w:rPr>
          <w:rFonts w:ascii="Arial" w:hAnsi="Arial" w:cs="Arial"/>
          <w:shd w:val="clear" w:color="auto" w:fill="FFFFFF"/>
        </w:rPr>
      </w:pPr>
    </w:p>
    <w:tbl>
      <w:tblPr>
        <w:tblW w:w="5000" w:type="pct"/>
        <w:tblCellMar>
          <w:top w:w="75" w:type="dxa"/>
          <w:left w:w="75" w:type="dxa"/>
          <w:bottom w:w="75" w:type="dxa"/>
          <w:right w:w="75" w:type="dxa"/>
        </w:tblCellMar>
        <w:tblLook w:val="00A0" w:firstRow="1" w:lastRow="0" w:firstColumn="1" w:lastColumn="0" w:noHBand="0" w:noVBand="0"/>
      </w:tblPr>
      <w:tblGrid>
        <w:gridCol w:w="3545"/>
        <w:gridCol w:w="2674"/>
        <w:gridCol w:w="1844"/>
        <w:gridCol w:w="1537"/>
        <w:gridCol w:w="1846"/>
        <w:gridCol w:w="1992"/>
      </w:tblGrid>
      <w:tr w:rsidR="00596BE0" w:rsidRPr="00601402" w14:paraId="570C4604" w14:textId="77777777" w:rsidTr="00596BE0">
        <w:trPr>
          <w:cantSplit/>
          <w:tblHeader/>
        </w:trPr>
        <w:tc>
          <w:tcPr>
            <w:tcW w:w="0" w:type="auto"/>
            <w:gridSpan w:val="6"/>
            <w:tcBorders>
              <w:top w:val="single" w:sz="6" w:space="0" w:color="000000"/>
              <w:left w:val="nil"/>
              <w:bottom w:val="single" w:sz="6" w:space="0" w:color="000000"/>
              <w:right w:val="nil"/>
            </w:tcBorders>
            <w:shd w:val="clear" w:color="auto" w:fill="92D050"/>
          </w:tcPr>
          <w:p w14:paraId="5E11418A" w14:textId="4DC5DF8D" w:rsidR="00596BE0" w:rsidRPr="00601402" w:rsidRDefault="00596BE0" w:rsidP="00596BE0">
            <w:pPr>
              <w:pStyle w:val="Ttol1"/>
              <w:spacing w:before="0" w:beforeAutospacing="0" w:after="0" w:afterAutospacing="0"/>
              <w:rPr>
                <w:rFonts w:ascii="Arial" w:hAnsi="Arial" w:cs="Arial"/>
                <w:b/>
                <w:sz w:val="16"/>
                <w:szCs w:val="16"/>
              </w:rPr>
            </w:pPr>
            <w:r w:rsidRPr="00601402">
              <w:rPr>
                <w:rFonts w:ascii="Arial" w:hAnsi="Arial" w:cs="Arial"/>
                <w:b/>
                <w:sz w:val="16"/>
                <w:szCs w:val="16"/>
                <w:shd w:val="clear" w:color="auto" w:fill="FFFFFF"/>
              </w:rPr>
              <w:t xml:space="preserve">Table </w:t>
            </w:r>
            <w:r>
              <w:rPr>
                <w:rFonts w:ascii="Arial" w:hAnsi="Arial" w:cs="Arial"/>
                <w:b/>
                <w:sz w:val="16"/>
                <w:szCs w:val="16"/>
                <w:shd w:val="clear" w:color="auto" w:fill="FFFFFF"/>
              </w:rPr>
              <w:t>S</w:t>
            </w:r>
            <w:r w:rsidR="004C505F">
              <w:rPr>
                <w:rFonts w:ascii="Arial" w:hAnsi="Arial" w:cs="Arial"/>
                <w:b/>
                <w:sz w:val="16"/>
                <w:szCs w:val="16"/>
                <w:shd w:val="clear" w:color="auto" w:fill="FFFFFF"/>
              </w:rPr>
              <w:t>4</w:t>
            </w:r>
            <w:r w:rsidR="00FD3FC4">
              <w:rPr>
                <w:rFonts w:ascii="Arial" w:hAnsi="Arial" w:cs="Arial"/>
                <w:b/>
                <w:sz w:val="16"/>
                <w:szCs w:val="16"/>
                <w:shd w:val="clear" w:color="auto" w:fill="FFFFFF"/>
              </w:rPr>
              <w:t>8</w:t>
            </w:r>
            <w:r w:rsidRPr="00601402">
              <w:rPr>
                <w:rFonts w:ascii="Arial" w:hAnsi="Arial" w:cs="Arial"/>
                <w:b/>
                <w:sz w:val="16"/>
                <w:szCs w:val="16"/>
                <w:shd w:val="clear" w:color="auto" w:fill="FFFFFF"/>
              </w:rPr>
              <w:t xml:space="preserve">: Summary of findings </w:t>
            </w:r>
            <w:proofErr w:type="gramStart"/>
            <w:r w:rsidRPr="00601402">
              <w:rPr>
                <w:rFonts w:ascii="Arial" w:hAnsi="Arial" w:cs="Arial"/>
                <w:b/>
                <w:sz w:val="16"/>
                <w:szCs w:val="16"/>
                <w:shd w:val="clear" w:color="auto" w:fill="FFFFFF"/>
              </w:rPr>
              <w:t xml:space="preserve">of  </w:t>
            </w:r>
            <w:r w:rsidRPr="00601402">
              <w:rPr>
                <w:rFonts w:ascii="Arial" w:hAnsi="Arial" w:cs="Arial"/>
                <w:b/>
                <w:bCs/>
                <w:sz w:val="16"/>
                <w:szCs w:val="16"/>
              </w:rPr>
              <w:t>Reslizumab</w:t>
            </w:r>
            <w:proofErr w:type="gramEnd"/>
            <w:r w:rsidRPr="00601402">
              <w:rPr>
                <w:rFonts w:ascii="Arial" w:hAnsi="Arial" w:cs="Arial"/>
                <w:b/>
                <w:bCs/>
                <w:sz w:val="16"/>
                <w:szCs w:val="16"/>
              </w:rPr>
              <w:t xml:space="preserve"> compared to standard of care for eosinophilic asthma</w:t>
            </w:r>
          </w:p>
        </w:tc>
      </w:tr>
      <w:tr w:rsidR="00596BE0" w:rsidRPr="00601402" w14:paraId="3228F8C1" w14:textId="77777777" w:rsidTr="00596BE0">
        <w:trPr>
          <w:cantSplit/>
          <w:tblHeader/>
        </w:trPr>
        <w:tc>
          <w:tcPr>
            <w:tcW w:w="1319" w:type="pct"/>
            <w:vMerge w:val="restart"/>
            <w:tcBorders>
              <w:top w:val="single" w:sz="12" w:space="0" w:color="000000"/>
              <w:left w:val="nil"/>
              <w:bottom w:val="single" w:sz="6" w:space="0" w:color="000000"/>
              <w:right w:val="nil"/>
            </w:tcBorders>
            <w:shd w:val="clear" w:color="auto" w:fill="3271AA"/>
            <w:vAlign w:val="center"/>
          </w:tcPr>
          <w:p w14:paraId="0CE6DD19" w14:textId="77777777" w:rsidR="00596BE0" w:rsidRPr="00601402" w:rsidRDefault="00596BE0" w:rsidP="00596BE0">
            <w:pPr>
              <w:pStyle w:val="NormalWeb"/>
              <w:spacing w:before="0" w:beforeAutospacing="0" w:after="0" w:afterAutospacing="0"/>
              <w:rPr>
                <w:rFonts w:ascii="Arial" w:hAnsi="Arial" w:cs="Arial"/>
                <w:b/>
                <w:bCs/>
                <w:color w:val="FFFFFF"/>
                <w:sz w:val="16"/>
                <w:szCs w:val="16"/>
              </w:rPr>
            </w:pPr>
            <w:r w:rsidRPr="00601402">
              <w:rPr>
                <w:rFonts w:ascii="Arial" w:hAnsi="Arial" w:cs="Arial"/>
                <w:b/>
                <w:bCs/>
                <w:color w:val="FFFFFF"/>
                <w:sz w:val="16"/>
                <w:szCs w:val="16"/>
              </w:rPr>
              <w:t>Outcomes</w:t>
            </w:r>
          </w:p>
        </w:tc>
        <w:tc>
          <w:tcPr>
            <w:tcW w:w="995" w:type="pct"/>
            <w:vMerge w:val="restart"/>
            <w:tcBorders>
              <w:top w:val="single" w:sz="12" w:space="0" w:color="000000"/>
              <w:left w:val="nil"/>
              <w:bottom w:val="single" w:sz="6" w:space="0" w:color="000000"/>
              <w:right w:val="nil"/>
            </w:tcBorders>
            <w:shd w:val="clear" w:color="auto" w:fill="3271AA"/>
            <w:vAlign w:val="center"/>
          </w:tcPr>
          <w:p w14:paraId="0FBCD32A" w14:textId="77777777" w:rsidR="00596BE0" w:rsidRPr="00601402" w:rsidRDefault="00596BE0" w:rsidP="00596BE0">
            <w:pPr>
              <w:pStyle w:val="NormalWeb"/>
              <w:spacing w:before="0" w:beforeAutospacing="0" w:after="0" w:afterAutospacing="0"/>
              <w:rPr>
                <w:rFonts w:ascii="Arial" w:hAnsi="Arial" w:cs="Arial"/>
                <w:b/>
                <w:bCs/>
                <w:color w:val="FFFFFF"/>
                <w:sz w:val="16"/>
                <w:szCs w:val="16"/>
              </w:rPr>
            </w:pPr>
            <w:r w:rsidRPr="00601402">
              <w:rPr>
                <w:rFonts w:ascii="Arial" w:hAnsi="Arial" w:cs="Arial"/>
                <w:b/>
                <w:bCs/>
                <w:color w:val="FFFFFF"/>
                <w:sz w:val="16"/>
                <w:szCs w:val="16"/>
              </w:rPr>
              <w:t>№ of participants</w:t>
            </w:r>
            <w:r w:rsidRPr="00601402">
              <w:rPr>
                <w:rFonts w:ascii="Arial" w:hAnsi="Arial" w:cs="Arial"/>
                <w:b/>
                <w:bCs/>
                <w:color w:val="FFFFFF"/>
                <w:sz w:val="16"/>
                <w:szCs w:val="16"/>
              </w:rPr>
              <w:br/>
              <w:t>(studies)</w:t>
            </w:r>
            <w:r w:rsidRPr="00601402">
              <w:rPr>
                <w:rFonts w:ascii="Arial" w:hAnsi="Arial" w:cs="Arial"/>
                <w:b/>
                <w:bCs/>
                <w:color w:val="FFFFFF"/>
                <w:sz w:val="16"/>
                <w:szCs w:val="16"/>
              </w:rPr>
              <w:br/>
              <w:t>Follow-up (mean or range)</w:t>
            </w:r>
          </w:p>
        </w:tc>
        <w:tc>
          <w:tcPr>
            <w:tcW w:w="0" w:type="auto"/>
            <w:vMerge w:val="restart"/>
            <w:tcBorders>
              <w:top w:val="single" w:sz="12" w:space="0" w:color="000000"/>
              <w:left w:val="nil"/>
              <w:bottom w:val="single" w:sz="6" w:space="0" w:color="000000"/>
              <w:right w:val="nil"/>
            </w:tcBorders>
            <w:shd w:val="clear" w:color="auto" w:fill="3271AA"/>
            <w:vAlign w:val="center"/>
          </w:tcPr>
          <w:p w14:paraId="59FDA5E2" w14:textId="77777777" w:rsidR="00596BE0" w:rsidRPr="00601402" w:rsidRDefault="00596BE0" w:rsidP="00596BE0">
            <w:pPr>
              <w:pStyle w:val="NormalWeb"/>
              <w:spacing w:before="0" w:beforeAutospacing="0" w:after="0" w:afterAutospacing="0"/>
              <w:rPr>
                <w:rFonts w:ascii="Arial" w:hAnsi="Arial" w:cs="Arial"/>
                <w:b/>
                <w:bCs/>
                <w:color w:val="FFFFFF"/>
                <w:sz w:val="16"/>
                <w:szCs w:val="16"/>
              </w:rPr>
            </w:pPr>
            <w:r w:rsidRPr="00601402">
              <w:rPr>
                <w:rFonts w:ascii="Arial" w:hAnsi="Arial" w:cs="Arial"/>
                <w:b/>
                <w:bCs/>
                <w:color w:val="FFFFFF"/>
                <w:sz w:val="16"/>
                <w:szCs w:val="16"/>
              </w:rPr>
              <w:t>Certainty of the evidence</w:t>
            </w:r>
            <w:r w:rsidRPr="00601402">
              <w:rPr>
                <w:rFonts w:ascii="Arial" w:hAnsi="Arial" w:cs="Arial"/>
                <w:b/>
                <w:bCs/>
                <w:color w:val="FFFFFF"/>
                <w:sz w:val="16"/>
                <w:szCs w:val="16"/>
              </w:rPr>
              <w:br/>
              <w:t>(GRADE)</w:t>
            </w:r>
          </w:p>
        </w:tc>
        <w:tc>
          <w:tcPr>
            <w:tcW w:w="0" w:type="auto"/>
            <w:vMerge w:val="restart"/>
            <w:tcBorders>
              <w:top w:val="single" w:sz="12" w:space="0" w:color="000000"/>
              <w:left w:val="nil"/>
              <w:bottom w:val="single" w:sz="6" w:space="0" w:color="000000"/>
              <w:right w:val="nil"/>
            </w:tcBorders>
            <w:shd w:val="clear" w:color="auto" w:fill="3271AA"/>
            <w:vAlign w:val="center"/>
          </w:tcPr>
          <w:p w14:paraId="72D1AEB5" w14:textId="77777777" w:rsidR="00596BE0" w:rsidRPr="00601402" w:rsidRDefault="00596BE0" w:rsidP="00596BE0">
            <w:pPr>
              <w:pStyle w:val="NormalWeb"/>
              <w:spacing w:before="0" w:beforeAutospacing="0" w:after="0" w:afterAutospacing="0"/>
              <w:rPr>
                <w:rFonts w:ascii="Arial" w:hAnsi="Arial" w:cs="Arial"/>
                <w:b/>
                <w:bCs/>
                <w:color w:val="FFFFFF"/>
                <w:sz w:val="16"/>
                <w:szCs w:val="16"/>
              </w:rPr>
            </w:pPr>
            <w:r w:rsidRPr="00601402">
              <w:rPr>
                <w:rFonts w:ascii="Arial" w:hAnsi="Arial" w:cs="Arial"/>
                <w:b/>
                <w:bCs/>
                <w:color w:val="FFFFFF"/>
                <w:sz w:val="16"/>
                <w:szCs w:val="16"/>
              </w:rPr>
              <w:t>Relative effect</w:t>
            </w:r>
            <w:r w:rsidRPr="00601402">
              <w:rPr>
                <w:rFonts w:ascii="Arial" w:hAnsi="Arial" w:cs="Arial"/>
                <w:b/>
                <w:bCs/>
                <w:color w:val="FFFFFF"/>
                <w:sz w:val="16"/>
                <w:szCs w:val="16"/>
              </w:rPr>
              <w:br/>
              <w:t>(95% CI)</w:t>
            </w:r>
          </w:p>
        </w:tc>
        <w:tc>
          <w:tcPr>
            <w:tcW w:w="0" w:type="auto"/>
            <w:gridSpan w:val="2"/>
            <w:tcBorders>
              <w:top w:val="single" w:sz="12" w:space="0" w:color="000000"/>
              <w:left w:val="nil"/>
              <w:bottom w:val="single" w:sz="6" w:space="0" w:color="000000"/>
              <w:right w:val="nil"/>
            </w:tcBorders>
            <w:shd w:val="clear" w:color="auto" w:fill="D3D3D3"/>
            <w:vAlign w:val="center"/>
          </w:tcPr>
          <w:p w14:paraId="71284D43" w14:textId="77777777" w:rsidR="00596BE0" w:rsidRPr="00601402" w:rsidRDefault="00596BE0" w:rsidP="00596BE0">
            <w:pPr>
              <w:pStyle w:val="NormalWeb"/>
              <w:spacing w:before="0" w:beforeAutospacing="0" w:after="0" w:afterAutospacing="0"/>
              <w:rPr>
                <w:rFonts w:ascii="Arial" w:hAnsi="Arial" w:cs="Arial"/>
                <w:b/>
                <w:bCs/>
                <w:color w:val="000000"/>
                <w:sz w:val="16"/>
                <w:szCs w:val="16"/>
              </w:rPr>
            </w:pPr>
            <w:r w:rsidRPr="00601402">
              <w:rPr>
                <w:rFonts w:ascii="Arial" w:hAnsi="Arial" w:cs="Arial"/>
                <w:b/>
                <w:bCs/>
                <w:color w:val="000000"/>
                <w:sz w:val="16"/>
                <w:szCs w:val="16"/>
              </w:rPr>
              <w:t>Anticipated absolute effects</w:t>
            </w:r>
          </w:p>
        </w:tc>
      </w:tr>
      <w:tr w:rsidR="00596BE0" w:rsidRPr="00601402" w14:paraId="6A28D82F" w14:textId="77777777" w:rsidTr="00596BE0">
        <w:trPr>
          <w:cantSplit/>
          <w:tblHeader/>
        </w:trPr>
        <w:tc>
          <w:tcPr>
            <w:tcW w:w="1319" w:type="pct"/>
            <w:vMerge/>
            <w:tcBorders>
              <w:top w:val="single" w:sz="12" w:space="0" w:color="000000"/>
              <w:left w:val="nil"/>
              <w:bottom w:val="single" w:sz="6" w:space="0" w:color="000000"/>
              <w:right w:val="nil"/>
            </w:tcBorders>
            <w:vAlign w:val="center"/>
          </w:tcPr>
          <w:p w14:paraId="68DBCFDD" w14:textId="77777777" w:rsidR="00596BE0" w:rsidRPr="00601402" w:rsidRDefault="00596BE0" w:rsidP="00596BE0">
            <w:pPr>
              <w:rPr>
                <w:rFonts w:ascii="Arial" w:hAnsi="Arial" w:cs="Arial"/>
                <w:b/>
                <w:bCs/>
                <w:color w:val="FFFFFF"/>
                <w:sz w:val="16"/>
                <w:szCs w:val="16"/>
              </w:rPr>
            </w:pPr>
          </w:p>
        </w:tc>
        <w:tc>
          <w:tcPr>
            <w:tcW w:w="995" w:type="pct"/>
            <w:vMerge/>
            <w:tcBorders>
              <w:top w:val="single" w:sz="12" w:space="0" w:color="000000"/>
              <w:left w:val="nil"/>
              <w:bottom w:val="single" w:sz="6" w:space="0" w:color="000000"/>
              <w:right w:val="nil"/>
            </w:tcBorders>
            <w:vAlign w:val="center"/>
          </w:tcPr>
          <w:p w14:paraId="53C243A0" w14:textId="77777777" w:rsidR="00596BE0" w:rsidRPr="00601402" w:rsidRDefault="00596BE0" w:rsidP="00596BE0">
            <w:pPr>
              <w:rPr>
                <w:rFonts w:ascii="Arial" w:hAnsi="Arial" w:cs="Arial"/>
                <w:b/>
                <w:bCs/>
                <w:color w:val="FFFFFF"/>
                <w:sz w:val="16"/>
                <w:szCs w:val="16"/>
              </w:rPr>
            </w:pPr>
          </w:p>
        </w:tc>
        <w:tc>
          <w:tcPr>
            <w:tcW w:w="0" w:type="auto"/>
            <w:vMerge/>
            <w:tcBorders>
              <w:top w:val="single" w:sz="12" w:space="0" w:color="000000"/>
              <w:left w:val="nil"/>
              <w:bottom w:val="single" w:sz="6" w:space="0" w:color="000000"/>
              <w:right w:val="nil"/>
            </w:tcBorders>
            <w:vAlign w:val="center"/>
          </w:tcPr>
          <w:p w14:paraId="5EA93201" w14:textId="77777777" w:rsidR="00596BE0" w:rsidRPr="00601402" w:rsidRDefault="00596BE0" w:rsidP="00596BE0">
            <w:pPr>
              <w:rPr>
                <w:rFonts w:ascii="Arial" w:hAnsi="Arial" w:cs="Arial"/>
                <w:b/>
                <w:bCs/>
                <w:color w:val="FFFFFF"/>
                <w:sz w:val="16"/>
                <w:szCs w:val="16"/>
              </w:rPr>
            </w:pPr>
          </w:p>
        </w:tc>
        <w:tc>
          <w:tcPr>
            <w:tcW w:w="0" w:type="auto"/>
            <w:vMerge/>
            <w:tcBorders>
              <w:top w:val="single" w:sz="12" w:space="0" w:color="000000"/>
              <w:left w:val="nil"/>
              <w:bottom w:val="single" w:sz="6" w:space="0" w:color="000000"/>
              <w:right w:val="nil"/>
            </w:tcBorders>
            <w:vAlign w:val="center"/>
          </w:tcPr>
          <w:p w14:paraId="1BF04B40" w14:textId="77777777" w:rsidR="00596BE0" w:rsidRPr="00601402" w:rsidRDefault="00596BE0" w:rsidP="00596BE0">
            <w:pPr>
              <w:rPr>
                <w:rFonts w:ascii="Arial" w:hAnsi="Arial" w:cs="Arial"/>
                <w:b/>
                <w:bCs/>
                <w:color w:val="FFFFFF"/>
                <w:sz w:val="16"/>
                <w:szCs w:val="16"/>
              </w:rPr>
            </w:pPr>
          </w:p>
        </w:tc>
        <w:tc>
          <w:tcPr>
            <w:tcW w:w="0" w:type="auto"/>
            <w:tcBorders>
              <w:top w:val="single" w:sz="12" w:space="0" w:color="000000"/>
              <w:left w:val="nil"/>
              <w:bottom w:val="single" w:sz="6" w:space="0" w:color="000000"/>
              <w:right w:val="nil"/>
            </w:tcBorders>
            <w:shd w:val="clear" w:color="auto" w:fill="D3D3D3"/>
            <w:vAlign w:val="center"/>
          </w:tcPr>
          <w:p w14:paraId="6C838587" w14:textId="77777777" w:rsidR="00596BE0" w:rsidRPr="00601402" w:rsidRDefault="00596BE0" w:rsidP="00596BE0">
            <w:pPr>
              <w:pStyle w:val="NormalWeb"/>
              <w:spacing w:before="0" w:beforeAutospacing="0" w:after="0" w:afterAutospacing="0"/>
              <w:rPr>
                <w:rFonts w:ascii="Arial" w:hAnsi="Arial" w:cs="Arial"/>
                <w:b/>
                <w:bCs/>
                <w:color w:val="000000"/>
                <w:sz w:val="16"/>
                <w:szCs w:val="16"/>
              </w:rPr>
            </w:pPr>
            <w:r w:rsidRPr="00601402">
              <w:rPr>
                <w:rFonts w:ascii="Arial" w:hAnsi="Arial" w:cs="Arial"/>
                <w:b/>
                <w:bCs/>
                <w:color w:val="000000"/>
                <w:sz w:val="16"/>
                <w:szCs w:val="16"/>
              </w:rPr>
              <w:t>Risk with standard of care</w:t>
            </w:r>
          </w:p>
        </w:tc>
        <w:tc>
          <w:tcPr>
            <w:tcW w:w="0" w:type="auto"/>
            <w:tcBorders>
              <w:top w:val="single" w:sz="12" w:space="0" w:color="000000"/>
              <w:left w:val="nil"/>
              <w:bottom w:val="single" w:sz="6" w:space="0" w:color="000000"/>
              <w:right w:val="nil"/>
            </w:tcBorders>
            <w:shd w:val="clear" w:color="auto" w:fill="D3D3D3"/>
            <w:vAlign w:val="center"/>
          </w:tcPr>
          <w:p w14:paraId="0CA67D7D" w14:textId="77777777" w:rsidR="00596BE0" w:rsidRPr="00601402" w:rsidRDefault="00596BE0" w:rsidP="00596BE0">
            <w:pPr>
              <w:pStyle w:val="NormalWeb"/>
              <w:spacing w:before="0" w:beforeAutospacing="0" w:after="0" w:afterAutospacing="0"/>
              <w:rPr>
                <w:rFonts w:ascii="Arial" w:hAnsi="Arial" w:cs="Arial"/>
                <w:b/>
                <w:bCs/>
                <w:color w:val="000000"/>
                <w:sz w:val="16"/>
                <w:szCs w:val="16"/>
              </w:rPr>
            </w:pPr>
            <w:r w:rsidRPr="00601402">
              <w:rPr>
                <w:rFonts w:ascii="Arial" w:hAnsi="Arial" w:cs="Arial"/>
                <w:b/>
                <w:bCs/>
                <w:color w:val="000000"/>
                <w:sz w:val="16"/>
                <w:szCs w:val="16"/>
              </w:rPr>
              <w:t>Risk difference with reslizumab</w:t>
            </w:r>
          </w:p>
        </w:tc>
      </w:tr>
      <w:tr w:rsidR="00596BE0" w:rsidRPr="00601402" w14:paraId="164F8FCA" w14:textId="77777777" w:rsidTr="00596BE0">
        <w:trPr>
          <w:cantSplit/>
          <w:trHeight w:val="489"/>
        </w:trPr>
        <w:tc>
          <w:tcPr>
            <w:tcW w:w="1319" w:type="pct"/>
            <w:tcBorders>
              <w:top w:val="single" w:sz="6" w:space="0" w:color="000000"/>
              <w:left w:val="nil"/>
              <w:bottom w:val="single" w:sz="6" w:space="0" w:color="000000"/>
              <w:right w:val="nil"/>
            </w:tcBorders>
            <w:vAlign w:val="center"/>
          </w:tcPr>
          <w:p w14:paraId="3BFA709F" w14:textId="77777777" w:rsidR="00596BE0" w:rsidRPr="00601402" w:rsidRDefault="00596BE0" w:rsidP="00596BE0">
            <w:pPr>
              <w:rPr>
                <w:rStyle w:val="label"/>
                <w:rFonts w:ascii="Arial" w:hAnsi="Arial" w:cs="Arial"/>
                <w:sz w:val="16"/>
                <w:szCs w:val="16"/>
              </w:rPr>
            </w:pPr>
            <w:r w:rsidRPr="00601402">
              <w:rPr>
                <w:rStyle w:val="label"/>
                <w:rFonts w:ascii="Arial" w:hAnsi="Arial" w:cs="Arial"/>
                <w:b/>
                <w:sz w:val="16"/>
                <w:szCs w:val="16"/>
              </w:rPr>
              <w:t>Exacerbations</w:t>
            </w:r>
            <w:r w:rsidRPr="00601402">
              <w:rPr>
                <w:rStyle w:val="label"/>
                <w:rFonts w:ascii="Arial" w:hAnsi="Arial" w:cs="Arial"/>
                <w:sz w:val="16"/>
                <w:szCs w:val="16"/>
              </w:rPr>
              <w:t xml:space="preserve"> </w:t>
            </w:r>
          </w:p>
          <w:p w14:paraId="11BF4CAC" w14:textId="77777777" w:rsidR="00596BE0" w:rsidRPr="00601402" w:rsidRDefault="00596BE0" w:rsidP="00596BE0">
            <w:pPr>
              <w:rPr>
                <w:rFonts w:ascii="Arial" w:hAnsi="Arial" w:cs="Arial"/>
                <w:sz w:val="16"/>
                <w:szCs w:val="16"/>
              </w:rPr>
            </w:pPr>
            <w:r w:rsidRPr="00601402">
              <w:rPr>
                <w:rStyle w:val="label"/>
                <w:rFonts w:ascii="Arial" w:hAnsi="Arial" w:cs="Arial"/>
                <w:sz w:val="16"/>
                <w:szCs w:val="16"/>
              </w:rPr>
              <w:t>Assessed with annualised rate of asthma exacerbations</w:t>
            </w:r>
            <w:r w:rsidRPr="00601402">
              <w:rPr>
                <w:rStyle w:val="label"/>
                <w:rFonts w:ascii="Arial" w:hAnsi="Arial" w:cs="Arial"/>
                <w:sz w:val="16"/>
                <w:szCs w:val="16"/>
                <w:vertAlign w:val="superscript"/>
              </w:rPr>
              <w:t>a</w:t>
            </w:r>
          </w:p>
        </w:tc>
        <w:tc>
          <w:tcPr>
            <w:tcW w:w="995" w:type="pct"/>
            <w:tcBorders>
              <w:top w:val="single" w:sz="6" w:space="0" w:color="000000"/>
              <w:left w:val="nil"/>
              <w:bottom w:val="single" w:sz="6" w:space="0" w:color="000000"/>
              <w:right w:val="nil"/>
            </w:tcBorders>
            <w:vAlign w:val="center"/>
          </w:tcPr>
          <w:p w14:paraId="72ED0BD8" w14:textId="77777777" w:rsidR="00596BE0" w:rsidRPr="00601402" w:rsidRDefault="00596BE0" w:rsidP="00596BE0">
            <w:pPr>
              <w:rPr>
                <w:rFonts w:ascii="Arial" w:hAnsi="Arial" w:cs="Arial"/>
                <w:sz w:val="16"/>
                <w:szCs w:val="16"/>
                <w:vertAlign w:val="superscript"/>
              </w:rPr>
            </w:pPr>
            <w:r w:rsidRPr="00601402">
              <w:rPr>
                <w:rFonts w:ascii="Arial" w:hAnsi="Arial" w:cs="Arial"/>
                <w:sz w:val="16"/>
                <w:szCs w:val="16"/>
              </w:rPr>
              <w:t>1059</w:t>
            </w:r>
            <w:r w:rsidRPr="00601402">
              <w:rPr>
                <w:rFonts w:ascii="Arial" w:hAnsi="Arial" w:cs="Arial"/>
                <w:sz w:val="16"/>
                <w:szCs w:val="16"/>
              </w:rPr>
              <w:br/>
              <w:t xml:space="preserve">(3 RCTs) </w:t>
            </w:r>
            <w:r w:rsidRPr="00601402">
              <w:rPr>
                <w:rFonts w:ascii="Arial" w:hAnsi="Arial" w:cs="Arial"/>
                <w:sz w:val="16"/>
                <w:szCs w:val="16"/>
                <w:vertAlign w:val="superscript"/>
              </w:rPr>
              <w:t>1</w:t>
            </w:r>
            <w:r w:rsidRPr="00601402">
              <w:rPr>
                <w:rStyle w:val="comma"/>
                <w:rFonts w:ascii="Arial" w:hAnsi="Arial" w:cs="Arial"/>
                <w:sz w:val="16"/>
                <w:szCs w:val="16"/>
                <w:vertAlign w:val="superscript"/>
              </w:rPr>
              <w:t>,</w:t>
            </w:r>
            <w:r w:rsidRPr="00601402">
              <w:rPr>
                <w:rFonts w:ascii="Arial" w:hAnsi="Arial" w:cs="Arial"/>
                <w:sz w:val="16"/>
                <w:szCs w:val="16"/>
                <w:vertAlign w:val="superscript"/>
              </w:rPr>
              <w:t>2</w:t>
            </w:r>
          </w:p>
          <w:p w14:paraId="0AEC4180" w14:textId="77777777" w:rsidR="00596BE0" w:rsidRPr="00601402" w:rsidRDefault="00596BE0" w:rsidP="00596BE0">
            <w:pPr>
              <w:rPr>
                <w:rFonts w:ascii="Arial" w:hAnsi="Arial" w:cs="Arial"/>
                <w:sz w:val="16"/>
                <w:szCs w:val="16"/>
              </w:rPr>
            </w:pPr>
            <w:r w:rsidRPr="00601402">
              <w:rPr>
                <w:rStyle w:val="label"/>
                <w:rFonts w:ascii="Arial" w:hAnsi="Arial" w:cs="Arial"/>
                <w:sz w:val="16"/>
                <w:szCs w:val="16"/>
              </w:rPr>
              <w:t>52 weeks</w:t>
            </w:r>
            <w:r w:rsidRPr="00601402">
              <w:rPr>
                <w:rFonts w:ascii="Arial" w:hAnsi="Arial" w:cs="Arial"/>
                <w:sz w:val="16"/>
                <w:szCs w:val="16"/>
              </w:rPr>
              <w:t xml:space="preserve"> </w:t>
            </w:r>
          </w:p>
        </w:tc>
        <w:tc>
          <w:tcPr>
            <w:tcW w:w="686" w:type="pct"/>
            <w:tcBorders>
              <w:top w:val="single" w:sz="6" w:space="0" w:color="000000"/>
              <w:left w:val="nil"/>
              <w:bottom w:val="single" w:sz="6" w:space="0" w:color="000000"/>
              <w:right w:val="nil"/>
            </w:tcBorders>
            <w:vAlign w:val="center"/>
          </w:tcPr>
          <w:p w14:paraId="249991DC" w14:textId="77777777" w:rsidR="00596BE0" w:rsidRPr="00601402" w:rsidRDefault="00596BE0" w:rsidP="00596BE0">
            <w:pPr>
              <w:rPr>
                <w:rFonts w:ascii="Arial" w:hAnsi="Arial" w:cs="Arial"/>
                <w:sz w:val="16"/>
                <w:szCs w:val="16"/>
              </w:rPr>
            </w:pPr>
            <w:r w:rsidRPr="00601402">
              <w:rPr>
                <w:rStyle w:val="quality-sign"/>
                <w:rFonts w:ascii="Cambria Math" w:hAnsi="Cambria Math" w:cs="Cambria Math"/>
                <w:sz w:val="16"/>
                <w:szCs w:val="16"/>
              </w:rPr>
              <w:t>⨁⨁⨁⨁</w:t>
            </w:r>
            <w:r w:rsidRPr="00601402">
              <w:rPr>
                <w:rFonts w:ascii="Arial" w:hAnsi="Arial" w:cs="Arial"/>
                <w:sz w:val="16"/>
                <w:szCs w:val="16"/>
              </w:rPr>
              <w:br/>
            </w:r>
            <w:r w:rsidRPr="00601402">
              <w:rPr>
                <w:rStyle w:val="quality-text"/>
                <w:rFonts w:ascii="Arial" w:hAnsi="Arial" w:cs="Arial"/>
                <w:sz w:val="16"/>
                <w:szCs w:val="16"/>
              </w:rPr>
              <w:t>HIGH</w:t>
            </w:r>
            <w:r w:rsidRPr="00601402">
              <w:rPr>
                <w:rFonts w:ascii="Arial" w:hAnsi="Arial" w:cs="Arial"/>
                <w:sz w:val="16"/>
                <w:szCs w:val="16"/>
              </w:rPr>
              <w:t xml:space="preserve"> </w:t>
            </w:r>
            <w:proofErr w:type="gramStart"/>
            <w:r w:rsidRPr="00601402">
              <w:rPr>
                <w:rFonts w:ascii="Arial" w:hAnsi="Arial" w:cs="Arial"/>
                <w:sz w:val="16"/>
                <w:szCs w:val="16"/>
                <w:vertAlign w:val="superscript"/>
              </w:rPr>
              <w:t>3</w:t>
            </w:r>
            <w:r w:rsidRPr="00601402">
              <w:rPr>
                <w:rStyle w:val="comma"/>
                <w:rFonts w:ascii="Arial" w:hAnsi="Arial" w:cs="Arial"/>
                <w:sz w:val="16"/>
                <w:szCs w:val="16"/>
                <w:vertAlign w:val="superscript"/>
              </w:rPr>
              <w:t>,</w:t>
            </w:r>
            <w:r w:rsidRPr="00601402">
              <w:rPr>
                <w:rFonts w:ascii="Arial" w:hAnsi="Arial" w:cs="Arial"/>
                <w:sz w:val="16"/>
                <w:szCs w:val="16"/>
                <w:vertAlign w:val="superscript"/>
              </w:rPr>
              <w:t>b</w:t>
            </w:r>
            <w:proofErr w:type="gramEnd"/>
          </w:p>
        </w:tc>
        <w:tc>
          <w:tcPr>
            <w:tcW w:w="572" w:type="pct"/>
            <w:tcBorders>
              <w:top w:val="single" w:sz="6" w:space="0" w:color="000000"/>
              <w:left w:val="nil"/>
              <w:bottom w:val="single" w:sz="6" w:space="0" w:color="000000"/>
              <w:right w:val="nil"/>
            </w:tcBorders>
            <w:vAlign w:val="center"/>
          </w:tcPr>
          <w:p w14:paraId="327D6DE7" w14:textId="284A0269" w:rsidR="00596BE0" w:rsidRPr="00601402" w:rsidRDefault="00256864" w:rsidP="00596BE0">
            <w:pPr>
              <w:rPr>
                <w:rFonts w:ascii="Arial" w:hAnsi="Arial" w:cs="Arial"/>
                <w:sz w:val="16"/>
                <w:szCs w:val="16"/>
              </w:rPr>
            </w:pPr>
            <w:r>
              <w:rPr>
                <w:rStyle w:val="block"/>
                <w:rFonts w:ascii="Arial" w:hAnsi="Arial" w:cs="Arial"/>
                <w:b/>
                <w:bCs/>
                <w:sz w:val="16"/>
                <w:szCs w:val="16"/>
              </w:rPr>
              <w:t>Incidence r</w:t>
            </w:r>
            <w:r w:rsidR="00596BE0" w:rsidRPr="00601402">
              <w:rPr>
                <w:rStyle w:val="block"/>
                <w:rFonts w:ascii="Arial" w:hAnsi="Arial" w:cs="Arial"/>
                <w:b/>
                <w:bCs/>
                <w:sz w:val="16"/>
                <w:szCs w:val="16"/>
              </w:rPr>
              <w:t>ate ratio 0.46</w:t>
            </w:r>
            <w:r w:rsidR="00596BE0" w:rsidRPr="00601402">
              <w:rPr>
                <w:rFonts w:ascii="Arial" w:hAnsi="Arial" w:cs="Arial"/>
                <w:sz w:val="16"/>
                <w:szCs w:val="16"/>
              </w:rPr>
              <w:br/>
            </w:r>
            <w:r w:rsidR="00596BE0" w:rsidRPr="00601402">
              <w:rPr>
                <w:rStyle w:val="cell"/>
                <w:rFonts w:ascii="Arial" w:hAnsi="Arial" w:cs="Arial"/>
                <w:sz w:val="16"/>
                <w:szCs w:val="16"/>
              </w:rPr>
              <w:t>(0.37 to 0.58)</w:t>
            </w:r>
            <w:r w:rsidR="00596BE0" w:rsidRPr="00601402">
              <w:rPr>
                <w:rFonts w:ascii="Arial" w:hAnsi="Arial" w:cs="Arial"/>
                <w:sz w:val="16"/>
                <w:szCs w:val="16"/>
              </w:rPr>
              <w:t xml:space="preserve"> </w:t>
            </w:r>
            <w:r w:rsidR="00596BE0" w:rsidRPr="00601402">
              <w:rPr>
                <w:rFonts w:ascii="Arial" w:hAnsi="Arial" w:cs="Arial"/>
                <w:sz w:val="16"/>
                <w:szCs w:val="16"/>
                <w:vertAlign w:val="superscript"/>
              </w:rPr>
              <w:t>c</w:t>
            </w:r>
          </w:p>
        </w:tc>
        <w:tc>
          <w:tcPr>
            <w:tcW w:w="0" w:type="auto"/>
            <w:tcBorders>
              <w:top w:val="single" w:sz="6" w:space="0" w:color="000000"/>
              <w:left w:val="nil"/>
              <w:right w:val="nil"/>
            </w:tcBorders>
            <w:shd w:val="clear" w:color="auto" w:fill="E0E0E0"/>
            <w:vAlign w:val="center"/>
          </w:tcPr>
          <w:p w14:paraId="10EE0D9D" w14:textId="77777777" w:rsidR="00596BE0" w:rsidRPr="00601402" w:rsidRDefault="00596BE0" w:rsidP="00596BE0">
            <w:pPr>
              <w:rPr>
                <w:rFonts w:ascii="Arial" w:hAnsi="Arial" w:cs="Arial"/>
                <w:sz w:val="16"/>
                <w:szCs w:val="16"/>
              </w:rPr>
            </w:pPr>
            <w:r w:rsidRPr="00601402">
              <w:rPr>
                <w:rFonts w:ascii="Arial" w:hAnsi="Arial" w:cs="Arial"/>
                <w:sz w:val="16"/>
                <w:szCs w:val="16"/>
              </w:rPr>
              <w:t xml:space="preserve">1800 exacerbations per 1000 patients per year  </w:t>
            </w:r>
          </w:p>
        </w:tc>
        <w:tc>
          <w:tcPr>
            <w:tcW w:w="0" w:type="auto"/>
            <w:tcBorders>
              <w:top w:val="single" w:sz="6" w:space="0" w:color="000000"/>
              <w:left w:val="nil"/>
              <w:right w:val="nil"/>
            </w:tcBorders>
            <w:shd w:val="clear" w:color="auto" w:fill="E0E0E0"/>
            <w:vAlign w:val="center"/>
          </w:tcPr>
          <w:p w14:paraId="178CF995" w14:textId="77777777" w:rsidR="00596BE0" w:rsidRPr="00601402" w:rsidRDefault="00596BE0" w:rsidP="00596BE0">
            <w:pPr>
              <w:rPr>
                <w:rFonts w:ascii="Arial" w:hAnsi="Arial" w:cs="Arial"/>
                <w:b/>
                <w:bCs/>
                <w:sz w:val="16"/>
                <w:szCs w:val="16"/>
              </w:rPr>
            </w:pPr>
            <w:r w:rsidRPr="00601402">
              <w:rPr>
                <w:rStyle w:val="cell-value"/>
                <w:rFonts w:ascii="Arial" w:hAnsi="Arial" w:cs="Arial"/>
                <w:b/>
                <w:bCs/>
                <w:sz w:val="16"/>
                <w:szCs w:val="16"/>
              </w:rPr>
              <w:t>972 fewer exacerbations per 1000 patients per year</w:t>
            </w:r>
            <w:r w:rsidRPr="00601402">
              <w:rPr>
                <w:rFonts w:ascii="Arial" w:hAnsi="Arial" w:cs="Arial"/>
                <w:sz w:val="16"/>
                <w:szCs w:val="16"/>
              </w:rPr>
              <w:br/>
            </w:r>
            <w:r w:rsidRPr="00601402">
              <w:rPr>
                <w:rStyle w:val="cell-value"/>
                <w:rFonts w:ascii="Arial" w:hAnsi="Arial" w:cs="Arial"/>
                <w:sz w:val="16"/>
                <w:szCs w:val="16"/>
              </w:rPr>
              <w:t>(1134 fewer to 756 fewer)</w:t>
            </w:r>
            <w:r w:rsidRPr="00601402">
              <w:rPr>
                <w:rFonts w:ascii="Arial" w:hAnsi="Arial" w:cs="Arial"/>
                <w:sz w:val="16"/>
                <w:szCs w:val="16"/>
              </w:rPr>
              <w:t xml:space="preserve"> </w:t>
            </w:r>
          </w:p>
        </w:tc>
      </w:tr>
      <w:tr w:rsidR="00596BE0" w:rsidRPr="00601402" w14:paraId="729FAE10" w14:textId="77777777" w:rsidTr="00596BE0">
        <w:trPr>
          <w:cantSplit/>
          <w:trHeight w:val="445"/>
        </w:trPr>
        <w:tc>
          <w:tcPr>
            <w:tcW w:w="1319" w:type="pct"/>
            <w:tcBorders>
              <w:top w:val="single" w:sz="6" w:space="0" w:color="000000"/>
              <w:left w:val="nil"/>
              <w:bottom w:val="single" w:sz="6" w:space="0" w:color="000000"/>
              <w:right w:val="nil"/>
            </w:tcBorders>
            <w:vAlign w:val="center"/>
          </w:tcPr>
          <w:p w14:paraId="054BF6E0" w14:textId="77777777" w:rsidR="00596BE0" w:rsidRPr="00601402" w:rsidRDefault="00596BE0" w:rsidP="00596BE0">
            <w:pPr>
              <w:rPr>
                <w:rFonts w:ascii="Arial" w:hAnsi="Arial" w:cs="Arial"/>
                <w:sz w:val="16"/>
                <w:szCs w:val="16"/>
              </w:rPr>
            </w:pPr>
            <w:r w:rsidRPr="00601402">
              <w:rPr>
                <w:rStyle w:val="label"/>
                <w:rFonts w:ascii="Arial" w:hAnsi="Arial" w:cs="Arial"/>
                <w:b/>
                <w:sz w:val="16"/>
                <w:szCs w:val="16"/>
              </w:rPr>
              <w:t>Exacerbations leading to ER visit or hospitalisation</w:t>
            </w:r>
            <w:r w:rsidRPr="00601402">
              <w:rPr>
                <w:rFonts w:ascii="Arial" w:hAnsi="Arial" w:cs="Arial"/>
                <w:sz w:val="16"/>
                <w:szCs w:val="16"/>
              </w:rPr>
              <w:br/>
            </w:r>
            <w:r w:rsidRPr="00601402">
              <w:rPr>
                <w:rStyle w:val="label"/>
                <w:rFonts w:ascii="Arial" w:hAnsi="Arial" w:cs="Arial"/>
                <w:sz w:val="16"/>
                <w:szCs w:val="16"/>
              </w:rPr>
              <w:t xml:space="preserve">Assessed with annualised rate of asthma exacerbations </w:t>
            </w:r>
          </w:p>
        </w:tc>
        <w:tc>
          <w:tcPr>
            <w:tcW w:w="995" w:type="pct"/>
            <w:tcBorders>
              <w:top w:val="single" w:sz="6" w:space="0" w:color="000000"/>
              <w:left w:val="nil"/>
              <w:bottom w:val="single" w:sz="6" w:space="0" w:color="000000"/>
              <w:right w:val="nil"/>
            </w:tcBorders>
            <w:vAlign w:val="center"/>
          </w:tcPr>
          <w:p w14:paraId="4E4AB595" w14:textId="77777777" w:rsidR="00596BE0" w:rsidRPr="00601402" w:rsidRDefault="00596BE0" w:rsidP="00596BE0">
            <w:pPr>
              <w:rPr>
                <w:rFonts w:ascii="Arial" w:hAnsi="Arial" w:cs="Arial"/>
                <w:sz w:val="16"/>
                <w:szCs w:val="16"/>
                <w:vertAlign w:val="superscript"/>
              </w:rPr>
            </w:pPr>
            <w:r w:rsidRPr="00601402">
              <w:rPr>
                <w:rFonts w:ascii="Arial" w:hAnsi="Arial" w:cs="Arial"/>
                <w:sz w:val="16"/>
                <w:szCs w:val="16"/>
              </w:rPr>
              <w:t>953</w:t>
            </w:r>
            <w:r w:rsidRPr="00601402">
              <w:rPr>
                <w:rFonts w:ascii="Arial" w:hAnsi="Arial" w:cs="Arial"/>
                <w:sz w:val="16"/>
                <w:szCs w:val="16"/>
              </w:rPr>
              <w:br/>
              <w:t xml:space="preserve">(2 RCTs) </w:t>
            </w:r>
            <w:r w:rsidRPr="00601402">
              <w:rPr>
                <w:rFonts w:ascii="Arial" w:hAnsi="Arial" w:cs="Arial"/>
                <w:sz w:val="16"/>
                <w:szCs w:val="16"/>
                <w:vertAlign w:val="superscript"/>
              </w:rPr>
              <w:t>1</w:t>
            </w:r>
          </w:p>
          <w:p w14:paraId="2324F68A" w14:textId="77777777" w:rsidR="00596BE0" w:rsidRPr="00601402" w:rsidRDefault="00596BE0" w:rsidP="00596BE0">
            <w:pPr>
              <w:rPr>
                <w:rFonts w:ascii="Arial" w:hAnsi="Arial" w:cs="Arial"/>
                <w:sz w:val="16"/>
                <w:szCs w:val="16"/>
              </w:rPr>
            </w:pPr>
            <w:r w:rsidRPr="00601402">
              <w:rPr>
                <w:rStyle w:val="label"/>
                <w:rFonts w:ascii="Arial" w:hAnsi="Arial" w:cs="Arial"/>
                <w:sz w:val="16"/>
                <w:szCs w:val="16"/>
              </w:rPr>
              <w:t>52 weeks</w:t>
            </w:r>
          </w:p>
        </w:tc>
        <w:tc>
          <w:tcPr>
            <w:tcW w:w="686" w:type="pct"/>
            <w:tcBorders>
              <w:top w:val="single" w:sz="6" w:space="0" w:color="000000"/>
              <w:left w:val="nil"/>
              <w:bottom w:val="single" w:sz="6" w:space="0" w:color="000000"/>
              <w:right w:val="nil"/>
            </w:tcBorders>
            <w:vAlign w:val="center"/>
          </w:tcPr>
          <w:p w14:paraId="5C12C4B4" w14:textId="77777777" w:rsidR="00596BE0" w:rsidRPr="00601402" w:rsidRDefault="00596BE0" w:rsidP="00596BE0">
            <w:pPr>
              <w:rPr>
                <w:rFonts w:ascii="Arial" w:hAnsi="Arial" w:cs="Arial"/>
                <w:sz w:val="16"/>
                <w:szCs w:val="16"/>
              </w:rPr>
            </w:pPr>
            <w:r w:rsidRPr="00601402">
              <w:rPr>
                <w:rStyle w:val="quality-sign"/>
                <w:rFonts w:ascii="Cambria Math" w:hAnsi="Cambria Math" w:cs="Cambria Math"/>
                <w:sz w:val="16"/>
                <w:szCs w:val="16"/>
              </w:rPr>
              <w:t>⨁⨁⨁</w:t>
            </w:r>
            <w:r w:rsidRPr="00601402">
              <w:rPr>
                <w:rStyle w:val="quality-sign"/>
                <w:rFonts w:ascii="Segoe UI Symbol" w:eastAsia="MS Mincho" w:hAnsi="Segoe UI Symbol" w:cs="Segoe UI Symbol"/>
                <w:sz w:val="16"/>
                <w:szCs w:val="16"/>
              </w:rPr>
              <w:t>◯</w:t>
            </w:r>
            <w:r w:rsidRPr="00601402">
              <w:rPr>
                <w:rFonts w:ascii="Arial" w:hAnsi="Arial" w:cs="Arial"/>
                <w:sz w:val="16"/>
                <w:szCs w:val="16"/>
              </w:rPr>
              <w:br/>
            </w:r>
            <w:r w:rsidRPr="00601402">
              <w:rPr>
                <w:rStyle w:val="quality-text"/>
                <w:rFonts w:ascii="Arial" w:hAnsi="Arial" w:cs="Arial"/>
                <w:sz w:val="16"/>
                <w:szCs w:val="16"/>
              </w:rPr>
              <w:t>MODERATE</w:t>
            </w:r>
            <w:r w:rsidRPr="00601402">
              <w:rPr>
                <w:rFonts w:ascii="Arial" w:hAnsi="Arial" w:cs="Arial"/>
                <w:sz w:val="16"/>
                <w:szCs w:val="16"/>
              </w:rPr>
              <w:t xml:space="preserve"> </w:t>
            </w:r>
            <w:proofErr w:type="gramStart"/>
            <w:r w:rsidRPr="00601402">
              <w:rPr>
                <w:rFonts w:ascii="Arial" w:hAnsi="Arial" w:cs="Arial"/>
                <w:sz w:val="16"/>
                <w:szCs w:val="16"/>
                <w:vertAlign w:val="superscript"/>
              </w:rPr>
              <w:t>3</w:t>
            </w:r>
            <w:r w:rsidRPr="00601402">
              <w:rPr>
                <w:rStyle w:val="comma"/>
                <w:rFonts w:ascii="Arial" w:hAnsi="Arial" w:cs="Arial"/>
                <w:sz w:val="16"/>
                <w:szCs w:val="16"/>
                <w:vertAlign w:val="superscript"/>
              </w:rPr>
              <w:t>,</w:t>
            </w:r>
            <w:r w:rsidRPr="00601402">
              <w:rPr>
                <w:rFonts w:ascii="Arial" w:hAnsi="Arial" w:cs="Arial"/>
                <w:sz w:val="16"/>
                <w:szCs w:val="16"/>
                <w:vertAlign w:val="superscript"/>
              </w:rPr>
              <w:t>b</w:t>
            </w:r>
            <w:proofErr w:type="gramEnd"/>
            <w:r w:rsidRPr="00601402">
              <w:rPr>
                <w:rStyle w:val="comma"/>
                <w:rFonts w:ascii="Arial" w:hAnsi="Arial" w:cs="Arial"/>
                <w:sz w:val="16"/>
                <w:szCs w:val="16"/>
                <w:vertAlign w:val="superscript"/>
              </w:rPr>
              <w:t>,</w:t>
            </w:r>
            <w:r w:rsidRPr="00601402">
              <w:rPr>
                <w:rFonts w:ascii="Arial" w:hAnsi="Arial" w:cs="Arial"/>
                <w:sz w:val="16"/>
                <w:szCs w:val="16"/>
                <w:vertAlign w:val="superscript"/>
              </w:rPr>
              <w:t>d</w:t>
            </w:r>
          </w:p>
        </w:tc>
        <w:tc>
          <w:tcPr>
            <w:tcW w:w="572" w:type="pct"/>
            <w:tcBorders>
              <w:top w:val="single" w:sz="6" w:space="0" w:color="000000"/>
              <w:left w:val="nil"/>
              <w:bottom w:val="single" w:sz="6" w:space="0" w:color="000000"/>
              <w:right w:val="nil"/>
            </w:tcBorders>
            <w:vAlign w:val="center"/>
          </w:tcPr>
          <w:p w14:paraId="57110C8C" w14:textId="1412F431" w:rsidR="00596BE0" w:rsidRPr="00601402" w:rsidRDefault="00256864" w:rsidP="00596BE0">
            <w:pPr>
              <w:rPr>
                <w:rFonts w:ascii="Arial" w:hAnsi="Arial" w:cs="Arial"/>
                <w:sz w:val="16"/>
                <w:szCs w:val="16"/>
              </w:rPr>
            </w:pPr>
            <w:r>
              <w:rPr>
                <w:rStyle w:val="block"/>
                <w:rFonts w:ascii="Arial" w:hAnsi="Arial" w:cs="Arial"/>
                <w:b/>
                <w:bCs/>
                <w:sz w:val="16"/>
                <w:szCs w:val="16"/>
              </w:rPr>
              <w:t>Incidence r</w:t>
            </w:r>
            <w:r w:rsidR="00596BE0" w:rsidRPr="00601402">
              <w:rPr>
                <w:rStyle w:val="block"/>
                <w:rFonts w:ascii="Arial" w:hAnsi="Arial" w:cs="Arial"/>
                <w:b/>
                <w:bCs/>
                <w:sz w:val="16"/>
                <w:szCs w:val="16"/>
              </w:rPr>
              <w:t>ate ratio 0.67</w:t>
            </w:r>
            <w:r w:rsidR="00596BE0" w:rsidRPr="00601402">
              <w:rPr>
                <w:rFonts w:ascii="Arial" w:hAnsi="Arial" w:cs="Arial"/>
                <w:sz w:val="16"/>
                <w:szCs w:val="16"/>
              </w:rPr>
              <w:br/>
            </w:r>
            <w:r w:rsidR="00596BE0" w:rsidRPr="00601402">
              <w:rPr>
                <w:rStyle w:val="cell"/>
                <w:rFonts w:ascii="Arial" w:hAnsi="Arial" w:cs="Arial"/>
                <w:sz w:val="16"/>
                <w:szCs w:val="16"/>
              </w:rPr>
              <w:t>(0.39 to 1.17)</w:t>
            </w:r>
            <w:r w:rsidR="00596BE0" w:rsidRPr="00601402">
              <w:rPr>
                <w:rFonts w:ascii="Arial" w:hAnsi="Arial" w:cs="Arial"/>
                <w:sz w:val="16"/>
                <w:szCs w:val="16"/>
              </w:rPr>
              <w:t xml:space="preserve"> </w:t>
            </w:r>
          </w:p>
        </w:tc>
        <w:tc>
          <w:tcPr>
            <w:tcW w:w="0" w:type="auto"/>
            <w:tcBorders>
              <w:top w:val="single" w:sz="6" w:space="0" w:color="000000"/>
              <w:left w:val="nil"/>
              <w:right w:val="nil"/>
            </w:tcBorders>
            <w:shd w:val="clear" w:color="auto" w:fill="E0E0E0"/>
            <w:vAlign w:val="center"/>
          </w:tcPr>
          <w:p w14:paraId="441B4AEC" w14:textId="77777777" w:rsidR="00596BE0" w:rsidRPr="00601402" w:rsidRDefault="00596BE0" w:rsidP="00596BE0">
            <w:pPr>
              <w:rPr>
                <w:rFonts w:ascii="Arial" w:hAnsi="Arial" w:cs="Arial"/>
                <w:sz w:val="16"/>
                <w:szCs w:val="16"/>
              </w:rPr>
            </w:pPr>
            <w:r w:rsidRPr="00601402">
              <w:rPr>
                <w:rFonts w:ascii="Arial" w:hAnsi="Arial" w:cs="Arial"/>
                <w:sz w:val="16"/>
                <w:szCs w:val="16"/>
              </w:rPr>
              <w:t xml:space="preserve">120 exacerbations per 1000 patients per year  </w:t>
            </w:r>
          </w:p>
        </w:tc>
        <w:tc>
          <w:tcPr>
            <w:tcW w:w="0" w:type="auto"/>
            <w:tcBorders>
              <w:top w:val="single" w:sz="6" w:space="0" w:color="000000"/>
              <w:left w:val="nil"/>
              <w:right w:val="nil"/>
            </w:tcBorders>
            <w:shd w:val="clear" w:color="auto" w:fill="E0E0E0"/>
            <w:vAlign w:val="center"/>
          </w:tcPr>
          <w:p w14:paraId="6616276F" w14:textId="77777777" w:rsidR="00596BE0" w:rsidRPr="00601402" w:rsidRDefault="00596BE0" w:rsidP="00596BE0">
            <w:pPr>
              <w:rPr>
                <w:rFonts w:ascii="Arial" w:hAnsi="Arial" w:cs="Arial"/>
                <w:b/>
                <w:sz w:val="16"/>
                <w:szCs w:val="16"/>
              </w:rPr>
            </w:pPr>
            <w:r w:rsidRPr="00601402">
              <w:rPr>
                <w:rFonts w:ascii="Arial" w:hAnsi="Arial" w:cs="Arial"/>
                <w:b/>
                <w:sz w:val="16"/>
                <w:szCs w:val="16"/>
              </w:rPr>
              <w:t xml:space="preserve">40 fewer exacerbations per 1000 patients per year </w:t>
            </w:r>
          </w:p>
          <w:p w14:paraId="7AF3B625" w14:textId="77777777" w:rsidR="00596BE0" w:rsidRPr="00601402" w:rsidRDefault="00596BE0" w:rsidP="00596BE0">
            <w:pPr>
              <w:rPr>
                <w:rFonts w:ascii="Arial" w:hAnsi="Arial" w:cs="Arial"/>
                <w:b/>
                <w:bCs/>
                <w:sz w:val="16"/>
                <w:szCs w:val="16"/>
              </w:rPr>
            </w:pPr>
            <w:r w:rsidRPr="00601402">
              <w:rPr>
                <w:rFonts w:ascii="Arial" w:hAnsi="Arial" w:cs="Arial"/>
                <w:sz w:val="16"/>
                <w:szCs w:val="16"/>
              </w:rPr>
              <w:t>(73 fewer to 20 more)</w:t>
            </w:r>
          </w:p>
        </w:tc>
      </w:tr>
      <w:tr w:rsidR="00596BE0" w:rsidRPr="00601402" w14:paraId="202B91A3" w14:textId="77777777" w:rsidTr="00596BE0">
        <w:trPr>
          <w:cantSplit/>
          <w:trHeight w:val="476"/>
        </w:trPr>
        <w:tc>
          <w:tcPr>
            <w:tcW w:w="1319" w:type="pct"/>
            <w:tcBorders>
              <w:top w:val="single" w:sz="6" w:space="0" w:color="000000"/>
              <w:left w:val="nil"/>
              <w:bottom w:val="single" w:sz="6" w:space="0" w:color="000000"/>
              <w:right w:val="nil"/>
            </w:tcBorders>
            <w:vAlign w:val="center"/>
          </w:tcPr>
          <w:p w14:paraId="72E58921" w14:textId="77777777" w:rsidR="00596BE0" w:rsidRPr="00601402" w:rsidRDefault="00596BE0" w:rsidP="00596BE0">
            <w:pPr>
              <w:rPr>
                <w:rStyle w:val="label"/>
                <w:rFonts w:ascii="Arial" w:hAnsi="Arial" w:cs="Arial"/>
                <w:b/>
                <w:sz w:val="16"/>
                <w:szCs w:val="16"/>
              </w:rPr>
            </w:pPr>
            <w:r w:rsidRPr="00601402">
              <w:rPr>
                <w:rStyle w:val="label"/>
                <w:rFonts w:ascii="Arial" w:hAnsi="Arial" w:cs="Arial"/>
                <w:b/>
                <w:sz w:val="16"/>
                <w:szCs w:val="16"/>
              </w:rPr>
              <w:t>Asthma control</w:t>
            </w:r>
            <w:r w:rsidRPr="00601402">
              <w:rPr>
                <w:rFonts w:ascii="Arial" w:hAnsi="Arial" w:cs="Arial"/>
                <w:sz w:val="16"/>
                <w:szCs w:val="16"/>
              </w:rPr>
              <w:br/>
            </w:r>
            <w:r w:rsidRPr="00601402">
              <w:rPr>
                <w:rStyle w:val="label"/>
                <w:rFonts w:ascii="Arial" w:hAnsi="Arial" w:cs="Arial"/>
                <w:sz w:val="16"/>
                <w:szCs w:val="16"/>
              </w:rPr>
              <w:t>Assessed with Asthma Control Questionnaire-7</w:t>
            </w:r>
            <w:r w:rsidRPr="00601402">
              <w:rPr>
                <w:rFonts w:ascii="Arial" w:hAnsi="Arial" w:cs="Arial"/>
                <w:sz w:val="16"/>
                <w:szCs w:val="16"/>
              </w:rPr>
              <w:br/>
            </w:r>
            <w:r w:rsidRPr="00601402">
              <w:rPr>
                <w:rStyle w:val="label"/>
                <w:rFonts w:ascii="Arial" w:hAnsi="Arial" w:cs="Arial"/>
                <w:sz w:val="16"/>
                <w:szCs w:val="16"/>
              </w:rPr>
              <w:t>Scale from: 0 to 6</w:t>
            </w:r>
          </w:p>
        </w:tc>
        <w:tc>
          <w:tcPr>
            <w:tcW w:w="995" w:type="pct"/>
            <w:tcBorders>
              <w:top w:val="single" w:sz="6" w:space="0" w:color="000000"/>
              <w:left w:val="nil"/>
              <w:bottom w:val="single" w:sz="6" w:space="0" w:color="000000"/>
              <w:right w:val="nil"/>
            </w:tcBorders>
            <w:vAlign w:val="center"/>
          </w:tcPr>
          <w:p w14:paraId="6ACAB7CA" w14:textId="77777777" w:rsidR="00596BE0" w:rsidRPr="00601402" w:rsidRDefault="00596BE0" w:rsidP="00596BE0">
            <w:pPr>
              <w:rPr>
                <w:rFonts w:ascii="Arial" w:hAnsi="Arial" w:cs="Arial"/>
                <w:sz w:val="16"/>
                <w:szCs w:val="16"/>
                <w:vertAlign w:val="superscript"/>
              </w:rPr>
            </w:pPr>
            <w:r w:rsidRPr="00601402">
              <w:rPr>
                <w:rFonts w:ascii="Arial" w:hAnsi="Arial" w:cs="Arial"/>
                <w:sz w:val="16"/>
                <w:szCs w:val="16"/>
              </w:rPr>
              <w:t>1359</w:t>
            </w:r>
            <w:r w:rsidRPr="00601402">
              <w:rPr>
                <w:rFonts w:ascii="Arial" w:hAnsi="Arial" w:cs="Arial"/>
                <w:sz w:val="16"/>
                <w:szCs w:val="16"/>
              </w:rPr>
              <w:br/>
              <w:t xml:space="preserve">(5 RCTs) </w:t>
            </w:r>
            <w:r w:rsidRPr="00601402">
              <w:rPr>
                <w:rFonts w:ascii="Arial" w:hAnsi="Arial" w:cs="Arial"/>
                <w:sz w:val="16"/>
                <w:szCs w:val="16"/>
                <w:vertAlign w:val="superscript"/>
              </w:rPr>
              <w:t>1</w:t>
            </w:r>
            <w:r w:rsidRPr="00601402">
              <w:rPr>
                <w:rStyle w:val="comma"/>
                <w:rFonts w:ascii="Arial" w:hAnsi="Arial" w:cs="Arial"/>
                <w:sz w:val="16"/>
                <w:szCs w:val="16"/>
                <w:vertAlign w:val="superscript"/>
              </w:rPr>
              <w:t>,</w:t>
            </w:r>
            <w:r w:rsidRPr="00601402">
              <w:rPr>
                <w:rFonts w:ascii="Arial" w:hAnsi="Arial" w:cs="Arial"/>
                <w:sz w:val="16"/>
                <w:szCs w:val="16"/>
                <w:vertAlign w:val="superscript"/>
              </w:rPr>
              <w:t>2</w:t>
            </w:r>
            <w:r w:rsidRPr="00601402">
              <w:rPr>
                <w:rStyle w:val="comma"/>
                <w:rFonts w:ascii="Arial" w:hAnsi="Arial" w:cs="Arial"/>
                <w:sz w:val="16"/>
                <w:szCs w:val="16"/>
                <w:vertAlign w:val="superscript"/>
              </w:rPr>
              <w:t>,</w:t>
            </w:r>
            <w:r w:rsidRPr="00601402">
              <w:rPr>
                <w:rFonts w:ascii="Arial" w:hAnsi="Arial" w:cs="Arial"/>
                <w:sz w:val="16"/>
                <w:szCs w:val="16"/>
                <w:vertAlign w:val="superscript"/>
              </w:rPr>
              <w:t>4</w:t>
            </w:r>
            <w:r w:rsidRPr="00601402">
              <w:rPr>
                <w:rStyle w:val="comma"/>
                <w:rFonts w:ascii="Arial" w:hAnsi="Arial" w:cs="Arial"/>
                <w:sz w:val="16"/>
                <w:szCs w:val="16"/>
                <w:vertAlign w:val="superscript"/>
              </w:rPr>
              <w:t>,</w:t>
            </w:r>
            <w:r w:rsidRPr="00601402">
              <w:rPr>
                <w:rFonts w:ascii="Arial" w:hAnsi="Arial" w:cs="Arial"/>
                <w:sz w:val="16"/>
                <w:szCs w:val="16"/>
                <w:vertAlign w:val="superscript"/>
              </w:rPr>
              <w:t>5</w:t>
            </w:r>
          </w:p>
          <w:p w14:paraId="7DF9A382" w14:textId="77777777" w:rsidR="00596BE0" w:rsidRPr="00601402" w:rsidRDefault="00596BE0" w:rsidP="00596BE0">
            <w:pPr>
              <w:rPr>
                <w:rFonts w:ascii="Arial" w:hAnsi="Arial" w:cs="Arial"/>
                <w:sz w:val="16"/>
                <w:szCs w:val="16"/>
              </w:rPr>
            </w:pPr>
            <w:r w:rsidRPr="00601402">
              <w:rPr>
                <w:rStyle w:val="label"/>
                <w:rFonts w:ascii="Arial" w:hAnsi="Arial" w:cs="Arial"/>
                <w:sz w:val="16"/>
                <w:szCs w:val="16"/>
              </w:rPr>
              <w:t>15 weeks to 16 weeks</w:t>
            </w:r>
          </w:p>
        </w:tc>
        <w:tc>
          <w:tcPr>
            <w:tcW w:w="686" w:type="pct"/>
            <w:tcBorders>
              <w:top w:val="single" w:sz="6" w:space="0" w:color="000000"/>
              <w:left w:val="nil"/>
              <w:bottom w:val="single" w:sz="6" w:space="0" w:color="000000"/>
              <w:right w:val="nil"/>
            </w:tcBorders>
            <w:vAlign w:val="center"/>
          </w:tcPr>
          <w:p w14:paraId="6D02BE6A" w14:textId="77777777" w:rsidR="00596BE0" w:rsidRPr="00601402" w:rsidRDefault="00596BE0" w:rsidP="00596BE0">
            <w:pPr>
              <w:rPr>
                <w:rStyle w:val="quality-sign"/>
                <w:rFonts w:ascii="Cambria Math" w:hAnsi="Cambria Math" w:cs="Cambria Math"/>
                <w:sz w:val="16"/>
                <w:szCs w:val="16"/>
              </w:rPr>
            </w:pPr>
            <w:r w:rsidRPr="00601402">
              <w:rPr>
                <w:rStyle w:val="quality-sign"/>
                <w:rFonts w:ascii="Cambria Math" w:hAnsi="Cambria Math" w:cs="Cambria Math"/>
                <w:sz w:val="16"/>
                <w:szCs w:val="16"/>
              </w:rPr>
              <w:t>⨁⨁⨁⨁</w:t>
            </w:r>
            <w:r w:rsidRPr="00601402">
              <w:rPr>
                <w:rFonts w:ascii="Arial" w:hAnsi="Arial" w:cs="Arial"/>
                <w:sz w:val="16"/>
                <w:szCs w:val="16"/>
              </w:rPr>
              <w:br/>
            </w:r>
            <w:r w:rsidRPr="00601402">
              <w:rPr>
                <w:rStyle w:val="quality-text"/>
                <w:rFonts w:ascii="Arial" w:hAnsi="Arial" w:cs="Arial"/>
                <w:sz w:val="16"/>
                <w:szCs w:val="16"/>
              </w:rPr>
              <w:t>HIGH</w:t>
            </w:r>
            <w:r w:rsidRPr="00601402">
              <w:rPr>
                <w:rFonts w:ascii="Arial" w:hAnsi="Arial" w:cs="Arial"/>
                <w:sz w:val="16"/>
                <w:szCs w:val="16"/>
              </w:rPr>
              <w:t xml:space="preserve"> </w:t>
            </w:r>
            <w:r w:rsidRPr="00601402">
              <w:rPr>
                <w:rFonts w:ascii="Arial" w:hAnsi="Arial" w:cs="Arial"/>
                <w:sz w:val="16"/>
                <w:szCs w:val="16"/>
                <w:vertAlign w:val="superscript"/>
              </w:rPr>
              <w:t>3</w:t>
            </w:r>
            <w:r w:rsidRPr="00601402">
              <w:rPr>
                <w:rStyle w:val="comma"/>
                <w:rFonts w:ascii="Arial" w:hAnsi="Arial" w:cs="Arial"/>
                <w:sz w:val="16"/>
                <w:szCs w:val="16"/>
                <w:vertAlign w:val="superscript"/>
              </w:rPr>
              <w:t>,</w:t>
            </w:r>
            <w:proofErr w:type="gramStart"/>
            <w:r w:rsidRPr="00601402">
              <w:rPr>
                <w:rFonts w:ascii="Arial" w:hAnsi="Arial" w:cs="Arial"/>
                <w:sz w:val="16"/>
                <w:szCs w:val="16"/>
                <w:vertAlign w:val="superscript"/>
              </w:rPr>
              <w:t>8</w:t>
            </w:r>
            <w:r w:rsidRPr="00601402">
              <w:rPr>
                <w:rStyle w:val="comma"/>
                <w:rFonts w:ascii="Arial" w:hAnsi="Arial" w:cs="Arial"/>
                <w:sz w:val="16"/>
                <w:szCs w:val="16"/>
                <w:vertAlign w:val="superscript"/>
              </w:rPr>
              <w:t>,</w:t>
            </w:r>
            <w:r w:rsidRPr="00601402">
              <w:rPr>
                <w:rFonts w:ascii="Arial" w:hAnsi="Arial" w:cs="Arial"/>
                <w:sz w:val="16"/>
                <w:szCs w:val="16"/>
                <w:vertAlign w:val="superscript"/>
              </w:rPr>
              <w:t>b</w:t>
            </w:r>
            <w:proofErr w:type="gramEnd"/>
            <w:r w:rsidRPr="00601402">
              <w:rPr>
                <w:rStyle w:val="comma"/>
                <w:rFonts w:ascii="Arial" w:hAnsi="Arial" w:cs="Arial"/>
                <w:sz w:val="16"/>
                <w:szCs w:val="16"/>
                <w:vertAlign w:val="superscript"/>
              </w:rPr>
              <w:t>,</w:t>
            </w:r>
            <w:r w:rsidRPr="00601402">
              <w:rPr>
                <w:rFonts w:ascii="Arial" w:hAnsi="Arial" w:cs="Arial"/>
                <w:sz w:val="16"/>
                <w:szCs w:val="16"/>
                <w:vertAlign w:val="superscript"/>
              </w:rPr>
              <w:t>h</w:t>
            </w:r>
          </w:p>
        </w:tc>
        <w:tc>
          <w:tcPr>
            <w:tcW w:w="572" w:type="pct"/>
            <w:tcBorders>
              <w:top w:val="single" w:sz="6" w:space="0" w:color="000000"/>
              <w:left w:val="nil"/>
              <w:bottom w:val="single" w:sz="6" w:space="0" w:color="000000"/>
              <w:right w:val="nil"/>
            </w:tcBorders>
            <w:vAlign w:val="center"/>
          </w:tcPr>
          <w:p w14:paraId="1D4FE305" w14:textId="77777777" w:rsidR="00596BE0" w:rsidRPr="00601402" w:rsidRDefault="00596BE0" w:rsidP="00596BE0">
            <w:pPr>
              <w:rPr>
                <w:rStyle w:val="block"/>
                <w:rFonts w:ascii="Arial" w:hAnsi="Arial" w:cs="Arial"/>
                <w:b/>
                <w:bCs/>
                <w:sz w:val="16"/>
                <w:szCs w:val="16"/>
              </w:rPr>
            </w:pPr>
            <w:r w:rsidRPr="00601402">
              <w:rPr>
                <w:rStyle w:val="cell"/>
                <w:rFonts w:ascii="Arial" w:hAnsi="Arial" w:cs="Arial"/>
                <w:sz w:val="16"/>
                <w:szCs w:val="16"/>
              </w:rPr>
              <w:t>-</w:t>
            </w:r>
            <w:r w:rsidRPr="00601402">
              <w:rPr>
                <w:rFonts w:ascii="Arial" w:hAnsi="Arial" w:cs="Arial"/>
                <w:sz w:val="16"/>
                <w:szCs w:val="16"/>
              </w:rPr>
              <w:t xml:space="preserve"> </w:t>
            </w:r>
          </w:p>
        </w:tc>
        <w:tc>
          <w:tcPr>
            <w:tcW w:w="0" w:type="auto"/>
            <w:tcBorders>
              <w:top w:val="single" w:sz="6" w:space="0" w:color="000000"/>
              <w:left w:val="nil"/>
              <w:right w:val="nil"/>
            </w:tcBorders>
            <w:shd w:val="clear" w:color="auto" w:fill="E0E0E0"/>
            <w:vAlign w:val="center"/>
          </w:tcPr>
          <w:p w14:paraId="1CC4E9B2" w14:textId="77777777" w:rsidR="00596BE0" w:rsidRPr="00601402" w:rsidRDefault="00596BE0" w:rsidP="00596BE0">
            <w:pPr>
              <w:rPr>
                <w:rFonts w:ascii="Arial" w:hAnsi="Arial" w:cs="Arial"/>
                <w:sz w:val="16"/>
                <w:szCs w:val="16"/>
              </w:rPr>
            </w:pPr>
          </w:p>
        </w:tc>
        <w:tc>
          <w:tcPr>
            <w:tcW w:w="0" w:type="auto"/>
            <w:tcBorders>
              <w:top w:val="single" w:sz="6" w:space="0" w:color="000000"/>
              <w:left w:val="nil"/>
              <w:right w:val="nil"/>
            </w:tcBorders>
            <w:shd w:val="clear" w:color="auto" w:fill="E0E0E0"/>
            <w:vAlign w:val="center"/>
          </w:tcPr>
          <w:p w14:paraId="494611F4" w14:textId="77777777" w:rsidR="00596BE0" w:rsidRPr="00601402" w:rsidRDefault="00596BE0" w:rsidP="00596BE0">
            <w:pPr>
              <w:rPr>
                <w:rFonts w:ascii="Arial" w:hAnsi="Arial" w:cs="Arial"/>
                <w:b/>
                <w:sz w:val="16"/>
                <w:szCs w:val="16"/>
              </w:rPr>
            </w:pPr>
            <w:r w:rsidRPr="00601402">
              <w:rPr>
                <w:rStyle w:val="cell-value"/>
                <w:rFonts w:ascii="Arial" w:hAnsi="Arial" w:cs="Arial"/>
                <w:sz w:val="16"/>
                <w:szCs w:val="16"/>
              </w:rPr>
              <w:t>mean difference -</w:t>
            </w:r>
            <w:r w:rsidRPr="00601402">
              <w:rPr>
                <w:rStyle w:val="cell-value"/>
              </w:rPr>
              <w:t xml:space="preserve"> </w:t>
            </w:r>
            <w:r w:rsidRPr="00601402">
              <w:rPr>
                <w:rStyle w:val="cell-value"/>
                <w:rFonts w:ascii="Arial" w:hAnsi="Arial" w:cs="Arial"/>
                <w:b/>
                <w:bCs/>
                <w:sz w:val="16"/>
                <w:szCs w:val="16"/>
              </w:rPr>
              <w:t xml:space="preserve">0.25 </w:t>
            </w:r>
            <w:r w:rsidRPr="00601402">
              <w:rPr>
                <w:rFonts w:ascii="Arial" w:hAnsi="Arial" w:cs="Arial"/>
                <w:sz w:val="16"/>
                <w:szCs w:val="16"/>
              </w:rPr>
              <w:br/>
            </w:r>
            <w:r w:rsidRPr="00601402">
              <w:rPr>
                <w:rStyle w:val="cell-value"/>
                <w:rFonts w:ascii="Arial" w:hAnsi="Arial" w:cs="Arial"/>
                <w:sz w:val="16"/>
                <w:szCs w:val="16"/>
              </w:rPr>
              <w:t>(-</w:t>
            </w:r>
            <w:r w:rsidRPr="00601402">
              <w:rPr>
                <w:rStyle w:val="cell-value"/>
              </w:rPr>
              <w:t xml:space="preserve"> </w:t>
            </w:r>
            <w:r w:rsidRPr="00601402">
              <w:rPr>
                <w:rStyle w:val="cell-value"/>
                <w:rFonts w:ascii="Arial" w:hAnsi="Arial" w:cs="Arial"/>
                <w:sz w:val="16"/>
                <w:szCs w:val="16"/>
              </w:rPr>
              <w:t>0.34 to -</w:t>
            </w:r>
            <w:r w:rsidRPr="00601402">
              <w:rPr>
                <w:rStyle w:val="cell-value"/>
              </w:rPr>
              <w:t xml:space="preserve"> </w:t>
            </w:r>
            <w:r w:rsidRPr="00601402">
              <w:rPr>
                <w:rStyle w:val="cell-value"/>
                <w:rFonts w:ascii="Arial" w:hAnsi="Arial" w:cs="Arial"/>
                <w:sz w:val="16"/>
                <w:szCs w:val="16"/>
              </w:rPr>
              <w:t>0.16)</w:t>
            </w:r>
            <w:r w:rsidRPr="00601402">
              <w:rPr>
                <w:rFonts w:ascii="Arial" w:hAnsi="Arial" w:cs="Arial"/>
                <w:sz w:val="16"/>
                <w:szCs w:val="16"/>
              </w:rPr>
              <w:t xml:space="preserve"> </w:t>
            </w:r>
          </w:p>
        </w:tc>
      </w:tr>
      <w:tr w:rsidR="00596BE0" w:rsidRPr="00601402" w14:paraId="13B9CCB4" w14:textId="77777777" w:rsidTr="00596BE0">
        <w:trPr>
          <w:cantSplit/>
          <w:trHeight w:val="778"/>
        </w:trPr>
        <w:tc>
          <w:tcPr>
            <w:tcW w:w="1319" w:type="pct"/>
            <w:tcBorders>
              <w:top w:val="single" w:sz="6" w:space="0" w:color="000000"/>
              <w:left w:val="nil"/>
              <w:bottom w:val="single" w:sz="6" w:space="0" w:color="000000"/>
              <w:right w:val="nil"/>
            </w:tcBorders>
            <w:vAlign w:val="center"/>
          </w:tcPr>
          <w:p w14:paraId="427EE571" w14:textId="77777777" w:rsidR="00596BE0" w:rsidRPr="00601402" w:rsidRDefault="00596BE0" w:rsidP="00596BE0">
            <w:pPr>
              <w:rPr>
                <w:rStyle w:val="label"/>
                <w:rFonts w:ascii="Arial" w:hAnsi="Arial" w:cs="Arial"/>
                <w:sz w:val="16"/>
                <w:szCs w:val="16"/>
              </w:rPr>
            </w:pPr>
            <w:r w:rsidRPr="00601402">
              <w:rPr>
                <w:rStyle w:val="label"/>
                <w:rFonts w:ascii="Arial" w:hAnsi="Arial" w:cs="Arial"/>
                <w:b/>
                <w:sz w:val="16"/>
                <w:szCs w:val="16"/>
              </w:rPr>
              <w:t>Quality of life</w:t>
            </w:r>
            <w:r w:rsidRPr="00601402">
              <w:rPr>
                <w:rFonts w:ascii="Arial" w:hAnsi="Arial" w:cs="Arial"/>
                <w:sz w:val="16"/>
                <w:szCs w:val="16"/>
              </w:rPr>
              <w:br/>
            </w:r>
            <w:r w:rsidRPr="00601402">
              <w:rPr>
                <w:rStyle w:val="label"/>
                <w:rFonts w:ascii="Arial" w:hAnsi="Arial" w:cs="Arial"/>
                <w:sz w:val="16"/>
                <w:szCs w:val="16"/>
              </w:rPr>
              <w:t>assessed with Asthma Quality of Life Questionnaire</w:t>
            </w:r>
            <w:r w:rsidRPr="00601402">
              <w:rPr>
                <w:rFonts w:ascii="Arial" w:hAnsi="Arial" w:cs="Arial"/>
                <w:sz w:val="16"/>
                <w:szCs w:val="16"/>
              </w:rPr>
              <w:br/>
            </w:r>
            <w:r w:rsidRPr="00601402">
              <w:rPr>
                <w:rStyle w:val="label"/>
                <w:rFonts w:ascii="Arial" w:hAnsi="Arial" w:cs="Arial"/>
                <w:sz w:val="16"/>
                <w:szCs w:val="16"/>
              </w:rPr>
              <w:t>Scale from: 1 to 7</w:t>
            </w:r>
          </w:p>
        </w:tc>
        <w:tc>
          <w:tcPr>
            <w:tcW w:w="995" w:type="pct"/>
            <w:tcBorders>
              <w:top w:val="single" w:sz="6" w:space="0" w:color="000000"/>
              <w:left w:val="nil"/>
              <w:bottom w:val="single" w:sz="6" w:space="0" w:color="000000"/>
              <w:right w:val="nil"/>
            </w:tcBorders>
            <w:vAlign w:val="center"/>
          </w:tcPr>
          <w:p w14:paraId="193507FB" w14:textId="77777777" w:rsidR="00596BE0" w:rsidRPr="00601402" w:rsidRDefault="00596BE0" w:rsidP="00596BE0">
            <w:pPr>
              <w:rPr>
                <w:rFonts w:ascii="Arial" w:hAnsi="Arial" w:cs="Arial"/>
                <w:sz w:val="16"/>
                <w:szCs w:val="16"/>
                <w:vertAlign w:val="superscript"/>
              </w:rPr>
            </w:pPr>
            <w:r w:rsidRPr="00601402">
              <w:rPr>
                <w:rFonts w:ascii="Arial" w:hAnsi="Arial" w:cs="Arial"/>
                <w:sz w:val="16"/>
                <w:szCs w:val="16"/>
              </w:rPr>
              <w:t>1153</w:t>
            </w:r>
            <w:r w:rsidRPr="00601402">
              <w:rPr>
                <w:rFonts w:ascii="Arial" w:hAnsi="Arial" w:cs="Arial"/>
                <w:sz w:val="16"/>
                <w:szCs w:val="16"/>
              </w:rPr>
              <w:br/>
              <w:t xml:space="preserve">(3 RCTs) </w:t>
            </w:r>
            <w:r w:rsidRPr="00601402">
              <w:rPr>
                <w:rFonts w:ascii="Arial" w:hAnsi="Arial" w:cs="Arial"/>
                <w:sz w:val="16"/>
                <w:szCs w:val="16"/>
                <w:vertAlign w:val="superscript"/>
              </w:rPr>
              <w:t>1</w:t>
            </w:r>
            <w:r w:rsidRPr="00601402">
              <w:rPr>
                <w:rStyle w:val="comma"/>
                <w:rFonts w:ascii="Arial" w:hAnsi="Arial" w:cs="Arial"/>
                <w:sz w:val="16"/>
                <w:szCs w:val="16"/>
                <w:vertAlign w:val="superscript"/>
              </w:rPr>
              <w:t>,</w:t>
            </w:r>
            <w:r w:rsidRPr="00601402">
              <w:rPr>
                <w:rFonts w:ascii="Arial" w:hAnsi="Arial" w:cs="Arial"/>
                <w:sz w:val="16"/>
                <w:szCs w:val="16"/>
                <w:vertAlign w:val="superscript"/>
              </w:rPr>
              <w:t>4</w:t>
            </w:r>
          </w:p>
          <w:p w14:paraId="227FD930" w14:textId="77777777" w:rsidR="00596BE0" w:rsidRPr="00601402" w:rsidRDefault="00596BE0" w:rsidP="00596BE0">
            <w:pPr>
              <w:rPr>
                <w:rFonts w:ascii="Arial" w:hAnsi="Arial" w:cs="Arial"/>
                <w:sz w:val="16"/>
                <w:szCs w:val="16"/>
              </w:rPr>
            </w:pPr>
            <w:r w:rsidRPr="00601402">
              <w:rPr>
                <w:rStyle w:val="label"/>
                <w:rFonts w:ascii="Arial" w:hAnsi="Arial" w:cs="Arial"/>
                <w:sz w:val="16"/>
                <w:szCs w:val="16"/>
              </w:rPr>
              <w:t>1</w:t>
            </w:r>
            <w:r>
              <w:rPr>
                <w:rStyle w:val="label"/>
                <w:rFonts w:ascii="Arial" w:hAnsi="Arial" w:cs="Arial"/>
                <w:sz w:val="16"/>
                <w:szCs w:val="16"/>
              </w:rPr>
              <w:t xml:space="preserve">5 </w:t>
            </w:r>
            <w:r w:rsidRPr="00601402">
              <w:rPr>
                <w:rStyle w:val="label"/>
                <w:rFonts w:ascii="Arial" w:hAnsi="Arial" w:cs="Arial"/>
                <w:sz w:val="16"/>
                <w:szCs w:val="16"/>
              </w:rPr>
              <w:t>to 16 weeks</w:t>
            </w:r>
          </w:p>
        </w:tc>
        <w:tc>
          <w:tcPr>
            <w:tcW w:w="686" w:type="pct"/>
            <w:tcBorders>
              <w:top w:val="single" w:sz="6" w:space="0" w:color="000000"/>
              <w:left w:val="nil"/>
              <w:bottom w:val="single" w:sz="6" w:space="0" w:color="000000"/>
              <w:right w:val="nil"/>
            </w:tcBorders>
            <w:vAlign w:val="center"/>
          </w:tcPr>
          <w:p w14:paraId="1DBBD856" w14:textId="77777777" w:rsidR="00596BE0" w:rsidRPr="00601402" w:rsidRDefault="00596BE0" w:rsidP="00596BE0">
            <w:pPr>
              <w:rPr>
                <w:rStyle w:val="quality-sign"/>
                <w:rFonts w:ascii="Cambria Math" w:hAnsi="Cambria Math" w:cs="Cambria Math"/>
                <w:sz w:val="16"/>
                <w:szCs w:val="16"/>
              </w:rPr>
            </w:pPr>
            <w:r w:rsidRPr="00601402">
              <w:rPr>
                <w:rStyle w:val="quality-sign"/>
                <w:rFonts w:ascii="Cambria Math" w:hAnsi="Cambria Math" w:cs="Cambria Math"/>
                <w:sz w:val="16"/>
                <w:szCs w:val="16"/>
              </w:rPr>
              <w:t>⨁⨁⨁⨁</w:t>
            </w:r>
            <w:r w:rsidRPr="00601402">
              <w:rPr>
                <w:rFonts w:ascii="Arial" w:hAnsi="Arial" w:cs="Arial"/>
                <w:sz w:val="16"/>
                <w:szCs w:val="16"/>
              </w:rPr>
              <w:br/>
            </w:r>
            <w:r w:rsidRPr="00601402">
              <w:rPr>
                <w:rStyle w:val="quality-text"/>
                <w:rFonts w:ascii="Arial" w:hAnsi="Arial" w:cs="Arial"/>
                <w:sz w:val="16"/>
                <w:szCs w:val="16"/>
              </w:rPr>
              <w:t>HIGH</w:t>
            </w:r>
            <w:r w:rsidRPr="00601402">
              <w:rPr>
                <w:rFonts w:ascii="Arial" w:hAnsi="Arial" w:cs="Arial"/>
                <w:sz w:val="16"/>
                <w:szCs w:val="16"/>
              </w:rPr>
              <w:t xml:space="preserve"> </w:t>
            </w:r>
            <w:r w:rsidRPr="00601402">
              <w:rPr>
                <w:rFonts w:ascii="Arial" w:hAnsi="Arial" w:cs="Arial"/>
                <w:sz w:val="16"/>
                <w:szCs w:val="16"/>
                <w:vertAlign w:val="superscript"/>
              </w:rPr>
              <w:t>3</w:t>
            </w:r>
            <w:r w:rsidRPr="00601402">
              <w:rPr>
                <w:rStyle w:val="comma"/>
                <w:rFonts w:ascii="Arial" w:hAnsi="Arial" w:cs="Arial"/>
                <w:sz w:val="16"/>
                <w:szCs w:val="16"/>
                <w:vertAlign w:val="superscript"/>
              </w:rPr>
              <w:t>,</w:t>
            </w:r>
            <w:proofErr w:type="gramStart"/>
            <w:r w:rsidRPr="00601402">
              <w:rPr>
                <w:rFonts w:ascii="Arial" w:hAnsi="Arial" w:cs="Arial"/>
                <w:sz w:val="16"/>
                <w:szCs w:val="16"/>
                <w:vertAlign w:val="superscript"/>
              </w:rPr>
              <w:t>10</w:t>
            </w:r>
            <w:r w:rsidRPr="00601402">
              <w:rPr>
                <w:rStyle w:val="comma"/>
                <w:rFonts w:ascii="Arial" w:hAnsi="Arial" w:cs="Arial"/>
                <w:sz w:val="16"/>
                <w:szCs w:val="16"/>
                <w:vertAlign w:val="superscript"/>
              </w:rPr>
              <w:t>,</w:t>
            </w:r>
            <w:r w:rsidRPr="00601402">
              <w:rPr>
                <w:rFonts w:ascii="Arial" w:hAnsi="Arial" w:cs="Arial"/>
                <w:sz w:val="16"/>
                <w:szCs w:val="16"/>
                <w:vertAlign w:val="superscript"/>
              </w:rPr>
              <w:t>b</w:t>
            </w:r>
            <w:proofErr w:type="gramEnd"/>
            <w:r w:rsidRPr="00601402">
              <w:rPr>
                <w:rStyle w:val="comma"/>
                <w:rFonts w:ascii="Arial" w:hAnsi="Arial" w:cs="Arial"/>
                <w:sz w:val="16"/>
                <w:szCs w:val="16"/>
                <w:vertAlign w:val="superscript"/>
              </w:rPr>
              <w:t>,</w:t>
            </w:r>
            <w:r w:rsidRPr="00601402">
              <w:rPr>
                <w:rFonts w:ascii="Arial" w:hAnsi="Arial" w:cs="Arial"/>
                <w:sz w:val="16"/>
                <w:szCs w:val="16"/>
                <w:vertAlign w:val="superscript"/>
              </w:rPr>
              <w:t>k</w:t>
            </w:r>
          </w:p>
        </w:tc>
        <w:tc>
          <w:tcPr>
            <w:tcW w:w="572" w:type="pct"/>
            <w:tcBorders>
              <w:top w:val="single" w:sz="6" w:space="0" w:color="000000"/>
              <w:left w:val="nil"/>
              <w:bottom w:val="single" w:sz="6" w:space="0" w:color="000000"/>
              <w:right w:val="nil"/>
            </w:tcBorders>
            <w:vAlign w:val="center"/>
          </w:tcPr>
          <w:p w14:paraId="4A67232C" w14:textId="77777777" w:rsidR="00596BE0" w:rsidRPr="00601402" w:rsidRDefault="00596BE0" w:rsidP="00596BE0">
            <w:pPr>
              <w:rPr>
                <w:rStyle w:val="cell"/>
                <w:rFonts w:ascii="Arial" w:hAnsi="Arial" w:cs="Arial"/>
                <w:sz w:val="16"/>
                <w:szCs w:val="16"/>
              </w:rPr>
            </w:pPr>
            <w:r w:rsidRPr="00601402">
              <w:rPr>
                <w:rStyle w:val="cell"/>
                <w:rFonts w:ascii="Arial" w:hAnsi="Arial" w:cs="Arial"/>
                <w:sz w:val="16"/>
                <w:szCs w:val="16"/>
              </w:rPr>
              <w:t>-</w:t>
            </w:r>
            <w:r w:rsidRPr="00601402">
              <w:rPr>
                <w:rFonts w:ascii="Arial" w:hAnsi="Arial" w:cs="Arial"/>
                <w:sz w:val="16"/>
                <w:szCs w:val="16"/>
              </w:rPr>
              <w:t xml:space="preserve"> </w:t>
            </w:r>
          </w:p>
        </w:tc>
        <w:tc>
          <w:tcPr>
            <w:tcW w:w="0" w:type="auto"/>
            <w:tcBorders>
              <w:top w:val="single" w:sz="6" w:space="0" w:color="000000"/>
              <w:left w:val="nil"/>
              <w:right w:val="nil"/>
            </w:tcBorders>
            <w:shd w:val="clear" w:color="auto" w:fill="E0E0E0"/>
            <w:vAlign w:val="center"/>
          </w:tcPr>
          <w:p w14:paraId="71BD3735" w14:textId="77777777" w:rsidR="00596BE0" w:rsidRPr="00601402" w:rsidRDefault="00596BE0" w:rsidP="00596BE0">
            <w:pPr>
              <w:rPr>
                <w:rFonts w:ascii="Arial" w:hAnsi="Arial" w:cs="Arial"/>
                <w:sz w:val="16"/>
                <w:szCs w:val="16"/>
              </w:rPr>
            </w:pPr>
          </w:p>
        </w:tc>
        <w:tc>
          <w:tcPr>
            <w:tcW w:w="0" w:type="auto"/>
            <w:tcBorders>
              <w:top w:val="single" w:sz="6" w:space="0" w:color="000000"/>
              <w:left w:val="nil"/>
              <w:right w:val="nil"/>
            </w:tcBorders>
            <w:shd w:val="clear" w:color="auto" w:fill="E0E0E0"/>
            <w:vAlign w:val="center"/>
          </w:tcPr>
          <w:p w14:paraId="02FBDF7F" w14:textId="77777777" w:rsidR="00596BE0" w:rsidRPr="00601402" w:rsidRDefault="00596BE0" w:rsidP="00596BE0">
            <w:pPr>
              <w:rPr>
                <w:rStyle w:val="cell-value"/>
                <w:rFonts w:ascii="Arial" w:hAnsi="Arial" w:cs="Arial"/>
                <w:sz w:val="16"/>
                <w:szCs w:val="16"/>
              </w:rPr>
            </w:pPr>
            <w:r w:rsidRPr="00601402">
              <w:rPr>
                <w:rStyle w:val="cell-value"/>
                <w:rFonts w:ascii="Arial" w:hAnsi="Arial" w:cs="Arial"/>
                <w:sz w:val="16"/>
                <w:szCs w:val="16"/>
              </w:rPr>
              <w:t>mean difference +</w:t>
            </w:r>
            <w:r w:rsidRPr="00601402">
              <w:rPr>
                <w:rStyle w:val="cell-value"/>
              </w:rPr>
              <w:t xml:space="preserve"> </w:t>
            </w:r>
            <w:r w:rsidRPr="00601402">
              <w:rPr>
                <w:rStyle w:val="cell-value"/>
                <w:rFonts w:ascii="Arial" w:hAnsi="Arial" w:cs="Arial"/>
                <w:b/>
                <w:bCs/>
                <w:sz w:val="16"/>
                <w:szCs w:val="16"/>
              </w:rPr>
              <w:t xml:space="preserve">0.17 </w:t>
            </w:r>
            <w:r w:rsidRPr="00601402">
              <w:rPr>
                <w:rFonts w:ascii="Arial" w:hAnsi="Arial" w:cs="Arial"/>
                <w:sz w:val="16"/>
                <w:szCs w:val="16"/>
              </w:rPr>
              <w:br/>
            </w:r>
            <w:r w:rsidRPr="00601402">
              <w:rPr>
                <w:rStyle w:val="cell-value"/>
                <w:rFonts w:ascii="Arial" w:hAnsi="Arial" w:cs="Arial"/>
                <w:sz w:val="16"/>
                <w:szCs w:val="16"/>
              </w:rPr>
              <w:t>(+0.08 to +</w:t>
            </w:r>
            <w:r w:rsidRPr="00601402">
              <w:rPr>
                <w:rStyle w:val="cell-value"/>
              </w:rPr>
              <w:t xml:space="preserve"> </w:t>
            </w:r>
            <w:r w:rsidRPr="00601402">
              <w:rPr>
                <w:rStyle w:val="cell-value"/>
                <w:rFonts w:ascii="Arial" w:hAnsi="Arial" w:cs="Arial"/>
                <w:sz w:val="16"/>
                <w:szCs w:val="16"/>
              </w:rPr>
              <w:t>0.25)</w:t>
            </w:r>
            <w:r w:rsidRPr="00601402">
              <w:rPr>
                <w:rFonts w:ascii="Arial" w:hAnsi="Arial" w:cs="Arial"/>
                <w:sz w:val="16"/>
                <w:szCs w:val="16"/>
              </w:rPr>
              <w:t xml:space="preserve"> </w:t>
            </w:r>
            <w:r w:rsidRPr="00601402">
              <w:rPr>
                <w:rFonts w:ascii="Arial" w:hAnsi="Arial" w:cs="Arial"/>
                <w:sz w:val="16"/>
                <w:szCs w:val="16"/>
                <w:vertAlign w:val="superscript"/>
              </w:rPr>
              <w:t>l</w:t>
            </w:r>
          </w:p>
        </w:tc>
      </w:tr>
      <w:tr w:rsidR="00596BE0" w:rsidRPr="00601402" w14:paraId="42A6B877" w14:textId="77777777" w:rsidTr="00596BE0">
        <w:trPr>
          <w:cantSplit/>
          <w:trHeight w:val="668"/>
        </w:trPr>
        <w:tc>
          <w:tcPr>
            <w:tcW w:w="1319" w:type="pct"/>
            <w:tcBorders>
              <w:top w:val="single" w:sz="6" w:space="0" w:color="000000"/>
              <w:left w:val="nil"/>
              <w:bottom w:val="single" w:sz="6" w:space="0" w:color="000000"/>
              <w:right w:val="nil"/>
            </w:tcBorders>
            <w:vAlign w:val="center"/>
          </w:tcPr>
          <w:p w14:paraId="59EEC665" w14:textId="77777777" w:rsidR="00596BE0" w:rsidRPr="00601402" w:rsidRDefault="00596BE0" w:rsidP="00596BE0">
            <w:pPr>
              <w:rPr>
                <w:rStyle w:val="label"/>
                <w:rFonts w:ascii="Arial" w:hAnsi="Arial" w:cs="Arial"/>
                <w:sz w:val="16"/>
                <w:szCs w:val="16"/>
              </w:rPr>
            </w:pPr>
            <w:r w:rsidRPr="00601402">
              <w:rPr>
                <w:rStyle w:val="label"/>
                <w:rFonts w:ascii="Arial" w:hAnsi="Arial" w:cs="Arial"/>
                <w:b/>
                <w:sz w:val="16"/>
                <w:szCs w:val="16"/>
              </w:rPr>
              <w:t xml:space="preserve">Treatment-related adverse events </w:t>
            </w:r>
            <w:r w:rsidRPr="00601402">
              <w:rPr>
                <w:rStyle w:val="label"/>
                <w:rFonts w:cs="Arial"/>
              </w:rPr>
              <w:br/>
            </w:r>
            <w:r w:rsidRPr="00601402">
              <w:rPr>
                <w:rStyle w:val="label"/>
                <w:rFonts w:ascii="Arial" w:hAnsi="Arial" w:cs="Arial"/>
                <w:sz w:val="16"/>
                <w:szCs w:val="16"/>
              </w:rPr>
              <w:t>Assessed with number of events</w:t>
            </w:r>
          </w:p>
        </w:tc>
        <w:tc>
          <w:tcPr>
            <w:tcW w:w="995" w:type="pct"/>
            <w:tcBorders>
              <w:top w:val="single" w:sz="6" w:space="0" w:color="000000"/>
              <w:left w:val="nil"/>
              <w:bottom w:val="single" w:sz="6" w:space="0" w:color="000000"/>
              <w:right w:val="nil"/>
            </w:tcBorders>
            <w:vAlign w:val="center"/>
          </w:tcPr>
          <w:p w14:paraId="383DF998" w14:textId="77777777" w:rsidR="00596BE0" w:rsidRPr="00601402" w:rsidRDefault="00596BE0" w:rsidP="00596BE0">
            <w:pPr>
              <w:rPr>
                <w:rFonts w:ascii="Arial" w:hAnsi="Arial" w:cs="Arial"/>
                <w:sz w:val="16"/>
                <w:szCs w:val="16"/>
                <w:vertAlign w:val="superscript"/>
              </w:rPr>
            </w:pPr>
            <w:r w:rsidRPr="00601402">
              <w:rPr>
                <w:rFonts w:ascii="Arial" w:hAnsi="Arial" w:cs="Arial"/>
                <w:sz w:val="16"/>
                <w:szCs w:val="16"/>
              </w:rPr>
              <w:t>1269</w:t>
            </w:r>
            <w:r w:rsidRPr="00601402">
              <w:rPr>
                <w:rFonts w:ascii="Arial" w:hAnsi="Arial" w:cs="Arial"/>
                <w:sz w:val="16"/>
                <w:szCs w:val="16"/>
              </w:rPr>
              <w:br/>
              <w:t xml:space="preserve">(4 RCTs) </w:t>
            </w:r>
            <w:r w:rsidRPr="00601402">
              <w:rPr>
                <w:rFonts w:ascii="Arial" w:hAnsi="Arial" w:cs="Arial"/>
                <w:sz w:val="16"/>
                <w:szCs w:val="16"/>
                <w:vertAlign w:val="superscript"/>
              </w:rPr>
              <w:t>1</w:t>
            </w:r>
            <w:r w:rsidRPr="00601402">
              <w:rPr>
                <w:rStyle w:val="comma"/>
                <w:rFonts w:ascii="Arial" w:hAnsi="Arial" w:cs="Arial"/>
                <w:sz w:val="16"/>
                <w:szCs w:val="16"/>
                <w:vertAlign w:val="superscript"/>
              </w:rPr>
              <w:t>,</w:t>
            </w:r>
            <w:r w:rsidRPr="00601402">
              <w:rPr>
                <w:rFonts w:ascii="Arial" w:hAnsi="Arial" w:cs="Arial"/>
                <w:sz w:val="16"/>
                <w:szCs w:val="16"/>
                <w:vertAlign w:val="superscript"/>
              </w:rPr>
              <w:t>2</w:t>
            </w:r>
            <w:r w:rsidRPr="00601402">
              <w:rPr>
                <w:rStyle w:val="comma"/>
                <w:rFonts w:ascii="Arial" w:hAnsi="Arial" w:cs="Arial"/>
                <w:sz w:val="16"/>
                <w:szCs w:val="16"/>
                <w:vertAlign w:val="superscript"/>
              </w:rPr>
              <w:t>,</w:t>
            </w:r>
            <w:r w:rsidRPr="00601402">
              <w:rPr>
                <w:rFonts w:ascii="Arial" w:hAnsi="Arial" w:cs="Arial"/>
                <w:sz w:val="16"/>
                <w:szCs w:val="16"/>
                <w:vertAlign w:val="superscript"/>
              </w:rPr>
              <w:t>4</w:t>
            </w:r>
          </w:p>
          <w:p w14:paraId="3C9CFB16" w14:textId="77777777" w:rsidR="00596BE0" w:rsidRPr="00601402" w:rsidRDefault="00596BE0" w:rsidP="00596BE0">
            <w:pPr>
              <w:rPr>
                <w:rFonts w:ascii="Arial" w:hAnsi="Arial" w:cs="Arial"/>
                <w:sz w:val="16"/>
                <w:szCs w:val="16"/>
              </w:rPr>
            </w:pPr>
            <w:r w:rsidRPr="00601402">
              <w:rPr>
                <w:rStyle w:val="label"/>
                <w:rFonts w:ascii="Arial" w:hAnsi="Arial" w:cs="Arial"/>
                <w:sz w:val="16"/>
                <w:szCs w:val="16"/>
              </w:rPr>
              <w:t>15 to 52 weeks</w:t>
            </w:r>
          </w:p>
        </w:tc>
        <w:tc>
          <w:tcPr>
            <w:tcW w:w="686" w:type="pct"/>
            <w:tcBorders>
              <w:top w:val="single" w:sz="6" w:space="0" w:color="000000"/>
              <w:left w:val="nil"/>
              <w:bottom w:val="single" w:sz="6" w:space="0" w:color="000000"/>
              <w:right w:val="nil"/>
            </w:tcBorders>
            <w:vAlign w:val="center"/>
          </w:tcPr>
          <w:p w14:paraId="6D593DAD" w14:textId="77777777" w:rsidR="00596BE0" w:rsidRPr="00601402" w:rsidRDefault="00596BE0" w:rsidP="00596BE0">
            <w:pPr>
              <w:rPr>
                <w:rStyle w:val="quality-sign"/>
                <w:rFonts w:ascii="Cambria Math" w:hAnsi="Cambria Math" w:cs="Cambria Math"/>
                <w:sz w:val="16"/>
                <w:szCs w:val="16"/>
              </w:rPr>
            </w:pPr>
            <w:r w:rsidRPr="00601402">
              <w:rPr>
                <w:rStyle w:val="quality-sign"/>
                <w:rFonts w:ascii="Cambria Math" w:hAnsi="Cambria Math" w:cs="Cambria Math"/>
                <w:sz w:val="16"/>
                <w:szCs w:val="16"/>
              </w:rPr>
              <w:t>⨁⨁⨁</w:t>
            </w:r>
            <w:r w:rsidRPr="00601402">
              <w:rPr>
                <w:rStyle w:val="quality-sign"/>
                <w:rFonts w:ascii="Segoe UI Symbol" w:eastAsia="MS Mincho" w:hAnsi="Segoe UI Symbol" w:cs="Segoe UI Symbol"/>
                <w:sz w:val="16"/>
                <w:szCs w:val="16"/>
              </w:rPr>
              <w:t>◯</w:t>
            </w:r>
            <w:r w:rsidRPr="00601402">
              <w:rPr>
                <w:rFonts w:ascii="Arial" w:hAnsi="Arial" w:cs="Arial"/>
                <w:sz w:val="16"/>
                <w:szCs w:val="16"/>
              </w:rPr>
              <w:br/>
            </w:r>
            <w:r w:rsidRPr="00601402">
              <w:rPr>
                <w:rStyle w:val="quality-text"/>
                <w:rFonts w:ascii="Arial" w:hAnsi="Arial" w:cs="Arial"/>
                <w:sz w:val="16"/>
                <w:szCs w:val="16"/>
              </w:rPr>
              <w:t>MODERATE</w:t>
            </w:r>
            <w:r w:rsidRPr="00601402">
              <w:rPr>
                <w:rFonts w:ascii="Arial" w:hAnsi="Arial" w:cs="Arial"/>
                <w:sz w:val="16"/>
                <w:szCs w:val="16"/>
              </w:rPr>
              <w:t xml:space="preserve"> </w:t>
            </w:r>
            <w:proofErr w:type="gramStart"/>
            <w:r w:rsidRPr="00601402">
              <w:rPr>
                <w:rFonts w:ascii="Arial" w:hAnsi="Arial" w:cs="Arial"/>
                <w:sz w:val="16"/>
                <w:szCs w:val="16"/>
                <w:vertAlign w:val="superscript"/>
              </w:rPr>
              <w:t>3</w:t>
            </w:r>
            <w:r w:rsidRPr="00601402">
              <w:rPr>
                <w:rStyle w:val="comma"/>
                <w:rFonts w:ascii="Arial" w:hAnsi="Arial" w:cs="Arial"/>
                <w:sz w:val="16"/>
                <w:szCs w:val="16"/>
                <w:vertAlign w:val="superscript"/>
              </w:rPr>
              <w:t>,</w:t>
            </w:r>
            <w:r w:rsidRPr="00601402">
              <w:rPr>
                <w:rFonts w:ascii="Arial" w:hAnsi="Arial" w:cs="Arial"/>
                <w:sz w:val="16"/>
                <w:szCs w:val="16"/>
                <w:vertAlign w:val="superscript"/>
              </w:rPr>
              <w:t>b</w:t>
            </w:r>
            <w:proofErr w:type="gramEnd"/>
            <w:r w:rsidRPr="00601402">
              <w:rPr>
                <w:rStyle w:val="comma"/>
                <w:rFonts w:ascii="Arial" w:hAnsi="Arial" w:cs="Arial"/>
                <w:sz w:val="16"/>
                <w:szCs w:val="16"/>
                <w:vertAlign w:val="superscript"/>
              </w:rPr>
              <w:t>,</w:t>
            </w:r>
            <w:r w:rsidRPr="00601402">
              <w:rPr>
                <w:rFonts w:ascii="Arial" w:hAnsi="Arial" w:cs="Arial"/>
                <w:sz w:val="16"/>
                <w:szCs w:val="16"/>
                <w:vertAlign w:val="superscript"/>
              </w:rPr>
              <w:t>o</w:t>
            </w:r>
          </w:p>
        </w:tc>
        <w:tc>
          <w:tcPr>
            <w:tcW w:w="572" w:type="pct"/>
            <w:tcBorders>
              <w:top w:val="single" w:sz="6" w:space="0" w:color="000000"/>
              <w:left w:val="nil"/>
              <w:bottom w:val="single" w:sz="6" w:space="0" w:color="000000"/>
              <w:right w:val="nil"/>
            </w:tcBorders>
            <w:vAlign w:val="center"/>
          </w:tcPr>
          <w:p w14:paraId="13A00904" w14:textId="3CE78C38" w:rsidR="00596BE0" w:rsidRPr="00601402" w:rsidRDefault="00256864" w:rsidP="00596BE0">
            <w:pPr>
              <w:rPr>
                <w:rStyle w:val="cell"/>
                <w:rFonts w:ascii="Arial" w:hAnsi="Arial" w:cs="Arial"/>
                <w:sz w:val="16"/>
                <w:szCs w:val="16"/>
              </w:rPr>
            </w:pPr>
            <w:r>
              <w:rPr>
                <w:rStyle w:val="block"/>
                <w:rFonts w:ascii="Arial" w:hAnsi="Arial" w:cs="Arial"/>
                <w:b/>
                <w:bCs/>
                <w:sz w:val="16"/>
                <w:szCs w:val="16"/>
              </w:rPr>
              <w:t>Risk</w:t>
            </w:r>
            <w:r w:rsidR="00596BE0" w:rsidRPr="00601402">
              <w:rPr>
                <w:rStyle w:val="block"/>
                <w:rFonts w:ascii="Arial" w:hAnsi="Arial" w:cs="Arial"/>
                <w:b/>
                <w:bCs/>
                <w:sz w:val="16"/>
                <w:szCs w:val="16"/>
              </w:rPr>
              <w:t xml:space="preserve"> ratio 1.18</w:t>
            </w:r>
            <w:r w:rsidR="00596BE0" w:rsidRPr="00601402">
              <w:rPr>
                <w:rFonts w:ascii="Arial" w:hAnsi="Arial" w:cs="Arial"/>
                <w:sz w:val="16"/>
                <w:szCs w:val="16"/>
              </w:rPr>
              <w:br/>
            </w:r>
            <w:r w:rsidR="00596BE0" w:rsidRPr="00601402">
              <w:rPr>
                <w:rStyle w:val="cell"/>
                <w:rFonts w:ascii="Arial" w:hAnsi="Arial" w:cs="Arial"/>
                <w:sz w:val="16"/>
                <w:szCs w:val="16"/>
              </w:rPr>
              <w:t>(0.89 to 1.56)</w:t>
            </w:r>
            <w:r w:rsidR="00596BE0" w:rsidRPr="00601402">
              <w:rPr>
                <w:rFonts w:ascii="Arial" w:hAnsi="Arial" w:cs="Arial"/>
                <w:sz w:val="16"/>
                <w:szCs w:val="16"/>
              </w:rPr>
              <w:t xml:space="preserve"> </w:t>
            </w:r>
            <w:r w:rsidR="00596BE0" w:rsidRPr="00601402">
              <w:rPr>
                <w:rFonts w:ascii="Arial" w:hAnsi="Arial" w:cs="Arial"/>
                <w:sz w:val="16"/>
                <w:szCs w:val="16"/>
                <w:vertAlign w:val="superscript"/>
              </w:rPr>
              <w:t>p</w:t>
            </w:r>
          </w:p>
        </w:tc>
        <w:tc>
          <w:tcPr>
            <w:tcW w:w="0" w:type="auto"/>
            <w:tcBorders>
              <w:top w:val="single" w:sz="6" w:space="0" w:color="000000"/>
              <w:left w:val="nil"/>
              <w:right w:val="nil"/>
            </w:tcBorders>
            <w:shd w:val="clear" w:color="auto" w:fill="E0E0E0"/>
            <w:vAlign w:val="center"/>
          </w:tcPr>
          <w:p w14:paraId="7D8698F8" w14:textId="77777777" w:rsidR="00596BE0" w:rsidRPr="00601402" w:rsidRDefault="00596BE0" w:rsidP="00596BE0">
            <w:pPr>
              <w:rPr>
                <w:rFonts w:ascii="Arial" w:hAnsi="Arial" w:cs="Arial"/>
                <w:sz w:val="16"/>
                <w:szCs w:val="16"/>
              </w:rPr>
            </w:pPr>
            <w:r w:rsidRPr="00601402">
              <w:rPr>
                <w:rFonts w:ascii="Arial" w:hAnsi="Arial" w:cs="Arial"/>
                <w:sz w:val="16"/>
                <w:szCs w:val="16"/>
              </w:rPr>
              <w:t xml:space="preserve">125 per 1.000 </w:t>
            </w:r>
          </w:p>
        </w:tc>
        <w:tc>
          <w:tcPr>
            <w:tcW w:w="0" w:type="auto"/>
            <w:tcBorders>
              <w:top w:val="single" w:sz="6" w:space="0" w:color="000000"/>
              <w:left w:val="nil"/>
              <w:right w:val="nil"/>
            </w:tcBorders>
            <w:shd w:val="clear" w:color="auto" w:fill="E0E0E0"/>
            <w:vAlign w:val="center"/>
          </w:tcPr>
          <w:p w14:paraId="2FA75CFA" w14:textId="77777777" w:rsidR="00596BE0" w:rsidRPr="00601402" w:rsidRDefault="00596BE0" w:rsidP="00596BE0">
            <w:pPr>
              <w:rPr>
                <w:rStyle w:val="cell-value"/>
                <w:rFonts w:ascii="Arial" w:hAnsi="Arial" w:cs="Arial"/>
                <w:sz w:val="16"/>
                <w:szCs w:val="16"/>
              </w:rPr>
            </w:pPr>
            <w:r w:rsidRPr="00601402">
              <w:rPr>
                <w:rStyle w:val="cell-value"/>
                <w:rFonts w:ascii="Arial" w:hAnsi="Arial" w:cs="Arial"/>
                <w:b/>
                <w:bCs/>
                <w:sz w:val="16"/>
                <w:szCs w:val="16"/>
              </w:rPr>
              <w:t>22 more per 1.000</w:t>
            </w:r>
            <w:r w:rsidRPr="00601402">
              <w:rPr>
                <w:rFonts w:ascii="Arial" w:hAnsi="Arial" w:cs="Arial"/>
                <w:sz w:val="16"/>
                <w:szCs w:val="16"/>
              </w:rPr>
              <w:br/>
            </w:r>
            <w:r w:rsidRPr="00601402">
              <w:rPr>
                <w:rStyle w:val="cell-value"/>
                <w:rFonts w:ascii="Arial" w:hAnsi="Arial" w:cs="Arial"/>
                <w:sz w:val="16"/>
                <w:szCs w:val="16"/>
              </w:rPr>
              <w:t>(14 fewer to 70 more)</w:t>
            </w:r>
            <w:r w:rsidRPr="00601402">
              <w:rPr>
                <w:rFonts w:ascii="Arial" w:hAnsi="Arial" w:cs="Arial"/>
                <w:sz w:val="16"/>
                <w:szCs w:val="16"/>
              </w:rPr>
              <w:t xml:space="preserve"> </w:t>
            </w:r>
            <w:r w:rsidRPr="00601402">
              <w:rPr>
                <w:rFonts w:ascii="Arial" w:hAnsi="Arial" w:cs="Arial"/>
                <w:sz w:val="16"/>
                <w:szCs w:val="16"/>
                <w:vertAlign w:val="superscript"/>
              </w:rPr>
              <w:t>p</w:t>
            </w:r>
          </w:p>
        </w:tc>
      </w:tr>
      <w:tr w:rsidR="00596BE0" w:rsidRPr="00601402" w14:paraId="1E1191D1" w14:textId="77777777" w:rsidTr="00596BE0">
        <w:trPr>
          <w:cantSplit/>
          <w:trHeight w:val="539"/>
        </w:trPr>
        <w:tc>
          <w:tcPr>
            <w:tcW w:w="1319" w:type="pct"/>
            <w:tcBorders>
              <w:top w:val="single" w:sz="6" w:space="0" w:color="000000"/>
              <w:left w:val="nil"/>
              <w:bottom w:val="single" w:sz="6" w:space="0" w:color="000000"/>
              <w:right w:val="nil"/>
            </w:tcBorders>
            <w:vAlign w:val="center"/>
          </w:tcPr>
          <w:p w14:paraId="10FF7850" w14:textId="77777777" w:rsidR="00596BE0" w:rsidRPr="00601402" w:rsidRDefault="00596BE0" w:rsidP="00596BE0">
            <w:pPr>
              <w:rPr>
                <w:rStyle w:val="label"/>
                <w:rFonts w:ascii="Arial" w:hAnsi="Arial" w:cs="Arial"/>
                <w:sz w:val="16"/>
                <w:szCs w:val="16"/>
              </w:rPr>
            </w:pPr>
            <w:r w:rsidRPr="00601402">
              <w:rPr>
                <w:rStyle w:val="label"/>
                <w:rFonts w:ascii="Arial" w:hAnsi="Arial" w:cs="Arial"/>
                <w:b/>
                <w:sz w:val="16"/>
                <w:szCs w:val="16"/>
              </w:rPr>
              <w:t>Treatment-related serious adverse events</w:t>
            </w:r>
            <w:r w:rsidRPr="00601402">
              <w:rPr>
                <w:rStyle w:val="label"/>
                <w:rFonts w:ascii="Arial" w:hAnsi="Arial" w:cs="Arial"/>
                <w:sz w:val="16"/>
                <w:szCs w:val="16"/>
              </w:rPr>
              <w:t xml:space="preserve"> </w:t>
            </w:r>
            <w:r w:rsidRPr="00601402">
              <w:rPr>
                <w:rFonts w:ascii="Arial" w:hAnsi="Arial" w:cs="Arial"/>
                <w:sz w:val="16"/>
                <w:szCs w:val="16"/>
              </w:rPr>
              <w:br/>
            </w:r>
            <w:r w:rsidRPr="00601402">
              <w:rPr>
                <w:rStyle w:val="label"/>
                <w:rFonts w:ascii="Arial" w:hAnsi="Arial" w:cs="Arial"/>
                <w:sz w:val="16"/>
                <w:szCs w:val="16"/>
              </w:rPr>
              <w:t>Assessed with number of events</w:t>
            </w:r>
            <w:r w:rsidRPr="00601402">
              <w:rPr>
                <w:rFonts w:ascii="Arial" w:hAnsi="Arial" w:cs="Arial"/>
                <w:sz w:val="16"/>
                <w:szCs w:val="16"/>
              </w:rPr>
              <w:br/>
            </w:r>
          </w:p>
        </w:tc>
        <w:tc>
          <w:tcPr>
            <w:tcW w:w="995" w:type="pct"/>
            <w:tcBorders>
              <w:top w:val="single" w:sz="6" w:space="0" w:color="000000"/>
              <w:left w:val="nil"/>
              <w:bottom w:val="single" w:sz="6" w:space="0" w:color="000000"/>
              <w:right w:val="nil"/>
            </w:tcBorders>
            <w:vAlign w:val="center"/>
          </w:tcPr>
          <w:p w14:paraId="33B748B0" w14:textId="77777777" w:rsidR="00596BE0" w:rsidRPr="00601402" w:rsidRDefault="00596BE0" w:rsidP="00596BE0">
            <w:pPr>
              <w:rPr>
                <w:rFonts w:ascii="Arial" w:hAnsi="Arial" w:cs="Arial"/>
                <w:sz w:val="16"/>
                <w:szCs w:val="16"/>
                <w:vertAlign w:val="superscript"/>
              </w:rPr>
            </w:pPr>
            <w:r w:rsidRPr="00601402">
              <w:rPr>
                <w:rFonts w:ascii="Arial" w:hAnsi="Arial" w:cs="Arial"/>
                <w:sz w:val="16"/>
                <w:szCs w:val="16"/>
              </w:rPr>
              <w:t>1269</w:t>
            </w:r>
            <w:r w:rsidRPr="00601402">
              <w:rPr>
                <w:rFonts w:ascii="Arial" w:hAnsi="Arial" w:cs="Arial"/>
                <w:sz w:val="16"/>
                <w:szCs w:val="16"/>
              </w:rPr>
              <w:br/>
              <w:t xml:space="preserve">(4 RCTs) </w:t>
            </w:r>
            <w:r w:rsidRPr="00601402">
              <w:rPr>
                <w:rFonts w:ascii="Arial" w:hAnsi="Arial" w:cs="Arial"/>
                <w:sz w:val="16"/>
                <w:szCs w:val="16"/>
                <w:vertAlign w:val="superscript"/>
              </w:rPr>
              <w:t>1</w:t>
            </w:r>
            <w:r w:rsidRPr="00601402">
              <w:rPr>
                <w:rStyle w:val="comma"/>
                <w:rFonts w:ascii="Arial" w:hAnsi="Arial" w:cs="Arial"/>
                <w:sz w:val="16"/>
                <w:szCs w:val="16"/>
                <w:vertAlign w:val="superscript"/>
              </w:rPr>
              <w:t>,</w:t>
            </w:r>
            <w:r w:rsidRPr="00601402">
              <w:rPr>
                <w:rFonts w:ascii="Arial" w:hAnsi="Arial" w:cs="Arial"/>
                <w:sz w:val="16"/>
                <w:szCs w:val="16"/>
                <w:vertAlign w:val="superscript"/>
              </w:rPr>
              <w:t>2</w:t>
            </w:r>
            <w:r w:rsidRPr="00601402">
              <w:rPr>
                <w:rStyle w:val="comma"/>
                <w:rFonts w:ascii="Arial" w:hAnsi="Arial" w:cs="Arial"/>
                <w:sz w:val="16"/>
                <w:szCs w:val="16"/>
                <w:vertAlign w:val="superscript"/>
              </w:rPr>
              <w:t>,</w:t>
            </w:r>
            <w:r w:rsidRPr="00601402">
              <w:rPr>
                <w:rFonts w:ascii="Arial" w:hAnsi="Arial" w:cs="Arial"/>
                <w:sz w:val="16"/>
                <w:szCs w:val="16"/>
                <w:vertAlign w:val="superscript"/>
              </w:rPr>
              <w:t>4</w:t>
            </w:r>
          </w:p>
          <w:p w14:paraId="196C678C" w14:textId="77777777" w:rsidR="00596BE0" w:rsidRPr="00601402" w:rsidRDefault="00596BE0" w:rsidP="00596BE0">
            <w:pPr>
              <w:rPr>
                <w:rFonts w:ascii="Arial" w:hAnsi="Arial" w:cs="Arial"/>
                <w:sz w:val="16"/>
                <w:szCs w:val="16"/>
              </w:rPr>
            </w:pPr>
            <w:r w:rsidRPr="00601402">
              <w:rPr>
                <w:rStyle w:val="label"/>
                <w:rFonts w:ascii="Arial" w:hAnsi="Arial" w:cs="Arial"/>
                <w:sz w:val="16"/>
                <w:szCs w:val="16"/>
              </w:rPr>
              <w:t>15 to 52 weeks</w:t>
            </w:r>
            <w:r w:rsidRPr="00601402">
              <w:rPr>
                <w:rFonts w:ascii="Arial" w:hAnsi="Arial" w:cs="Arial"/>
                <w:sz w:val="16"/>
                <w:szCs w:val="16"/>
              </w:rPr>
              <w:t xml:space="preserve"> </w:t>
            </w:r>
            <w:r w:rsidRPr="00601402">
              <w:rPr>
                <w:rFonts w:ascii="Arial" w:hAnsi="Arial" w:cs="Arial"/>
                <w:sz w:val="16"/>
                <w:szCs w:val="16"/>
                <w:vertAlign w:val="superscript"/>
              </w:rPr>
              <w:t>p</w:t>
            </w:r>
          </w:p>
        </w:tc>
        <w:tc>
          <w:tcPr>
            <w:tcW w:w="686" w:type="pct"/>
            <w:tcBorders>
              <w:top w:val="single" w:sz="6" w:space="0" w:color="000000"/>
              <w:left w:val="nil"/>
              <w:bottom w:val="single" w:sz="6" w:space="0" w:color="000000"/>
              <w:right w:val="nil"/>
            </w:tcBorders>
            <w:vAlign w:val="center"/>
          </w:tcPr>
          <w:p w14:paraId="6ECD3701" w14:textId="77777777" w:rsidR="00596BE0" w:rsidRPr="00601402" w:rsidRDefault="00596BE0" w:rsidP="00596BE0">
            <w:pPr>
              <w:rPr>
                <w:rStyle w:val="quality-sign"/>
                <w:rFonts w:ascii="Cambria Math" w:hAnsi="Cambria Math" w:cs="Cambria Math"/>
                <w:sz w:val="16"/>
                <w:szCs w:val="16"/>
              </w:rPr>
            </w:pPr>
            <w:r w:rsidRPr="00601402">
              <w:rPr>
                <w:rStyle w:val="quality-sign"/>
                <w:rFonts w:ascii="Cambria Math" w:hAnsi="Cambria Math" w:cs="Cambria Math"/>
                <w:sz w:val="16"/>
                <w:szCs w:val="16"/>
              </w:rPr>
              <w:t>⨁⨁</w:t>
            </w:r>
            <w:r w:rsidRPr="00601402">
              <w:rPr>
                <w:rStyle w:val="quality-sign"/>
                <w:rFonts w:ascii="Segoe UI Symbol" w:eastAsia="MS Mincho" w:hAnsi="Segoe UI Symbol" w:cs="Segoe UI Symbol"/>
                <w:sz w:val="16"/>
                <w:szCs w:val="16"/>
              </w:rPr>
              <w:t>◯◯</w:t>
            </w:r>
            <w:r w:rsidRPr="00601402">
              <w:rPr>
                <w:rFonts w:ascii="Arial" w:hAnsi="Arial" w:cs="Arial"/>
                <w:sz w:val="16"/>
                <w:szCs w:val="16"/>
              </w:rPr>
              <w:br/>
            </w:r>
            <w:r w:rsidRPr="00601402">
              <w:rPr>
                <w:rStyle w:val="quality-text"/>
                <w:rFonts w:ascii="Arial" w:hAnsi="Arial" w:cs="Arial"/>
                <w:sz w:val="16"/>
                <w:szCs w:val="16"/>
              </w:rPr>
              <w:t>LOW</w:t>
            </w:r>
            <w:r w:rsidRPr="00601402">
              <w:rPr>
                <w:rFonts w:ascii="Arial" w:hAnsi="Arial" w:cs="Arial"/>
                <w:sz w:val="16"/>
                <w:szCs w:val="16"/>
              </w:rPr>
              <w:t xml:space="preserve"> </w:t>
            </w:r>
            <w:proofErr w:type="gramStart"/>
            <w:r w:rsidRPr="00601402">
              <w:rPr>
                <w:rFonts w:ascii="Arial" w:hAnsi="Arial" w:cs="Arial"/>
                <w:sz w:val="16"/>
                <w:szCs w:val="16"/>
                <w:vertAlign w:val="superscript"/>
              </w:rPr>
              <w:t>3</w:t>
            </w:r>
            <w:r w:rsidRPr="00601402">
              <w:rPr>
                <w:rStyle w:val="comma"/>
                <w:rFonts w:ascii="Arial" w:hAnsi="Arial" w:cs="Arial"/>
                <w:sz w:val="16"/>
                <w:szCs w:val="16"/>
                <w:vertAlign w:val="superscript"/>
              </w:rPr>
              <w:t>,</w:t>
            </w:r>
            <w:r w:rsidRPr="00601402">
              <w:rPr>
                <w:rFonts w:ascii="Arial" w:hAnsi="Arial" w:cs="Arial"/>
                <w:sz w:val="16"/>
                <w:szCs w:val="16"/>
                <w:vertAlign w:val="superscript"/>
              </w:rPr>
              <w:t>b</w:t>
            </w:r>
            <w:proofErr w:type="gramEnd"/>
            <w:r w:rsidRPr="00601402">
              <w:rPr>
                <w:rStyle w:val="comma"/>
                <w:rFonts w:ascii="Arial" w:hAnsi="Arial" w:cs="Arial"/>
                <w:sz w:val="16"/>
                <w:szCs w:val="16"/>
                <w:vertAlign w:val="superscript"/>
              </w:rPr>
              <w:t>,</w:t>
            </w:r>
            <w:r w:rsidRPr="00601402">
              <w:rPr>
                <w:rFonts w:ascii="Arial" w:hAnsi="Arial" w:cs="Arial"/>
                <w:sz w:val="16"/>
                <w:szCs w:val="16"/>
                <w:vertAlign w:val="superscript"/>
              </w:rPr>
              <w:t>q</w:t>
            </w:r>
          </w:p>
        </w:tc>
        <w:tc>
          <w:tcPr>
            <w:tcW w:w="572" w:type="pct"/>
            <w:tcBorders>
              <w:top w:val="single" w:sz="6" w:space="0" w:color="000000"/>
              <w:left w:val="nil"/>
              <w:bottom w:val="single" w:sz="6" w:space="0" w:color="000000"/>
              <w:right w:val="nil"/>
            </w:tcBorders>
            <w:vAlign w:val="center"/>
          </w:tcPr>
          <w:p w14:paraId="51C416B3" w14:textId="0977DC61" w:rsidR="00596BE0" w:rsidRPr="00601402" w:rsidRDefault="00256864" w:rsidP="00596BE0">
            <w:pPr>
              <w:rPr>
                <w:rStyle w:val="cell"/>
                <w:rFonts w:ascii="Arial" w:hAnsi="Arial" w:cs="Arial"/>
                <w:sz w:val="16"/>
                <w:szCs w:val="16"/>
              </w:rPr>
            </w:pPr>
            <w:r>
              <w:rPr>
                <w:rStyle w:val="block"/>
                <w:rFonts w:ascii="Arial" w:hAnsi="Arial" w:cs="Arial"/>
                <w:b/>
                <w:bCs/>
                <w:sz w:val="16"/>
                <w:szCs w:val="16"/>
              </w:rPr>
              <w:t>Risk</w:t>
            </w:r>
            <w:r w:rsidR="00596BE0" w:rsidRPr="00601402">
              <w:rPr>
                <w:rStyle w:val="block"/>
                <w:rFonts w:ascii="Arial" w:hAnsi="Arial" w:cs="Arial"/>
                <w:b/>
                <w:bCs/>
                <w:sz w:val="16"/>
                <w:szCs w:val="16"/>
              </w:rPr>
              <w:t xml:space="preserve"> ratio 4.71</w:t>
            </w:r>
            <w:r w:rsidR="00596BE0" w:rsidRPr="00601402">
              <w:rPr>
                <w:rFonts w:ascii="Arial" w:hAnsi="Arial" w:cs="Arial"/>
                <w:sz w:val="16"/>
                <w:szCs w:val="16"/>
              </w:rPr>
              <w:br/>
            </w:r>
            <w:r w:rsidR="00596BE0" w:rsidRPr="00601402">
              <w:rPr>
                <w:rStyle w:val="cell"/>
                <w:rFonts w:ascii="Arial" w:hAnsi="Arial" w:cs="Arial"/>
                <w:sz w:val="16"/>
                <w:szCs w:val="16"/>
              </w:rPr>
              <w:t>(0.54 to 41.31)</w:t>
            </w:r>
            <w:r w:rsidR="00596BE0" w:rsidRPr="00601402">
              <w:rPr>
                <w:rFonts w:ascii="Arial" w:hAnsi="Arial" w:cs="Arial"/>
                <w:sz w:val="16"/>
                <w:szCs w:val="16"/>
              </w:rPr>
              <w:t xml:space="preserve"> </w:t>
            </w:r>
          </w:p>
        </w:tc>
        <w:tc>
          <w:tcPr>
            <w:tcW w:w="0" w:type="auto"/>
            <w:tcBorders>
              <w:top w:val="single" w:sz="6" w:space="0" w:color="000000"/>
              <w:left w:val="nil"/>
              <w:right w:val="nil"/>
            </w:tcBorders>
            <w:shd w:val="clear" w:color="auto" w:fill="E0E0E0"/>
            <w:vAlign w:val="center"/>
          </w:tcPr>
          <w:p w14:paraId="6AA7BC3F" w14:textId="77777777" w:rsidR="00596BE0" w:rsidRPr="00601402" w:rsidRDefault="00596BE0" w:rsidP="00596BE0">
            <w:pPr>
              <w:rPr>
                <w:rFonts w:ascii="Arial" w:hAnsi="Arial" w:cs="Arial"/>
                <w:sz w:val="16"/>
                <w:szCs w:val="16"/>
              </w:rPr>
            </w:pPr>
            <w:r w:rsidRPr="00601402">
              <w:rPr>
                <w:rFonts w:ascii="Arial" w:hAnsi="Arial" w:cs="Arial"/>
                <w:sz w:val="16"/>
                <w:szCs w:val="16"/>
              </w:rPr>
              <w:t xml:space="preserve">0 per 1.000 </w:t>
            </w:r>
          </w:p>
        </w:tc>
        <w:tc>
          <w:tcPr>
            <w:tcW w:w="0" w:type="auto"/>
            <w:tcBorders>
              <w:top w:val="single" w:sz="6" w:space="0" w:color="000000"/>
              <w:left w:val="nil"/>
              <w:right w:val="nil"/>
            </w:tcBorders>
            <w:shd w:val="clear" w:color="auto" w:fill="E0E0E0"/>
            <w:vAlign w:val="center"/>
          </w:tcPr>
          <w:p w14:paraId="3FEDBA51" w14:textId="77777777" w:rsidR="00596BE0" w:rsidRPr="00601402" w:rsidRDefault="00596BE0" w:rsidP="00596BE0">
            <w:pPr>
              <w:rPr>
                <w:rStyle w:val="cell-value"/>
                <w:rFonts w:ascii="Arial" w:hAnsi="Arial" w:cs="Arial"/>
                <w:sz w:val="16"/>
                <w:szCs w:val="16"/>
              </w:rPr>
            </w:pPr>
            <w:r w:rsidRPr="00601402">
              <w:rPr>
                <w:rStyle w:val="cell-value"/>
                <w:rFonts w:ascii="Arial" w:hAnsi="Arial" w:cs="Arial"/>
                <w:b/>
                <w:bCs/>
                <w:sz w:val="16"/>
                <w:szCs w:val="16"/>
              </w:rPr>
              <w:t>0 fewer per 1.000</w:t>
            </w:r>
            <w:r w:rsidRPr="00601402">
              <w:rPr>
                <w:rFonts w:ascii="Arial" w:hAnsi="Arial" w:cs="Arial"/>
                <w:sz w:val="16"/>
                <w:szCs w:val="16"/>
              </w:rPr>
              <w:br/>
            </w:r>
            <w:r w:rsidRPr="00601402">
              <w:rPr>
                <w:rStyle w:val="cell-value"/>
                <w:rFonts w:ascii="Arial" w:hAnsi="Arial" w:cs="Arial"/>
                <w:sz w:val="16"/>
                <w:szCs w:val="16"/>
              </w:rPr>
              <w:t>(0 fewer to 0 fewer)</w:t>
            </w:r>
            <w:r w:rsidRPr="00601402">
              <w:rPr>
                <w:rFonts w:ascii="Arial" w:hAnsi="Arial" w:cs="Arial"/>
                <w:sz w:val="16"/>
                <w:szCs w:val="16"/>
              </w:rPr>
              <w:t xml:space="preserve"> </w:t>
            </w:r>
          </w:p>
        </w:tc>
      </w:tr>
      <w:tr w:rsidR="00596BE0" w:rsidRPr="00601402" w14:paraId="3AABE15F" w14:textId="77777777" w:rsidTr="00596BE0">
        <w:trPr>
          <w:cantSplit/>
        </w:trPr>
        <w:tc>
          <w:tcPr>
            <w:tcW w:w="1319" w:type="pct"/>
            <w:tcBorders>
              <w:top w:val="single" w:sz="6" w:space="0" w:color="000000"/>
              <w:left w:val="nil"/>
              <w:bottom w:val="single" w:sz="6" w:space="0" w:color="000000"/>
              <w:right w:val="nil"/>
            </w:tcBorders>
            <w:vAlign w:val="center"/>
          </w:tcPr>
          <w:p w14:paraId="2313B0FB" w14:textId="77777777" w:rsidR="00596BE0" w:rsidRPr="00601402" w:rsidRDefault="00596BE0" w:rsidP="00596BE0">
            <w:pPr>
              <w:rPr>
                <w:rStyle w:val="label"/>
                <w:rFonts w:ascii="Arial" w:hAnsi="Arial" w:cs="Arial"/>
                <w:sz w:val="16"/>
                <w:szCs w:val="16"/>
              </w:rPr>
            </w:pPr>
            <w:r w:rsidRPr="00601402">
              <w:rPr>
                <w:rStyle w:val="label"/>
                <w:rFonts w:ascii="Arial" w:hAnsi="Arial" w:cs="Arial"/>
                <w:b/>
                <w:sz w:val="16"/>
                <w:szCs w:val="16"/>
              </w:rPr>
              <w:t>Decrease in inhaled corticosteroid (ICS) and oral corticosteroid (OCS) dose</w:t>
            </w:r>
            <w:r w:rsidRPr="00601402">
              <w:rPr>
                <w:rStyle w:val="label"/>
                <w:rFonts w:ascii="Arial" w:hAnsi="Arial" w:cs="Arial"/>
                <w:sz w:val="16"/>
                <w:szCs w:val="16"/>
              </w:rPr>
              <w:t xml:space="preserve"> </w:t>
            </w:r>
          </w:p>
        </w:tc>
        <w:tc>
          <w:tcPr>
            <w:tcW w:w="995" w:type="pct"/>
            <w:tcBorders>
              <w:top w:val="single" w:sz="6" w:space="0" w:color="000000"/>
              <w:left w:val="nil"/>
              <w:bottom w:val="single" w:sz="6" w:space="0" w:color="000000"/>
              <w:right w:val="nil"/>
            </w:tcBorders>
            <w:vAlign w:val="center"/>
          </w:tcPr>
          <w:p w14:paraId="45794D8C" w14:textId="77777777" w:rsidR="00596BE0" w:rsidRPr="00601402" w:rsidRDefault="00596BE0" w:rsidP="00596BE0">
            <w:pPr>
              <w:rPr>
                <w:rFonts w:ascii="Arial" w:hAnsi="Arial" w:cs="Arial"/>
                <w:sz w:val="16"/>
                <w:szCs w:val="16"/>
              </w:rPr>
            </w:pPr>
            <w:r w:rsidRPr="00601402">
              <w:rPr>
                <w:rStyle w:val="cell"/>
                <w:rFonts w:ascii="Arial" w:hAnsi="Arial" w:cs="Arial"/>
                <w:sz w:val="16"/>
                <w:szCs w:val="16"/>
              </w:rPr>
              <w:t xml:space="preserve">0 studies </w:t>
            </w:r>
          </w:p>
        </w:tc>
        <w:tc>
          <w:tcPr>
            <w:tcW w:w="686" w:type="pct"/>
            <w:tcBorders>
              <w:top w:val="single" w:sz="6" w:space="0" w:color="000000"/>
              <w:left w:val="nil"/>
              <w:bottom w:val="single" w:sz="6" w:space="0" w:color="000000"/>
              <w:right w:val="nil"/>
            </w:tcBorders>
            <w:vAlign w:val="center"/>
          </w:tcPr>
          <w:p w14:paraId="59A0CED2" w14:textId="77777777" w:rsidR="00596BE0" w:rsidRPr="00601402" w:rsidRDefault="00596BE0" w:rsidP="00596BE0">
            <w:pPr>
              <w:rPr>
                <w:rStyle w:val="quality-sign"/>
                <w:rFonts w:ascii="Cambria Math" w:hAnsi="Cambria Math" w:cs="Cambria Math"/>
                <w:sz w:val="16"/>
                <w:szCs w:val="16"/>
              </w:rPr>
            </w:pPr>
            <w:r w:rsidRPr="00601402">
              <w:rPr>
                <w:rStyle w:val="cell"/>
                <w:rFonts w:ascii="Arial" w:hAnsi="Arial" w:cs="Arial"/>
                <w:b/>
                <w:bCs/>
                <w:sz w:val="16"/>
                <w:szCs w:val="16"/>
              </w:rPr>
              <w:t>-</w:t>
            </w:r>
            <w:r w:rsidRPr="00601402">
              <w:rPr>
                <w:rFonts w:ascii="Arial" w:hAnsi="Arial" w:cs="Arial"/>
                <w:sz w:val="16"/>
                <w:szCs w:val="16"/>
              </w:rPr>
              <w:t xml:space="preserve"> </w:t>
            </w:r>
          </w:p>
        </w:tc>
        <w:tc>
          <w:tcPr>
            <w:tcW w:w="572" w:type="pct"/>
            <w:tcBorders>
              <w:top w:val="single" w:sz="6" w:space="0" w:color="000000"/>
              <w:left w:val="nil"/>
              <w:bottom w:val="single" w:sz="6" w:space="0" w:color="000000"/>
              <w:right w:val="nil"/>
            </w:tcBorders>
            <w:vAlign w:val="center"/>
          </w:tcPr>
          <w:p w14:paraId="092B3BC3" w14:textId="77777777" w:rsidR="00596BE0" w:rsidRPr="00601402" w:rsidRDefault="00596BE0" w:rsidP="00596BE0">
            <w:pPr>
              <w:rPr>
                <w:rStyle w:val="cell"/>
                <w:rFonts w:ascii="Arial" w:hAnsi="Arial" w:cs="Arial"/>
                <w:sz w:val="16"/>
                <w:szCs w:val="16"/>
              </w:rPr>
            </w:pPr>
            <w:r w:rsidRPr="00601402">
              <w:rPr>
                <w:rStyle w:val="cell"/>
                <w:rFonts w:ascii="Arial" w:hAnsi="Arial" w:cs="Arial"/>
                <w:sz w:val="16"/>
                <w:szCs w:val="16"/>
              </w:rPr>
              <w:t>-</w:t>
            </w:r>
            <w:r w:rsidRPr="00601402">
              <w:rPr>
                <w:rFonts w:ascii="Arial" w:hAnsi="Arial" w:cs="Arial"/>
                <w:sz w:val="16"/>
                <w:szCs w:val="16"/>
              </w:rPr>
              <w:t xml:space="preserve"> </w:t>
            </w:r>
          </w:p>
        </w:tc>
        <w:tc>
          <w:tcPr>
            <w:tcW w:w="687" w:type="pct"/>
            <w:tcBorders>
              <w:top w:val="single" w:sz="6" w:space="0" w:color="000000"/>
              <w:left w:val="nil"/>
              <w:bottom w:val="single" w:sz="6" w:space="0" w:color="000000"/>
              <w:right w:val="nil"/>
            </w:tcBorders>
            <w:shd w:val="clear" w:color="auto" w:fill="EDEDED"/>
            <w:vAlign w:val="center"/>
          </w:tcPr>
          <w:p w14:paraId="5AA069C7" w14:textId="77777777" w:rsidR="00596BE0" w:rsidRPr="00601402" w:rsidRDefault="00596BE0" w:rsidP="00596BE0">
            <w:pPr>
              <w:rPr>
                <w:rFonts w:ascii="Arial" w:hAnsi="Arial" w:cs="Arial"/>
                <w:sz w:val="16"/>
                <w:szCs w:val="16"/>
              </w:rPr>
            </w:pPr>
            <w:r w:rsidRPr="00601402">
              <w:rPr>
                <w:rStyle w:val="cell"/>
                <w:rFonts w:ascii="Arial" w:hAnsi="Arial" w:cs="Arial"/>
                <w:sz w:val="16"/>
                <w:szCs w:val="16"/>
              </w:rPr>
              <w:t>-</w:t>
            </w:r>
            <w:r w:rsidRPr="00601402">
              <w:rPr>
                <w:rFonts w:ascii="Arial" w:hAnsi="Arial" w:cs="Arial"/>
                <w:sz w:val="16"/>
                <w:szCs w:val="16"/>
              </w:rPr>
              <w:t xml:space="preserve"> </w:t>
            </w:r>
          </w:p>
        </w:tc>
        <w:tc>
          <w:tcPr>
            <w:tcW w:w="741" w:type="pct"/>
            <w:tcBorders>
              <w:top w:val="single" w:sz="6" w:space="0" w:color="000000"/>
              <w:left w:val="nil"/>
              <w:bottom w:val="single" w:sz="6" w:space="0" w:color="000000"/>
              <w:right w:val="nil"/>
            </w:tcBorders>
            <w:shd w:val="clear" w:color="auto" w:fill="EDEDED"/>
            <w:vAlign w:val="center"/>
          </w:tcPr>
          <w:p w14:paraId="5706CB23" w14:textId="77777777" w:rsidR="00596BE0" w:rsidRPr="00601402" w:rsidRDefault="00596BE0" w:rsidP="00596BE0">
            <w:pPr>
              <w:rPr>
                <w:rStyle w:val="cell-value"/>
                <w:rFonts w:ascii="Arial" w:hAnsi="Arial" w:cs="Arial"/>
                <w:sz w:val="16"/>
                <w:szCs w:val="16"/>
              </w:rPr>
            </w:pPr>
            <w:r w:rsidRPr="00601402">
              <w:rPr>
                <w:rStyle w:val="cell"/>
                <w:rFonts w:ascii="Arial" w:hAnsi="Arial" w:cs="Arial"/>
                <w:sz w:val="16"/>
                <w:szCs w:val="16"/>
              </w:rPr>
              <w:t>-</w:t>
            </w:r>
            <w:r w:rsidRPr="00601402">
              <w:rPr>
                <w:rFonts w:ascii="Arial" w:hAnsi="Arial" w:cs="Arial"/>
                <w:sz w:val="16"/>
                <w:szCs w:val="16"/>
              </w:rPr>
              <w:t xml:space="preserve"> </w:t>
            </w:r>
          </w:p>
        </w:tc>
      </w:tr>
      <w:tr w:rsidR="00596BE0" w:rsidRPr="00601402" w14:paraId="6BE4BC3E" w14:textId="77777777" w:rsidTr="00596BE0">
        <w:trPr>
          <w:cantSplit/>
        </w:trPr>
        <w:tc>
          <w:tcPr>
            <w:tcW w:w="1319" w:type="pct"/>
            <w:tcBorders>
              <w:top w:val="single" w:sz="6" w:space="0" w:color="000000"/>
              <w:left w:val="nil"/>
              <w:bottom w:val="single" w:sz="6" w:space="0" w:color="000000"/>
              <w:right w:val="nil"/>
            </w:tcBorders>
            <w:vAlign w:val="center"/>
          </w:tcPr>
          <w:p w14:paraId="6EF1C350" w14:textId="77777777" w:rsidR="00596BE0" w:rsidRPr="00601402" w:rsidRDefault="00596BE0" w:rsidP="00596BE0">
            <w:pPr>
              <w:rPr>
                <w:rFonts w:ascii="Arial" w:hAnsi="Arial" w:cs="Arial"/>
                <w:sz w:val="16"/>
                <w:szCs w:val="16"/>
              </w:rPr>
            </w:pPr>
            <w:r w:rsidRPr="00601402">
              <w:rPr>
                <w:rStyle w:val="label"/>
                <w:rFonts w:ascii="Arial" w:hAnsi="Arial" w:cs="Arial"/>
                <w:b/>
                <w:sz w:val="16"/>
                <w:szCs w:val="16"/>
              </w:rPr>
              <w:t>Lung function</w:t>
            </w:r>
            <w:r w:rsidRPr="00601402">
              <w:rPr>
                <w:rStyle w:val="label"/>
                <w:rFonts w:ascii="Arial" w:hAnsi="Arial" w:cs="Arial"/>
                <w:sz w:val="16"/>
                <w:szCs w:val="16"/>
              </w:rPr>
              <w:t xml:space="preserve"> </w:t>
            </w:r>
            <w:r w:rsidRPr="00601402">
              <w:rPr>
                <w:rFonts w:ascii="Arial" w:hAnsi="Arial" w:cs="Arial"/>
                <w:sz w:val="16"/>
                <w:szCs w:val="16"/>
              </w:rPr>
              <w:br/>
            </w:r>
            <w:r>
              <w:rPr>
                <w:rStyle w:val="label"/>
                <w:rFonts w:ascii="Arial" w:hAnsi="Arial" w:cs="Arial"/>
                <w:sz w:val="16"/>
                <w:szCs w:val="16"/>
              </w:rPr>
              <w:t>A</w:t>
            </w:r>
            <w:r w:rsidRPr="00601402">
              <w:rPr>
                <w:rStyle w:val="label"/>
                <w:rFonts w:ascii="Arial" w:hAnsi="Arial" w:cs="Arial"/>
                <w:sz w:val="16"/>
                <w:szCs w:val="16"/>
              </w:rPr>
              <w:t>ssessed with: FEV</w:t>
            </w:r>
            <w:r w:rsidRPr="00601402">
              <w:rPr>
                <w:rStyle w:val="label"/>
                <w:rFonts w:ascii="Arial" w:hAnsi="Arial" w:cs="Arial"/>
                <w:sz w:val="16"/>
                <w:szCs w:val="16"/>
                <w:vertAlign w:val="subscript"/>
              </w:rPr>
              <w:t>1</w:t>
            </w:r>
            <w:r w:rsidRPr="00601402">
              <w:rPr>
                <w:rStyle w:val="label"/>
                <w:rFonts w:ascii="Arial" w:hAnsi="Arial" w:cs="Arial"/>
                <w:sz w:val="16"/>
                <w:szCs w:val="16"/>
              </w:rPr>
              <w:t xml:space="preserve"> in mL</w:t>
            </w:r>
            <w:r w:rsidRPr="00601402">
              <w:rPr>
                <w:rFonts w:ascii="Arial" w:hAnsi="Arial" w:cs="Arial"/>
                <w:sz w:val="16"/>
                <w:szCs w:val="16"/>
              </w:rPr>
              <w:br/>
            </w:r>
          </w:p>
        </w:tc>
        <w:tc>
          <w:tcPr>
            <w:tcW w:w="995" w:type="pct"/>
            <w:tcBorders>
              <w:top w:val="single" w:sz="6" w:space="0" w:color="000000"/>
              <w:left w:val="nil"/>
              <w:bottom w:val="single" w:sz="6" w:space="0" w:color="000000"/>
              <w:right w:val="nil"/>
            </w:tcBorders>
            <w:vAlign w:val="center"/>
          </w:tcPr>
          <w:p w14:paraId="4BDED10B" w14:textId="77777777" w:rsidR="00596BE0" w:rsidRDefault="00596BE0" w:rsidP="00596BE0">
            <w:pPr>
              <w:rPr>
                <w:rFonts w:ascii="Arial" w:hAnsi="Arial" w:cs="Arial"/>
                <w:sz w:val="16"/>
                <w:szCs w:val="16"/>
                <w:vertAlign w:val="superscript"/>
              </w:rPr>
            </w:pPr>
            <w:r w:rsidRPr="00601402">
              <w:rPr>
                <w:rFonts w:ascii="Arial" w:hAnsi="Arial" w:cs="Arial"/>
                <w:sz w:val="16"/>
                <w:szCs w:val="16"/>
              </w:rPr>
              <w:t>1360</w:t>
            </w:r>
            <w:r w:rsidRPr="00601402">
              <w:rPr>
                <w:rFonts w:ascii="Arial" w:hAnsi="Arial" w:cs="Arial"/>
                <w:sz w:val="16"/>
                <w:szCs w:val="16"/>
              </w:rPr>
              <w:br/>
              <w:t xml:space="preserve">(5 RCTs) </w:t>
            </w:r>
            <w:r w:rsidRPr="00601402">
              <w:rPr>
                <w:rFonts w:ascii="Arial" w:hAnsi="Arial" w:cs="Arial"/>
                <w:sz w:val="16"/>
                <w:szCs w:val="16"/>
                <w:vertAlign w:val="superscript"/>
              </w:rPr>
              <w:t>1</w:t>
            </w:r>
            <w:r w:rsidRPr="00601402">
              <w:rPr>
                <w:rStyle w:val="comma"/>
                <w:rFonts w:ascii="Arial" w:hAnsi="Arial" w:cs="Arial"/>
                <w:sz w:val="16"/>
                <w:szCs w:val="16"/>
                <w:vertAlign w:val="superscript"/>
              </w:rPr>
              <w:t>,</w:t>
            </w:r>
            <w:r w:rsidRPr="00601402">
              <w:rPr>
                <w:rFonts w:ascii="Arial" w:hAnsi="Arial" w:cs="Arial"/>
                <w:sz w:val="16"/>
                <w:szCs w:val="16"/>
                <w:vertAlign w:val="superscript"/>
              </w:rPr>
              <w:t>2</w:t>
            </w:r>
            <w:r w:rsidRPr="00601402">
              <w:rPr>
                <w:rStyle w:val="comma"/>
                <w:rFonts w:ascii="Arial" w:hAnsi="Arial" w:cs="Arial"/>
                <w:sz w:val="16"/>
                <w:szCs w:val="16"/>
                <w:vertAlign w:val="superscript"/>
              </w:rPr>
              <w:t>,</w:t>
            </w:r>
            <w:r w:rsidRPr="00601402">
              <w:rPr>
                <w:rFonts w:ascii="Arial" w:hAnsi="Arial" w:cs="Arial"/>
                <w:sz w:val="16"/>
                <w:szCs w:val="16"/>
                <w:vertAlign w:val="superscript"/>
              </w:rPr>
              <w:t>4</w:t>
            </w:r>
            <w:r w:rsidRPr="00601402">
              <w:rPr>
                <w:rStyle w:val="comma"/>
                <w:rFonts w:ascii="Arial" w:hAnsi="Arial" w:cs="Arial"/>
                <w:sz w:val="16"/>
                <w:szCs w:val="16"/>
                <w:vertAlign w:val="superscript"/>
              </w:rPr>
              <w:t>,</w:t>
            </w:r>
            <w:r w:rsidRPr="00601402">
              <w:rPr>
                <w:rFonts w:ascii="Arial" w:hAnsi="Arial" w:cs="Arial"/>
                <w:sz w:val="16"/>
                <w:szCs w:val="16"/>
                <w:vertAlign w:val="superscript"/>
              </w:rPr>
              <w:t>5</w:t>
            </w:r>
          </w:p>
          <w:p w14:paraId="3E066BF0" w14:textId="77777777" w:rsidR="00596BE0" w:rsidRPr="00601402" w:rsidRDefault="00596BE0" w:rsidP="00596BE0">
            <w:pPr>
              <w:rPr>
                <w:rFonts w:ascii="Arial" w:hAnsi="Arial" w:cs="Arial"/>
                <w:sz w:val="16"/>
                <w:szCs w:val="16"/>
              </w:rPr>
            </w:pPr>
            <w:r w:rsidRPr="00601402">
              <w:rPr>
                <w:rStyle w:val="label"/>
                <w:rFonts w:ascii="Arial" w:hAnsi="Arial" w:cs="Arial"/>
                <w:sz w:val="16"/>
                <w:szCs w:val="16"/>
              </w:rPr>
              <w:t>15 to 16 weeks</w:t>
            </w:r>
          </w:p>
        </w:tc>
        <w:tc>
          <w:tcPr>
            <w:tcW w:w="686" w:type="pct"/>
            <w:tcBorders>
              <w:top w:val="single" w:sz="6" w:space="0" w:color="000000"/>
              <w:left w:val="nil"/>
              <w:bottom w:val="single" w:sz="6" w:space="0" w:color="000000"/>
              <w:right w:val="nil"/>
            </w:tcBorders>
            <w:vAlign w:val="center"/>
          </w:tcPr>
          <w:p w14:paraId="1767A0F8" w14:textId="77777777" w:rsidR="00596BE0" w:rsidRPr="00601402" w:rsidRDefault="00596BE0" w:rsidP="00596BE0">
            <w:pPr>
              <w:rPr>
                <w:rFonts w:ascii="Arial" w:hAnsi="Arial" w:cs="Arial"/>
                <w:sz w:val="16"/>
                <w:szCs w:val="16"/>
              </w:rPr>
            </w:pPr>
            <w:r w:rsidRPr="00601402">
              <w:rPr>
                <w:rStyle w:val="quality-sign"/>
                <w:rFonts w:ascii="Cambria Math" w:hAnsi="Cambria Math" w:cs="Cambria Math"/>
                <w:sz w:val="16"/>
                <w:szCs w:val="16"/>
              </w:rPr>
              <w:t>⨁⨁⨁</w:t>
            </w:r>
            <w:r w:rsidRPr="00601402">
              <w:rPr>
                <w:rStyle w:val="quality-sign"/>
                <w:rFonts w:ascii="Segoe UI Symbol" w:eastAsia="MS Mincho" w:hAnsi="Segoe UI Symbol" w:cs="Segoe UI Symbol"/>
                <w:sz w:val="16"/>
                <w:szCs w:val="16"/>
              </w:rPr>
              <w:t>◯</w:t>
            </w:r>
            <w:r w:rsidRPr="00601402">
              <w:rPr>
                <w:rFonts w:ascii="Arial" w:hAnsi="Arial" w:cs="Arial"/>
                <w:sz w:val="16"/>
                <w:szCs w:val="16"/>
              </w:rPr>
              <w:br/>
            </w:r>
            <w:r w:rsidRPr="00601402">
              <w:rPr>
                <w:rStyle w:val="quality-text"/>
                <w:rFonts w:ascii="Arial" w:hAnsi="Arial" w:cs="Arial"/>
                <w:sz w:val="16"/>
                <w:szCs w:val="16"/>
              </w:rPr>
              <w:t>MODERATE</w:t>
            </w:r>
            <w:r w:rsidRPr="00601402">
              <w:rPr>
                <w:rFonts w:ascii="Arial" w:hAnsi="Arial" w:cs="Arial"/>
                <w:sz w:val="16"/>
                <w:szCs w:val="16"/>
              </w:rPr>
              <w:t xml:space="preserve"> </w:t>
            </w:r>
            <w:r w:rsidRPr="00601402">
              <w:rPr>
                <w:rFonts w:ascii="Arial" w:hAnsi="Arial" w:cs="Arial"/>
                <w:sz w:val="16"/>
                <w:szCs w:val="16"/>
                <w:vertAlign w:val="superscript"/>
              </w:rPr>
              <w:t>3</w:t>
            </w:r>
            <w:r w:rsidRPr="00601402">
              <w:rPr>
                <w:rStyle w:val="comma"/>
                <w:rFonts w:ascii="Arial" w:hAnsi="Arial" w:cs="Arial"/>
                <w:sz w:val="16"/>
                <w:szCs w:val="16"/>
                <w:vertAlign w:val="superscript"/>
              </w:rPr>
              <w:t>,</w:t>
            </w:r>
            <w:r w:rsidRPr="00601402">
              <w:rPr>
                <w:rFonts w:ascii="Arial" w:hAnsi="Arial" w:cs="Arial"/>
                <w:sz w:val="16"/>
                <w:szCs w:val="16"/>
                <w:vertAlign w:val="superscript"/>
              </w:rPr>
              <w:t>6</w:t>
            </w:r>
            <w:r w:rsidRPr="00601402">
              <w:rPr>
                <w:rStyle w:val="comma"/>
                <w:rFonts w:ascii="Arial" w:hAnsi="Arial" w:cs="Arial"/>
                <w:sz w:val="16"/>
                <w:szCs w:val="16"/>
                <w:vertAlign w:val="superscript"/>
              </w:rPr>
              <w:t>,</w:t>
            </w:r>
            <w:proofErr w:type="gramStart"/>
            <w:r w:rsidRPr="00601402">
              <w:rPr>
                <w:rFonts w:ascii="Arial" w:hAnsi="Arial" w:cs="Arial"/>
                <w:sz w:val="16"/>
                <w:szCs w:val="16"/>
                <w:vertAlign w:val="superscript"/>
              </w:rPr>
              <w:t>7</w:t>
            </w:r>
            <w:r w:rsidRPr="00601402">
              <w:rPr>
                <w:rStyle w:val="comma"/>
                <w:rFonts w:ascii="Arial" w:hAnsi="Arial" w:cs="Arial"/>
                <w:sz w:val="16"/>
                <w:szCs w:val="16"/>
                <w:vertAlign w:val="superscript"/>
              </w:rPr>
              <w:t>,</w:t>
            </w:r>
            <w:r w:rsidRPr="00601402">
              <w:rPr>
                <w:rFonts w:ascii="Arial" w:hAnsi="Arial" w:cs="Arial"/>
                <w:sz w:val="16"/>
                <w:szCs w:val="16"/>
                <w:vertAlign w:val="superscript"/>
              </w:rPr>
              <w:t>b</w:t>
            </w:r>
            <w:proofErr w:type="gramEnd"/>
            <w:r w:rsidRPr="00601402">
              <w:rPr>
                <w:rStyle w:val="comma"/>
                <w:rFonts w:ascii="Arial" w:hAnsi="Arial" w:cs="Arial"/>
                <w:sz w:val="16"/>
                <w:szCs w:val="16"/>
                <w:vertAlign w:val="superscript"/>
              </w:rPr>
              <w:t>,</w:t>
            </w:r>
            <w:r w:rsidRPr="00601402">
              <w:rPr>
                <w:rFonts w:ascii="Arial" w:hAnsi="Arial" w:cs="Arial"/>
                <w:sz w:val="16"/>
                <w:szCs w:val="16"/>
                <w:vertAlign w:val="superscript"/>
              </w:rPr>
              <w:t>e</w:t>
            </w:r>
            <w:r w:rsidRPr="00601402">
              <w:rPr>
                <w:rStyle w:val="comma"/>
                <w:rFonts w:ascii="Arial" w:hAnsi="Arial" w:cs="Arial"/>
                <w:sz w:val="16"/>
                <w:szCs w:val="16"/>
                <w:vertAlign w:val="superscript"/>
              </w:rPr>
              <w:t>,</w:t>
            </w:r>
            <w:r w:rsidRPr="00601402">
              <w:rPr>
                <w:rFonts w:ascii="Arial" w:hAnsi="Arial" w:cs="Arial"/>
                <w:sz w:val="16"/>
                <w:szCs w:val="16"/>
                <w:vertAlign w:val="superscript"/>
              </w:rPr>
              <w:t>f</w:t>
            </w:r>
          </w:p>
        </w:tc>
        <w:tc>
          <w:tcPr>
            <w:tcW w:w="572" w:type="pct"/>
            <w:tcBorders>
              <w:top w:val="single" w:sz="6" w:space="0" w:color="000000"/>
              <w:left w:val="nil"/>
              <w:bottom w:val="single" w:sz="6" w:space="0" w:color="000000"/>
              <w:right w:val="nil"/>
            </w:tcBorders>
            <w:vAlign w:val="center"/>
          </w:tcPr>
          <w:p w14:paraId="7D970835" w14:textId="77777777" w:rsidR="00596BE0" w:rsidRPr="00601402" w:rsidRDefault="00596BE0" w:rsidP="00596BE0">
            <w:pPr>
              <w:rPr>
                <w:rFonts w:ascii="Arial" w:hAnsi="Arial" w:cs="Arial"/>
                <w:sz w:val="16"/>
                <w:szCs w:val="16"/>
              </w:rPr>
            </w:pPr>
            <w:r w:rsidRPr="00601402">
              <w:rPr>
                <w:rStyle w:val="cell"/>
                <w:rFonts w:ascii="Arial" w:hAnsi="Arial" w:cs="Arial"/>
                <w:sz w:val="16"/>
                <w:szCs w:val="16"/>
              </w:rPr>
              <w:t>-</w:t>
            </w:r>
            <w:r w:rsidRPr="00601402">
              <w:rPr>
                <w:rFonts w:ascii="Arial" w:hAnsi="Arial" w:cs="Arial"/>
                <w:sz w:val="16"/>
                <w:szCs w:val="16"/>
              </w:rPr>
              <w:t xml:space="preserve"> </w:t>
            </w:r>
          </w:p>
        </w:tc>
        <w:tc>
          <w:tcPr>
            <w:tcW w:w="687" w:type="pct"/>
            <w:tcBorders>
              <w:top w:val="single" w:sz="6" w:space="0" w:color="000000"/>
              <w:left w:val="nil"/>
              <w:bottom w:val="single" w:sz="6" w:space="0" w:color="000000"/>
              <w:right w:val="nil"/>
            </w:tcBorders>
            <w:shd w:val="clear" w:color="auto" w:fill="EDEDED"/>
            <w:vAlign w:val="center"/>
          </w:tcPr>
          <w:p w14:paraId="2622C959" w14:textId="77777777" w:rsidR="00596BE0" w:rsidRPr="00601402" w:rsidRDefault="00596BE0" w:rsidP="00596BE0">
            <w:pPr>
              <w:rPr>
                <w:rFonts w:ascii="Arial" w:hAnsi="Arial" w:cs="Arial"/>
                <w:sz w:val="16"/>
                <w:szCs w:val="16"/>
              </w:rPr>
            </w:pPr>
          </w:p>
        </w:tc>
        <w:tc>
          <w:tcPr>
            <w:tcW w:w="741" w:type="pct"/>
            <w:tcBorders>
              <w:top w:val="single" w:sz="6" w:space="0" w:color="000000"/>
              <w:left w:val="nil"/>
              <w:bottom w:val="single" w:sz="6" w:space="0" w:color="000000"/>
              <w:right w:val="nil"/>
            </w:tcBorders>
            <w:shd w:val="clear" w:color="auto" w:fill="EDEDED"/>
            <w:vAlign w:val="center"/>
          </w:tcPr>
          <w:p w14:paraId="1F932AFC" w14:textId="77777777" w:rsidR="00596BE0" w:rsidRPr="00601402" w:rsidRDefault="00596BE0" w:rsidP="00596BE0">
            <w:pPr>
              <w:rPr>
                <w:rFonts w:ascii="Arial" w:hAnsi="Arial" w:cs="Arial"/>
                <w:sz w:val="16"/>
                <w:szCs w:val="16"/>
              </w:rPr>
            </w:pPr>
            <w:r w:rsidRPr="00601402">
              <w:rPr>
                <w:rStyle w:val="cell-value"/>
                <w:rFonts w:ascii="Arial" w:hAnsi="Arial" w:cs="Arial"/>
                <w:sz w:val="16"/>
                <w:szCs w:val="16"/>
              </w:rPr>
              <w:t xml:space="preserve">mean difference </w:t>
            </w:r>
            <w:r>
              <w:rPr>
                <w:rStyle w:val="cell-value"/>
                <w:rFonts w:ascii="Arial" w:hAnsi="Arial" w:cs="Arial"/>
                <w:sz w:val="16"/>
                <w:szCs w:val="16"/>
              </w:rPr>
              <w:t>+</w:t>
            </w:r>
            <w:r w:rsidRPr="00601402">
              <w:rPr>
                <w:rStyle w:val="cell-value"/>
                <w:rFonts w:ascii="Arial" w:hAnsi="Arial" w:cs="Arial"/>
                <w:b/>
                <w:bCs/>
                <w:sz w:val="16"/>
                <w:szCs w:val="16"/>
              </w:rPr>
              <w:t xml:space="preserve">141.82 mL </w:t>
            </w:r>
            <w:r w:rsidRPr="00601402">
              <w:rPr>
                <w:rFonts w:ascii="Arial" w:hAnsi="Arial" w:cs="Arial"/>
                <w:sz w:val="16"/>
                <w:szCs w:val="16"/>
              </w:rPr>
              <w:br/>
            </w:r>
            <w:r w:rsidRPr="00601402">
              <w:rPr>
                <w:rStyle w:val="cell-value"/>
                <w:rFonts w:ascii="Arial" w:hAnsi="Arial" w:cs="Arial"/>
                <w:sz w:val="16"/>
                <w:szCs w:val="16"/>
              </w:rPr>
              <w:t>(</w:t>
            </w:r>
            <w:r>
              <w:rPr>
                <w:rStyle w:val="cell-value"/>
                <w:rFonts w:ascii="Arial" w:hAnsi="Arial" w:cs="Arial"/>
                <w:sz w:val="16"/>
                <w:szCs w:val="16"/>
              </w:rPr>
              <w:t>+</w:t>
            </w:r>
            <w:r w:rsidRPr="00601402">
              <w:rPr>
                <w:rStyle w:val="cell-value"/>
                <w:rFonts w:ascii="Arial" w:hAnsi="Arial" w:cs="Arial"/>
                <w:sz w:val="16"/>
                <w:szCs w:val="16"/>
              </w:rPr>
              <w:t>89.23 to 194.41)</w:t>
            </w:r>
            <w:r w:rsidRPr="00601402">
              <w:rPr>
                <w:rFonts w:ascii="Arial" w:hAnsi="Arial" w:cs="Arial"/>
                <w:sz w:val="16"/>
                <w:szCs w:val="16"/>
              </w:rPr>
              <w:t xml:space="preserve"> </w:t>
            </w:r>
            <w:r w:rsidRPr="00601402">
              <w:rPr>
                <w:rFonts w:ascii="Arial" w:hAnsi="Arial" w:cs="Arial"/>
                <w:sz w:val="16"/>
                <w:szCs w:val="16"/>
                <w:vertAlign w:val="superscript"/>
              </w:rPr>
              <w:t>g</w:t>
            </w:r>
            <w:r>
              <w:rPr>
                <w:rFonts w:ascii="Arial" w:hAnsi="Arial" w:cs="Arial"/>
                <w:sz w:val="16"/>
                <w:szCs w:val="16"/>
                <w:vertAlign w:val="superscript"/>
              </w:rPr>
              <w:t>+</w:t>
            </w:r>
          </w:p>
        </w:tc>
      </w:tr>
      <w:tr w:rsidR="00596BE0" w:rsidRPr="00601402" w14:paraId="565844C0" w14:textId="77777777" w:rsidTr="00596BE0">
        <w:trPr>
          <w:cantSplit/>
        </w:trPr>
        <w:tc>
          <w:tcPr>
            <w:tcW w:w="1319" w:type="pct"/>
            <w:tcBorders>
              <w:top w:val="single" w:sz="6" w:space="0" w:color="000000"/>
              <w:left w:val="nil"/>
              <w:bottom w:val="single" w:sz="6" w:space="0" w:color="000000"/>
              <w:right w:val="nil"/>
            </w:tcBorders>
            <w:vAlign w:val="center"/>
          </w:tcPr>
          <w:p w14:paraId="4116874A" w14:textId="0901997B" w:rsidR="00596BE0" w:rsidRPr="00601402" w:rsidRDefault="00596BE0" w:rsidP="00596BE0">
            <w:pPr>
              <w:rPr>
                <w:rFonts w:ascii="Arial" w:hAnsi="Arial" w:cs="Arial"/>
                <w:sz w:val="16"/>
                <w:szCs w:val="16"/>
              </w:rPr>
            </w:pPr>
            <w:r w:rsidRPr="00601402">
              <w:rPr>
                <w:rStyle w:val="label"/>
                <w:rFonts w:ascii="Arial" w:hAnsi="Arial" w:cs="Arial"/>
                <w:b/>
                <w:sz w:val="16"/>
                <w:szCs w:val="16"/>
              </w:rPr>
              <w:lastRenderedPageBreak/>
              <w:t xml:space="preserve">Rescue </w:t>
            </w:r>
            <w:r w:rsidR="00FD3FC4">
              <w:rPr>
                <w:rStyle w:val="label"/>
                <w:rFonts w:ascii="Arial" w:hAnsi="Arial" w:cs="Arial"/>
                <w:b/>
                <w:sz w:val="16"/>
                <w:szCs w:val="16"/>
              </w:rPr>
              <w:t>m</w:t>
            </w:r>
            <w:r w:rsidRPr="00601402">
              <w:rPr>
                <w:rStyle w:val="label"/>
                <w:rFonts w:ascii="Arial" w:hAnsi="Arial" w:cs="Arial"/>
                <w:b/>
                <w:sz w:val="16"/>
                <w:szCs w:val="16"/>
              </w:rPr>
              <w:t>edication use</w:t>
            </w:r>
            <w:r w:rsidRPr="00601402">
              <w:rPr>
                <w:rFonts w:ascii="Arial" w:hAnsi="Arial" w:cs="Arial"/>
                <w:sz w:val="16"/>
                <w:szCs w:val="16"/>
              </w:rPr>
              <w:br/>
            </w:r>
            <w:r>
              <w:rPr>
                <w:rStyle w:val="label"/>
                <w:rFonts w:ascii="Arial" w:hAnsi="Arial" w:cs="Arial"/>
                <w:sz w:val="16"/>
                <w:szCs w:val="16"/>
              </w:rPr>
              <w:t>A</w:t>
            </w:r>
            <w:r w:rsidRPr="00601402">
              <w:rPr>
                <w:rStyle w:val="label"/>
                <w:rFonts w:ascii="Arial" w:hAnsi="Arial" w:cs="Arial"/>
                <w:sz w:val="16"/>
                <w:szCs w:val="16"/>
              </w:rPr>
              <w:t>ssessed with</w:t>
            </w:r>
            <w:r>
              <w:rPr>
                <w:rStyle w:val="label"/>
                <w:rFonts w:ascii="Arial" w:hAnsi="Arial" w:cs="Arial"/>
                <w:sz w:val="16"/>
                <w:szCs w:val="16"/>
              </w:rPr>
              <w:t xml:space="preserve"> </w:t>
            </w:r>
            <w:r w:rsidRPr="00601402">
              <w:rPr>
                <w:rStyle w:val="label"/>
                <w:rFonts w:ascii="Arial" w:hAnsi="Arial" w:cs="Arial"/>
                <w:sz w:val="16"/>
                <w:szCs w:val="16"/>
              </w:rPr>
              <w:t>puffs/day</w:t>
            </w:r>
          </w:p>
        </w:tc>
        <w:tc>
          <w:tcPr>
            <w:tcW w:w="995" w:type="pct"/>
            <w:tcBorders>
              <w:top w:val="single" w:sz="6" w:space="0" w:color="000000"/>
              <w:left w:val="nil"/>
              <w:bottom w:val="single" w:sz="6" w:space="0" w:color="000000"/>
              <w:right w:val="nil"/>
            </w:tcBorders>
            <w:vAlign w:val="center"/>
          </w:tcPr>
          <w:p w14:paraId="185109F6" w14:textId="77777777" w:rsidR="00596BE0" w:rsidRPr="00601402" w:rsidRDefault="00596BE0" w:rsidP="00596BE0">
            <w:pPr>
              <w:rPr>
                <w:rFonts w:ascii="Arial" w:hAnsi="Arial" w:cs="Arial"/>
                <w:sz w:val="16"/>
                <w:szCs w:val="16"/>
                <w:vertAlign w:val="superscript"/>
              </w:rPr>
            </w:pPr>
            <w:r w:rsidRPr="00601402">
              <w:rPr>
                <w:rFonts w:ascii="Arial" w:hAnsi="Arial" w:cs="Arial"/>
                <w:sz w:val="16"/>
                <w:szCs w:val="16"/>
              </w:rPr>
              <w:t>1251</w:t>
            </w:r>
            <w:r w:rsidRPr="00601402">
              <w:rPr>
                <w:rFonts w:ascii="Arial" w:hAnsi="Arial" w:cs="Arial"/>
                <w:sz w:val="16"/>
                <w:szCs w:val="16"/>
              </w:rPr>
              <w:br/>
              <w:t xml:space="preserve">(4 RCTs) </w:t>
            </w:r>
            <w:r w:rsidRPr="00601402">
              <w:rPr>
                <w:rFonts w:ascii="Arial" w:hAnsi="Arial" w:cs="Arial"/>
                <w:sz w:val="16"/>
                <w:szCs w:val="16"/>
                <w:vertAlign w:val="superscript"/>
              </w:rPr>
              <w:t>1</w:t>
            </w:r>
            <w:r w:rsidRPr="00601402">
              <w:rPr>
                <w:rStyle w:val="comma"/>
                <w:rFonts w:ascii="Arial" w:hAnsi="Arial" w:cs="Arial"/>
                <w:sz w:val="16"/>
                <w:szCs w:val="16"/>
                <w:vertAlign w:val="superscript"/>
              </w:rPr>
              <w:t>,</w:t>
            </w:r>
            <w:r w:rsidRPr="00601402">
              <w:rPr>
                <w:rFonts w:ascii="Arial" w:hAnsi="Arial" w:cs="Arial"/>
                <w:sz w:val="16"/>
                <w:szCs w:val="16"/>
                <w:vertAlign w:val="superscript"/>
              </w:rPr>
              <w:t>4</w:t>
            </w:r>
            <w:r w:rsidRPr="00601402">
              <w:rPr>
                <w:rStyle w:val="comma"/>
                <w:rFonts w:ascii="Arial" w:hAnsi="Arial" w:cs="Arial"/>
                <w:sz w:val="16"/>
                <w:szCs w:val="16"/>
                <w:vertAlign w:val="superscript"/>
              </w:rPr>
              <w:t>,</w:t>
            </w:r>
            <w:r w:rsidRPr="00601402">
              <w:rPr>
                <w:rFonts w:ascii="Arial" w:hAnsi="Arial" w:cs="Arial"/>
                <w:sz w:val="16"/>
                <w:szCs w:val="16"/>
                <w:vertAlign w:val="superscript"/>
              </w:rPr>
              <w:t>5</w:t>
            </w:r>
          </w:p>
          <w:p w14:paraId="77F7E14E" w14:textId="77777777" w:rsidR="00596BE0" w:rsidRPr="00601402" w:rsidRDefault="00596BE0" w:rsidP="00596BE0">
            <w:pPr>
              <w:rPr>
                <w:rFonts w:ascii="Arial" w:hAnsi="Arial" w:cs="Arial"/>
                <w:sz w:val="16"/>
                <w:szCs w:val="16"/>
              </w:rPr>
            </w:pPr>
            <w:r w:rsidRPr="00601402">
              <w:rPr>
                <w:rStyle w:val="label"/>
                <w:rFonts w:ascii="Arial" w:hAnsi="Arial" w:cs="Arial"/>
                <w:sz w:val="16"/>
                <w:szCs w:val="16"/>
              </w:rPr>
              <w:t>16 weeks</w:t>
            </w:r>
          </w:p>
        </w:tc>
        <w:tc>
          <w:tcPr>
            <w:tcW w:w="686" w:type="pct"/>
            <w:tcBorders>
              <w:top w:val="single" w:sz="6" w:space="0" w:color="000000"/>
              <w:left w:val="nil"/>
              <w:bottom w:val="single" w:sz="6" w:space="0" w:color="000000"/>
              <w:right w:val="nil"/>
            </w:tcBorders>
            <w:vAlign w:val="center"/>
          </w:tcPr>
          <w:p w14:paraId="7B8B5D5A" w14:textId="77777777" w:rsidR="00596BE0" w:rsidRPr="00601402" w:rsidRDefault="00596BE0" w:rsidP="00596BE0">
            <w:pPr>
              <w:rPr>
                <w:rFonts w:ascii="Arial" w:hAnsi="Arial" w:cs="Arial"/>
                <w:sz w:val="16"/>
                <w:szCs w:val="16"/>
              </w:rPr>
            </w:pPr>
            <w:r w:rsidRPr="00601402">
              <w:rPr>
                <w:rStyle w:val="quality-sign"/>
                <w:rFonts w:ascii="Cambria Math" w:hAnsi="Cambria Math" w:cs="Cambria Math"/>
                <w:sz w:val="16"/>
                <w:szCs w:val="16"/>
              </w:rPr>
              <w:t>⨁⨁⨁⨁</w:t>
            </w:r>
            <w:r w:rsidRPr="00601402">
              <w:rPr>
                <w:rFonts w:ascii="Arial" w:hAnsi="Arial" w:cs="Arial"/>
                <w:sz w:val="16"/>
                <w:szCs w:val="16"/>
              </w:rPr>
              <w:br/>
            </w:r>
            <w:r w:rsidRPr="00601402">
              <w:rPr>
                <w:rStyle w:val="quality-text"/>
                <w:rFonts w:ascii="Arial" w:hAnsi="Arial" w:cs="Arial"/>
                <w:sz w:val="16"/>
                <w:szCs w:val="16"/>
              </w:rPr>
              <w:t>HIGH</w:t>
            </w:r>
            <w:r w:rsidRPr="00601402">
              <w:rPr>
                <w:rFonts w:ascii="Arial" w:hAnsi="Arial" w:cs="Arial"/>
                <w:sz w:val="16"/>
                <w:szCs w:val="16"/>
              </w:rPr>
              <w:t xml:space="preserve"> </w:t>
            </w:r>
            <w:r w:rsidRPr="00601402">
              <w:rPr>
                <w:rFonts w:ascii="Arial" w:hAnsi="Arial" w:cs="Arial"/>
                <w:sz w:val="16"/>
                <w:szCs w:val="16"/>
                <w:vertAlign w:val="superscript"/>
              </w:rPr>
              <w:t>3</w:t>
            </w:r>
            <w:r w:rsidRPr="00601402">
              <w:rPr>
                <w:rStyle w:val="comma"/>
                <w:rFonts w:ascii="Arial" w:hAnsi="Arial" w:cs="Arial"/>
                <w:sz w:val="16"/>
                <w:szCs w:val="16"/>
                <w:vertAlign w:val="superscript"/>
              </w:rPr>
              <w:t>,</w:t>
            </w:r>
            <w:proofErr w:type="gramStart"/>
            <w:r w:rsidRPr="00601402">
              <w:rPr>
                <w:rFonts w:ascii="Arial" w:hAnsi="Arial" w:cs="Arial"/>
                <w:sz w:val="16"/>
                <w:szCs w:val="16"/>
                <w:vertAlign w:val="superscript"/>
              </w:rPr>
              <w:t>7</w:t>
            </w:r>
            <w:r w:rsidRPr="00601402">
              <w:rPr>
                <w:rStyle w:val="comma"/>
                <w:rFonts w:ascii="Arial" w:hAnsi="Arial" w:cs="Arial"/>
                <w:sz w:val="16"/>
                <w:szCs w:val="16"/>
                <w:vertAlign w:val="superscript"/>
              </w:rPr>
              <w:t>,</w:t>
            </w:r>
            <w:r w:rsidRPr="00601402">
              <w:rPr>
                <w:rFonts w:ascii="Arial" w:hAnsi="Arial" w:cs="Arial"/>
                <w:sz w:val="16"/>
                <w:szCs w:val="16"/>
                <w:vertAlign w:val="superscript"/>
              </w:rPr>
              <w:t>b</w:t>
            </w:r>
            <w:proofErr w:type="gramEnd"/>
            <w:r w:rsidRPr="00601402">
              <w:rPr>
                <w:rStyle w:val="comma"/>
                <w:rFonts w:ascii="Arial" w:hAnsi="Arial" w:cs="Arial"/>
                <w:sz w:val="16"/>
                <w:szCs w:val="16"/>
                <w:vertAlign w:val="superscript"/>
              </w:rPr>
              <w:t>,</w:t>
            </w:r>
            <w:r w:rsidRPr="00601402">
              <w:rPr>
                <w:rFonts w:ascii="Arial" w:hAnsi="Arial" w:cs="Arial"/>
                <w:sz w:val="16"/>
                <w:szCs w:val="16"/>
                <w:vertAlign w:val="superscript"/>
              </w:rPr>
              <w:t>n</w:t>
            </w:r>
          </w:p>
        </w:tc>
        <w:tc>
          <w:tcPr>
            <w:tcW w:w="572" w:type="pct"/>
            <w:tcBorders>
              <w:top w:val="single" w:sz="6" w:space="0" w:color="000000"/>
              <w:left w:val="nil"/>
              <w:bottom w:val="single" w:sz="6" w:space="0" w:color="000000"/>
              <w:right w:val="nil"/>
            </w:tcBorders>
            <w:vAlign w:val="center"/>
          </w:tcPr>
          <w:p w14:paraId="2C8934D1" w14:textId="77777777" w:rsidR="00596BE0" w:rsidRPr="00601402" w:rsidRDefault="00596BE0" w:rsidP="00596BE0">
            <w:pPr>
              <w:rPr>
                <w:rFonts w:ascii="Arial" w:hAnsi="Arial" w:cs="Arial"/>
                <w:sz w:val="16"/>
                <w:szCs w:val="16"/>
              </w:rPr>
            </w:pPr>
            <w:r w:rsidRPr="00601402">
              <w:rPr>
                <w:rStyle w:val="cell"/>
                <w:rFonts w:ascii="Arial" w:hAnsi="Arial" w:cs="Arial"/>
                <w:sz w:val="16"/>
                <w:szCs w:val="16"/>
              </w:rPr>
              <w:t>-</w:t>
            </w:r>
            <w:r w:rsidRPr="00601402">
              <w:rPr>
                <w:rFonts w:ascii="Arial" w:hAnsi="Arial" w:cs="Arial"/>
                <w:sz w:val="16"/>
                <w:szCs w:val="16"/>
              </w:rPr>
              <w:t xml:space="preserve"> </w:t>
            </w:r>
          </w:p>
        </w:tc>
        <w:tc>
          <w:tcPr>
            <w:tcW w:w="687" w:type="pct"/>
            <w:tcBorders>
              <w:top w:val="single" w:sz="6" w:space="0" w:color="000000"/>
              <w:left w:val="nil"/>
              <w:bottom w:val="single" w:sz="6" w:space="0" w:color="000000"/>
              <w:right w:val="nil"/>
            </w:tcBorders>
            <w:shd w:val="clear" w:color="auto" w:fill="EDEDED"/>
            <w:vAlign w:val="center"/>
          </w:tcPr>
          <w:p w14:paraId="26BBF7CA" w14:textId="77777777" w:rsidR="00596BE0" w:rsidRPr="00601402" w:rsidRDefault="00596BE0" w:rsidP="00596BE0">
            <w:pPr>
              <w:rPr>
                <w:rFonts w:ascii="Arial" w:hAnsi="Arial" w:cs="Arial"/>
                <w:sz w:val="16"/>
                <w:szCs w:val="16"/>
              </w:rPr>
            </w:pPr>
          </w:p>
        </w:tc>
        <w:tc>
          <w:tcPr>
            <w:tcW w:w="741" w:type="pct"/>
            <w:tcBorders>
              <w:top w:val="single" w:sz="6" w:space="0" w:color="000000"/>
              <w:left w:val="nil"/>
              <w:bottom w:val="single" w:sz="6" w:space="0" w:color="000000"/>
              <w:right w:val="nil"/>
            </w:tcBorders>
            <w:shd w:val="clear" w:color="auto" w:fill="EDEDED"/>
            <w:vAlign w:val="center"/>
          </w:tcPr>
          <w:p w14:paraId="141DCD43" w14:textId="77777777" w:rsidR="00596BE0" w:rsidRPr="00601402" w:rsidRDefault="00596BE0" w:rsidP="00596BE0">
            <w:pPr>
              <w:rPr>
                <w:rFonts w:ascii="Arial" w:hAnsi="Arial" w:cs="Arial"/>
                <w:sz w:val="16"/>
                <w:szCs w:val="16"/>
              </w:rPr>
            </w:pPr>
            <w:r w:rsidRPr="00601402">
              <w:rPr>
                <w:rStyle w:val="cell-value"/>
                <w:rFonts w:ascii="Arial" w:hAnsi="Arial" w:cs="Arial"/>
                <w:sz w:val="16"/>
                <w:szCs w:val="16"/>
              </w:rPr>
              <w:t>mean difference</w:t>
            </w:r>
            <w:r>
              <w:rPr>
                <w:rStyle w:val="cell-value"/>
                <w:rFonts w:ascii="Arial" w:hAnsi="Arial" w:cs="Arial"/>
                <w:sz w:val="16"/>
                <w:szCs w:val="16"/>
              </w:rPr>
              <w:t xml:space="preserve"> </w:t>
            </w:r>
            <w:r>
              <w:rPr>
                <w:rStyle w:val="cell-value"/>
              </w:rPr>
              <w:t>-</w:t>
            </w:r>
            <w:r w:rsidRPr="00601402">
              <w:rPr>
                <w:rStyle w:val="cell-value"/>
                <w:rFonts w:ascii="Arial" w:hAnsi="Arial" w:cs="Arial"/>
                <w:sz w:val="16"/>
                <w:szCs w:val="16"/>
              </w:rPr>
              <w:t xml:space="preserve"> </w:t>
            </w:r>
            <w:r w:rsidRPr="00601402">
              <w:rPr>
                <w:rStyle w:val="cell-value"/>
                <w:rFonts w:ascii="Arial" w:hAnsi="Arial" w:cs="Arial"/>
                <w:b/>
                <w:bCs/>
                <w:sz w:val="16"/>
                <w:szCs w:val="16"/>
              </w:rPr>
              <w:t xml:space="preserve">0.24 </w:t>
            </w:r>
            <w:r w:rsidRPr="00601402">
              <w:rPr>
                <w:rFonts w:ascii="Arial" w:hAnsi="Arial" w:cs="Arial"/>
                <w:sz w:val="16"/>
                <w:szCs w:val="16"/>
              </w:rPr>
              <w:br/>
            </w:r>
            <w:r w:rsidRPr="00601402">
              <w:rPr>
                <w:rStyle w:val="cell-value"/>
                <w:rFonts w:ascii="Arial" w:hAnsi="Arial" w:cs="Arial"/>
                <w:sz w:val="16"/>
                <w:szCs w:val="16"/>
              </w:rPr>
              <w:t>(</w:t>
            </w:r>
            <w:r>
              <w:rPr>
                <w:rStyle w:val="cell-value"/>
                <w:rFonts w:ascii="Arial" w:hAnsi="Arial" w:cs="Arial"/>
                <w:sz w:val="16"/>
                <w:szCs w:val="16"/>
              </w:rPr>
              <w:t>-</w:t>
            </w:r>
            <w:r w:rsidRPr="00601402">
              <w:rPr>
                <w:rStyle w:val="cell-value"/>
                <w:rFonts w:ascii="Arial" w:hAnsi="Arial" w:cs="Arial"/>
                <w:sz w:val="16"/>
                <w:szCs w:val="16"/>
              </w:rPr>
              <w:t xml:space="preserve">0.46 to </w:t>
            </w:r>
            <w:r>
              <w:rPr>
                <w:rStyle w:val="cell-value"/>
                <w:rFonts w:ascii="Arial" w:hAnsi="Arial" w:cs="Arial"/>
                <w:sz w:val="16"/>
                <w:szCs w:val="16"/>
              </w:rPr>
              <w:t>-</w:t>
            </w:r>
            <w:r>
              <w:rPr>
                <w:rStyle w:val="cell-value"/>
              </w:rPr>
              <w:t xml:space="preserve"> </w:t>
            </w:r>
            <w:r w:rsidRPr="00601402">
              <w:rPr>
                <w:rStyle w:val="cell-value"/>
                <w:rFonts w:ascii="Arial" w:hAnsi="Arial" w:cs="Arial"/>
                <w:sz w:val="16"/>
                <w:szCs w:val="16"/>
              </w:rPr>
              <w:t>0.02)</w:t>
            </w:r>
            <w:r w:rsidRPr="00601402">
              <w:rPr>
                <w:rFonts w:ascii="Arial" w:hAnsi="Arial" w:cs="Arial"/>
                <w:sz w:val="16"/>
                <w:szCs w:val="16"/>
              </w:rPr>
              <w:t xml:space="preserve"> </w:t>
            </w:r>
          </w:p>
        </w:tc>
      </w:tr>
      <w:tr w:rsidR="00596BE0" w:rsidRPr="00601402" w14:paraId="3AEDA344" w14:textId="77777777" w:rsidTr="00596BE0">
        <w:trPr>
          <w:cantSplit/>
        </w:trPr>
        <w:tc>
          <w:tcPr>
            <w:tcW w:w="1319" w:type="pct"/>
            <w:tcBorders>
              <w:top w:val="single" w:sz="6" w:space="0" w:color="000000"/>
              <w:left w:val="nil"/>
              <w:bottom w:val="single" w:sz="6" w:space="0" w:color="000000"/>
              <w:right w:val="nil"/>
            </w:tcBorders>
            <w:vAlign w:val="center"/>
          </w:tcPr>
          <w:p w14:paraId="1352698C" w14:textId="77777777" w:rsidR="00596BE0" w:rsidRPr="00601402" w:rsidRDefault="00596BE0" w:rsidP="00596BE0">
            <w:pPr>
              <w:rPr>
                <w:rFonts w:ascii="Arial" w:hAnsi="Arial" w:cs="Arial"/>
                <w:sz w:val="16"/>
                <w:szCs w:val="16"/>
              </w:rPr>
            </w:pPr>
            <w:r w:rsidRPr="00601402">
              <w:rPr>
                <w:rStyle w:val="label"/>
                <w:rFonts w:ascii="Arial" w:hAnsi="Arial" w:cs="Arial"/>
                <w:b/>
                <w:sz w:val="16"/>
                <w:szCs w:val="16"/>
              </w:rPr>
              <w:t>Asthma symptoms</w:t>
            </w:r>
            <w:r w:rsidRPr="00601402">
              <w:rPr>
                <w:rFonts w:ascii="Arial" w:hAnsi="Arial" w:cs="Arial"/>
                <w:sz w:val="16"/>
                <w:szCs w:val="16"/>
              </w:rPr>
              <w:br/>
            </w:r>
            <w:r>
              <w:rPr>
                <w:rStyle w:val="label"/>
                <w:rFonts w:ascii="Arial" w:hAnsi="Arial" w:cs="Arial"/>
                <w:sz w:val="16"/>
                <w:szCs w:val="16"/>
              </w:rPr>
              <w:t>A</w:t>
            </w:r>
            <w:r w:rsidRPr="00601402">
              <w:rPr>
                <w:rStyle w:val="label"/>
                <w:rFonts w:ascii="Arial" w:hAnsi="Arial" w:cs="Arial"/>
                <w:sz w:val="16"/>
                <w:szCs w:val="16"/>
              </w:rPr>
              <w:t xml:space="preserve">ssessed with: Asthma Symptom Utility Index </w:t>
            </w:r>
            <w:r w:rsidRPr="00601402">
              <w:rPr>
                <w:rFonts w:ascii="Arial" w:hAnsi="Arial" w:cs="Arial"/>
                <w:sz w:val="16"/>
                <w:szCs w:val="16"/>
              </w:rPr>
              <w:br/>
            </w:r>
            <w:r w:rsidRPr="00601402">
              <w:rPr>
                <w:rStyle w:val="label"/>
                <w:rFonts w:ascii="Arial" w:hAnsi="Arial" w:cs="Arial"/>
                <w:sz w:val="16"/>
                <w:szCs w:val="16"/>
              </w:rPr>
              <w:t>Scale from: 0 to 1</w:t>
            </w:r>
            <w:r w:rsidRPr="00601402">
              <w:rPr>
                <w:rFonts w:ascii="Arial" w:hAnsi="Arial" w:cs="Arial"/>
                <w:sz w:val="16"/>
                <w:szCs w:val="16"/>
              </w:rPr>
              <w:br/>
            </w:r>
          </w:p>
        </w:tc>
        <w:tc>
          <w:tcPr>
            <w:tcW w:w="995" w:type="pct"/>
            <w:tcBorders>
              <w:top w:val="single" w:sz="6" w:space="0" w:color="000000"/>
              <w:left w:val="nil"/>
              <w:bottom w:val="single" w:sz="6" w:space="0" w:color="000000"/>
              <w:right w:val="nil"/>
            </w:tcBorders>
            <w:vAlign w:val="center"/>
          </w:tcPr>
          <w:p w14:paraId="5BA7D3A2" w14:textId="77777777" w:rsidR="00596BE0" w:rsidRPr="00601402" w:rsidRDefault="00596BE0" w:rsidP="00596BE0">
            <w:pPr>
              <w:rPr>
                <w:rFonts w:ascii="Arial" w:hAnsi="Arial" w:cs="Arial"/>
                <w:sz w:val="16"/>
                <w:szCs w:val="16"/>
                <w:vertAlign w:val="superscript"/>
              </w:rPr>
            </w:pPr>
            <w:r w:rsidRPr="00601402">
              <w:rPr>
                <w:rFonts w:ascii="Arial" w:hAnsi="Arial" w:cs="Arial"/>
                <w:sz w:val="16"/>
                <w:szCs w:val="16"/>
              </w:rPr>
              <w:t>1157</w:t>
            </w:r>
            <w:r w:rsidRPr="00601402">
              <w:rPr>
                <w:rFonts w:ascii="Arial" w:hAnsi="Arial" w:cs="Arial"/>
                <w:sz w:val="16"/>
                <w:szCs w:val="16"/>
              </w:rPr>
              <w:br/>
              <w:t xml:space="preserve">(3 RCTs) </w:t>
            </w:r>
            <w:r w:rsidRPr="00601402">
              <w:rPr>
                <w:rFonts w:ascii="Arial" w:hAnsi="Arial" w:cs="Arial"/>
                <w:sz w:val="16"/>
                <w:szCs w:val="16"/>
                <w:vertAlign w:val="superscript"/>
              </w:rPr>
              <w:t>1</w:t>
            </w:r>
            <w:r w:rsidRPr="00601402">
              <w:rPr>
                <w:rStyle w:val="comma"/>
                <w:rFonts w:ascii="Arial" w:hAnsi="Arial" w:cs="Arial"/>
                <w:sz w:val="16"/>
                <w:szCs w:val="16"/>
                <w:vertAlign w:val="superscript"/>
              </w:rPr>
              <w:t>,</w:t>
            </w:r>
            <w:r w:rsidRPr="00601402">
              <w:rPr>
                <w:rFonts w:ascii="Arial" w:hAnsi="Arial" w:cs="Arial"/>
                <w:sz w:val="16"/>
                <w:szCs w:val="16"/>
                <w:vertAlign w:val="superscript"/>
              </w:rPr>
              <w:t>4</w:t>
            </w:r>
          </w:p>
          <w:p w14:paraId="506EDB65" w14:textId="77777777" w:rsidR="00596BE0" w:rsidRPr="00601402" w:rsidRDefault="00596BE0" w:rsidP="00596BE0">
            <w:pPr>
              <w:rPr>
                <w:rFonts w:ascii="Arial" w:hAnsi="Arial" w:cs="Arial"/>
                <w:sz w:val="16"/>
                <w:szCs w:val="16"/>
              </w:rPr>
            </w:pPr>
            <w:r w:rsidRPr="00601402">
              <w:rPr>
                <w:rStyle w:val="label"/>
                <w:rFonts w:ascii="Arial" w:hAnsi="Arial" w:cs="Arial"/>
                <w:sz w:val="16"/>
                <w:szCs w:val="16"/>
              </w:rPr>
              <w:t>16 weeks to 16 weeks</w:t>
            </w:r>
          </w:p>
        </w:tc>
        <w:tc>
          <w:tcPr>
            <w:tcW w:w="686" w:type="pct"/>
            <w:tcBorders>
              <w:top w:val="single" w:sz="6" w:space="0" w:color="000000"/>
              <w:left w:val="nil"/>
              <w:bottom w:val="single" w:sz="6" w:space="0" w:color="000000"/>
              <w:right w:val="nil"/>
            </w:tcBorders>
            <w:vAlign w:val="center"/>
          </w:tcPr>
          <w:p w14:paraId="47E3A0F6" w14:textId="77777777" w:rsidR="00596BE0" w:rsidRPr="00601402" w:rsidRDefault="00596BE0" w:rsidP="00596BE0">
            <w:pPr>
              <w:rPr>
                <w:rFonts w:ascii="Arial" w:hAnsi="Arial" w:cs="Arial"/>
                <w:sz w:val="16"/>
                <w:szCs w:val="16"/>
              </w:rPr>
            </w:pPr>
            <w:r w:rsidRPr="00601402">
              <w:rPr>
                <w:rStyle w:val="quality-sign"/>
                <w:rFonts w:ascii="Cambria Math" w:hAnsi="Cambria Math" w:cs="Cambria Math"/>
                <w:sz w:val="16"/>
                <w:szCs w:val="16"/>
              </w:rPr>
              <w:t>⨁⨁⨁⨁</w:t>
            </w:r>
            <w:r w:rsidRPr="00601402">
              <w:rPr>
                <w:rFonts w:ascii="Arial" w:hAnsi="Arial" w:cs="Arial"/>
                <w:sz w:val="16"/>
                <w:szCs w:val="16"/>
              </w:rPr>
              <w:br/>
            </w:r>
            <w:r w:rsidRPr="00601402">
              <w:rPr>
                <w:rStyle w:val="quality-text"/>
                <w:rFonts w:ascii="Arial" w:hAnsi="Arial" w:cs="Arial"/>
                <w:sz w:val="16"/>
                <w:szCs w:val="16"/>
              </w:rPr>
              <w:t>HIGH</w:t>
            </w:r>
            <w:r w:rsidRPr="00601402">
              <w:rPr>
                <w:rFonts w:ascii="Arial" w:hAnsi="Arial" w:cs="Arial"/>
                <w:sz w:val="16"/>
                <w:szCs w:val="16"/>
              </w:rPr>
              <w:t xml:space="preserve"> </w:t>
            </w:r>
            <w:r w:rsidRPr="00601402">
              <w:rPr>
                <w:rFonts w:ascii="Arial" w:hAnsi="Arial" w:cs="Arial"/>
                <w:sz w:val="16"/>
                <w:szCs w:val="16"/>
                <w:vertAlign w:val="superscript"/>
              </w:rPr>
              <w:t>3</w:t>
            </w:r>
            <w:r w:rsidRPr="00601402">
              <w:rPr>
                <w:rStyle w:val="comma"/>
                <w:rFonts w:ascii="Arial" w:hAnsi="Arial" w:cs="Arial"/>
                <w:sz w:val="16"/>
                <w:szCs w:val="16"/>
                <w:vertAlign w:val="superscript"/>
              </w:rPr>
              <w:t>,</w:t>
            </w:r>
            <w:proofErr w:type="gramStart"/>
            <w:r w:rsidRPr="00601402">
              <w:rPr>
                <w:rFonts w:ascii="Arial" w:hAnsi="Arial" w:cs="Arial"/>
                <w:sz w:val="16"/>
                <w:szCs w:val="16"/>
                <w:vertAlign w:val="superscript"/>
              </w:rPr>
              <w:t>9</w:t>
            </w:r>
            <w:r w:rsidRPr="00601402">
              <w:rPr>
                <w:rStyle w:val="comma"/>
                <w:rFonts w:ascii="Arial" w:hAnsi="Arial" w:cs="Arial"/>
                <w:sz w:val="16"/>
                <w:szCs w:val="16"/>
                <w:vertAlign w:val="superscript"/>
              </w:rPr>
              <w:t>,</w:t>
            </w:r>
            <w:r w:rsidRPr="00601402">
              <w:rPr>
                <w:rFonts w:ascii="Arial" w:hAnsi="Arial" w:cs="Arial"/>
                <w:sz w:val="16"/>
                <w:szCs w:val="16"/>
                <w:vertAlign w:val="superscript"/>
              </w:rPr>
              <w:t>b</w:t>
            </w:r>
            <w:proofErr w:type="gramEnd"/>
            <w:r w:rsidRPr="00601402">
              <w:rPr>
                <w:rStyle w:val="comma"/>
                <w:rFonts w:ascii="Arial" w:hAnsi="Arial" w:cs="Arial"/>
                <w:sz w:val="16"/>
                <w:szCs w:val="16"/>
                <w:vertAlign w:val="superscript"/>
              </w:rPr>
              <w:t>,</w:t>
            </w:r>
            <w:r w:rsidRPr="00601402">
              <w:rPr>
                <w:rFonts w:ascii="Arial" w:hAnsi="Arial" w:cs="Arial"/>
                <w:sz w:val="16"/>
                <w:szCs w:val="16"/>
                <w:vertAlign w:val="superscript"/>
              </w:rPr>
              <w:t>j</w:t>
            </w:r>
          </w:p>
        </w:tc>
        <w:tc>
          <w:tcPr>
            <w:tcW w:w="572" w:type="pct"/>
            <w:tcBorders>
              <w:top w:val="single" w:sz="6" w:space="0" w:color="000000"/>
              <w:left w:val="nil"/>
              <w:bottom w:val="single" w:sz="6" w:space="0" w:color="000000"/>
              <w:right w:val="nil"/>
            </w:tcBorders>
            <w:vAlign w:val="center"/>
          </w:tcPr>
          <w:p w14:paraId="02A2CD18" w14:textId="77777777" w:rsidR="00596BE0" w:rsidRPr="00601402" w:rsidRDefault="00596BE0" w:rsidP="00596BE0">
            <w:pPr>
              <w:rPr>
                <w:rFonts w:ascii="Arial" w:hAnsi="Arial" w:cs="Arial"/>
                <w:sz w:val="16"/>
                <w:szCs w:val="16"/>
              </w:rPr>
            </w:pPr>
            <w:r w:rsidRPr="00601402">
              <w:rPr>
                <w:rStyle w:val="cell"/>
                <w:rFonts w:ascii="Arial" w:hAnsi="Arial" w:cs="Arial"/>
                <w:sz w:val="16"/>
                <w:szCs w:val="16"/>
              </w:rPr>
              <w:t>-</w:t>
            </w:r>
            <w:r w:rsidRPr="00601402">
              <w:rPr>
                <w:rFonts w:ascii="Arial" w:hAnsi="Arial" w:cs="Arial"/>
                <w:sz w:val="16"/>
                <w:szCs w:val="16"/>
              </w:rPr>
              <w:t xml:space="preserve"> </w:t>
            </w:r>
          </w:p>
        </w:tc>
        <w:tc>
          <w:tcPr>
            <w:tcW w:w="687" w:type="pct"/>
            <w:tcBorders>
              <w:top w:val="single" w:sz="6" w:space="0" w:color="000000"/>
              <w:left w:val="nil"/>
              <w:bottom w:val="single" w:sz="6" w:space="0" w:color="000000"/>
              <w:right w:val="nil"/>
            </w:tcBorders>
            <w:shd w:val="clear" w:color="auto" w:fill="EDEDED"/>
            <w:vAlign w:val="center"/>
          </w:tcPr>
          <w:p w14:paraId="3AA2CF63" w14:textId="77777777" w:rsidR="00596BE0" w:rsidRPr="00601402" w:rsidRDefault="00596BE0" w:rsidP="00596BE0">
            <w:pPr>
              <w:rPr>
                <w:rFonts w:ascii="Arial" w:hAnsi="Arial" w:cs="Arial"/>
                <w:sz w:val="16"/>
                <w:szCs w:val="16"/>
              </w:rPr>
            </w:pPr>
          </w:p>
        </w:tc>
        <w:tc>
          <w:tcPr>
            <w:tcW w:w="741" w:type="pct"/>
            <w:tcBorders>
              <w:top w:val="single" w:sz="6" w:space="0" w:color="000000"/>
              <w:left w:val="nil"/>
              <w:bottom w:val="single" w:sz="6" w:space="0" w:color="000000"/>
              <w:right w:val="nil"/>
            </w:tcBorders>
            <w:shd w:val="clear" w:color="auto" w:fill="EDEDED"/>
            <w:vAlign w:val="center"/>
          </w:tcPr>
          <w:p w14:paraId="12FACF41" w14:textId="77777777" w:rsidR="00596BE0" w:rsidRPr="00601402" w:rsidRDefault="00596BE0" w:rsidP="00596BE0">
            <w:pPr>
              <w:rPr>
                <w:rFonts w:ascii="Arial" w:hAnsi="Arial" w:cs="Arial"/>
                <w:sz w:val="16"/>
                <w:szCs w:val="16"/>
              </w:rPr>
            </w:pPr>
            <w:r w:rsidRPr="00601402">
              <w:rPr>
                <w:rStyle w:val="cell-value"/>
                <w:rFonts w:ascii="Arial" w:hAnsi="Arial" w:cs="Arial"/>
                <w:sz w:val="16"/>
                <w:szCs w:val="16"/>
              </w:rPr>
              <w:t xml:space="preserve">mean difference </w:t>
            </w:r>
            <w:r>
              <w:rPr>
                <w:rStyle w:val="cell-value"/>
                <w:rFonts w:ascii="Arial" w:hAnsi="Arial" w:cs="Arial"/>
                <w:sz w:val="16"/>
                <w:szCs w:val="16"/>
              </w:rPr>
              <w:t>+</w:t>
            </w:r>
            <w:r w:rsidRPr="00601402">
              <w:rPr>
                <w:rStyle w:val="cell-value"/>
                <w:rFonts w:ascii="Arial" w:hAnsi="Arial" w:cs="Arial"/>
                <w:b/>
                <w:bCs/>
                <w:sz w:val="16"/>
                <w:szCs w:val="16"/>
              </w:rPr>
              <w:t xml:space="preserve">0.05 </w:t>
            </w:r>
            <w:r w:rsidRPr="00601402">
              <w:rPr>
                <w:rFonts w:ascii="Arial" w:hAnsi="Arial" w:cs="Arial"/>
                <w:sz w:val="16"/>
                <w:szCs w:val="16"/>
              </w:rPr>
              <w:br/>
            </w:r>
            <w:r w:rsidRPr="00601402">
              <w:rPr>
                <w:rStyle w:val="cell-value"/>
                <w:rFonts w:ascii="Arial" w:hAnsi="Arial" w:cs="Arial"/>
                <w:sz w:val="16"/>
                <w:szCs w:val="16"/>
              </w:rPr>
              <w:t>(</w:t>
            </w:r>
            <w:r>
              <w:rPr>
                <w:rStyle w:val="cell-value"/>
                <w:rFonts w:ascii="Arial" w:hAnsi="Arial" w:cs="Arial"/>
                <w:sz w:val="16"/>
                <w:szCs w:val="16"/>
              </w:rPr>
              <w:t>+</w:t>
            </w:r>
            <w:r w:rsidRPr="00601402">
              <w:rPr>
                <w:rStyle w:val="cell-value"/>
                <w:rFonts w:ascii="Arial" w:hAnsi="Arial" w:cs="Arial"/>
                <w:sz w:val="16"/>
                <w:szCs w:val="16"/>
              </w:rPr>
              <w:t xml:space="preserve">0.03 to </w:t>
            </w:r>
            <w:r>
              <w:rPr>
                <w:rStyle w:val="cell-value"/>
                <w:rFonts w:ascii="Arial" w:hAnsi="Arial" w:cs="Arial"/>
                <w:sz w:val="16"/>
                <w:szCs w:val="16"/>
              </w:rPr>
              <w:t>+</w:t>
            </w:r>
            <w:r w:rsidRPr="00601402">
              <w:rPr>
                <w:rStyle w:val="cell-value"/>
                <w:rFonts w:ascii="Arial" w:hAnsi="Arial" w:cs="Arial"/>
                <w:sz w:val="16"/>
                <w:szCs w:val="16"/>
              </w:rPr>
              <w:t>0.07 higher)</w:t>
            </w:r>
            <w:r w:rsidRPr="00601402">
              <w:rPr>
                <w:rFonts w:ascii="Arial" w:hAnsi="Arial" w:cs="Arial"/>
                <w:sz w:val="16"/>
                <w:szCs w:val="16"/>
              </w:rPr>
              <w:t xml:space="preserve"> </w:t>
            </w:r>
          </w:p>
        </w:tc>
      </w:tr>
      <w:tr w:rsidR="00596BE0" w:rsidRPr="00601402" w14:paraId="48F37F1D" w14:textId="77777777" w:rsidTr="00596BE0">
        <w:trPr>
          <w:cantSplit/>
        </w:trPr>
        <w:tc>
          <w:tcPr>
            <w:tcW w:w="1319" w:type="pct"/>
            <w:tcBorders>
              <w:top w:val="single" w:sz="6" w:space="0" w:color="000000"/>
              <w:left w:val="nil"/>
              <w:bottom w:val="single" w:sz="6" w:space="0" w:color="000000"/>
              <w:right w:val="nil"/>
            </w:tcBorders>
            <w:vAlign w:val="center"/>
          </w:tcPr>
          <w:p w14:paraId="499D3973" w14:textId="77777777" w:rsidR="00596BE0" w:rsidRPr="00601402" w:rsidRDefault="00596BE0" w:rsidP="00596BE0">
            <w:pPr>
              <w:rPr>
                <w:rFonts w:ascii="Arial" w:hAnsi="Arial" w:cs="Arial"/>
                <w:sz w:val="16"/>
                <w:szCs w:val="16"/>
              </w:rPr>
            </w:pPr>
            <w:r w:rsidRPr="00601402">
              <w:rPr>
                <w:rStyle w:val="label"/>
                <w:rFonts w:ascii="Arial" w:hAnsi="Arial" w:cs="Arial"/>
                <w:b/>
                <w:sz w:val="16"/>
                <w:szCs w:val="16"/>
              </w:rPr>
              <w:t>Changes in blood eosinophil counts</w:t>
            </w:r>
            <w:r w:rsidRPr="00601402">
              <w:rPr>
                <w:rFonts w:ascii="Arial" w:hAnsi="Arial" w:cs="Arial"/>
                <w:sz w:val="16"/>
                <w:szCs w:val="16"/>
              </w:rPr>
              <w:br/>
            </w:r>
            <w:r>
              <w:rPr>
                <w:rStyle w:val="label"/>
                <w:rFonts w:ascii="Arial" w:hAnsi="Arial" w:cs="Arial"/>
                <w:sz w:val="16"/>
                <w:szCs w:val="16"/>
              </w:rPr>
              <w:t>A</w:t>
            </w:r>
            <w:r w:rsidRPr="00601402">
              <w:rPr>
                <w:rStyle w:val="label"/>
                <w:rFonts w:ascii="Arial" w:hAnsi="Arial" w:cs="Arial"/>
                <w:sz w:val="16"/>
                <w:szCs w:val="16"/>
              </w:rPr>
              <w:t>ssessed with: cells/µL</w:t>
            </w:r>
            <w:r w:rsidRPr="00601402">
              <w:rPr>
                <w:rFonts w:ascii="Arial" w:hAnsi="Arial" w:cs="Arial"/>
                <w:sz w:val="16"/>
                <w:szCs w:val="16"/>
              </w:rPr>
              <w:br/>
            </w:r>
          </w:p>
        </w:tc>
        <w:tc>
          <w:tcPr>
            <w:tcW w:w="995" w:type="pct"/>
            <w:tcBorders>
              <w:top w:val="single" w:sz="6" w:space="0" w:color="000000"/>
              <w:left w:val="nil"/>
              <w:bottom w:val="single" w:sz="6" w:space="0" w:color="000000"/>
              <w:right w:val="nil"/>
            </w:tcBorders>
            <w:vAlign w:val="center"/>
          </w:tcPr>
          <w:p w14:paraId="2FB1D123" w14:textId="77777777" w:rsidR="00596BE0" w:rsidRPr="00601402" w:rsidRDefault="00596BE0" w:rsidP="00596BE0">
            <w:pPr>
              <w:rPr>
                <w:rFonts w:ascii="Arial" w:hAnsi="Arial" w:cs="Arial"/>
                <w:sz w:val="16"/>
                <w:szCs w:val="16"/>
                <w:vertAlign w:val="superscript"/>
              </w:rPr>
            </w:pPr>
            <w:r w:rsidRPr="00601402">
              <w:rPr>
                <w:rFonts w:ascii="Arial" w:hAnsi="Arial" w:cs="Arial"/>
                <w:sz w:val="16"/>
                <w:szCs w:val="16"/>
              </w:rPr>
              <w:t>1264</w:t>
            </w:r>
            <w:r w:rsidRPr="00601402">
              <w:rPr>
                <w:rFonts w:ascii="Arial" w:hAnsi="Arial" w:cs="Arial"/>
                <w:sz w:val="16"/>
                <w:szCs w:val="16"/>
              </w:rPr>
              <w:br/>
              <w:t xml:space="preserve">(4 RCTs) </w:t>
            </w:r>
            <w:r w:rsidRPr="00601402">
              <w:rPr>
                <w:rFonts w:ascii="Arial" w:hAnsi="Arial" w:cs="Arial"/>
                <w:sz w:val="16"/>
                <w:szCs w:val="16"/>
                <w:vertAlign w:val="superscript"/>
              </w:rPr>
              <w:t>1</w:t>
            </w:r>
            <w:r w:rsidRPr="00601402">
              <w:rPr>
                <w:rStyle w:val="comma"/>
                <w:rFonts w:ascii="Arial" w:hAnsi="Arial" w:cs="Arial"/>
                <w:sz w:val="16"/>
                <w:szCs w:val="16"/>
                <w:vertAlign w:val="superscript"/>
              </w:rPr>
              <w:t>,</w:t>
            </w:r>
            <w:r w:rsidRPr="00601402">
              <w:rPr>
                <w:rFonts w:ascii="Arial" w:hAnsi="Arial" w:cs="Arial"/>
                <w:sz w:val="16"/>
                <w:szCs w:val="16"/>
                <w:vertAlign w:val="superscript"/>
              </w:rPr>
              <w:t>2</w:t>
            </w:r>
            <w:r w:rsidRPr="00601402">
              <w:rPr>
                <w:rStyle w:val="comma"/>
                <w:rFonts w:ascii="Arial" w:hAnsi="Arial" w:cs="Arial"/>
                <w:sz w:val="16"/>
                <w:szCs w:val="16"/>
                <w:vertAlign w:val="superscript"/>
              </w:rPr>
              <w:t>,</w:t>
            </w:r>
            <w:r w:rsidRPr="00601402">
              <w:rPr>
                <w:rFonts w:ascii="Arial" w:hAnsi="Arial" w:cs="Arial"/>
                <w:sz w:val="16"/>
                <w:szCs w:val="16"/>
                <w:vertAlign w:val="superscript"/>
              </w:rPr>
              <w:t>4</w:t>
            </w:r>
          </w:p>
          <w:p w14:paraId="53B0F5D1" w14:textId="77777777" w:rsidR="00596BE0" w:rsidRPr="00601402" w:rsidRDefault="00596BE0" w:rsidP="00596BE0">
            <w:pPr>
              <w:rPr>
                <w:rFonts w:ascii="Arial" w:hAnsi="Arial" w:cs="Arial"/>
                <w:sz w:val="16"/>
                <w:szCs w:val="16"/>
              </w:rPr>
            </w:pPr>
            <w:r w:rsidRPr="00601402">
              <w:rPr>
                <w:rStyle w:val="label"/>
                <w:rFonts w:ascii="Arial" w:hAnsi="Arial" w:cs="Arial"/>
                <w:sz w:val="16"/>
                <w:szCs w:val="16"/>
              </w:rPr>
              <w:t>15 weeks to 16 weeks</w:t>
            </w:r>
          </w:p>
        </w:tc>
        <w:tc>
          <w:tcPr>
            <w:tcW w:w="686" w:type="pct"/>
            <w:tcBorders>
              <w:top w:val="single" w:sz="6" w:space="0" w:color="000000"/>
              <w:left w:val="nil"/>
              <w:bottom w:val="single" w:sz="6" w:space="0" w:color="000000"/>
              <w:right w:val="nil"/>
            </w:tcBorders>
            <w:vAlign w:val="center"/>
          </w:tcPr>
          <w:p w14:paraId="46D3456B" w14:textId="77777777" w:rsidR="00596BE0" w:rsidRPr="00601402" w:rsidRDefault="00596BE0" w:rsidP="00596BE0">
            <w:pPr>
              <w:rPr>
                <w:rFonts w:ascii="Arial" w:hAnsi="Arial" w:cs="Arial"/>
                <w:sz w:val="16"/>
                <w:szCs w:val="16"/>
              </w:rPr>
            </w:pPr>
            <w:r w:rsidRPr="00601402">
              <w:rPr>
                <w:rStyle w:val="quality-sign"/>
                <w:rFonts w:ascii="Cambria Math" w:hAnsi="Cambria Math" w:cs="Cambria Math"/>
                <w:sz w:val="16"/>
                <w:szCs w:val="16"/>
              </w:rPr>
              <w:t>⨁⨁⨁</w:t>
            </w:r>
            <w:r w:rsidRPr="00601402">
              <w:rPr>
                <w:rStyle w:val="quality-sign"/>
                <w:rFonts w:ascii="Segoe UI Symbol" w:eastAsia="MS Mincho" w:hAnsi="Segoe UI Symbol" w:cs="Segoe UI Symbol"/>
                <w:sz w:val="16"/>
                <w:szCs w:val="16"/>
              </w:rPr>
              <w:t>◯</w:t>
            </w:r>
            <w:r w:rsidRPr="00601402">
              <w:rPr>
                <w:rFonts w:ascii="Arial" w:hAnsi="Arial" w:cs="Arial"/>
                <w:sz w:val="16"/>
                <w:szCs w:val="16"/>
              </w:rPr>
              <w:br/>
            </w:r>
            <w:r w:rsidRPr="00601402">
              <w:rPr>
                <w:rStyle w:val="quality-text"/>
                <w:rFonts w:ascii="Arial" w:hAnsi="Arial" w:cs="Arial"/>
                <w:sz w:val="16"/>
                <w:szCs w:val="16"/>
              </w:rPr>
              <w:t>MODERATE</w:t>
            </w:r>
            <w:r w:rsidRPr="00601402">
              <w:rPr>
                <w:rFonts w:ascii="Arial" w:hAnsi="Arial" w:cs="Arial"/>
                <w:sz w:val="16"/>
                <w:szCs w:val="16"/>
              </w:rPr>
              <w:t xml:space="preserve"> </w:t>
            </w:r>
            <w:r w:rsidRPr="00601402">
              <w:rPr>
                <w:rFonts w:ascii="Arial" w:hAnsi="Arial" w:cs="Arial"/>
                <w:sz w:val="16"/>
                <w:szCs w:val="16"/>
                <w:vertAlign w:val="superscript"/>
              </w:rPr>
              <w:t>3</w:t>
            </w:r>
            <w:r w:rsidRPr="00601402">
              <w:rPr>
                <w:rStyle w:val="comma"/>
                <w:rFonts w:ascii="Arial" w:hAnsi="Arial" w:cs="Arial"/>
                <w:sz w:val="16"/>
                <w:szCs w:val="16"/>
                <w:vertAlign w:val="superscript"/>
              </w:rPr>
              <w:t>,</w:t>
            </w:r>
            <w:proofErr w:type="gramStart"/>
            <w:r w:rsidRPr="00601402">
              <w:rPr>
                <w:rFonts w:ascii="Arial" w:hAnsi="Arial" w:cs="Arial"/>
                <w:sz w:val="16"/>
                <w:szCs w:val="16"/>
                <w:vertAlign w:val="superscript"/>
              </w:rPr>
              <w:t>11</w:t>
            </w:r>
            <w:r w:rsidRPr="00601402">
              <w:rPr>
                <w:rStyle w:val="comma"/>
                <w:rFonts w:ascii="Arial" w:hAnsi="Arial" w:cs="Arial"/>
                <w:sz w:val="16"/>
                <w:szCs w:val="16"/>
                <w:vertAlign w:val="superscript"/>
              </w:rPr>
              <w:t>,</w:t>
            </w:r>
            <w:r w:rsidRPr="00601402">
              <w:rPr>
                <w:rFonts w:ascii="Arial" w:hAnsi="Arial" w:cs="Arial"/>
                <w:sz w:val="16"/>
                <w:szCs w:val="16"/>
                <w:vertAlign w:val="superscript"/>
              </w:rPr>
              <w:t>b</w:t>
            </w:r>
            <w:proofErr w:type="gramEnd"/>
            <w:r w:rsidRPr="00601402">
              <w:rPr>
                <w:rStyle w:val="comma"/>
                <w:rFonts w:ascii="Arial" w:hAnsi="Arial" w:cs="Arial"/>
                <w:sz w:val="16"/>
                <w:szCs w:val="16"/>
                <w:vertAlign w:val="superscript"/>
              </w:rPr>
              <w:t>,</w:t>
            </w:r>
            <w:r w:rsidRPr="00601402">
              <w:rPr>
                <w:rFonts w:ascii="Arial" w:hAnsi="Arial" w:cs="Arial"/>
                <w:sz w:val="16"/>
                <w:szCs w:val="16"/>
                <w:vertAlign w:val="superscript"/>
              </w:rPr>
              <w:t>m</w:t>
            </w:r>
          </w:p>
        </w:tc>
        <w:tc>
          <w:tcPr>
            <w:tcW w:w="572" w:type="pct"/>
            <w:tcBorders>
              <w:top w:val="single" w:sz="6" w:space="0" w:color="000000"/>
              <w:left w:val="nil"/>
              <w:bottom w:val="single" w:sz="6" w:space="0" w:color="000000"/>
              <w:right w:val="nil"/>
            </w:tcBorders>
            <w:vAlign w:val="center"/>
          </w:tcPr>
          <w:p w14:paraId="321AE254" w14:textId="77777777" w:rsidR="00596BE0" w:rsidRPr="00601402" w:rsidRDefault="00596BE0" w:rsidP="00596BE0">
            <w:pPr>
              <w:rPr>
                <w:rFonts w:ascii="Arial" w:hAnsi="Arial" w:cs="Arial"/>
                <w:sz w:val="16"/>
                <w:szCs w:val="16"/>
              </w:rPr>
            </w:pPr>
            <w:r w:rsidRPr="00601402">
              <w:rPr>
                <w:rStyle w:val="cell"/>
                <w:rFonts w:ascii="Arial" w:hAnsi="Arial" w:cs="Arial"/>
                <w:sz w:val="16"/>
                <w:szCs w:val="16"/>
              </w:rPr>
              <w:t>-</w:t>
            </w:r>
            <w:r w:rsidRPr="00601402">
              <w:rPr>
                <w:rFonts w:ascii="Arial" w:hAnsi="Arial" w:cs="Arial"/>
                <w:sz w:val="16"/>
                <w:szCs w:val="16"/>
              </w:rPr>
              <w:t xml:space="preserve"> </w:t>
            </w:r>
          </w:p>
        </w:tc>
        <w:tc>
          <w:tcPr>
            <w:tcW w:w="687" w:type="pct"/>
            <w:tcBorders>
              <w:top w:val="single" w:sz="6" w:space="0" w:color="000000"/>
              <w:left w:val="nil"/>
              <w:bottom w:val="single" w:sz="6" w:space="0" w:color="000000"/>
              <w:right w:val="nil"/>
            </w:tcBorders>
            <w:shd w:val="clear" w:color="auto" w:fill="EDEDED"/>
            <w:vAlign w:val="center"/>
          </w:tcPr>
          <w:p w14:paraId="4C697CCB" w14:textId="77777777" w:rsidR="00596BE0" w:rsidRPr="00601402" w:rsidRDefault="00596BE0" w:rsidP="00596BE0">
            <w:pPr>
              <w:rPr>
                <w:rFonts w:ascii="Arial" w:hAnsi="Arial" w:cs="Arial"/>
                <w:sz w:val="16"/>
                <w:szCs w:val="16"/>
              </w:rPr>
            </w:pPr>
          </w:p>
        </w:tc>
        <w:tc>
          <w:tcPr>
            <w:tcW w:w="741" w:type="pct"/>
            <w:tcBorders>
              <w:top w:val="single" w:sz="6" w:space="0" w:color="000000"/>
              <w:left w:val="nil"/>
              <w:bottom w:val="single" w:sz="6" w:space="0" w:color="000000"/>
              <w:right w:val="nil"/>
            </w:tcBorders>
            <w:shd w:val="clear" w:color="auto" w:fill="EDEDED"/>
            <w:vAlign w:val="center"/>
          </w:tcPr>
          <w:p w14:paraId="05E54E24" w14:textId="77777777" w:rsidR="00596BE0" w:rsidRPr="00601402" w:rsidRDefault="00596BE0" w:rsidP="00596BE0">
            <w:pPr>
              <w:rPr>
                <w:rFonts w:ascii="Arial" w:hAnsi="Arial" w:cs="Arial"/>
                <w:sz w:val="16"/>
                <w:szCs w:val="16"/>
              </w:rPr>
            </w:pPr>
            <w:r w:rsidRPr="00601402">
              <w:rPr>
                <w:rStyle w:val="cell-value"/>
                <w:rFonts w:ascii="Arial" w:hAnsi="Arial" w:cs="Arial"/>
                <w:sz w:val="16"/>
                <w:szCs w:val="16"/>
              </w:rPr>
              <w:t xml:space="preserve">mean difference </w:t>
            </w:r>
            <w:r>
              <w:rPr>
                <w:rStyle w:val="cell-value"/>
                <w:rFonts w:ascii="Arial" w:hAnsi="Arial" w:cs="Arial"/>
                <w:sz w:val="16"/>
                <w:szCs w:val="16"/>
              </w:rPr>
              <w:t>-</w:t>
            </w:r>
            <w:r>
              <w:rPr>
                <w:rStyle w:val="cell-value"/>
              </w:rPr>
              <w:t xml:space="preserve"> </w:t>
            </w:r>
            <w:r w:rsidRPr="00601402">
              <w:rPr>
                <w:rStyle w:val="cell-value"/>
                <w:rFonts w:ascii="Arial" w:hAnsi="Arial" w:cs="Arial"/>
                <w:b/>
                <w:bCs/>
                <w:sz w:val="16"/>
                <w:szCs w:val="16"/>
              </w:rPr>
              <w:t xml:space="preserve">468.58 </w:t>
            </w:r>
            <w:r w:rsidRPr="00601402">
              <w:rPr>
                <w:rFonts w:ascii="Arial" w:hAnsi="Arial" w:cs="Arial"/>
                <w:sz w:val="16"/>
                <w:szCs w:val="16"/>
              </w:rPr>
              <w:br/>
            </w:r>
            <w:r w:rsidRPr="00601402">
              <w:rPr>
                <w:rStyle w:val="cell-value"/>
                <w:rFonts w:ascii="Arial" w:hAnsi="Arial" w:cs="Arial"/>
                <w:sz w:val="16"/>
                <w:szCs w:val="16"/>
              </w:rPr>
              <w:t>(</w:t>
            </w:r>
            <w:r>
              <w:rPr>
                <w:rStyle w:val="cell-value"/>
                <w:rFonts w:ascii="Arial" w:hAnsi="Arial" w:cs="Arial"/>
                <w:sz w:val="16"/>
                <w:szCs w:val="16"/>
              </w:rPr>
              <w:t>-</w:t>
            </w:r>
            <w:r w:rsidRPr="00601402">
              <w:rPr>
                <w:rStyle w:val="cell-value"/>
                <w:rFonts w:ascii="Arial" w:hAnsi="Arial" w:cs="Arial"/>
                <w:sz w:val="16"/>
                <w:szCs w:val="16"/>
              </w:rPr>
              <w:t xml:space="preserve">494.92 to </w:t>
            </w:r>
            <w:r>
              <w:rPr>
                <w:rStyle w:val="cell-value"/>
                <w:rFonts w:ascii="Arial" w:hAnsi="Arial" w:cs="Arial"/>
                <w:sz w:val="16"/>
                <w:szCs w:val="16"/>
              </w:rPr>
              <w:t>-</w:t>
            </w:r>
            <w:r>
              <w:rPr>
                <w:rStyle w:val="cell-value"/>
              </w:rPr>
              <w:t xml:space="preserve"> </w:t>
            </w:r>
            <w:r w:rsidRPr="00601402">
              <w:rPr>
                <w:rStyle w:val="cell-value"/>
                <w:rFonts w:ascii="Arial" w:hAnsi="Arial" w:cs="Arial"/>
                <w:sz w:val="16"/>
                <w:szCs w:val="16"/>
              </w:rPr>
              <w:t>442.24)</w:t>
            </w:r>
            <w:r w:rsidRPr="00601402">
              <w:rPr>
                <w:rFonts w:ascii="Arial" w:hAnsi="Arial" w:cs="Arial"/>
                <w:sz w:val="16"/>
                <w:szCs w:val="16"/>
              </w:rPr>
              <w:t xml:space="preserve"> </w:t>
            </w:r>
          </w:p>
        </w:tc>
      </w:tr>
      <w:tr w:rsidR="00596BE0" w:rsidRPr="00601402" w14:paraId="4A509A34" w14:textId="77777777" w:rsidTr="00596BE0">
        <w:trPr>
          <w:cantSplit/>
        </w:trPr>
        <w:tc>
          <w:tcPr>
            <w:tcW w:w="0" w:type="auto"/>
            <w:gridSpan w:val="6"/>
            <w:tcBorders>
              <w:top w:val="single" w:sz="6" w:space="0" w:color="000000"/>
              <w:left w:val="nil"/>
              <w:bottom w:val="single" w:sz="6" w:space="0" w:color="000000"/>
              <w:right w:val="nil"/>
            </w:tcBorders>
          </w:tcPr>
          <w:p w14:paraId="406052AD" w14:textId="77777777" w:rsidR="00596BE0" w:rsidRPr="00601402" w:rsidRDefault="00596BE0" w:rsidP="00596BE0">
            <w:pPr>
              <w:rPr>
                <w:rFonts w:ascii="Arial" w:hAnsi="Arial" w:cs="Arial"/>
                <w:sz w:val="16"/>
                <w:szCs w:val="16"/>
              </w:rPr>
            </w:pPr>
            <w:r w:rsidRPr="00601402">
              <w:rPr>
                <w:rFonts w:ascii="Arial" w:hAnsi="Arial" w:cs="Arial"/>
                <w:sz w:val="16"/>
                <w:szCs w:val="16"/>
              </w:rPr>
              <w:t>*</w:t>
            </w:r>
            <w:r w:rsidRPr="00601402">
              <w:rPr>
                <w:rFonts w:ascii="Arial" w:hAnsi="Arial" w:cs="Arial"/>
                <w:b/>
                <w:bCs/>
                <w:sz w:val="16"/>
                <w:szCs w:val="16"/>
              </w:rPr>
              <w:t>The risk in the intervention group</w:t>
            </w:r>
            <w:r w:rsidRPr="00601402">
              <w:rPr>
                <w:rFonts w:ascii="Arial" w:hAnsi="Arial" w:cs="Arial"/>
                <w:sz w:val="16"/>
                <w:szCs w:val="16"/>
              </w:rPr>
              <w:t xml:space="preserve"> (and its 95% confidence interval) is based on the assumed risk in the comparison group and the </w:t>
            </w:r>
            <w:r w:rsidRPr="00601402">
              <w:rPr>
                <w:rFonts w:ascii="Arial" w:hAnsi="Arial" w:cs="Arial"/>
                <w:b/>
                <w:bCs/>
                <w:sz w:val="16"/>
                <w:szCs w:val="16"/>
              </w:rPr>
              <w:t>relative effect</w:t>
            </w:r>
            <w:r w:rsidRPr="00601402">
              <w:rPr>
                <w:rFonts w:ascii="Arial" w:hAnsi="Arial" w:cs="Arial"/>
                <w:sz w:val="16"/>
                <w:szCs w:val="16"/>
              </w:rPr>
              <w:t xml:space="preserve"> of the intervention (and its 95% CI). </w:t>
            </w:r>
          </w:p>
        </w:tc>
      </w:tr>
      <w:tr w:rsidR="00596BE0" w:rsidRPr="00601402" w14:paraId="42269F2D" w14:textId="77777777" w:rsidTr="00596BE0">
        <w:trPr>
          <w:cantSplit/>
        </w:trPr>
        <w:tc>
          <w:tcPr>
            <w:tcW w:w="0" w:type="auto"/>
            <w:gridSpan w:val="6"/>
            <w:tcBorders>
              <w:top w:val="single" w:sz="6" w:space="0" w:color="000000"/>
              <w:left w:val="nil"/>
              <w:bottom w:val="single" w:sz="6" w:space="0" w:color="000000"/>
              <w:right w:val="nil"/>
            </w:tcBorders>
          </w:tcPr>
          <w:p w14:paraId="11389130" w14:textId="77777777" w:rsidR="00596BE0" w:rsidRPr="00601402" w:rsidRDefault="00596BE0" w:rsidP="00596BE0">
            <w:pPr>
              <w:rPr>
                <w:rFonts w:ascii="Arial" w:hAnsi="Arial" w:cs="Arial"/>
                <w:sz w:val="16"/>
                <w:szCs w:val="16"/>
              </w:rPr>
            </w:pPr>
            <w:r w:rsidRPr="00601402">
              <w:rPr>
                <w:rFonts w:ascii="Arial" w:hAnsi="Arial" w:cs="Arial"/>
                <w:b/>
                <w:bCs/>
                <w:sz w:val="16"/>
                <w:szCs w:val="16"/>
              </w:rPr>
              <w:t>GRADE Working Group grades of evidence</w:t>
            </w:r>
            <w:r w:rsidRPr="00601402">
              <w:rPr>
                <w:rFonts w:ascii="Arial" w:hAnsi="Arial" w:cs="Arial"/>
                <w:sz w:val="16"/>
                <w:szCs w:val="16"/>
              </w:rPr>
              <w:br/>
            </w:r>
            <w:r w:rsidRPr="00601402">
              <w:rPr>
                <w:rFonts w:ascii="Arial" w:hAnsi="Arial" w:cs="Arial"/>
                <w:b/>
                <w:bCs/>
                <w:sz w:val="16"/>
                <w:szCs w:val="16"/>
              </w:rPr>
              <w:t>High certainty:</w:t>
            </w:r>
            <w:r w:rsidRPr="00601402">
              <w:rPr>
                <w:rFonts w:ascii="Arial" w:hAnsi="Arial" w:cs="Arial"/>
                <w:sz w:val="16"/>
                <w:szCs w:val="16"/>
              </w:rPr>
              <w:t xml:space="preserve"> High confidence that the true effect lies close to that of the estimate of the effect</w:t>
            </w:r>
            <w:r w:rsidRPr="00601402">
              <w:rPr>
                <w:rFonts w:ascii="Arial" w:hAnsi="Arial" w:cs="Arial"/>
                <w:sz w:val="16"/>
                <w:szCs w:val="16"/>
              </w:rPr>
              <w:br/>
            </w:r>
            <w:r w:rsidRPr="00601402">
              <w:rPr>
                <w:rFonts w:ascii="Arial" w:hAnsi="Arial" w:cs="Arial"/>
                <w:b/>
                <w:bCs/>
                <w:sz w:val="16"/>
                <w:szCs w:val="16"/>
              </w:rPr>
              <w:t>Moderate certainty:</w:t>
            </w:r>
            <w:r w:rsidRPr="00601402">
              <w:rPr>
                <w:rFonts w:ascii="Arial" w:hAnsi="Arial" w:cs="Arial"/>
                <w:sz w:val="16"/>
                <w:szCs w:val="16"/>
              </w:rPr>
              <w:t xml:space="preserve"> Moderate confidence in the effect estimate: The true effect is likely to be close to the estimate of the effect, but there is a possibility that it is substantially different</w:t>
            </w:r>
            <w:r w:rsidRPr="00601402">
              <w:rPr>
                <w:rFonts w:ascii="Arial" w:hAnsi="Arial" w:cs="Arial"/>
                <w:sz w:val="16"/>
                <w:szCs w:val="16"/>
              </w:rPr>
              <w:br/>
            </w:r>
            <w:r w:rsidRPr="00601402">
              <w:rPr>
                <w:rFonts w:ascii="Arial" w:hAnsi="Arial" w:cs="Arial"/>
                <w:b/>
                <w:bCs/>
                <w:sz w:val="16"/>
                <w:szCs w:val="16"/>
              </w:rPr>
              <w:t>Low certainty:</w:t>
            </w:r>
            <w:r w:rsidRPr="00601402">
              <w:rPr>
                <w:rFonts w:ascii="Arial" w:hAnsi="Arial" w:cs="Arial"/>
                <w:sz w:val="16"/>
                <w:szCs w:val="16"/>
              </w:rPr>
              <w:t xml:space="preserve"> Limited confidence in the effect estimate: The true effect may be substantially different from the estimate of the effect</w:t>
            </w:r>
            <w:r w:rsidRPr="00601402">
              <w:rPr>
                <w:rFonts w:ascii="Arial" w:hAnsi="Arial" w:cs="Arial"/>
                <w:sz w:val="16"/>
                <w:szCs w:val="16"/>
              </w:rPr>
              <w:br/>
            </w:r>
            <w:r w:rsidRPr="00601402">
              <w:rPr>
                <w:rFonts w:ascii="Arial" w:hAnsi="Arial" w:cs="Arial"/>
                <w:b/>
                <w:bCs/>
                <w:sz w:val="16"/>
                <w:szCs w:val="16"/>
              </w:rPr>
              <w:t>Very low certainty:</w:t>
            </w:r>
            <w:r w:rsidRPr="00601402">
              <w:rPr>
                <w:rFonts w:ascii="Arial" w:hAnsi="Arial" w:cs="Arial"/>
                <w:sz w:val="16"/>
                <w:szCs w:val="16"/>
              </w:rPr>
              <w:t xml:space="preserve"> Little confidence in the effect estimate: The true effect is likely to be substantially different from the estimate of effect</w:t>
            </w:r>
          </w:p>
        </w:tc>
      </w:tr>
    </w:tbl>
    <w:p w14:paraId="5EB558CA" w14:textId="77777777" w:rsidR="00596BE0" w:rsidRPr="00601402" w:rsidRDefault="00596BE0" w:rsidP="00596BE0">
      <w:pPr>
        <w:pStyle w:val="Heading4"/>
        <w:spacing w:before="0"/>
        <w:jc w:val="both"/>
        <w:rPr>
          <w:rFonts w:ascii="Arial" w:hAnsi="Arial" w:cs="Arial"/>
          <w:color w:val="000000"/>
          <w:sz w:val="24"/>
          <w:szCs w:val="24"/>
        </w:rPr>
      </w:pPr>
      <w:r w:rsidRPr="00601402">
        <w:rPr>
          <w:rFonts w:ascii="Arial" w:hAnsi="Arial" w:cs="Arial"/>
          <w:color w:val="000000"/>
        </w:rPr>
        <w:t>Explanations</w:t>
      </w:r>
    </w:p>
    <w:p w14:paraId="6E1C163F" w14:textId="77777777" w:rsidR="00596BE0" w:rsidRPr="00601402" w:rsidRDefault="00596BE0" w:rsidP="00596BE0">
      <w:pPr>
        <w:jc w:val="both"/>
        <w:rPr>
          <w:rFonts w:ascii="Arial" w:hAnsi="Arial" w:cs="Arial"/>
          <w:color w:val="000000"/>
          <w:sz w:val="16"/>
          <w:szCs w:val="16"/>
        </w:rPr>
      </w:pPr>
      <w:r w:rsidRPr="00601402">
        <w:rPr>
          <w:rFonts w:ascii="Arial" w:hAnsi="Arial" w:cs="Arial"/>
          <w:color w:val="000000"/>
          <w:sz w:val="16"/>
          <w:szCs w:val="16"/>
        </w:rPr>
        <w:t xml:space="preserve">a. Clinically significant asthma exacerbations: episodes of asthma worsening with systemic corticosteroids for 3 or more days, a two-times increase in the dose of either inhaled corticosteroids or the need for asthma-related emergency treatment. </w:t>
      </w:r>
    </w:p>
    <w:p w14:paraId="468E590F" w14:textId="77777777" w:rsidR="00596BE0" w:rsidRPr="00601402" w:rsidRDefault="00596BE0" w:rsidP="00596BE0">
      <w:pPr>
        <w:jc w:val="both"/>
        <w:rPr>
          <w:rFonts w:ascii="Arial" w:hAnsi="Arial" w:cs="Arial"/>
          <w:color w:val="000000"/>
          <w:sz w:val="16"/>
          <w:szCs w:val="16"/>
        </w:rPr>
      </w:pPr>
      <w:r w:rsidRPr="00601402">
        <w:rPr>
          <w:rFonts w:ascii="Arial" w:hAnsi="Arial" w:cs="Arial"/>
          <w:color w:val="000000"/>
          <w:sz w:val="16"/>
          <w:szCs w:val="16"/>
        </w:rPr>
        <w:t xml:space="preserve">b. </w:t>
      </w:r>
      <w:r>
        <w:rPr>
          <w:rFonts w:ascii="Arial" w:hAnsi="Arial" w:cs="Arial"/>
          <w:color w:val="000000"/>
          <w:sz w:val="16"/>
          <w:szCs w:val="16"/>
        </w:rPr>
        <w:t>All i</w:t>
      </w:r>
      <w:r w:rsidRPr="00601402">
        <w:rPr>
          <w:rFonts w:ascii="Arial" w:hAnsi="Arial" w:cs="Arial"/>
          <w:color w:val="000000"/>
          <w:sz w:val="16"/>
          <w:szCs w:val="16"/>
        </w:rPr>
        <w:t xml:space="preserve">ncluded studies were funded by industry, and all showed positive results. No industry-independent observational or randomized studies were identified to contrast the results. Therefore, </w:t>
      </w:r>
      <w:r>
        <w:rPr>
          <w:rFonts w:ascii="Arial" w:hAnsi="Arial" w:cs="Arial"/>
          <w:color w:val="000000"/>
          <w:sz w:val="16"/>
          <w:szCs w:val="16"/>
        </w:rPr>
        <w:t>the quality of the evidence</w:t>
      </w:r>
      <w:r w:rsidRPr="00601402">
        <w:rPr>
          <w:rFonts w:ascii="Arial" w:hAnsi="Arial" w:cs="Arial"/>
          <w:color w:val="000000"/>
          <w:sz w:val="16"/>
          <w:szCs w:val="16"/>
        </w:rPr>
        <w:t xml:space="preserve"> </w:t>
      </w:r>
      <w:r>
        <w:rPr>
          <w:rFonts w:ascii="Arial" w:hAnsi="Arial" w:cs="Arial"/>
          <w:color w:val="000000"/>
          <w:sz w:val="16"/>
          <w:szCs w:val="16"/>
        </w:rPr>
        <w:t xml:space="preserve">was </w:t>
      </w:r>
      <w:r w:rsidRPr="00601402">
        <w:rPr>
          <w:rFonts w:ascii="Arial" w:hAnsi="Arial" w:cs="Arial"/>
          <w:color w:val="000000"/>
          <w:sz w:val="16"/>
          <w:szCs w:val="16"/>
        </w:rPr>
        <w:t>downgraded for potential publication bias (</w:t>
      </w:r>
      <w:r>
        <w:rPr>
          <w:rFonts w:ascii="Arial" w:hAnsi="Arial" w:cs="Arial"/>
          <w:color w:val="000000"/>
          <w:sz w:val="16"/>
          <w:szCs w:val="16"/>
        </w:rPr>
        <w:t>70</w:t>
      </w:r>
      <w:r w:rsidRPr="00601402">
        <w:rPr>
          <w:rFonts w:ascii="Arial" w:hAnsi="Arial" w:cs="Arial"/>
          <w:color w:val="000000"/>
          <w:sz w:val="16"/>
          <w:szCs w:val="16"/>
        </w:rPr>
        <w:t xml:space="preserve">). </w:t>
      </w:r>
    </w:p>
    <w:p w14:paraId="5DFB7D1F" w14:textId="77777777" w:rsidR="00596BE0" w:rsidRPr="00601402" w:rsidRDefault="00596BE0" w:rsidP="00596BE0">
      <w:pPr>
        <w:jc w:val="both"/>
        <w:rPr>
          <w:rFonts w:ascii="Arial" w:hAnsi="Arial" w:cs="Arial"/>
          <w:color w:val="000000"/>
          <w:sz w:val="16"/>
          <w:szCs w:val="16"/>
        </w:rPr>
      </w:pPr>
      <w:r w:rsidRPr="00601402">
        <w:rPr>
          <w:rFonts w:ascii="Arial" w:hAnsi="Arial" w:cs="Arial"/>
          <w:color w:val="000000"/>
          <w:sz w:val="16"/>
          <w:szCs w:val="16"/>
        </w:rPr>
        <w:t>c. The pooled effect of risk ratio was assessed at 15 weeks (</w:t>
      </w:r>
      <w:r>
        <w:rPr>
          <w:rFonts w:ascii="Arial" w:hAnsi="Arial" w:cs="Arial"/>
          <w:color w:val="000000"/>
          <w:sz w:val="16"/>
          <w:szCs w:val="16"/>
        </w:rPr>
        <w:t>52</w:t>
      </w:r>
      <w:r w:rsidRPr="00601402">
        <w:rPr>
          <w:rFonts w:ascii="Arial" w:hAnsi="Arial" w:cs="Arial"/>
          <w:color w:val="000000"/>
          <w:sz w:val="16"/>
          <w:szCs w:val="16"/>
        </w:rPr>
        <w:t>) and the rate ratio was evaluated at 52 weeks (</w:t>
      </w:r>
      <w:r>
        <w:rPr>
          <w:rFonts w:ascii="Arial" w:hAnsi="Arial" w:cs="Arial"/>
          <w:color w:val="000000"/>
          <w:sz w:val="16"/>
          <w:szCs w:val="16"/>
        </w:rPr>
        <w:t>53</w:t>
      </w:r>
      <w:r w:rsidRPr="00601402">
        <w:rPr>
          <w:rFonts w:ascii="Arial" w:hAnsi="Arial" w:cs="Arial"/>
          <w:color w:val="000000"/>
          <w:sz w:val="16"/>
          <w:szCs w:val="16"/>
        </w:rPr>
        <w:t xml:space="preserve">) </w:t>
      </w:r>
    </w:p>
    <w:p w14:paraId="13FC04F3" w14:textId="77777777" w:rsidR="00596BE0" w:rsidRPr="00601402" w:rsidRDefault="00596BE0" w:rsidP="00596BE0">
      <w:pPr>
        <w:jc w:val="both"/>
        <w:rPr>
          <w:rFonts w:ascii="Arial" w:hAnsi="Arial" w:cs="Arial"/>
          <w:color w:val="000000"/>
          <w:sz w:val="16"/>
          <w:szCs w:val="16"/>
        </w:rPr>
      </w:pPr>
      <w:r w:rsidRPr="00601402">
        <w:rPr>
          <w:rFonts w:ascii="Arial" w:hAnsi="Arial" w:cs="Arial"/>
          <w:color w:val="000000"/>
          <w:sz w:val="16"/>
          <w:szCs w:val="16"/>
        </w:rPr>
        <w:t xml:space="preserve">d. Downgraded because the absolute effect includes both potential clinically meaningful benefits and harms. </w:t>
      </w:r>
    </w:p>
    <w:p w14:paraId="4656AD54" w14:textId="77777777" w:rsidR="00596BE0" w:rsidRPr="00601402" w:rsidRDefault="00596BE0" w:rsidP="00596BE0">
      <w:pPr>
        <w:jc w:val="both"/>
        <w:rPr>
          <w:rFonts w:ascii="Arial" w:hAnsi="Arial" w:cs="Arial"/>
          <w:color w:val="000000"/>
          <w:sz w:val="16"/>
          <w:szCs w:val="16"/>
        </w:rPr>
      </w:pPr>
      <w:r w:rsidRPr="00601402">
        <w:rPr>
          <w:rFonts w:ascii="Arial" w:hAnsi="Arial" w:cs="Arial"/>
          <w:color w:val="000000"/>
          <w:sz w:val="16"/>
          <w:szCs w:val="16"/>
        </w:rPr>
        <w:t>e. Downgraded because FEV1 is considered a surrogate outcome of asthma control of symptoms, with a variable correlation with asthma symptoms (</w:t>
      </w:r>
      <w:r>
        <w:rPr>
          <w:rFonts w:ascii="Arial" w:hAnsi="Arial" w:cs="Arial"/>
          <w:color w:val="000000"/>
          <w:sz w:val="16"/>
          <w:szCs w:val="16"/>
        </w:rPr>
        <w:t>72</w:t>
      </w:r>
      <w:r w:rsidRPr="00601402">
        <w:rPr>
          <w:rFonts w:ascii="Arial" w:hAnsi="Arial" w:cs="Arial"/>
          <w:color w:val="000000"/>
          <w:sz w:val="16"/>
          <w:szCs w:val="16"/>
        </w:rPr>
        <w:t xml:space="preserve">). </w:t>
      </w:r>
    </w:p>
    <w:p w14:paraId="06443B32" w14:textId="77777777" w:rsidR="00596BE0" w:rsidRPr="00601402" w:rsidRDefault="00596BE0" w:rsidP="00596BE0">
      <w:pPr>
        <w:jc w:val="both"/>
        <w:rPr>
          <w:rFonts w:ascii="Arial" w:hAnsi="Arial" w:cs="Arial"/>
          <w:color w:val="000000"/>
          <w:sz w:val="16"/>
          <w:szCs w:val="16"/>
        </w:rPr>
      </w:pPr>
      <w:r w:rsidRPr="00601402">
        <w:rPr>
          <w:rFonts w:ascii="Arial" w:hAnsi="Arial" w:cs="Arial"/>
          <w:color w:val="000000"/>
          <w:sz w:val="16"/>
          <w:szCs w:val="16"/>
        </w:rPr>
        <w:t xml:space="preserve">f. The panel agreed that minimal important difference (MID) for FEV1 is 0.20 L g. Castro 2015 also assessed FEV1 at 52 weeks, the mean difference from baseline was 122.28 </w:t>
      </w:r>
      <w:proofErr w:type="gramStart"/>
      <w:r w:rsidRPr="00601402">
        <w:rPr>
          <w:rFonts w:ascii="Arial" w:hAnsi="Arial" w:cs="Arial"/>
          <w:color w:val="000000"/>
          <w:sz w:val="16"/>
          <w:szCs w:val="16"/>
        </w:rPr>
        <w:t>mL(</w:t>
      </w:r>
      <w:proofErr w:type="gramEnd"/>
      <w:r w:rsidRPr="00601402">
        <w:rPr>
          <w:rFonts w:ascii="Arial" w:hAnsi="Arial" w:cs="Arial"/>
          <w:color w:val="000000"/>
          <w:sz w:val="16"/>
          <w:szCs w:val="16"/>
        </w:rPr>
        <w:t>45.54, 199.02). We also included 3 studies (</w:t>
      </w:r>
      <w:r>
        <w:rPr>
          <w:rFonts w:ascii="Arial" w:hAnsi="Arial" w:cs="Arial"/>
          <w:color w:val="000000"/>
          <w:sz w:val="16"/>
          <w:szCs w:val="16"/>
        </w:rPr>
        <w:t>52,54, 55</w:t>
      </w:r>
      <w:r w:rsidRPr="00601402">
        <w:rPr>
          <w:rFonts w:ascii="Arial" w:hAnsi="Arial" w:cs="Arial"/>
          <w:color w:val="000000"/>
          <w:sz w:val="16"/>
          <w:szCs w:val="16"/>
        </w:rPr>
        <w:t xml:space="preserve">) reporting FVC (mL), the pooled mean difference was 205.94 (88.69, 323.19); see full text report. </w:t>
      </w:r>
    </w:p>
    <w:p w14:paraId="029FB22D" w14:textId="77777777" w:rsidR="00596BE0" w:rsidRPr="00601402" w:rsidRDefault="00596BE0" w:rsidP="00596BE0">
      <w:pPr>
        <w:jc w:val="both"/>
        <w:rPr>
          <w:rFonts w:ascii="Arial" w:hAnsi="Arial" w:cs="Arial"/>
          <w:color w:val="000000"/>
          <w:sz w:val="16"/>
          <w:szCs w:val="16"/>
        </w:rPr>
      </w:pPr>
      <w:r w:rsidRPr="00601402">
        <w:rPr>
          <w:rFonts w:ascii="Arial" w:hAnsi="Arial" w:cs="Arial"/>
          <w:color w:val="000000"/>
          <w:sz w:val="16"/>
          <w:szCs w:val="16"/>
        </w:rPr>
        <w:t xml:space="preserve">h. MID for ACQ-7 is 0.5 points (Juniper 2005). </w:t>
      </w:r>
    </w:p>
    <w:p w14:paraId="438326FD" w14:textId="77777777" w:rsidR="00596BE0" w:rsidRPr="00601402" w:rsidRDefault="00596BE0" w:rsidP="00596BE0">
      <w:pPr>
        <w:jc w:val="both"/>
        <w:rPr>
          <w:rFonts w:ascii="Arial" w:hAnsi="Arial" w:cs="Arial"/>
          <w:color w:val="000000"/>
          <w:sz w:val="16"/>
          <w:szCs w:val="16"/>
        </w:rPr>
      </w:pPr>
      <w:r w:rsidRPr="00601402">
        <w:rPr>
          <w:rFonts w:ascii="Arial" w:hAnsi="Arial" w:cs="Arial"/>
          <w:color w:val="000000"/>
          <w:sz w:val="16"/>
          <w:szCs w:val="16"/>
        </w:rPr>
        <w:t xml:space="preserve">i. Castro 2015 also assessed ACQ-7 at 52 weeks, the mean difference from baseline of ACQ-7 was -0.25 (-0.34, -0.16), see full text report. </w:t>
      </w:r>
    </w:p>
    <w:p w14:paraId="197B8C0F" w14:textId="77777777" w:rsidR="00596BE0" w:rsidRPr="00601402" w:rsidRDefault="00596BE0" w:rsidP="00596BE0">
      <w:pPr>
        <w:jc w:val="both"/>
        <w:rPr>
          <w:rFonts w:ascii="Arial" w:hAnsi="Arial" w:cs="Arial"/>
          <w:color w:val="000000"/>
          <w:sz w:val="16"/>
          <w:szCs w:val="16"/>
        </w:rPr>
      </w:pPr>
      <w:r w:rsidRPr="00601402">
        <w:rPr>
          <w:rFonts w:ascii="Arial" w:hAnsi="Arial" w:cs="Arial"/>
          <w:color w:val="000000"/>
          <w:sz w:val="16"/>
          <w:szCs w:val="16"/>
        </w:rPr>
        <w:t xml:space="preserve">j. MID </w:t>
      </w:r>
      <w:r>
        <w:rPr>
          <w:rFonts w:ascii="Arial" w:hAnsi="Arial" w:cs="Arial"/>
          <w:color w:val="000000"/>
          <w:sz w:val="16"/>
          <w:szCs w:val="16"/>
        </w:rPr>
        <w:t>f</w:t>
      </w:r>
      <w:r w:rsidRPr="00601402">
        <w:rPr>
          <w:rFonts w:ascii="Arial" w:hAnsi="Arial" w:cs="Arial"/>
          <w:color w:val="000000"/>
          <w:sz w:val="16"/>
          <w:szCs w:val="16"/>
        </w:rPr>
        <w:t xml:space="preserve">or </w:t>
      </w:r>
      <w:r>
        <w:rPr>
          <w:rFonts w:ascii="Arial" w:hAnsi="Arial" w:cs="Arial"/>
          <w:color w:val="000000"/>
          <w:sz w:val="16"/>
          <w:szCs w:val="16"/>
        </w:rPr>
        <w:t xml:space="preserve">the Asthma symptoms utility index </w:t>
      </w:r>
      <w:r w:rsidRPr="00601402">
        <w:rPr>
          <w:rFonts w:ascii="Arial" w:hAnsi="Arial" w:cs="Arial"/>
          <w:color w:val="000000"/>
          <w:sz w:val="16"/>
          <w:szCs w:val="16"/>
        </w:rPr>
        <w:t>is an increase of 0.09 points (</w:t>
      </w:r>
      <w:r>
        <w:rPr>
          <w:rFonts w:ascii="Arial" w:hAnsi="Arial" w:cs="Arial"/>
          <w:color w:val="000000"/>
          <w:sz w:val="16"/>
          <w:szCs w:val="16"/>
        </w:rPr>
        <w:t>79</w:t>
      </w:r>
      <w:r w:rsidRPr="00601402">
        <w:rPr>
          <w:rFonts w:ascii="Arial" w:hAnsi="Arial" w:cs="Arial"/>
          <w:color w:val="000000"/>
          <w:sz w:val="16"/>
          <w:szCs w:val="16"/>
        </w:rPr>
        <w:t xml:space="preserve">). </w:t>
      </w:r>
    </w:p>
    <w:p w14:paraId="33B8E541" w14:textId="77777777" w:rsidR="00596BE0" w:rsidRPr="00601402" w:rsidRDefault="00596BE0" w:rsidP="00596BE0">
      <w:pPr>
        <w:jc w:val="both"/>
        <w:rPr>
          <w:rFonts w:ascii="Arial" w:hAnsi="Arial" w:cs="Arial"/>
          <w:color w:val="000000"/>
          <w:sz w:val="16"/>
          <w:szCs w:val="16"/>
        </w:rPr>
      </w:pPr>
      <w:r w:rsidRPr="00601402">
        <w:rPr>
          <w:rFonts w:ascii="Arial" w:hAnsi="Arial" w:cs="Arial"/>
          <w:color w:val="000000"/>
          <w:sz w:val="16"/>
          <w:szCs w:val="16"/>
        </w:rPr>
        <w:t>k. MID of AQLQ is 0.5 points (</w:t>
      </w:r>
      <w:r>
        <w:rPr>
          <w:rFonts w:ascii="Arial" w:hAnsi="Arial" w:cs="Arial"/>
          <w:color w:val="000000"/>
          <w:sz w:val="16"/>
          <w:szCs w:val="16"/>
        </w:rPr>
        <w:t>37</w:t>
      </w:r>
      <w:r w:rsidRPr="00601402">
        <w:rPr>
          <w:rFonts w:ascii="Arial" w:hAnsi="Arial" w:cs="Arial"/>
          <w:color w:val="000000"/>
          <w:sz w:val="16"/>
          <w:szCs w:val="16"/>
        </w:rPr>
        <w:t xml:space="preserve">). </w:t>
      </w:r>
    </w:p>
    <w:p w14:paraId="573FC53B" w14:textId="77777777" w:rsidR="00596BE0" w:rsidRPr="00601402" w:rsidRDefault="00596BE0" w:rsidP="00596BE0">
      <w:pPr>
        <w:jc w:val="both"/>
        <w:rPr>
          <w:rFonts w:ascii="Arial" w:hAnsi="Arial" w:cs="Arial"/>
          <w:color w:val="000000"/>
          <w:sz w:val="16"/>
          <w:szCs w:val="16"/>
        </w:rPr>
      </w:pPr>
      <w:r w:rsidRPr="00601402">
        <w:rPr>
          <w:rFonts w:ascii="Arial" w:hAnsi="Arial" w:cs="Arial"/>
          <w:color w:val="000000"/>
          <w:sz w:val="16"/>
          <w:szCs w:val="16"/>
        </w:rPr>
        <w:t xml:space="preserve">l. Castro 2015 also assessed AQLQ at 52 weeks, the mean difference from baseline was 0.29 (0.18, 0.41), see full text report. </w:t>
      </w:r>
    </w:p>
    <w:p w14:paraId="447E4160" w14:textId="77777777" w:rsidR="00596BE0" w:rsidRPr="00601402" w:rsidRDefault="00596BE0" w:rsidP="00596BE0">
      <w:pPr>
        <w:jc w:val="both"/>
        <w:rPr>
          <w:rFonts w:ascii="Arial" w:hAnsi="Arial" w:cs="Arial"/>
          <w:color w:val="000000"/>
          <w:sz w:val="16"/>
          <w:szCs w:val="16"/>
        </w:rPr>
      </w:pPr>
      <w:r w:rsidRPr="00601402">
        <w:rPr>
          <w:rFonts w:ascii="Arial" w:hAnsi="Arial" w:cs="Arial"/>
          <w:color w:val="000000"/>
          <w:sz w:val="16"/>
          <w:szCs w:val="16"/>
        </w:rPr>
        <w:t xml:space="preserve">m. Reduction of blood eosinophil counts is a surrogate endpoint and not validated as a valuable outcome </w:t>
      </w:r>
      <w:r>
        <w:rPr>
          <w:rFonts w:ascii="Arial" w:hAnsi="Arial" w:cs="Arial"/>
          <w:color w:val="000000"/>
          <w:sz w:val="16"/>
          <w:szCs w:val="16"/>
        </w:rPr>
        <w:t>for monitoring</w:t>
      </w:r>
      <w:r w:rsidRPr="00601402">
        <w:rPr>
          <w:rFonts w:ascii="Arial" w:hAnsi="Arial" w:cs="Arial"/>
          <w:color w:val="000000"/>
          <w:sz w:val="16"/>
          <w:szCs w:val="16"/>
        </w:rPr>
        <w:t xml:space="preserve"> asthma therapy (</w:t>
      </w:r>
      <w:r>
        <w:rPr>
          <w:rFonts w:ascii="Arial" w:hAnsi="Arial" w:cs="Arial"/>
          <w:color w:val="000000"/>
          <w:sz w:val="16"/>
          <w:szCs w:val="16"/>
        </w:rPr>
        <w:t>80</w:t>
      </w:r>
      <w:r w:rsidRPr="00601402">
        <w:rPr>
          <w:rFonts w:ascii="Arial" w:hAnsi="Arial" w:cs="Arial"/>
          <w:color w:val="000000"/>
          <w:sz w:val="16"/>
          <w:szCs w:val="16"/>
        </w:rPr>
        <w:t xml:space="preserve">). </w:t>
      </w:r>
    </w:p>
    <w:p w14:paraId="3A9ECAA7" w14:textId="77777777" w:rsidR="00596BE0" w:rsidRPr="00601402" w:rsidRDefault="00596BE0" w:rsidP="00596BE0">
      <w:pPr>
        <w:jc w:val="both"/>
        <w:rPr>
          <w:rFonts w:ascii="Arial" w:hAnsi="Arial" w:cs="Arial"/>
          <w:color w:val="000000"/>
          <w:sz w:val="16"/>
          <w:szCs w:val="16"/>
        </w:rPr>
      </w:pPr>
      <w:r w:rsidRPr="00601402">
        <w:rPr>
          <w:rFonts w:ascii="Arial" w:hAnsi="Arial" w:cs="Arial"/>
          <w:color w:val="000000"/>
          <w:sz w:val="16"/>
          <w:szCs w:val="16"/>
        </w:rPr>
        <w:t>n. MID for rescue medication use is a reduction by 0.81 puffs/day (</w:t>
      </w:r>
      <w:r>
        <w:rPr>
          <w:rFonts w:ascii="Arial" w:hAnsi="Arial" w:cs="Arial"/>
          <w:color w:val="000000"/>
          <w:sz w:val="16"/>
          <w:szCs w:val="16"/>
        </w:rPr>
        <w:t>35</w:t>
      </w:r>
      <w:r w:rsidRPr="00601402">
        <w:rPr>
          <w:rFonts w:ascii="Arial" w:hAnsi="Arial" w:cs="Arial"/>
          <w:color w:val="000000"/>
          <w:sz w:val="16"/>
          <w:szCs w:val="16"/>
        </w:rPr>
        <w:t xml:space="preserve">). </w:t>
      </w:r>
    </w:p>
    <w:p w14:paraId="78D14D25" w14:textId="77777777" w:rsidR="00596BE0" w:rsidRPr="00601402" w:rsidRDefault="00596BE0" w:rsidP="00596BE0">
      <w:pPr>
        <w:jc w:val="both"/>
        <w:rPr>
          <w:rFonts w:ascii="Arial" w:hAnsi="Arial" w:cs="Arial"/>
          <w:color w:val="000000"/>
          <w:sz w:val="16"/>
          <w:szCs w:val="16"/>
        </w:rPr>
      </w:pPr>
      <w:r w:rsidRPr="00601402">
        <w:rPr>
          <w:rFonts w:ascii="Arial" w:hAnsi="Arial" w:cs="Arial"/>
          <w:color w:val="000000"/>
          <w:sz w:val="16"/>
          <w:szCs w:val="16"/>
        </w:rPr>
        <w:t xml:space="preserve">o. The effect may both be harmful or beneficial. </w:t>
      </w:r>
    </w:p>
    <w:p w14:paraId="1089748A" w14:textId="77777777" w:rsidR="00596BE0" w:rsidRPr="00601402" w:rsidRDefault="00596BE0" w:rsidP="00596BE0">
      <w:pPr>
        <w:jc w:val="both"/>
        <w:rPr>
          <w:rFonts w:ascii="Arial" w:hAnsi="Arial" w:cs="Arial"/>
          <w:color w:val="000000"/>
          <w:sz w:val="16"/>
          <w:szCs w:val="16"/>
        </w:rPr>
      </w:pPr>
      <w:r w:rsidRPr="00601402">
        <w:rPr>
          <w:rFonts w:ascii="Arial" w:hAnsi="Arial" w:cs="Arial"/>
          <w:color w:val="000000"/>
          <w:sz w:val="16"/>
          <w:szCs w:val="16"/>
        </w:rPr>
        <w:t xml:space="preserve">p. Data regarding this outcome was extracted from www.clinicaltrials.gov for </w:t>
      </w:r>
      <w:r>
        <w:rPr>
          <w:rFonts w:ascii="Arial" w:hAnsi="Arial" w:cs="Arial"/>
          <w:color w:val="000000"/>
          <w:sz w:val="16"/>
          <w:szCs w:val="16"/>
        </w:rPr>
        <w:t>ref.52</w:t>
      </w:r>
      <w:r w:rsidRPr="00601402">
        <w:rPr>
          <w:rFonts w:ascii="Arial" w:hAnsi="Arial" w:cs="Arial"/>
          <w:color w:val="000000"/>
          <w:sz w:val="16"/>
          <w:szCs w:val="16"/>
        </w:rPr>
        <w:t xml:space="preserve"> and </w:t>
      </w:r>
      <w:r>
        <w:rPr>
          <w:rFonts w:ascii="Arial" w:hAnsi="Arial" w:cs="Arial"/>
          <w:color w:val="000000"/>
          <w:sz w:val="16"/>
          <w:szCs w:val="16"/>
        </w:rPr>
        <w:t>ref.53</w:t>
      </w:r>
    </w:p>
    <w:p w14:paraId="36BD6CD8" w14:textId="77777777" w:rsidR="00596BE0" w:rsidRDefault="00596BE0" w:rsidP="00596BE0">
      <w:pPr>
        <w:jc w:val="both"/>
        <w:rPr>
          <w:rFonts w:ascii="Arial" w:hAnsi="Arial" w:cs="Arial"/>
          <w:color w:val="000000"/>
          <w:sz w:val="16"/>
          <w:szCs w:val="16"/>
        </w:rPr>
      </w:pPr>
      <w:r w:rsidRPr="00601402">
        <w:rPr>
          <w:rFonts w:ascii="Arial" w:hAnsi="Arial" w:cs="Arial"/>
          <w:color w:val="000000"/>
          <w:sz w:val="16"/>
          <w:szCs w:val="16"/>
        </w:rPr>
        <w:t>q. Very few events in both arms, thus it is not possible to estimate precisely the effect size between arms</w:t>
      </w:r>
    </w:p>
    <w:p w14:paraId="7BDF2685" w14:textId="77777777" w:rsidR="00651E50" w:rsidRDefault="00651E50" w:rsidP="00596BE0">
      <w:pPr>
        <w:jc w:val="both"/>
        <w:rPr>
          <w:rFonts w:ascii="Arial" w:hAnsi="Arial" w:cs="Arial"/>
          <w:color w:val="000000"/>
          <w:sz w:val="16"/>
          <w:szCs w:val="16"/>
        </w:rPr>
      </w:pPr>
    </w:p>
    <w:p w14:paraId="3AD5C25D" w14:textId="79AD6832" w:rsidR="00651E50" w:rsidRPr="004C505F" w:rsidRDefault="00651E50" w:rsidP="00651E50">
      <w:pPr>
        <w:rPr>
          <w:rFonts w:ascii="Arial" w:hAnsi="Arial" w:cs="Arial"/>
          <w:b/>
          <w:sz w:val="20"/>
          <w:szCs w:val="20"/>
        </w:rPr>
      </w:pPr>
      <w:r w:rsidRPr="004C505F">
        <w:rPr>
          <w:rFonts w:ascii="Arial" w:hAnsi="Arial" w:cs="Arial"/>
          <w:b/>
          <w:sz w:val="20"/>
          <w:szCs w:val="20"/>
        </w:rPr>
        <w:t>Table S</w:t>
      </w:r>
      <w:r w:rsidR="004C505F" w:rsidRPr="004C505F">
        <w:rPr>
          <w:rFonts w:ascii="Arial" w:hAnsi="Arial" w:cs="Arial"/>
          <w:b/>
          <w:sz w:val="20"/>
          <w:szCs w:val="20"/>
        </w:rPr>
        <w:t>4</w:t>
      </w:r>
      <w:r w:rsidR="00FD3FC4">
        <w:rPr>
          <w:rFonts w:ascii="Arial" w:hAnsi="Arial" w:cs="Arial"/>
          <w:b/>
          <w:sz w:val="20"/>
          <w:szCs w:val="20"/>
        </w:rPr>
        <w:t>9</w:t>
      </w:r>
      <w:r w:rsidRPr="004C505F">
        <w:rPr>
          <w:rFonts w:ascii="Arial" w:hAnsi="Arial" w:cs="Arial"/>
          <w:b/>
          <w:sz w:val="20"/>
          <w:szCs w:val="20"/>
        </w:rPr>
        <w:t xml:space="preserve">: Economic </w:t>
      </w:r>
      <w:r w:rsidR="004C505F" w:rsidRPr="004C505F">
        <w:rPr>
          <w:rFonts w:ascii="Arial" w:hAnsi="Arial" w:cs="Arial"/>
          <w:b/>
          <w:sz w:val="20"/>
          <w:szCs w:val="20"/>
        </w:rPr>
        <w:t>evaluation</w:t>
      </w:r>
      <w:r w:rsidRPr="004C505F">
        <w:rPr>
          <w:rFonts w:ascii="Arial" w:hAnsi="Arial" w:cs="Arial"/>
          <w:b/>
          <w:sz w:val="20"/>
          <w:szCs w:val="20"/>
        </w:rPr>
        <w:t xml:space="preserve"> </w:t>
      </w:r>
      <w:r w:rsidR="004C505F" w:rsidRPr="004C505F">
        <w:rPr>
          <w:rFonts w:ascii="Arial" w:hAnsi="Arial" w:cs="Arial"/>
          <w:b/>
          <w:sz w:val="20"/>
          <w:szCs w:val="20"/>
        </w:rPr>
        <w:t>of</w:t>
      </w:r>
      <w:r w:rsidRPr="004C505F">
        <w:rPr>
          <w:rFonts w:ascii="Arial" w:hAnsi="Arial" w:cs="Arial"/>
          <w:b/>
          <w:sz w:val="20"/>
          <w:szCs w:val="20"/>
        </w:rPr>
        <w:t xml:space="preserve"> reslizumab in addition to standard therapy vs. standard therapy -adults with eosinophilic asthma</w:t>
      </w:r>
    </w:p>
    <w:tbl>
      <w:tblPr>
        <w:tblW w:w="5000" w:type="pct"/>
        <w:jc w:val="center"/>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0A0" w:firstRow="1" w:lastRow="0" w:firstColumn="1" w:lastColumn="0" w:noHBand="0" w:noVBand="0"/>
      </w:tblPr>
      <w:tblGrid>
        <w:gridCol w:w="826"/>
        <w:gridCol w:w="979"/>
        <w:gridCol w:w="1148"/>
        <w:gridCol w:w="1162"/>
        <w:gridCol w:w="1161"/>
        <w:gridCol w:w="1025"/>
        <w:gridCol w:w="1067"/>
        <w:gridCol w:w="1634"/>
        <w:gridCol w:w="1804"/>
        <w:gridCol w:w="1616"/>
        <w:gridCol w:w="1000"/>
      </w:tblGrid>
      <w:tr w:rsidR="00651E50" w14:paraId="7B1AA943" w14:textId="77777777" w:rsidTr="0049305A">
        <w:trPr>
          <w:cantSplit/>
          <w:trHeight w:val="222"/>
          <w:tblHeader/>
          <w:jc w:val="center"/>
        </w:trPr>
        <w:tc>
          <w:tcPr>
            <w:tcW w:w="2751" w:type="pct"/>
            <w:gridSpan w:val="7"/>
            <w:tcBorders>
              <w:top w:val="single" w:sz="6" w:space="0" w:color="000000"/>
              <w:left w:val="single" w:sz="6" w:space="0" w:color="000000"/>
              <w:bottom w:val="single" w:sz="6" w:space="0" w:color="000000"/>
              <w:right w:val="single" w:sz="6" w:space="0" w:color="000000"/>
            </w:tcBorders>
            <w:shd w:val="clear" w:color="auto" w:fill="DDDDDD"/>
            <w:hideMark/>
          </w:tcPr>
          <w:p w14:paraId="358E41FA" w14:textId="77777777" w:rsidR="00651E50" w:rsidRDefault="00651E50" w:rsidP="0049305A">
            <w:pPr>
              <w:jc w:val="center"/>
              <w:rPr>
                <w:rFonts w:ascii="Calibri" w:hAnsi="Calibri"/>
                <w:b/>
                <w:bCs/>
                <w:sz w:val="18"/>
                <w:szCs w:val="18"/>
              </w:rPr>
            </w:pPr>
            <w:r>
              <w:rPr>
                <w:rFonts w:ascii="Calibri" w:hAnsi="Calibri"/>
                <w:b/>
                <w:bCs/>
                <w:sz w:val="18"/>
                <w:szCs w:val="18"/>
              </w:rPr>
              <w:t>Quality assessment</w:t>
            </w:r>
          </w:p>
        </w:tc>
        <w:tc>
          <w:tcPr>
            <w:tcW w:w="1892" w:type="pct"/>
            <w:gridSpan w:val="3"/>
            <w:tcBorders>
              <w:top w:val="single" w:sz="6" w:space="0" w:color="000000"/>
              <w:left w:val="single" w:sz="6" w:space="0" w:color="000000"/>
              <w:bottom w:val="single" w:sz="6" w:space="0" w:color="000000"/>
              <w:right w:val="single" w:sz="6" w:space="0" w:color="000000"/>
            </w:tcBorders>
            <w:shd w:val="clear" w:color="auto" w:fill="DDDDDD"/>
            <w:hideMark/>
          </w:tcPr>
          <w:p w14:paraId="2D85E5A5" w14:textId="77777777" w:rsidR="00651E50" w:rsidRDefault="00651E50" w:rsidP="0049305A">
            <w:pPr>
              <w:jc w:val="center"/>
              <w:rPr>
                <w:rFonts w:ascii="Calibri" w:hAnsi="Calibri"/>
                <w:b/>
                <w:bCs/>
                <w:sz w:val="18"/>
                <w:szCs w:val="18"/>
              </w:rPr>
            </w:pPr>
            <w:r>
              <w:rPr>
                <w:rFonts w:ascii="Calibri" w:hAnsi="Calibri"/>
                <w:b/>
                <w:bCs/>
                <w:sz w:val="18"/>
                <w:szCs w:val="18"/>
              </w:rPr>
              <w:t>Summary of resources and costs</w:t>
            </w:r>
          </w:p>
        </w:tc>
        <w:tc>
          <w:tcPr>
            <w:tcW w:w="358" w:type="pct"/>
            <w:vMerge w:val="restart"/>
            <w:tcBorders>
              <w:top w:val="single" w:sz="6" w:space="0" w:color="000000"/>
              <w:left w:val="single" w:sz="6" w:space="0" w:color="000000"/>
              <w:bottom w:val="single" w:sz="6" w:space="0" w:color="000000"/>
              <w:right w:val="single" w:sz="6" w:space="0" w:color="000000"/>
            </w:tcBorders>
            <w:shd w:val="clear" w:color="auto" w:fill="DDDDDD"/>
            <w:hideMark/>
          </w:tcPr>
          <w:p w14:paraId="04C7ABE8" w14:textId="77777777" w:rsidR="00651E50" w:rsidRDefault="00651E50" w:rsidP="0049305A">
            <w:pPr>
              <w:jc w:val="center"/>
              <w:rPr>
                <w:rFonts w:ascii="Calibri" w:hAnsi="Calibri"/>
                <w:b/>
                <w:bCs/>
                <w:sz w:val="18"/>
                <w:szCs w:val="18"/>
              </w:rPr>
            </w:pPr>
            <w:r>
              <w:rPr>
                <w:rFonts w:ascii="Calibri" w:hAnsi="Calibri"/>
                <w:b/>
                <w:bCs/>
                <w:sz w:val="18"/>
                <w:szCs w:val="18"/>
              </w:rPr>
              <w:t>Quality</w:t>
            </w:r>
          </w:p>
        </w:tc>
      </w:tr>
      <w:tr w:rsidR="00651E50" w14:paraId="7176FC3F" w14:textId="77777777" w:rsidTr="0049305A">
        <w:trPr>
          <w:cantSplit/>
          <w:trHeight w:val="519"/>
          <w:tblHeader/>
          <w:jc w:val="center"/>
        </w:trPr>
        <w:tc>
          <w:tcPr>
            <w:tcW w:w="311" w:type="pct"/>
            <w:tcBorders>
              <w:top w:val="single" w:sz="6" w:space="0" w:color="000000"/>
              <w:left w:val="single" w:sz="6" w:space="0" w:color="000000"/>
              <w:bottom w:val="single" w:sz="6" w:space="0" w:color="000000"/>
              <w:right w:val="single" w:sz="6" w:space="0" w:color="000000"/>
            </w:tcBorders>
            <w:shd w:val="clear" w:color="auto" w:fill="DDDDDD"/>
            <w:hideMark/>
          </w:tcPr>
          <w:p w14:paraId="48DC6234" w14:textId="77777777" w:rsidR="00651E50" w:rsidRDefault="00651E50" w:rsidP="0049305A">
            <w:pPr>
              <w:jc w:val="center"/>
              <w:rPr>
                <w:rFonts w:ascii="Calibri" w:hAnsi="Calibri"/>
                <w:b/>
                <w:bCs/>
                <w:sz w:val="18"/>
                <w:szCs w:val="18"/>
              </w:rPr>
            </w:pPr>
            <w:r>
              <w:rPr>
                <w:rFonts w:ascii="Calibri" w:hAnsi="Calibri"/>
                <w:b/>
                <w:bCs/>
                <w:sz w:val="18"/>
                <w:szCs w:val="18"/>
              </w:rPr>
              <w:t>Nº. of studies</w:t>
            </w:r>
          </w:p>
        </w:tc>
        <w:tc>
          <w:tcPr>
            <w:tcW w:w="368" w:type="pct"/>
            <w:tcBorders>
              <w:top w:val="single" w:sz="6" w:space="0" w:color="000000"/>
              <w:left w:val="single" w:sz="6" w:space="0" w:color="000000"/>
              <w:bottom w:val="single" w:sz="6" w:space="0" w:color="000000"/>
              <w:right w:val="single" w:sz="6" w:space="0" w:color="000000"/>
            </w:tcBorders>
            <w:shd w:val="clear" w:color="auto" w:fill="DDDDDD"/>
            <w:hideMark/>
          </w:tcPr>
          <w:p w14:paraId="49B05043" w14:textId="77777777" w:rsidR="00651E50" w:rsidRDefault="00651E50" w:rsidP="0049305A">
            <w:pPr>
              <w:jc w:val="center"/>
              <w:rPr>
                <w:rFonts w:ascii="Calibri" w:hAnsi="Calibri"/>
                <w:b/>
                <w:bCs/>
                <w:sz w:val="18"/>
                <w:szCs w:val="18"/>
              </w:rPr>
            </w:pPr>
            <w:r>
              <w:rPr>
                <w:rFonts w:ascii="Calibri" w:hAnsi="Calibri"/>
                <w:b/>
                <w:bCs/>
                <w:sz w:val="18"/>
                <w:szCs w:val="18"/>
              </w:rPr>
              <w:t>Study design</w:t>
            </w:r>
          </w:p>
        </w:tc>
        <w:tc>
          <w:tcPr>
            <w:tcW w:w="431" w:type="pct"/>
            <w:tcBorders>
              <w:top w:val="single" w:sz="6" w:space="0" w:color="000000"/>
              <w:left w:val="single" w:sz="6" w:space="0" w:color="000000"/>
              <w:bottom w:val="single" w:sz="6" w:space="0" w:color="000000"/>
              <w:right w:val="single" w:sz="6" w:space="0" w:color="000000"/>
            </w:tcBorders>
            <w:shd w:val="clear" w:color="auto" w:fill="DDDDDD"/>
            <w:hideMark/>
          </w:tcPr>
          <w:p w14:paraId="0C03FF59" w14:textId="77777777" w:rsidR="00651E50" w:rsidRDefault="00651E50" w:rsidP="0049305A">
            <w:pPr>
              <w:jc w:val="center"/>
              <w:rPr>
                <w:rFonts w:ascii="Calibri" w:hAnsi="Calibri"/>
                <w:b/>
                <w:bCs/>
                <w:sz w:val="18"/>
                <w:szCs w:val="18"/>
              </w:rPr>
            </w:pPr>
            <w:r>
              <w:rPr>
                <w:rFonts w:ascii="Calibri" w:hAnsi="Calibri"/>
                <w:b/>
                <w:bCs/>
                <w:sz w:val="18"/>
                <w:szCs w:val="18"/>
              </w:rPr>
              <w:t>Limitations</w:t>
            </w:r>
          </w:p>
        </w:tc>
        <w:tc>
          <w:tcPr>
            <w:tcW w:w="431" w:type="pct"/>
            <w:tcBorders>
              <w:top w:val="single" w:sz="6" w:space="0" w:color="000000"/>
              <w:left w:val="single" w:sz="6" w:space="0" w:color="000000"/>
              <w:bottom w:val="single" w:sz="6" w:space="0" w:color="000000"/>
              <w:right w:val="single" w:sz="6" w:space="0" w:color="000000"/>
            </w:tcBorders>
            <w:shd w:val="clear" w:color="auto" w:fill="DDDDDD"/>
            <w:hideMark/>
          </w:tcPr>
          <w:p w14:paraId="1067A71E" w14:textId="77777777" w:rsidR="00651E50" w:rsidRDefault="00651E50" w:rsidP="0049305A">
            <w:pPr>
              <w:jc w:val="center"/>
              <w:rPr>
                <w:rFonts w:ascii="Calibri" w:hAnsi="Calibri"/>
                <w:b/>
                <w:bCs/>
                <w:sz w:val="18"/>
                <w:szCs w:val="18"/>
              </w:rPr>
            </w:pPr>
            <w:r>
              <w:rPr>
                <w:rFonts w:ascii="Calibri" w:hAnsi="Calibri"/>
                <w:b/>
                <w:bCs/>
                <w:sz w:val="18"/>
                <w:szCs w:val="18"/>
              </w:rPr>
              <w:t>Inconsistency</w:t>
            </w:r>
          </w:p>
        </w:tc>
        <w:tc>
          <w:tcPr>
            <w:tcW w:w="436" w:type="pct"/>
            <w:tcBorders>
              <w:top w:val="single" w:sz="6" w:space="0" w:color="000000"/>
              <w:left w:val="single" w:sz="6" w:space="0" w:color="000000"/>
              <w:bottom w:val="single" w:sz="6" w:space="0" w:color="000000"/>
              <w:right w:val="single" w:sz="6" w:space="0" w:color="000000"/>
            </w:tcBorders>
            <w:shd w:val="clear" w:color="auto" w:fill="DDDDDD"/>
            <w:hideMark/>
          </w:tcPr>
          <w:p w14:paraId="7382DCB2" w14:textId="77777777" w:rsidR="00651E50" w:rsidRDefault="00651E50" w:rsidP="0049305A">
            <w:pPr>
              <w:jc w:val="center"/>
              <w:rPr>
                <w:rFonts w:ascii="Calibri" w:hAnsi="Calibri"/>
                <w:b/>
                <w:bCs/>
                <w:sz w:val="18"/>
                <w:szCs w:val="18"/>
              </w:rPr>
            </w:pPr>
            <w:r>
              <w:rPr>
                <w:rFonts w:ascii="Calibri" w:hAnsi="Calibri"/>
                <w:b/>
                <w:bCs/>
                <w:sz w:val="18"/>
                <w:szCs w:val="18"/>
              </w:rPr>
              <w:t>Indirectness</w:t>
            </w:r>
          </w:p>
        </w:tc>
        <w:tc>
          <w:tcPr>
            <w:tcW w:w="373" w:type="pct"/>
            <w:tcBorders>
              <w:top w:val="single" w:sz="6" w:space="0" w:color="000000"/>
              <w:left w:val="single" w:sz="6" w:space="0" w:color="000000"/>
              <w:bottom w:val="single" w:sz="6" w:space="0" w:color="000000"/>
              <w:right w:val="single" w:sz="6" w:space="0" w:color="000000"/>
            </w:tcBorders>
            <w:shd w:val="clear" w:color="auto" w:fill="DDDDDD"/>
            <w:hideMark/>
          </w:tcPr>
          <w:p w14:paraId="7E599EB5" w14:textId="77777777" w:rsidR="00651E50" w:rsidRDefault="00651E50" w:rsidP="0049305A">
            <w:pPr>
              <w:jc w:val="center"/>
              <w:rPr>
                <w:rFonts w:ascii="Calibri" w:hAnsi="Calibri"/>
                <w:b/>
                <w:bCs/>
                <w:sz w:val="18"/>
                <w:szCs w:val="18"/>
              </w:rPr>
            </w:pPr>
            <w:r>
              <w:rPr>
                <w:rFonts w:ascii="Calibri" w:hAnsi="Calibri"/>
                <w:b/>
                <w:bCs/>
                <w:sz w:val="18"/>
                <w:szCs w:val="18"/>
              </w:rPr>
              <w:t>Imprecision</w:t>
            </w:r>
          </w:p>
        </w:tc>
        <w:tc>
          <w:tcPr>
            <w:tcW w:w="400" w:type="pct"/>
            <w:tcBorders>
              <w:top w:val="single" w:sz="6" w:space="0" w:color="000000"/>
              <w:left w:val="single" w:sz="6" w:space="0" w:color="000000"/>
              <w:bottom w:val="single" w:sz="6" w:space="0" w:color="000000"/>
              <w:right w:val="single" w:sz="6" w:space="0" w:color="000000"/>
            </w:tcBorders>
            <w:shd w:val="clear" w:color="auto" w:fill="DDDDDD"/>
            <w:hideMark/>
          </w:tcPr>
          <w:p w14:paraId="4F2A844F" w14:textId="77777777" w:rsidR="00651E50" w:rsidRDefault="00651E50" w:rsidP="0049305A">
            <w:pPr>
              <w:jc w:val="center"/>
              <w:rPr>
                <w:rFonts w:ascii="Calibri" w:hAnsi="Calibri"/>
                <w:b/>
                <w:bCs/>
                <w:sz w:val="18"/>
                <w:szCs w:val="18"/>
              </w:rPr>
            </w:pPr>
            <w:r>
              <w:rPr>
                <w:rFonts w:ascii="Calibri" w:hAnsi="Calibri"/>
                <w:b/>
                <w:bCs/>
                <w:sz w:val="18"/>
                <w:szCs w:val="18"/>
              </w:rPr>
              <w:t>Publication bias</w:t>
            </w:r>
          </w:p>
        </w:tc>
        <w:tc>
          <w:tcPr>
            <w:tcW w:w="612" w:type="pct"/>
            <w:tcBorders>
              <w:top w:val="single" w:sz="6" w:space="0" w:color="000000"/>
              <w:left w:val="single" w:sz="6" w:space="0" w:color="000000"/>
              <w:bottom w:val="single" w:sz="6" w:space="0" w:color="000000"/>
              <w:right w:val="single" w:sz="6" w:space="0" w:color="000000"/>
            </w:tcBorders>
            <w:shd w:val="clear" w:color="auto" w:fill="DDDDDD"/>
            <w:hideMark/>
          </w:tcPr>
          <w:p w14:paraId="2D229C99" w14:textId="77777777" w:rsidR="00651E50" w:rsidRDefault="00651E50" w:rsidP="0049305A">
            <w:pPr>
              <w:jc w:val="center"/>
              <w:rPr>
                <w:rFonts w:ascii="Calibri" w:hAnsi="Calibri"/>
                <w:b/>
                <w:bCs/>
                <w:sz w:val="18"/>
                <w:szCs w:val="18"/>
              </w:rPr>
            </w:pPr>
            <w:r>
              <w:rPr>
                <w:rFonts w:ascii="Calibri" w:hAnsi="Calibri"/>
                <w:b/>
                <w:bCs/>
                <w:sz w:val="18"/>
                <w:szCs w:val="18"/>
              </w:rPr>
              <w:t>Incremental cost per patient*</w:t>
            </w:r>
          </w:p>
        </w:tc>
        <w:tc>
          <w:tcPr>
            <w:tcW w:w="675" w:type="pct"/>
            <w:tcBorders>
              <w:top w:val="single" w:sz="6" w:space="0" w:color="000000"/>
              <w:left w:val="single" w:sz="6" w:space="0" w:color="000000"/>
              <w:bottom w:val="single" w:sz="6" w:space="0" w:color="000000"/>
              <w:right w:val="single" w:sz="6" w:space="0" w:color="000000"/>
            </w:tcBorders>
            <w:shd w:val="clear" w:color="auto" w:fill="DDDDDD"/>
            <w:hideMark/>
          </w:tcPr>
          <w:p w14:paraId="23DE6184" w14:textId="77777777" w:rsidR="00651E50" w:rsidRDefault="00651E50" w:rsidP="0049305A">
            <w:pPr>
              <w:jc w:val="center"/>
              <w:rPr>
                <w:rFonts w:ascii="Calibri" w:hAnsi="Calibri"/>
                <w:b/>
                <w:bCs/>
                <w:sz w:val="18"/>
                <w:szCs w:val="18"/>
              </w:rPr>
            </w:pPr>
            <w:r>
              <w:rPr>
                <w:rFonts w:ascii="Calibri" w:hAnsi="Calibri"/>
                <w:b/>
                <w:bCs/>
                <w:sz w:val="18"/>
                <w:szCs w:val="18"/>
              </w:rPr>
              <w:t>Incremental effect per patient*</w:t>
            </w:r>
          </w:p>
        </w:tc>
        <w:tc>
          <w:tcPr>
            <w:tcW w:w="605" w:type="pct"/>
            <w:tcBorders>
              <w:top w:val="single" w:sz="6" w:space="0" w:color="000000"/>
              <w:left w:val="single" w:sz="6" w:space="0" w:color="000000"/>
              <w:bottom w:val="single" w:sz="6" w:space="0" w:color="000000"/>
              <w:right w:val="single" w:sz="6" w:space="0" w:color="000000"/>
            </w:tcBorders>
            <w:shd w:val="clear" w:color="auto" w:fill="DDDDDD"/>
            <w:hideMark/>
          </w:tcPr>
          <w:p w14:paraId="254FC6D1" w14:textId="77777777" w:rsidR="00651E50" w:rsidRDefault="00651E50" w:rsidP="0049305A">
            <w:pPr>
              <w:jc w:val="center"/>
              <w:rPr>
                <w:rFonts w:ascii="Calibri" w:hAnsi="Calibri"/>
                <w:b/>
                <w:bCs/>
                <w:sz w:val="18"/>
                <w:szCs w:val="18"/>
              </w:rPr>
            </w:pPr>
            <w:r>
              <w:rPr>
                <w:rFonts w:ascii="Calibri" w:hAnsi="Calibri"/>
                <w:b/>
                <w:bCs/>
                <w:sz w:val="18"/>
                <w:szCs w:val="18"/>
              </w:rPr>
              <w:t xml:space="preserve">ICER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08B0CCE" w14:textId="77777777" w:rsidR="00651E50" w:rsidRDefault="00651E50" w:rsidP="0049305A">
            <w:pPr>
              <w:rPr>
                <w:rFonts w:ascii="Calibri" w:hAnsi="Calibri"/>
                <w:b/>
                <w:bCs/>
                <w:sz w:val="18"/>
                <w:szCs w:val="18"/>
              </w:rPr>
            </w:pPr>
          </w:p>
        </w:tc>
      </w:tr>
      <w:tr w:rsidR="00651E50" w14:paraId="36FFB4E4" w14:textId="77777777" w:rsidTr="0049305A">
        <w:trPr>
          <w:cantSplit/>
          <w:trHeight w:val="238"/>
          <w:jc w:val="center"/>
        </w:trPr>
        <w:tc>
          <w:tcPr>
            <w:tcW w:w="5000" w:type="pct"/>
            <w:gridSpan w:val="11"/>
            <w:tcBorders>
              <w:top w:val="single" w:sz="6" w:space="0" w:color="000000"/>
              <w:left w:val="single" w:sz="6" w:space="0" w:color="000000"/>
              <w:bottom w:val="single" w:sz="6" w:space="0" w:color="000000"/>
              <w:right w:val="single" w:sz="6" w:space="0" w:color="000000"/>
            </w:tcBorders>
            <w:shd w:val="clear" w:color="auto" w:fill="EDEDED"/>
            <w:hideMark/>
          </w:tcPr>
          <w:p w14:paraId="7CB7ECAD" w14:textId="77777777" w:rsidR="00651E50" w:rsidRDefault="00651E50" w:rsidP="0049305A">
            <w:pPr>
              <w:rPr>
                <w:rFonts w:ascii="Calibri" w:hAnsi="Calibri"/>
                <w:sz w:val="18"/>
                <w:szCs w:val="18"/>
              </w:rPr>
            </w:pPr>
            <w:r>
              <w:rPr>
                <w:rStyle w:val="label"/>
                <w:rFonts w:ascii="Calibri" w:hAnsi="Calibri"/>
                <w:szCs w:val="18"/>
              </w:rPr>
              <w:t xml:space="preserve">ICER per </w:t>
            </w:r>
            <w:r>
              <w:rPr>
                <w:rFonts w:ascii="Calibri" w:hAnsi="Calibri" w:cs="Times"/>
                <w:color w:val="1A1718"/>
                <w:sz w:val="18"/>
                <w:szCs w:val="18"/>
                <w:lang w:eastAsia="en-GB"/>
              </w:rPr>
              <w:t xml:space="preserve">QALY (high quality </w:t>
            </w:r>
            <w:proofErr w:type="gramStart"/>
            <w:r>
              <w:rPr>
                <w:rFonts w:ascii="Calibri" w:hAnsi="Calibri" w:cs="Times"/>
                <w:color w:val="1A1718"/>
                <w:sz w:val="18"/>
                <w:szCs w:val="18"/>
                <w:lang w:eastAsia="en-GB"/>
              </w:rPr>
              <w:t>study  -</w:t>
            </w:r>
            <w:proofErr w:type="gramEnd"/>
            <w:r>
              <w:rPr>
                <w:rFonts w:ascii="Calibri" w:hAnsi="Calibri" w:cs="Times"/>
                <w:color w:val="1A1718"/>
                <w:sz w:val="18"/>
                <w:szCs w:val="18"/>
                <w:lang w:eastAsia="en-GB"/>
              </w:rPr>
              <w:t xml:space="preserve"> not funded by Industry)</w:t>
            </w:r>
          </w:p>
        </w:tc>
      </w:tr>
      <w:tr w:rsidR="00651E50" w14:paraId="2DE988FC" w14:textId="77777777" w:rsidTr="0049305A">
        <w:trPr>
          <w:cantSplit/>
          <w:trHeight w:val="408"/>
          <w:jc w:val="center"/>
        </w:trPr>
        <w:tc>
          <w:tcPr>
            <w:tcW w:w="311" w:type="pct"/>
            <w:tcBorders>
              <w:top w:val="nil"/>
              <w:left w:val="single" w:sz="6" w:space="0" w:color="000000"/>
              <w:bottom w:val="single" w:sz="6" w:space="0" w:color="000000"/>
              <w:right w:val="single" w:sz="6" w:space="0" w:color="000000"/>
            </w:tcBorders>
            <w:hideMark/>
          </w:tcPr>
          <w:p w14:paraId="0ACB550A" w14:textId="77777777" w:rsidR="00651E50" w:rsidRDefault="00651E50" w:rsidP="0049305A">
            <w:pPr>
              <w:jc w:val="center"/>
              <w:rPr>
                <w:rFonts w:ascii="Calibri" w:hAnsi="Calibri"/>
                <w:sz w:val="18"/>
                <w:szCs w:val="18"/>
              </w:rPr>
            </w:pPr>
            <w:r>
              <w:rPr>
                <w:rFonts w:ascii="Calibri" w:hAnsi="Calibri"/>
                <w:sz w:val="18"/>
                <w:szCs w:val="18"/>
              </w:rPr>
              <w:t>1</w:t>
            </w:r>
            <w:r>
              <w:rPr>
                <w:rFonts w:ascii="Calibri" w:hAnsi="Calibri"/>
                <w:sz w:val="18"/>
                <w:szCs w:val="18"/>
                <w:vertAlign w:val="superscript"/>
              </w:rPr>
              <w:t>a</w:t>
            </w:r>
          </w:p>
        </w:tc>
        <w:tc>
          <w:tcPr>
            <w:tcW w:w="368" w:type="pct"/>
            <w:tcBorders>
              <w:top w:val="nil"/>
              <w:left w:val="single" w:sz="6" w:space="0" w:color="000000"/>
              <w:bottom w:val="single" w:sz="6" w:space="0" w:color="000000"/>
              <w:right w:val="single" w:sz="6" w:space="0" w:color="000000"/>
            </w:tcBorders>
            <w:hideMark/>
          </w:tcPr>
          <w:p w14:paraId="358A1BAD" w14:textId="77777777" w:rsidR="00651E50" w:rsidRDefault="00651E50" w:rsidP="0049305A">
            <w:pPr>
              <w:jc w:val="center"/>
              <w:rPr>
                <w:rFonts w:ascii="Calibri" w:hAnsi="Calibri"/>
                <w:sz w:val="18"/>
                <w:szCs w:val="18"/>
              </w:rPr>
            </w:pPr>
            <w:r>
              <w:rPr>
                <w:rFonts w:ascii="Calibri" w:hAnsi="Calibri"/>
                <w:sz w:val="18"/>
                <w:szCs w:val="18"/>
              </w:rPr>
              <w:t>Cost-utility,</w:t>
            </w:r>
          </w:p>
          <w:p w14:paraId="0E549AC9" w14:textId="77777777" w:rsidR="00651E50" w:rsidRDefault="00651E50" w:rsidP="0049305A">
            <w:pPr>
              <w:jc w:val="center"/>
              <w:rPr>
                <w:rFonts w:ascii="Calibri" w:hAnsi="Calibri"/>
                <w:sz w:val="18"/>
                <w:szCs w:val="18"/>
              </w:rPr>
            </w:pPr>
            <w:r>
              <w:rPr>
                <w:rFonts w:ascii="Calibri" w:hAnsi="Calibri"/>
                <w:sz w:val="18"/>
                <w:szCs w:val="18"/>
              </w:rPr>
              <w:t>Markov model</w:t>
            </w:r>
          </w:p>
        </w:tc>
        <w:tc>
          <w:tcPr>
            <w:tcW w:w="431" w:type="pct"/>
            <w:tcBorders>
              <w:top w:val="nil"/>
              <w:left w:val="single" w:sz="6" w:space="0" w:color="000000"/>
              <w:bottom w:val="single" w:sz="6" w:space="0" w:color="000000"/>
              <w:right w:val="single" w:sz="6" w:space="0" w:color="000000"/>
            </w:tcBorders>
            <w:hideMark/>
          </w:tcPr>
          <w:p w14:paraId="5EC2C9D0" w14:textId="77777777" w:rsidR="00651E50" w:rsidRDefault="00651E50" w:rsidP="0049305A">
            <w:pPr>
              <w:jc w:val="center"/>
              <w:rPr>
                <w:rFonts w:ascii="Calibri" w:hAnsi="Calibri"/>
                <w:sz w:val="18"/>
                <w:szCs w:val="18"/>
              </w:rPr>
            </w:pPr>
            <w:r>
              <w:rPr>
                <w:rFonts w:ascii="Calibri" w:hAnsi="Calibri"/>
                <w:sz w:val="18"/>
                <w:szCs w:val="18"/>
              </w:rPr>
              <w:t>Not serious</w:t>
            </w:r>
            <w:r>
              <w:rPr>
                <w:rFonts w:ascii="Calibri" w:hAnsi="Calibri"/>
                <w:sz w:val="18"/>
                <w:szCs w:val="18"/>
                <w:vertAlign w:val="superscript"/>
              </w:rPr>
              <w:t>1</w:t>
            </w:r>
          </w:p>
        </w:tc>
        <w:tc>
          <w:tcPr>
            <w:tcW w:w="431" w:type="pct"/>
            <w:tcBorders>
              <w:top w:val="nil"/>
              <w:left w:val="single" w:sz="6" w:space="0" w:color="000000"/>
              <w:bottom w:val="single" w:sz="6" w:space="0" w:color="000000"/>
              <w:right w:val="single" w:sz="6" w:space="0" w:color="000000"/>
            </w:tcBorders>
            <w:hideMark/>
          </w:tcPr>
          <w:p w14:paraId="71C524A0" w14:textId="77777777" w:rsidR="00651E50" w:rsidRDefault="00651E50" w:rsidP="0049305A">
            <w:pPr>
              <w:jc w:val="center"/>
              <w:rPr>
                <w:rFonts w:ascii="Calibri" w:hAnsi="Calibri"/>
                <w:sz w:val="18"/>
                <w:szCs w:val="18"/>
              </w:rPr>
            </w:pPr>
            <w:r>
              <w:rPr>
                <w:rFonts w:ascii="Calibri" w:hAnsi="Calibri"/>
                <w:sz w:val="18"/>
                <w:szCs w:val="18"/>
              </w:rPr>
              <w:t>Not serious</w:t>
            </w:r>
          </w:p>
        </w:tc>
        <w:tc>
          <w:tcPr>
            <w:tcW w:w="436" w:type="pct"/>
            <w:tcBorders>
              <w:top w:val="nil"/>
              <w:left w:val="single" w:sz="6" w:space="0" w:color="000000"/>
              <w:bottom w:val="single" w:sz="6" w:space="0" w:color="000000"/>
              <w:right w:val="single" w:sz="6" w:space="0" w:color="000000"/>
            </w:tcBorders>
            <w:hideMark/>
          </w:tcPr>
          <w:p w14:paraId="331AF5D4" w14:textId="77777777" w:rsidR="00651E50" w:rsidRDefault="00651E50" w:rsidP="0049305A">
            <w:pPr>
              <w:jc w:val="center"/>
              <w:rPr>
                <w:rFonts w:ascii="Calibri" w:hAnsi="Calibri"/>
                <w:sz w:val="18"/>
                <w:szCs w:val="18"/>
              </w:rPr>
            </w:pPr>
            <w:r>
              <w:rPr>
                <w:rFonts w:ascii="Calibri" w:hAnsi="Calibri"/>
                <w:sz w:val="18"/>
                <w:szCs w:val="18"/>
              </w:rPr>
              <w:t>Serious</w:t>
            </w:r>
            <w:r>
              <w:rPr>
                <w:rFonts w:ascii="Calibri" w:hAnsi="Calibri"/>
                <w:sz w:val="18"/>
                <w:szCs w:val="18"/>
                <w:vertAlign w:val="superscript"/>
              </w:rPr>
              <w:t>2</w:t>
            </w:r>
          </w:p>
        </w:tc>
        <w:tc>
          <w:tcPr>
            <w:tcW w:w="373" w:type="pct"/>
            <w:tcBorders>
              <w:top w:val="nil"/>
              <w:left w:val="single" w:sz="6" w:space="0" w:color="000000"/>
              <w:bottom w:val="single" w:sz="6" w:space="0" w:color="000000"/>
              <w:right w:val="single" w:sz="6" w:space="0" w:color="000000"/>
            </w:tcBorders>
            <w:hideMark/>
          </w:tcPr>
          <w:p w14:paraId="2C55887B" w14:textId="77777777" w:rsidR="00651E50" w:rsidRDefault="00651E50" w:rsidP="0049305A">
            <w:pPr>
              <w:jc w:val="center"/>
              <w:rPr>
                <w:rFonts w:ascii="Calibri" w:hAnsi="Calibri"/>
                <w:sz w:val="18"/>
                <w:szCs w:val="18"/>
              </w:rPr>
            </w:pPr>
            <w:r>
              <w:rPr>
                <w:rFonts w:ascii="Calibri" w:hAnsi="Calibri"/>
                <w:sz w:val="18"/>
                <w:szCs w:val="18"/>
              </w:rPr>
              <w:t>Serious</w:t>
            </w:r>
            <w:r>
              <w:rPr>
                <w:rFonts w:ascii="Calibri" w:hAnsi="Calibri"/>
                <w:sz w:val="18"/>
                <w:szCs w:val="18"/>
                <w:vertAlign w:val="superscript"/>
              </w:rPr>
              <w:t>3</w:t>
            </w:r>
          </w:p>
        </w:tc>
        <w:tc>
          <w:tcPr>
            <w:tcW w:w="400" w:type="pct"/>
            <w:tcBorders>
              <w:top w:val="nil"/>
              <w:left w:val="single" w:sz="6" w:space="0" w:color="000000"/>
              <w:bottom w:val="single" w:sz="6" w:space="0" w:color="000000"/>
              <w:right w:val="single" w:sz="6" w:space="0" w:color="000000"/>
            </w:tcBorders>
            <w:hideMark/>
          </w:tcPr>
          <w:p w14:paraId="68618E94" w14:textId="77777777" w:rsidR="00651E50" w:rsidRDefault="00651E50" w:rsidP="0049305A">
            <w:pPr>
              <w:jc w:val="center"/>
              <w:rPr>
                <w:rFonts w:ascii="Calibri" w:hAnsi="Calibri"/>
                <w:sz w:val="18"/>
                <w:szCs w:val="18"/>
              </w:rPr>
            </w:pPr>
            <w:r>
              <w:rPr>
                <w:rFonts w:ascii="Calibri" w:hAnsi="Calibri"/>
                <w:sz w:val="18"/>
                <w:szCs w:val="18"/>
              </w:rPr>
              <w:t>Not serious</w:t>
            </w:r>
          </w:p>
        </w:tc>
        <w:tc>
          <w:tcPr>
            <w:tcW w:w="612" w:type="pct"/>
            <w:tcBorders>
              <w:top w:val="nil"/>
              <w:left w:val="single" w:sz="6" w:space="0" w:color="000000"/>
              <w:bottom w:val="single" w:sz="6" w:space="0" w:color="000000"/>
              <w:right w:val="single" w:sz="6" w:space="0" w:color="000000"/>
            </w:tcBorders>
            <w:hideMark/>
          </w:tcPr>
          <w:p w14:paraId="01A7B0F1" w14:textId="77777777" w:rsidR="00651E50" w:rsidRDefault="00651E50" w:rsidP="0049305A">
            <w:pPr>
              <w:pStyle w:val="Default"/>
              <w:spacing w:line="276" w:lineRule="auto"/>
              <w:jc w:val="center"/>
              <w:rPr>
                <w:rFonts w:ascii="Calibri" w:hAnsi="Calibri"/>
                <w:sz w:val="18"/>
                <w:szCs w:val="18"/>
                <w:lang w:val="en-GB"/>
              </w:rPr>
            </w:pPr>
            <w:r>
              <w:rPr>
                <w:rFonts w:ascii="Calibri" w:hAnsi="Calibri"/>
                <w:sz w:val="18"/>
                <w:szCs w:val="18"/>
                <w:lang w:val="en-GB"/>
              </w:rPr>
              <w:t>24,404 $</w:t>
            </w:r>
          </w:p>
          <w:p w14:paraId="193BB39E" w14:textId="77777777" w:rsidR="00651E50" w:rsidRDefault="00651E50" w:rsidP="0049305A">
            <w:pPr>
              <w:pStyle w:val="Default"/>
              <w:spacing w:line="276" w:lineRule="auto"/>
              <w:jc w:val="center"/>
              <w:rPr>
                <w:rFonts w:ascii="Calibri" w:hAnsi="Calibri"/>
                <w:sz w:val="18"/>
                <w:szCs w:val="18"/>
                <w:lang w:val="en-GB"/>
              </w:rPr>
            </w:pPr>
            <w:r>
              <w:rPr>
                <w:rFonts w:ascii="Calibri" w:hAnsi="Calibri"/>
                <w:sz w:val="18"/>
                <w:szCs w:val="18"/>
                <w:lang w:val="en-GB"/>
              </w:rPr>
              <w:t>(5-year horizon)</w:t>
            </w:r>
          </w:p>
        </w:tc>
        <w:tc>
          <w:tcPr>
            <w:tcW w:w="675" w:type="pct"/>
            <w:tcBorders>
              <w:top w:val="single" w:sz="6" w:space="0" w:color="000000"/>
              <w:left w:val="single" w:sz="6" w:space="0" w:color="000000"/>
              <w:bottom w:val="single" w:sz="6" w:space="0" w:color="000000"/>
              <w:right w:val="single" w:sz="6" w:space="0" w:color="000000"/>
            </w:tcBorders>
          </w:tcPr>
          <w:p w14:paraId="2266725E" w14:textId="77777777" w:rsidR="00651E50" w:rsidRDefault="00651E50" w:rsidP="0049305A">
            <w:pPr>
              <w:pStyle w:val="Default"/>
              <w:spacing w:line="276" w:lineRule="auto"/>
              <w:jc w:val="center"/>
              <w:rPr>
                <w:rFonts w:ascii="Calibri" w:hAnsi="Calibri"/>
                <w:color w:val="auto"/>
                <w:sz w:val="18"/>
                <w:szCs w:val="18"/>
                <w:lang w:val="en-GB"/>
              </w:rPr>
            </w:pPr>
            <w:r>
              <w:rPr>
                <w:rFonts w:ascii="Calibri" w:hAnsi="Calibri"/>
                <w:color w:val="auto"/>
                <w:sz w:val="18"/>
                <w:szCs w:val="18"/>
                <w:lang w:val="en-GB"/>
              </w:rPr>
              <w:t>0.035 QALYs</w:t>
            </w:r>
          </w:p>
          <w:p w14:paraId="4F3E4771" w14:textId="77777777" w:rsidR="00651E50" w:rsidRDefault="00651E50" w:rsidP="0049305A">
            <w:pPr>
              <w:pStyle w:val="Default"/>
              <w:spacing w:line="276" w:lineRule="auto"/>
              <w:jc w:val="center"/>
              <w:rPr>
                <w:rFonts w:ascii="Calibri" w:hAnsi="Calibri"/>
                <w:color w:val="auto"/>
                <w:sz w:val="18"/>
                <w:szCs w:val="18"/>
                <w:lang w:val="en-GB"/>
              </w:rPr>
            </w:pPr>
            <w:r>
              <w:rPr>
                <w:rFonts w:ascii="Calibri" w:hAnsi="Calibri"/>
                <w:sz w:val="18"/>
                <w:szCs w:val="18"/>
                <w:lang w:val="en-GB"/>
              </w:rPr>
              <w:t>(5-year horizon)</w:t>
            </w:r>
          </w:p>
          <w:p w14:paraId="2347A098" w14:textId="77777777" w:rsidR="00651E50" w:rsidRDefault="00651E50" w:rsidP="0049305A">
            <w:pPr>
              <w:pStyle w:val="Default"/>
              <w:spacing w:line="276" w:lineRule="auto"/>
              <w:jc w:val="center"/>
              <w:rPr>
                <w:rFonts w:ascii="Calibri" w:hAnsi="Calibri"/>
                <w:sz w:val="18"/>
                <w:szCs w:val="18"/>
                <w:lang w:val="en-GB"/>
              </w:rPr>
            </w:pPr>
          </w:p>
        </w:tc>
        <w:tc>
          <w:tcPr>
            <w:tcW w:w="605" w:type="pct"/>
            <w:tcBorders>
              <w:top w:val="single" w:sz="6" w:space="0" w:color="000000"/>
              <w:left w:val="single" w:sz="6" w:space="0" w:color="000000"/>
              <w:bottom w:val="single" w:sz="6" w:space="0" w:color="000000"/>
              <w:right w:val="single" w:sz="6" w:space="0" w:color="000000"/>
            </w:tcBorders>
            <w:hideMark/>
          </w:tcPr>
          <w:p w14:paraId="0DE89D9F" w14:textId="462F33D6" w:rsidR="00651E50" w:rsidRDefault="00651E50" w:rsidP="0049305A">
            <w:pPr>
              <w:pStyle w:val="Default"/>
              <w:spacing w:line="276" w:lineRule="auto"/>
              <w:jc w:val="center"/>
              <w:rPr>
                <w:rFonts w:ascii="Calibri" w:hAnsi="Calibri"/>
                <w:sz w:val="18"/>
                <w:szCs w:val="18"/>
                <w:lang w:val="en-GB"/>
              </w:rPr>
            </w:pPr>
            <w:r>
              <w:rPr>
                <w:rFonts w:ascii="Calibri" w:hAnsi="Calibri"/>
                <w:sz w:val="18"/>
                <w:szCs w:val="18"/>
                <w:lang w:val="en-GB"/>
              </w:rPr>
              <w:t>697,403 $ / QALY</w:t>
            </w:r>
            <w:r w:rsidR="00FD3FC4" w:rsidRPr="00FD3FC4">
              <w:rPr>
                <w:rFonts w:ascii="Calibri" w:hAnsi="Calibri"/>
                <w:sz w:val="18"/>
                <w:szCs w:val="18"/>
                <w:vertAlign w:val="superscript"/>
                <w:lang w:val="en-GB"/>
              </w:rPr>
              <w:t>4</w:t>
            </w:r>
          </w:p>
        </w:tc>
        <w:tc>
          <w:tcPr>
            <w:tcW w:w="358" w:type="pct"/>
            <w:tcBorders>
              <w:top w:val="nil"/>
              <w:left w:val="single" w:sz="6" w:space="0" w:color="000000"/>
              <w:bottom w:val="single" w:sz="6" w:space="0" w:color="000000"/>
              <w:right w:val="single" w:sz="6" w:space="0" w:color="000000"/>
            </w:tcBorders>
            <w:hideMark/>
          </w:tcPr>
          <w:p w14:paraId="2FF38B4B" w14:textId="77777777" w:rsidR="00651E50" w:rsidRDefault="00651E50" w:rsidP="0049305A">
            <w:pPr>
              <w:jc w:val="center"/>
              <w:rPr>
                <w:rStyle w:val="quality-sign"/>
                <w:rFonts w:ascii="Calibri" w:hAnsi="Calibri" w:cs="Cambria Math"/>
                <w:sz w:val="18"/>
                <w:szCs w:val="18"/>
              </w:rPr>
            </w:pPr>
            <w:r>
              <w:rPr>
                <w:rStyle w:val="quality-sign"/>
                <w:rFonts w:ascii="Cambria" w:hAnsi="Cambria" w:cs="Cambria"/>
                <w:sz w:val="18"/>
                <w:szCs w:val="18"/>
              </w:rPr>
              <w:t>⨁⨁⨁</w:t>
            </w:r>
            <w:r>
              <w:rPr>
                <w:rStyle w:val="quality-sign"/>
                <w:rFonts w:ascii="ヒラギノ角ゴシック W3" w:eastAsia="ヒラギノ角ゴシック W3" w:hAnsi="ヒラギノ角ゴシック W3" w:cs="ヒラギノ角ゴシック W3"/>
                <w:sz w:val="18"/>
                <w:szCs w:val="18"/>
              </w:rPr>
              <w:t>◯</w:t>
            </w:r>
          </w:p>
          <w:p w14:paraId="2D338E5E" w14:textId="77777777" w:rsidR="00651E50" w:rsidRDefault="00651E50" w:rsidP="0049305A">
            <w:pPr>
              <w:jc w:val="center"/>
              <w:rPr>
                <w:rStyle w:val="quality-sign"/>
                <w:rFonts w:ascii="Calibri" w:hAnsi="Calibri" w:cs="Cambria Math"/>
                <w:sz w:val="18"/>
                <w:szCs w:val="18"/>
              </w:rPr>
            </w:pPr>
            <w:r>
              <w:rPr>
                <w:rStyle w:val="quality-sign"/>
                <w:rFonts w:ascii="Calibri" w:hAnsi="Calibri" w:cs="Cambria Math"/>
                <w:sz w:val="18"/>
                <w:szCs w:val="18"/>
              </w:rPr>
              <w:t xml:space="preserve">MODERATE </w:t>
            </w:r>
          </w:p>
        </w:tc>
      </w:tr>
      <w:tr w:rsidR="00651E50" w14:paraId="6DDE1524" w14:textId="77777777" w:rsidTr="0049305A">
        <w:trPr>
          <w:cantSplit/>
          <w:trHeight w:val="238"/>
          <w:jc w:val="center"/>
        </w:trPr>
        <w:tc>
          <w:tcPr>
            <w:tcW w:w="5000" w:type="pct"/>
            <w:gridSpan w:val="11"/>
            <w:tcBorders>
              <w:top w:val="single" w:sz="6" w:space="0" w:color="000000"/>
              <w:left w:val="single" w:sz="6" w:space="0" w:color="000000"/>
              <w:bottom w:val="single" w:sz="6" w:space="0" w:color="000000"/>
              <w:right w:val="single" w:sz="6" w:space="0" w:color="000000"/>
            </w:tcBorders>
            <w:shd w:val="clear" w:color="auto" w:fill="EDEDED"/>
            <w:hideMark/>
          </w:tcPr>
          <w:p w14:paraId="73390768" w14:textId="77777777" w:rsidR="00651E50" w:rsidRDefault="00651E50" w:rsidP="0049305A">
            <w:pPr>
              <w:rPr>
                <w:rFonts w:ascii="Calibri" w:hAnsi="Calibri"/>
                <w:sz w:val="18"/>
                <w:szCs w:val="18"/>
              </w:rPr>
            </w:pPr>
            <w:r>
              <w:rPr>
                <w:rStyle w:val="label"/>
                <w:rFonts w:ascii="Calibri" w:hAnsi="Calibri"/>
                <w:szCs w:val="18"/>
              </w:rPr>
              <w:t xml:space="preserve">ICER per </w:t>
            </w:r>
            <w:r>
              <w:rPr>
                <w:rFonts w:ascii="Calibri" w:hAnsi="Calibri" w:cs="Times"/>
                <w:color w:val="1A1718"/>
                <w:sz w:val="18"/>
                <w:szCs w:val="18"/>
                <w:lang w:eastAsia="en-GB"/>
              </w:rPr>
              <w:t xml:space="preserve">QALY (high quality </w:t>
            </w:r>
            <w:proofErr w:type="gramStart"/>
            <w:r>
              <w:rPr>
                <w:rFonts w:ascii="Calibri" w:hAnsi="Calibri" w:cs="Times"/>
                <w:color w:val="1A1718"/>
                <w:sz w:val="18"/>
                <w:szCs w:val="18"/>
                <w:lang w:eastAsia="en-GB"/>
              </w:rPr>
              <w:t>study  -</w:t>
            </w:r>
            <w:proofErr w:type="gramEnd"/>
            <w:r>
              <w:rPr>
                <w:rFonts w:ascii="Calibri" w:hAnsi="Calibri" w:cs="Times"/>
                <w:color w:val="1A1718"/>
                <w:sz w:val="18"/>
                <w:szCs w:val="18"/>
                <w:lang w:eastAsia="en-GB"/>
              </w:rPr>
              <w:t xml:space="preserve"> funded by Industry)</w:t>
            </w:r>
          </w:p>
        </w:tc>
      </w:tr>
      <w:tr w:rsidR="00651E50" w14:paraId="06EA35B8" w14:textId="77777777" w:rsidTr="0049305A">
        <w:trPr>
          <w:cantSplit/>
          <w:trHeight w:val="408"/>
          <w:jc w:val="center"/>
        </w:trPr>
        <w:tc>
          <w:tcPr>
            <w:tcW w:w="311" w:type="pct"/>
            <w:tcBorders>
              <w:top w:val="nil"/>
              <w:left w:val="single" w:sz="6" w:space="0" w:color="000000"/>
              <w:bottom w:val="single" w:sz="6" w:space="0" w:color="000000"/>
              <w:right w:val="single" w:sz="6" w:space="0" w:color="000000"/>
            </w:tcBorders>
            <w:hideMark/>
          </w:tcPr>
          <w:p w14:paraId="7BDE09B9" w14:textId="77777777" w:rsidR="00651E50" w:rsidRDefault="00651E50" w:rsidP="0049305A">
            <w:pPr>
              <w:jc w:val="center"/>
              <w:rPr>
                <w:rFonts w:ascii="Calibri" w:hAnsi="Calibri"/>
                <w:sz w:val="18"/>
                <w:szCs w:val="18"/>
              </w:rPr>
            </w:pPr>
            <w:r>
              <w:rPr>
                <w:rFonts w:ascii="Calibri" w:hAnsi="Calibri"/>
                <w:sz w:val="18"/>
                <w:szCs w:val="18"/>
              </w:rPr>
              <w:t>1</w:t>
            </w:r>
            <w:r>
              <w:rPr>
                <w:rFonts w:ascii="Calibri" w:hAnsi="Calibri"/>
                <w:sz w:val="18"/>
                <w:szCs w:val="18"/>
                <w:vertAlign w:val="superscript"/>
              </w:rPr>
              <w:t>b</w:t>
            </w:r>
          </w:p>
        </w:tc>
        <w:tc>
          <w:tcPr>
            <w:tcW w:w="368" w:type="pct"/>
            <w:tcBorders>
              <w:top w:val="nil"/>
              <w:left w:val="single" w:sz="6" w:space="0" w:color="000000"/>
              <w:bottom w:val="single" w:sz="6" w:space="0" w:color="000000"/>
              <w:right w:val="single" w:sz="6" w:space="0" w:color="000000"/>
            </w:tcBorders>
            <w:hideMark/>
          </w:tcPr>
          <w:p w14:paraId="102803F5" w14:textId="77777777" w:rsidR="00651E50" w:rsidRDefault="00651E50" w:rsidP="0049305A">
            <w:pPr>
              <w:jc w:val="center"/>
              <w:rPr>
                <w:rFonts w:ascii="Calibri" w:hAnsi="Calibri"/>
                <w:sz w:val="18"/>
                <w:szCs w:val="18"/>
              </w:rPr>
            </w:pPr>
            <w:r>
              <w:rPr>
                <w:rFonts w:ascii="Calibri" w:hAnsi="Calibri"/>
                <w:sz w:val="18"/>
                <w:szCs w:val="18"/>
              </w:rPr>
              <w:t>Cost-utility,</w:t>
            </w:r>
          </w:p>
          <w:p w14:paraId="6A2C8A52" w14:textId="77777777" w:rsidR="00651E50" w:rsidRDefault="00651E50" w:rsidP="0049305A">
            <w:pPr>
              <w:jc w:val="center"/>
              <w:rPr>
                <w:rFonts w:ascii="Calibri" w:hAnsi="Calibri"/>
                <w:sz w:val="18"/>
                <w:szCs w:val="18"/>
              </w:rPr>
            </w:pPr>
            <w:r>
              <w:rPr>
                <w:rFonts w:ascii="Calibri" w:hAnsi="Calibri"/>
                <w:sz w:val="18"/>
                <w:szCs w:val="18"/>
              </w:rPr>
              <w:t>Markov model</w:t>
            </w:r>
          </w:p>
        </w:tc>
        <w:tc>
          <w:tcPr>
            <w:tcW w:w="431" w:type="pct"/>
            <w:tcBorders>
              <w:top w:val="nil"/>
              <w:left w:val="single" w:sz="6" w:space="0" w:color="000000"/>
              <w:bottom w:val="single" w:sz="6" w:space="0" w:color="000000"/>
              <w:right w:val="single" w:sz="6" w:space="0" w:color="000000"/>
            </w:tcBorders>
            <w:hideMark/>
          </w:tcPr>
          <w:p w14:paraId="49C34E18" w14:textId="77777777" w:rsidR="00651E50" w:rsidRDefault="00651E50" w:rsidP="0049305A">
            <w:pPr>
              <w:jc w:val="center"/>
              <w:rPr>
                <w:rFonts w:ascii="Calibri" w:hAnsi="Calibri"/>
                <w:sz w:val="18"/>
                <w:szCs w:val="18"/>
              </w:rPr>
            </w:pPr>
            <w:r>
              <w:rPr>
                <w:rFonts w:ascii="Calibri" w:hAnsi="Calibri"/>
                <w:sz w:val="18"/>
                <w:szCs w:val="18"/>
              </w:rPr>
              <w:t>Not serious</w:t>
            </w:r>
            <w:r>
              <w:rPr>
                <w:rFonts w:ascii="Calibri" w:hAnsi="Calibri"/>
                <w:sz w:val="18"/>
                <w:szCs w:val="18"/>
                <w:vertAlign w:val="superscript"/>
              </w:rPr>
              <w:t>1</w:t>
            </w:r>
          </w:p>
        </w:tc>
        <w:tc>
          <w:tcPr>
            <w:tcW w:w="431" w:type="pct"/>
            <w:tcBorders>
              <w:top w:val="nil"/>
              <w:left w:val="single" w:sz="6" w:space="0" w:color="000000"/>
              <w:bottom w:val="single" w:sz="6" w:space="0" w:color="000000"/>
              <w:right w:val="single" w:sz="6" w:space="0" w:color="000000"/>
            </w:tcBorders>
            <w:hideMark/>
          </w:tcPr>
          <w:p w14:paraId="6497D48B" w14:textId="77777777" w:rsidR="00651E50" w:rsidRDefault="00651E50" w:rsidP="0049305A">
            <w:pPr>
              <w:jc w:val="center"/>
              <w:rPr>
                <w:rFonts w:ascii="Calibri" w:hAnsi="Calibri"/>
                <w:sz w:val="18"/>
                <w:szCs w:val="18"/>
              </w:rPr>
            </w:pPr>
            <w:r>
              <w:rPr>
                <w:rFonts w:ascii="Calibri" w:hAnsi="Calibri"/>
                <w:sz w:val="18"/>
                <w:szCs w:val="18"/>
              </w:rPr>
              <w:t>Not serious</w:t>
            </w:r>
          </w:p>
        </w:tc>
        <w:tc>
          <w:tcPr>
            <w:tcW w:w="436" w:type="pct"/>
            <w:tcBorders>
              <w:top w:val="nil"/>
              <w:left w:val="single" w:sz="6" w:space="0" w:color="000000"/>
              <w:bottom w:val="single" w:sz="6" w:space="0" w:color="000000"/>
              <w:right w:val="single" w:sz="6" w:space="0" w:color="000000"/>
            </w:tcBorders>
            <w:hideMark/>
          </w:tcPr>
          <w:p w14:paraId="2FC1D2EE" w14:textId="5D52F671" w:rsidR="00651E50" w:rsidRDefault="00651E50" w:rsidP="0049305A">
            <w:pPr>
              <w:jc w:val="center"/>
              <w:rPr>
                <w:rFonts w:ascii="Calibri" w:hAnsi="Calibri"/>
                <w:sz w:val="18"/>
                <w:szCs w:val="18"/>
              </w:rPr>
            </w:pPr>
            <w:r>
              <w:rPr>
                <w:rFonts w:ascii="Calibri" w:hAnsi="Calibri"/>
                <w:sz w:val="18"/>
                <w:szCs w:val="18"/>
              </w:rPr>
              <w:t>Serious</w:t>
            </w:r>
            <w:r w:rsidR="007A1037" w:rsidRPr="007A1037">
              <w:rPr>
                <w:rFonts w:ascii="Calibri" w:hAnsi="Calibri"/>
                <w:sz w:val="18"/>
                <w:szCs w:val="18"/>
                <w:vertAlign w:val="superscript"/>
              </w:rPr>
              <w:t>5</w:t>
            </w:r>
          </w:p>
        </w:tc>
        <w:tc>
          <w:tcPr>
            <w:tcW w:w="373" w:type="pct"/>
            <w:tcBorders>
              <w:top w:val="nil"/>
              <w:left w:val="single" w:sz="6" w:space="0" w:color="000000"/>
              <w:bottom w:val="single" w:sz="6" w:space="0" w:color="000000"/>
              <w:right w:val="single" w:sz="6" w:space="0" w:color="000000"/>
            </w:tcBorders>
            <w:hideMark/>
          </w:tcPr>
          <w:p w14:paraId="39C5C6A8" w14:textId="72D60EF3" w:rsidR="00651E50" w:rsidRDefault="00651E50" w:rsidP="0049305A">
            <w:pPr>
              <w:jc w:val="center"/>
              <w:rPr>
                <w:rFonts w:ascii="Calibri" w:hAnsi="Calibri"/>
                <w:sz w:val="18"/>
                <w:szCs w:val="18"/>
              </w:rPr>
            </w:pPr>
            <w:r>
              <w:rPr>
                <w:rFonts w:ascii="Calibri" w:hAnsi="Calibri"/>
                <w:sz w:val="18"/>
                <w:szCs w:val="18"/>
              </w:rPr>
              <w:t>Not serious</w:t>
            </w:r>
            <w:r w:rsidR="007A1037" w:rsidRPr="007A1037">
              <w:rPr>
                <w:rFonts w:ascii="Calibri" w:hAnsi="Calibri"/>
                <w:sz w:val="18"/>
                <w:szCs w:val="18"/>
                <w:vertAlign w:val="superscript"/>
              </w:rPr>
              <w:t>6</w:t>
            </w:r>
          </w:p>
        </w:tc>
        <w:tc>
          <w:tcPr>
            <w:tcW w:w="400" w:type="pct"/>
            <w:tcBorders>
              <w:top w:val="nil"/>
              <w:left w:val="single" w:sz="6" w:space="0" w:color="000000"/>
              <w:bottom w:val="single" w:sz="6" w:space="0" w:color="000000"/>
              <w:right w:val="single" w:sz="6" w:space="0" w:color="000000"/>
            </w:tcBorders>
            <w:hideMark/>
          </w:tcPr>
          <w:p w14:paraId="7362FED5" w14:textId="76D3D964" w:rsidR="00651E50" w:rsidRDefault="00651E50" w:rsidP="0049305A">
            <w:pPr>
              <w:jc w:val="center"/>
              <w:rPr>
                <w:rFonts w:ascii="Calibri" w:hAnsi="Calibri"/>
                <w:sz w:val="18"/>
                <w:szCs w:val="18"/>
              </w:rPr>
            </w:pPr>
            <w:r>
              <w:rPr>
                <w:rFonts w:ascii="Calibri" w:hAnsi="Calibri"/>
                <w:sz w:val="18"/>
                <w:szCs w:val="18"/>
              </w:rPr>
              <w:t>Serious</w:t>
            </w:r>
            <w:r w:rsidR="007A1037">
              <w:rPr>
                <w:rFonts w:ascii="Calibri" w:hAnsi="Calibri"/>
                <w:sz w:val="18"/>
                <w:szCs w:val="18"/>
                <w:vertAlign w:val="superscript"/>
              </w:rPr>
              <w:t>7</w:t>
            </w:r>
          </w:p>
        </w:tc>
        <w:tc>
          <w:tcPr>
            <w:tcW w:w="612" w:type="pct"/>
            <w:tcBorders>
              <w:top w:val="nil"/>
              <w:left w:val="single" w:sz="6" w:space="0" w:color="000000"/>
              <w:bottom w:val="single" w:sz="6" w:space="0" w:color="000000"/>
              <w:right w:val="single" w:sz="6" w:space="0" w:color="000000"/>
            </w:tcBorders>
            <w:hideMark/>
          </w:tcPr>
          <w:p w14:paraId="37D72F7C" w14:textId="77777777" w:rsidR="00651E50" w:rsidRDefault="00651E50" w:rsidP="0049305A">
            <w:pPr>
              <w:pStyle w:val="Default"/>
              <w:spacing w:line="276" w:lineRule="auto"/>
              <w:jc w:val="center"/>
              <w:rPr>
                <w:rFonts w:ascii="Calibri" w:hAnsi="Calibri"/>
                <w:sz w:val="18"/>
                <w:szCs w:val="18"/>
                <w:lang w:val="en-GB"/>
              </w:rPr>
            </w:pPr>
            <w:r>
              <w:rPr>
                <w:rFonts w:ascii="Calibri" w:hAnsi="Calibri"/>
                <w:sz w:val="18"/>
                <w:szCs w:val="18"/>
                <w:lang w:val="en-GB"/>
              </w:rPr>
              <w:t xml:space="preserve">119,394 $ </w:t>
            </w:r>
          </w:p>
          <w:p w14:paraId="5545767F" w14:textId="77777777" w:rsidR="00651E50" w:rsidRDefault="00651E50" w:rsidP="0049305A">
            <w:pPr>
              <w:pStyle w:val="Default"/>
              <w:spacing w:line="276" w:lineRule="auto"/>
              <w:jc w:val="center"/>
              <w:rPr>
                <w:rFonts w:ascii="Calibri" w:hAnsi="Calibri"/>
                <w:sz w:val="18"/>
                <w:szCs w:val="18"/>
                <w:lang w:val="en-GB"/>
              </w:rPr>
            </w:pPr>
            <w:r>
              <w:rPr>
                <w:rFonts w:ascii="Calibri" w:hAnsi="Calibri"/>
                <w:sz w:val="18"/>
                <w:szCs w:val="18"/>
                <w:lang w:val="en-GB"/>
              </w:rPr>
              <w:t>(lifetime horizon)</w:t>
            </w:r>
          </w:p>
        </w:tc>
        <w:tc>
          <w:tcPr>
            <w:tcW w:w="675" w:type="pct"/>
            <w:tcBorders>
              <w:top w:val="single" w:sz="6" w:space="0" w:color="000000"/>
              <w:left w:val="single" w:sz="6" w:space="0" w:color="000000"/>
              <w:bottom w:val="single" w:sz="6" w:space="0" w:color="000000"/>
              <w:right w:val="single" w:sz="6" w:space="0" w:color="000000"/>
            </w:tcBorders>
          </w:tcPr>
          <w:p w14:paraId="64DFC6CB" w14:textId="77777777" w:rsidR="00651E50" w:rsidRDefault="00651E50" w:rsidP="0049305A">
            <w:pPr>
              <w:pStyle w:val="Default"/>
              <w:spacing w:line="276" w:lineRule="auto"/>
              <w:jc w:val="center"/>
              <w:rPr>
                <w:rFonts w:ascii="Calibri" w:hAnsi="Calibri"/>
                <w:color w:val="auto"/>
                <w:sz w:val="18"/>
                <w:szCs w:val="18"/>
                <w:lang w:val="en-GB"/>
              </w:rPr>
            </w:pPr>
            <w:r>
              <w:rPr>
                <w:rFonts w:ascii="Calibri" w:hAnsi="Calibri"/>
                <w:color w:val="auto"/>
                <w:sz w:val="18"/>
                <w:szCs w:val="18"/>
                <w:lang w:val="en-GB"/>
              </w:rPr>
              <w:t>5.17 QALYs</w:t>
            </w:r>
          </w:p>
          <w:p w14:paraId="77DA3FB8" w14:textId="77777777" w:rsidR="00651E50" w:rsidRDefault="00651E50" w:rsidP="0049305A">
            <w:pPr>
              <w:pStyle w:val="Default"/>
              <w:spacing w:line="276" w:lineRule="auto"/>
              <w:jc w:val="center"/>
              <w:rPr>
                <w:rFonts w:ascii="Calibri" w:hAnsi="Calibri"/>
                <w:color w:val="auto"/>
                <w:sz w:val="18"/>
                <w:szCs w:val="18"/>
                <w:lang w:val="en-GB"/>
              </w:rPr>
            </w:pPr>
            <w:r>
              <w:rPr>
                <w:rFonts w:ascii="Calibri" w:hAnsi="Calibri"/>
                <w:sz w:val="18"/>
                <w:szCs w:val="18"/>
                <w:lang w:val="en-GB"/>
              </w:rPr>
              <w:t>(lifetime horizon)</w:t>
            </w:r>
          </w:p>
          <w:p w14:paraId="0ACB7E38" w14:textId="77777777" w:rsidR="00651E50" w:rsidRDefault="00651E50" w:rsidP="0049305A">
            <w:pPr>
              <w:pStyle w:val="Default"/>
              <w:spacing w:line="276" w:lineRule="auto"/>
              <w:jc w:val="center"/>
              <w:rPr>
                <w:rFonts w:ascii="Calibri" w:hAnsi="Calibri"/>
                <w:sz w:val="18"/>
                <w:szCs w:val="18"/>
                <w:lang w:val="en-GB"/>
              </w:rPr>
            </w:pPr>
          </w:p>
        </w:tc>
        <w:tc>
          <w:tcPr>
            <w:tcW w:w="605" w:type="pct"/>
            <w:tcBorders>
              <w:top w:val="single" w:sz="6" w:space="0" w:color="000000"/>
              <w:left w:val="single" w:sz="6" w:space="0" w:color="000000"/>
              <w:bottom w:val="single" w:sz="6" w:space="0" w:color="000000"/>
              <w:right w:val="single" w:sz="6" w:space="0" w:color="000000"/>
            </w:tcBorders>
            <w:hideMark/>
          </w:tcPr>
          <w:p w14:paraId="3BB5CDEF" w14:textId="77777777" w:rsidR="00651E50" w:rsidRDefault="00651E50" w:rsidP="0049305A">
            <w:pPr>
              <w:pStyle w:val="Default"/>
              <w:spacing w:line="276" w:lineRule="auto"/>
              <w:jc w:val="center"/>
              <w:rPr>
                <w:rFonts w:ascii="Calibri" w:hAnsi="Calibri"/>
                <w:sz w:val="18"/>
                <w:szCs w:val="18"/>
                <w:lang w:val="en-GB"/>
              </w:rPr>
            </w:pPr>
            <w:r>
              <w:rPr>
                <w:rFonts w:ascii="Calibri" w:hAnsi="Calibri"/>
                <w:sz w:val="20"/>
                <w:szCs w:val="18"/>
                <w:lang w:val="en-GB"/>
              </w:rPr>
              <w:t>23,081</w:t>
            </w:r>
            <w:r>
              <w:rPr>
                <w:rFonts w:ascii="Calibri" w:hAnsi="Calibri"/>
                <w:sz w:val="18"/>
                <w:szCs w:val="18"/>
                <w:lang w:val="en-GB"/>
              </w:rPr>
              <w:t xml:space="preserve"> </w:t>
            </w:r>
            <w:proofErr w:type="gramStart"/>
            <w:r>
              <w:rPr>
                <w:rFonts w:ascii="Calibri" w:hAnsi="Calibri"/>
                <w:sz w:val="18"/>
                <w:szCs w:val="18"/>
                <w:lang w:val="en-GB"/>
              </w:rPr>
              <w:t>$  /</w:t>
            </w:r>
            <w:proofErr w:type="gramEnd"/>
            <w:r>
              <w:rPr>
                <w:rFonts w:ascii="Calibri" w:hAnsi="Calibri"/>
                <w:sz w:val="18"/>
                <w:szCs w:val="18"/>
                <w:lang w:val="en-GB"/>
              </w:rPr>
              <w:t xml:space="preserve"> QALY</w:t>
            </w:r>
          </w:p>
        </w:tc>
        <w:tc>
          <w:tcPr>
            <w:tcW w:w="358" w:type="pct"/>
            <w:tcBorders>
              <w:top w:val="nil"/>
              <w:left w:val="single" w:sz="6" w:space="0" w:color="000000"/>
              <w:bottom w:val="single" w:sz="6" w:space="0" w:color="000000"/>
              <w:right w:val="single" w:sz="6" w:space="0" w:color="000000"/>
            </w:tcBorders>
            <w:hideMark/>
          </w:tcPr>
          <w:p w14:paraId="48AA2E61" w14:textId="77777777" w:rsidR="00651E50" w:rsidRDefault="00651E50" w:rsidP="0049305A">
            <w:pPr>
              <w:jc w:val="center"/>
              <w:rPr>
                <w:rStyle w:val="quality-sign"/>
                <w:rFonts w:ascii="Calibri" w:hAnsi="Calibri" w:cs="Cambria Math"/>
                <w:sz w:val="18"/>
                <w:szCs w:val="18"/>
              </w:rPr>
            </w:pPr>
            <w:r>
              <w:rPr>
                <w:rStyle w:val="quality-sign"/>
                <w:rFonts w:ascii="Cambria" w:hAnsi="Cambria" w:cs="Cambria"/>
                <w:sz w:val="18"/>
                <w:szCs w:val="18"/>
              </w:rPr>
              <w:t>⨁⨁</w:t>
            </w:r>
            <w:r>
              <w:rPr>
                <w:rStyle w:val="quality-sign"/>
                <w:rFonts w:ascii="ヒラギノ角ゴシック W3" w:eastAsia="ヒラギノ角ゴシック W3" w:hAnsi="ヒラギノ角ゴシック W3" w:cs="ヒラギノ角ゴシック W3"/>
                <w:sz w:val="18"/>
                <w:szCs w:val="18"/>
              </w:rPr>
              <w:t>◯◯</w:t>
            </w:r>
          </w:p>
          <w:p w14:paraId="43C20FF0" w14:textId="77777777" w:rsidR="00651E50" w:rsidRDefault="00651E50" w:rsidP="0049305A">
            <w:pPr>
              <w:jc w:val="center"/>
              <w:rPr>
                <w:rStyle w:val="quality-sign"/>
                <w:rFonts w:ascii="Calibri" w:hAnsi="Calibri" w:cs="Cambria Math"/>
                <w:sz w:val="18"/>
                <w:szCs w:val="18"/>
              </w:rPr>
            </w:pPr>
            <w:r>
              <w:rPr>
                <w:rStyle w:val="quality-sign"/>
                <w:rFonts w:ascii="Calibri" w:hAnsi="Calibri" w:cs="Cambria Math"/>
                <w:sz w:val="18"/>
                <w:szCs w:val="18"/>
              </w:rPr>
              <w:t>LOW</w:t>
            </w:r>
          </w:p>
        </w:tc>
      </w:tr>
    </w:tbl>
    <w:p w14:paraId="621B8AEA" w14:textId="77777777" w:rsidR="00651E50" w:rsidRDefault="00651E50" w:rsidP="00651E50">
      <w:pPr>
        <w:rPr>
          <w:rFonts w:ascii="Calibri" w:hAnsi="Calibri"/>
          <w:sz w:val="18"/>
          <w:szCs w:val="18"/>
        </w:rPr>
      </w:pPr>
      <w:r>
        <w:rPr>
          <w:rFonts w:ascii="Calibri" w:hAnsi="Calibri"/>
          <w:sz w:val="18"/>
          <w:szCs w:val="18"/>
        </w:rPr>
        <w:t>*Incremental cost and effect</w:t>
      </w:r>
      <w:r>
        <w:rPr>
          <w:rFonts w:ascii="Calibri" w:hAnsi="Calibri"/>
        </w:rPr>
        <w:t xml:space="preserve"> </w:t>
      </w:r>
      <w:r>
        <w:rPr>
          <w:rFonts w:ascii="Calibri" w:hAnsi="Calibri"/>
          <w:sz w:val="18"/>
          <w:szCs w:val="18"/>
        </w:rPr>
        <w:t xml:space="preserve">due to the addition of Reslizumab. </w:t>
      </w:r>
    </w:p>
    <w:p w14:paraId="55AD2041" w14:textId="77777777" w:rsidR="00651E50" w:rsidRDefault="00651E50" w:rsidP="00651E50">
      <w:pPr>
        <w:rPr>
          <w:rFonts w:ascii="Calibri" w:hAnsi="Calibri"/>
          <w:sz w:val="18"/>
          <w:szCs w:val="18"/>
        </w:rPr>
      </w:pPr>
      <w:r>
        <w:rPr>
          <w:rFonts w:ascii="Calibri" w:hAnsi="Calibri"/>
          <w:sz w:val="18"/>
          <w:szCs w:val="18"/>
        </w:rPr>
        <w:t>ICER: Incremental cost-effectiveness ratio. QALY: Quality adjusted life years. $: US Dollar</w:t>
      </w:r>
      <w:r>
        <w:rPr>
          <w:rFonts w:ascii="Calibri" w:hAnsi="Calibri"/>
          <w:color w:val="000000"/>
          <w:sz w:val="18"/>
          <w:szCs w:val="16"/>
          <w:lang w:eastAsia="en-GB"/>
        </w:rPr>
        <w:t>.</w:t>
      </w:r>
    </w:p>
    <w:p w14:paraId="6DBB3102" w14:textId="77777777" w:rsidR="00651E50" w:rsidRDefault="00651E50" w:rsidP="00FD3FC4">
      <w:pPr>
        <w:pStyle w:val="ListParagraph"/>
        <w:numPr>
          <w:ilvl w:val="0"/>
          <w:numId w:val="17"/>
        </w:numPr>
        <w:rPr>
          <w:sz w:val="18"/>
          <w:szCs w:val="18"/>
        </w:rPr>
      </w:pPr>
      <w:r>
        <w:rPr>
          <w:sz w:val="18"/>
          <w:szCs w:val="18"/>
        </w:rPr>
        <w:t xml:space="preserve">Markov model studies with low risk of bias (CHEC score 13 or higher). </w:t>
      </w:r>
    </w:p>
    <w:p w14:paraId="4153F9EF" w14:textId="77777777" w:rsidR="00651E50" w:rsidRDefault="00651E50" w:rsidP="00FD3FC4">
      <w:pPr>
        <w:pStyle w:val="ListParagraph"/>
        <w:numPr>
          <w:ilvl w:val="0"/>
          <w:numId w:val="17"/>
        </w:numPr>
        <w:rPr>
          <w:sz w:val="18"/>
          <w:szCs w:val="18"/>
        </w:rPr>
      </w:pPr>
      <w:r>
        <w:rPr>
          <w:sz w:val="18"/>
          <w:szCs w:val="18"/>
        </w:rPr>
        <w:t>One single study performed in the USA. The results may not be applicable to other countries.</w:t>
      </w:r>
    </w:p>
    <w:p w14:paraId="4DA8285B" w14:textId="6AD36E72" w:rsidR="00651E50" w:rsidRDefault="00651E50" w:rsidP="00FD3FC4">
      <w:pPr>
        <w:pStyle w:val="ListParagraph"/>
        <w:numPr>
          <w:ilvl w:val="0"/>
          <w:numId w:val="17"/>
        </w:numPr>
        <w:rPr>
          <w:sz w:val="18"/>
          <w:szCs w:val="18"/>
        </w:rPr>
      </w:pPr>
      <w:r>
        <w:rPr>
          <w:sz w:val="18"/>
          <w:szCs w:val="18"/>
        </w:rPr>
        <w:t>The sensitivity analysis showed large variations in the ICER value. However, all of them were higher than 100,000 $, which is the willingness to pay threshold in most countries. Increasing 20% the quality of life with reslizumab would drop the ICER to 154,352 $, and it was 467,010 $ where non-responders had the same quality of life and exacerbations rates as the standard therapy group. Furthermore, in 95% of the iterations the ICER varied between 378,534 $ and 2,082,379 $.</w:t>
      </w:r>
    </w:p>
    <w:p w14:paraId="4C4101E0" w14:textId="12E6EB81" w:rsidR="007A1037" w:rsidRPr="007A1037" w:rsidRDefault="007A1037" w:rsidP="007A1037">
      <w:pPr>
        <w:pStyle w:val="ListParagraph"/>
        <w:numPr>
          <w:ilvl w:val="0"/>
          <w:numId w:val="17"/>
        </w:numPr>
        <w:spacing w:after="200" w:line="276" w:lineRule="auto"/>
        <w:jc w:val="both"/>
        <w:rPr>
          <w:rFonts w:ascii="Arial" w:hAnsi="Arial" w:cs="Arial"/>
          <w:sz w:val="16"/>
          <w:szCs w:val="16"/>
        </w:rPr>
      </w:pPr>
      <w:r>
        <w:rPr>
          <w:rFonts w:ascii="Arial" w:hAnsi="Arial" w:cs="Arial"/>
          <w:sz w:val="16"/>
          <w:szCs w:val="16"/>
        </w:rPr>
        <w:t>T</w:t>
      </w:r>
      <w:r w:rsidRPr="00383491">
        <w:rPr>
          <w:rFonts w:ascii="Arial" w:hAnsi="Arial" w:cs="Arial"/>
          <w:sz w:val="16"/>
          <w:szCs w:val="16"/>
        </w:rPr>
        <w:t>he incremental cost-effectiveness ratio drops substantially from ~400k/ QALY to ~200k/QALY when the responder definition is factored into the cost-effectiveness model.</w:t>
      </w:r>
    </w:p>
    <w:p w14:paraId="4720FF6E" w14:textId="77777777" w:rsidR="00651E50" w:rsidRDefault="00651E50" w:rsidP="00FD3FC4">
      <w:pPr>
        <w:pStyle w:val="ListParagraph"/>
        <w:numPr>
          <w:ilvl w:val="0"/>
          <w:numId w:val="17"/>
        </w:numPr>
        <w:rPr>
          <w:sz w:val="18"/>
          <w:szCs w:val="18"/>
        </w:rPr>
      </w:pPr>
      <w:r>
        <w:rPr>
          <w:sz w:val="18"/>
          <w:szCs w:val="18"/>
        </w:rPr>
        <w:t>One single study performed in South Korea. The results may not be applicable to other countries.</w:t>
      </w:r>
    </w:p>
    <w:p w14:paraId="57F3E6AB" w14:textId="77777777" w:rsidR="00651E50" w:rsidRDefault="00651E50" w:rsidP="00FD3FC4">
      <w:pPr>
        <w:pStyle w:val="ListParagraph"/>
        <w:numPr>
          <w:ilvl w:val="0"/>
          <w:numId w:val="17"/>
        </w:numPr>
        <w:rPr>
          <w:sz w:val="18"/>
          <w:szCs w:val="18"/>
        </w:rPr>
      </w:pPr>
      <w:r>
        <w:rPr>
          <w:sz w:val="18"/>
          <w:szCs w:val="18"/>
        </w:rPr>
        <w:t>The ICER varied from 18,465 $ to 30,005 $. In the deterministic sensitivity analysis. Also, the ICER had 99% probability of being cost-effective at a 38,275 $ threshold.</w:t>
      </w:r>
    </w:p>
    <w:p w14:paraId="42E50171" w14:textId="77777777" w:rsidR="00651E50" w:rsidRDefault="00651E50" w:rsidP="00FD3FC4">
      <w:pPr>
        <w:pStyle w:val="ListParagraph"/>
        <w:numPr>
          <w:ilvl w:val="0"/>
          <w:numId w:val="17"/>
        </w:numPr>
        <w:rPr>
          <w:sz w:val="18"/>
          <w:szCs w:val="18"/>
        </w:rPr>
      </w:pPr>
      <w:r>
        <w:rPr>
          <w:sz w:val="18"/>
          <w:szCs w:val="18"/>
        </w:rPr>
        <w:t>Teva-Handok Pharma financed the study.</w:t>
      </w:r>
    </w:p>
    <w:p w14:paraId="6675254A" w14:textId="77777777" w:rsidR="00651E50" w:rsidRDefault="00651E50" w:rsidP="00651E50">
      <w:pPr>
        <w:rPr>
          <w:rFonts w:ascii="Calibri" w:hAnsi="Calibri"/>
          <w:b/>
          <w:sz w:val="18"/>
          <w:szCs w:val="18"/>
        </w:rPr>
      </w:pPr>
      <w:r>
        <w:rPr>
          <w:rFonts w:ascii="Calibri" w:hAnsi="Calibri"/>
          <w:b/>
          <w:sz w:val="18"/>
          <w:szCs w:val="18"/>
        </w:rPr>
        <w:t>References</w:t>
      </w:r>
    </w:p>
    <w:p w14:paraId="37246E89" w14:textId="77777777" w:rsidR="00651E50" w:rsidRDefault="00651E50" w:rsidP="00651E50">
      <w:pPr>
        <w:pStyle w:val="ListParagraph"/>
        <w:numPr>
          <w:ilvl w:val="0"/>
          <w:numId w:val="4"/>
        </w:numPr>
        <w:rPr>
          <w:sz w:val="18"/>
          <w:szCs w:val="18"/>
        </w:rPr>
      </w:pPr>
      <w:r>
        <w:rPr>
          <w:sz w:val="18"/>
          <w:szCs w:val="18"/>
        </w:rPr>
        <w:t>Lam, J. et al. A cost-effectiveness analysis of reslizumab in the treatment of poorly controlled eosinophilic asthma. J Asthma. 2019; 56 (8): 872-881.</w:t>
      </w:r>
    </w:p>
    <w:p w14:paraId="04487B6C" w14:textId="7AA7683C" w:rsidR="00651E50" w:rsidRPr="004C505F" w:rsidRDefault="00651E50" w:rsidP="004C505F">
      <w:pPr>
        <w:pStyle w:val="ListParagraph"/>
        <w:numPr>
          <w:ilvl w:val="0"/>
          <w:numId w:val="4"/>
        </w:numPr>
        <w:rPr>
          <w:sz w:val="18"/>
          <w:szCs w:val="18"/>
        </w:rPr>
        <w:sectPr w:rsidR="00651E50" w:rsidRPr="004C505F" w:rsidSect="004C505F">
          <w:pgSz w:w="16840" w:h="11900" w:orient="landscape"/>
          <w:pgMar w:top="1418" w:right="1701" w:bottom="1418" w:left="1701" w:header="709" w:footer="709" w:gutter="0"/>
          <w:cols w:space="708"/>
          <w:docGrid w:linePitch="326"/>
        </w:sectPr>
      </w:pPr>
      <w:r>
        <w:rPr>
          <w:sz w:val="18"/>
          <w:szCs w:val="18"/>
        </w:rPr>
        <w:t>Han, S. et al. Cost–utility analysis of reslizumab for patients with severe eosinophilic asthma inadequately controlled with high-dose inhaled corticosteroids and long-acting β2-agonists in South Korea. Current medical research and opinion. 2019; 10.1080/03007995.2019.1605159</w:t>
      </w:r>
      <w:r>
        <w:rPr>
          <w:rFonts w:cs="Helvetica"/>
          <w:sz w:val="18"/>
          <w:szCs w:val="18"/>
        </w:rPr>
        <w:t>.</w:t>
      </w:r>
    </w:p>
    <w:p w14:paraId="658809A6" w14:textId="003FB91F" w:rsidR="00EE33FF" w:rsidRPr="004C505F" w:rsidRDefault="00EE33FF" w:rsidP="00596BE0">
      <w:pPr>
        <w:spacing w:line="360" w:lineRule="auto"/>
        <w:jc w:val="both"/>
        <w:rPr>
          <w:rFonts w:ascii="Arial" w:hAnsi="Arial" w:cs="Arial"/>
          <w:b/>
          <w:sz w:val="20"/>
          <w:szCs w:val="20"/>
          <w:shd w:val="clear" w:color="auto" w:fill="FFFFFF"/>
        </w:rPr>
      </w:pPr>
      <w:r w:rsidRPr="004C505F">
        <w:rPr>
          <w:rFonts w:ascii="Arial" w:hAnsi="Arial" w:cs="Arial"/>
          <w:b/>
          <w:sz w:val="20"/>
          <w:szCs w:val="20"/>
          <w:shd w:val="clear" w:color="auto" w:fill="FFFFFF"/>
        </w:rPr>
        <w:lastRenderedPageBreak/>
        <w:t>Table S</w:t>
      </w:r>
      <w:r w:rsidR="00FD3FC4">
        <w:rPr>
          <w:rFonts w:ascii="Arial" w:hAnsi="Arial" w:cs="Arial"/>
          <w:b/>
          <w:sz w:val="20"/>
          <w:szCs w:val="20"/>
          <w:shd w:val="clear" w:color="auto" w:fill="FFFFFF"/>
        </w:rPr>
        <w:t>50</w:t>
      </w:r>
      <w:r w:rsidRPr="004C505F">
        <w:rPr>
          <w:rFonts w:ascii="Arial" w:hAnsi="Arial" w:cs="Arial"/>
          <w:b/>
          <w:sz w:val="20"/>
          <w:szCs w:val="20"/>
          <w:shd w:val="clear" w:color="auto" w:fill="FFFFFF"/>
        </w:rPr>
        <w:t>: Evidence to decision table supporting recommendations for reslizumab for severe eosinophilic asthma in adults (exacerbations)</w:t>
      </w:r>
    </w:p>
    <w:tbl>
      <w:tblPr>
        <w:tblW w:w="0" w:type="auto"/>
        <w:tblCellMar>
          <w:left w:w="0" w:type="dxa"/>
          <w:right w:w="0" w:type="dxa"/>
        </w:tblCellMar>
        <w:tblLook w:val="04A0" w:firstRow="1" w:lastRow="0" w:firstColumn="1" w:lastColumn="0" w:noHBand="0" w:noVBand="1"/>
      </w:tblPr>
      <w:tblGrid>
        <w:gridCol w:w="1356"/>
        <w:gridCol w:w="1109"/>
        <w:gridCol w:w="1162"/>
        <w:gridCol w:w="1240"/>
        <w:gridCol w:w="1127"/>
        <w:gridCol w:w="976"/>
        <w:gridCol w:w="675"/>
        <w:gridCol w:w="1355"/>
      </w:tblGrid>
      <w:tr w:rsidR="00EE33FF" w:rsidRPr="005C1453" w14:paraId="3C308619" w14:textId="77777777" w:rsidTr="004C505F">
        <w:trPr>
          <w:trHeight w:val="19"/>
        </w:trPr>
        <w:tc>
          <w:tcPr>
            <w:tcW w:w="0" w:type="auto"/>
            <w:tcBorders>
              <w:top w:val="single" w:sz="8" w:space="0" w:color="FFFFFF"/>
              <w:left w:val="single" w:sz="8" w:space="0" w:color="FFFFFF"/>
              <w:bottom w:val="single" w:sz="24" w:space="0" w:color="FFFFFF"/>
              <w:right w:val="single" w:sz="8" w:space="0" w:color="FFFFFF"/>
            </w:tcBorders>
            <w:shd w:val="clear" w:color="auto" w:fill="5B9BD5"/>
            <w:tcMar>
              <w:top w:w="74" w:type="dxa"/>
              <w:left w:w="74" w:type="dxa"/>
              <w:bottom w:w="74" w:type="dxa"/>
              <w:right w:w="74" w:type="dxa"/>
            </w:tcMar>
            <w:vAlign w:val="center"/>
            <w:hideMark/>
          </w:tcPr>
          <w:p w14:paraId="78E7D248" w14:textId="77777777" w:rsidR="00EE33FF" w:rsidRPr="005C1453" w:rsidRDefault="00EE33FF" w:rsidP="004C505F">
            <w:pPr>
              <w:spacing w:line="276" w:lineRule="auto"/>
              <w:jc w:val="both"/>
              <w:rPr>
                <w:rFonts w:ascii="Arial" w:eastAsia="Calibri" w:hAnsi="Arial" w:cs="Arial"/>
                <w:color w:val="000000"/>
                <w:sz w:val="16"/>
                <w:szCs w:val="16"/>
              </w:rPr>
            </w:pPr>
          </w:p>
        </w:tc>
        <w:tc>
          <w:tcPr>
            <w:tcW w:w="0" w:type="auto"/>
            <w:gridSpan w:val="7"/>
            <w:tcBorders>
              <w:top w:val="single" w:sz="8" w:space="0" w:color="FFFFFF"/>
              <w:left w:val="single" w:sz="8" w:space="0" w:color="FFFFFF"/>
              <w:bottom w:val="single" w:sz="24" w:space="0" w:color="FFFFFF"/>
              <w:right w:val="single" w:sz="8" w:space="0" w:color="FFFFFF"/>
            </w:tcBorders>
            <w:shd w:val="clear" w:color="auto" w:fill="5B9BD5"/>
            <w:tcMar>
              <w:top w:w="74" w:type="dxa"/>
              <w:left w:w="74" w:type="dxa"/>
              <w:bottom w:w="74" w:type="dxa"/>
              <w:right w:w="74" w:type="dxa"/>
            </w:tcMar>
            <w:vAlign w:val="center"/>
            <w:hideMark/>
          </w:tcPr>
          <w:p w14:paraId="707B1062"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Judgement</w:t>
            </w:r>
          </w:p>
        </w:tc>
      </w:tr>
      <w:tr w:rsidR="00EE33FF" w:rsidRPr="005C1453" w14:paraId="38EB4CE7" w14:textId="77777777" w:rsidTr="004C505F">
        <w:trPr>
          <w:trHeight w:val="19"/>
        </w:trPr>
        <w:tc>
          <w:tcPr>
            <w:tcW w:w="0" w:type="auto"/>
            <w:tcBorders>
              <w:top w:val="single" w:sz="24"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2C9548B9"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Problem (importance)</w:t>
            </w:r>
          </w:p>
        </w:tc>
        <w:tc>
          <w:tcPr>
            <w:tcW w:w="0" w:type="auto"/>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6139A4D"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No</w:t>
            </w:r>
          </w:p>
        </w:tc>
        <w:tc>
          <w:tcPr>
            <w:tcW w:w="0" w:type="auto"/>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913658B"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no</w:t>
            </w:r>
          </w:p>
        </w:tc>
        <w:tc>
          <w:tcPr>
            <w:tcW w:w="0" w:type="auto"/>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82B8327"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yes</w:t>
            </w:r>
          </w:p>
        </w:tc>
        <w:tc>
          <w:tcPr>
            <w:tcW w:w="0" w:type="auto"/>
            <w:tcBorders>
              <w:top w:val="single" w:sz="24"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28533A19"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Yes</w:t>
            </w:r>
          </w:p>
        </w:tc>
        <w:tc>
          <w:tcPr>
            <w:tcW w:w="976"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BE89D23" w14:textId="77777777" w:rsidR="00EE33FF" w:rsidRPr="005C1453" w:rsidRDefault="00EE33FF" w:rsidP="004C505F">
            <w:pPr>
              <w:spacing w:line="276" w:lineRule="auto"/>
              <w:jc w:val="both"/>
              <w:rPr>
                <w:rFonts w:ascii="Arial" w:eastAsia="Calibri" w:hAnsi="Arial" w:cs="Arial"/>
                <w:color w:val="000000"/>
                <w:sz w:val="16"/>
                <w:szCs w:val="16"/>
              </w:rPr>
            </w:pPr>
          </w:p>
        </w:tc>
        <w:tc>
          <w:tcPr>
            <w:tcW w:w="675"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5E10934"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Varies</w:t>
            </w:r>
          </w:p>
        </w:tc>
        <w:tc>
          <w:tcPr>
            <w:tcW w:w="1355"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52AE049"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Don't know</w:t>
            </w:r>
          </w:p>
        </w:tc>
      </w:tr>
      <w:tr w:rsidR="00EE33FF" w:rsidRPr="005C1453" w14:paraId="3FDBDAC3" w14:textId="77777777" w:rsidTr="004C505F">
        <w:trPr>
          <w:trHeight w:val="43"/>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35F2017A"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Desirable Effects</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02F6AB5"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Trivial</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61D5CDF"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Small</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F80BCEA"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Moderate</w:t>
            </w:r>
          </w:p>
        </w:tc>
        <w:tc>
          <w:tcPr>
            <w:tcW w:w="0" w:type="auto"/>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48DC380C"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Large</w:t>
            </w:r>
          </w:p>
        </w:tc>
        <w:tc>
          <w:tcPr>
            <w:tcW w:w="9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35EF26F" w14:textId="77777777" w:rsidR="00EE33FF" w:rsidRPr="005C1453" w:rsidRDefault="00EE33FF" w:rsidP="004C505F">
            <w:pPr>
              <w:spacing w:line="276" w:lineRule="auto"/>
              <w:jc w:val="both"/>
              <w:rPr>
                <w:rFonts w:ascii="Arial" w:eastAsia="Calibri" w:hAnsi="Arial" w:cs="Arial"/>
                <w:color w:val="000000"/>
                <w:sz w:val="16"/>
                <w:szCs w:val="16"/>
              </w:rPr>
            </w:pPr>
          </w:p>
        </w:tc>
        <w:tc>
          <w:tcPr>
            <w:tcW w:w="67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C877081"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Varies</w:t>
            </w:r>
          </w:p>
        </w:tc>
        <w:tc>
          <w:tcPr>
            <w:tcW w:w="135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2F3D915"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Don't know</w:t>
            </w:r>
          </w:p>
        </w:tc>
      </w:tr>
      <w:tr w:rsidR="00EE33FF" w:rsidRPr="005C1453" w14:paraId="468DC553" w14:textId="77777777" w:rsidTr="004C505F">
        <w:trPr>
          <w:trHeight w:val="52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70644666"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Undesirable Effects</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1EDB5E8"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Large</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768730E"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Moderate</w:t>
            </w:r>
          </w:p>
        </w:tc>
        <w:tc>
          <w:tcPr>
            <w:tcW w:w="0" w:type="auto"/>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6D129788"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Small</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D4C2620"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Trivial</w:t>
            </w:r>
          </w:p>
        </w:tc>
        <w:tc>
          <w:tcPr>
            <w:tcW w:w="97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D5FA537" w14:textId="77777777" w:rsidR="00EE33FF" w:rsidRPr="005C1453" w:rsidRDefault="00EE33FF" w:rsidP="004C505F">
            <w:pPr>
              <w:spacing w:line="276" w:lineRule="auto"/>
              <w:jc w:val="both"/>
              <w:rPr>
                <w:rFonts w:ascii="Arial" w:eastAsia="Calibri" w:hAnsi="Arial" w:cs="Arial"/>
                <w:color w:val="000000"/>
                <w:sz w:val="16"/>
                <w:szCs w:val="16"/>
              </w:rPr>
            </w:pPr>
          </w:p>
        </w:tc>
        <w:tc>
          <w:tcPr>
            <w:tcW w:w="675"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952181C"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Varies</w:t>
            </w:r>
          </w:p>
        </w:tc>
        <w:tc>
          <w:tcPr>
            <w:tcW w:w="1355"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D7397A8"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Don't know</w:t>
            </w:r>
          </w:p>
        </w:tc>
      </w:tr>
      <w:tr w:rsidR="00EE33FF" w:rsidRPr="005C1453" w14:paraId="4437B56E" w14:textId="77777777" w:rsidTr="004C505F">
        <w:trPr>
          <w:trHeight w:val="1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47D7CAF5"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Certainty of evidence</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C91EF9F"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Very low</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5A27FB4"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Low</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609E72C"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Moderate</w:t>
            </w:r>
          </w:p>
        </w:tc>
        <w:tc>
          <w:tcPr>
            <w:tcW w:w="0" w:type="auto"/>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44F6411A"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High</w:t>
            </w:r>
          </w:p>
        </w:tc>
        <w:tc>
          <w:tcPr>
            <w:tcW w:w="9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62C4C2D" w14:textId="77777777" w:rsidR="00EE33FF" w:rsidRPr="005C1453" w:rsidRDefault="00EE33FF" w:rsidP="004C505F">
            <w:pPr>
              <w:spacing w:line="276" w:lineRule="auto"/>
              <w:jc w:val="both"/>
              <w:rPr>
                <w:rFonts w:ascii="Arial" w:eastAsia="Calibri" w:hAnsi="Arial" w:cs="Arial"/>
                <w:color w:val="000000"/>
                <w:sz w:val="16"/>
                <w:szCs w:val="16"/>
              </w:rPr>
            </w:pPr>
          </w:p>
        </w:tc>
        <w:tc>
          <w:tcPr>
            <w:tcW w:w="67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C7329FF" w14:textId="77777777" w:rsidR="00EE33FF" w:rsidRPr="005C1453" w:rsidRDefault="00EE33FF" w:rsidP="004C505F">
            <w:pPr>
              <w:spacing w:line="276" w:lineRule="auto"/>
              <w:jc w:val="both"/>
              <w:rPr>
                <w:rFonts w:ascii="Arial" w:eastAsia="Calibri" w:hAnsi="Arial" w:cs="Arial"/>
                <w:color w:val="000000"/>
                <w:sz w:val="16"/>
                <w:szCs w:val="16"/>
              </w:rPr>
            </w:pPr>
          </w:p>
        </w:tc>
        <w:tc>
          <w:tcPr>
            <w:tcW w:w="135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91EF8B3" w14:textId="1C1476D8"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 xml:space="preserve">No </w:t>
            </w:r>
            <w:r w:rsidR="004C505F" w:rsidRPr="005C1453">
              <w:rPr>
                <w:rFonts w:ascii="Arial" w:eastAsia="Calibri" w:hAnsi="Arial" w:cs="Arial"/>
                <w:color w:val="000000"/>
                <w:sz w:val="16"/>
                <w:szCs w:val="16"/>
              </w:rPr>
              <w:t xml:space="preserve">studies </w:t>
            </w:r>
            <w:r w:rsidRPr="005C1453">
              <w:rPr>
                <w:rFonts w:ascii="Arial" w:eastAsia="Calibri" w:hAnsi="Arial" w:cs="Arial"/>
                <w:color w:val="000000"/>
                <w:sz w:val="16"/>
                <w:szCs w:val="16"/>
              </w:rPr>
              <w:t xml:space="preserve">included </w:t>
            </w:r>
          </w:p>
        </w:tc>
      </w:tr>
      <w:tr w:rsidR="00EE33FF" w:rsidRPr="005C1453" w14:paraId="4968BB24" w14:textId="77777777" w:rsidTr="004C505F">
        <w:trPr>
          <w:trHeight w:val="966"/>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283824F7"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Values</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CEECFB5"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Important uncertainty or variability</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0A2FA2B"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Possibly important uncertainty or variability</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7640BED"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no important uncertainty or variability</w:t>
            </w:r>
          </w:p>
        </w:tc>
        <w:tc>
          <w:tcPr>
            <w:tcW w:w="0" w:type="auto"/>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642A67CD"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no important uncertainty or variability</w:t>
            </w:r>
          </w:p>
        </w:tc>
        <w:tc>
          <w:tcPr>
            <w:tcW w:w="97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9DD021B" w14:textId="77777777" w:rsidR="00EE33FF" w:rsidRPr="005C1453" w:rsidRDefault="00EE33FF" w:rsidP="004C505F">
            <w:pPr>
              <w:spacing w:line="276" w:lineRule="auto"/>
              <w:jc w:val="both"/>
              <w:rPr>
                <w:rFonts w:ascii="Arial" w:eastAsia="Calibri" w:hAnsi="Arial" w:cs="Arial"/>
                <w:color w:val="000000"/>
                <w:sz w:val="16"/>
                <w:szCs w:val="16"/>
              </w:rPr>
            </w:pPr>
          </w:p>
        </w:tc>
        <w:tc>
          <w:tcPr>
            <w:tcW w:w="675"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EA6AF75" w14:textId="77777777" w:rsidR="00EE33FF" w:rsidRPr="005C1453" w:rsidRDefault="00EE33FF" w:rsidP="004C505F">
            <w:pPr>
              <w:spacing w:line="276" w:lineRule="auto"/>
              <w:jc w:val="both"/>
              <w:rPr>
                <w:rFonts w:ascii="Arial" w:eastAsia="Calibri" w:hAnsi="Arial" w:cs="Arial"/>
                <w:color w:val="000000"/>
                <w:sz w:val="16"/>
                <w:szCs w:val="16"/>
              </w:rPr>
            </w:pPr>
          </w:p>
        </w:tc>
        <w:tc>
          <w:tcPr>
            <w:tcW w:w="1355"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BA5F9B1" w14:textId="77777777" w:rsidR="00EE33FF" w:rsidRPr="005C1453" w:rsidRDefault="00EE33FF" w:rsidP="004C505F">
            <w:pPr>
              <w:spacing w:line="276" w:lineRule="auto"/>
              <w:jc w:val="both"/>
              <w:rPr>
                <w:rFonts w:ascii="Arial" w:eastAsia="Calibri" w:hAnsi="Arial" w:cs="Arial"/>
                <w:color w:val="000000"/>
                <w:sz w:val="16"/>
                <w:szCs w:val="16"/>
              </w:rPr>
            </w:pPr>
          </w:p>
        </w:tc>
      </w:tr>
      <w:tr w:rsidR="00EE33FF" w:rsidRPr="005C1453" w14:paraId="31799E4A" w14:textId="77777777" w:rsidTr="004C505F">
        <w:trPr>
          <w:trHeight w:val="966"/>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51E024A0"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Balance of effects</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EE9F215"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Favors the comparison</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FF8CEF2"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favors the comparison</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727E00C"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Does not favor either the intervention or the comparison</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FCB06CD"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favors the intervention</w:t>
            </w:r>
          </w:p>
        </w:tc>
        <w:tc>
          <w:tcPr>
            <w:tcW w:w="976"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1AD0A32B"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Favors the intervention</w:t>
            </w:r>
          </w:p>
        </w:tc>
        <w:tc>
          <w:tcPr>
            <w:tcW w:w="67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110610B"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Varies</w:t>
            </w:r>
          </w:p>
        </w:tc>
        <w:tc>
          <w:tcPr>
            <w:tcW w:w="135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C67B437"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Don't know</w:t>
            </w:r>
          </w:p>
        </w:tc>
      </w:tr>
      <w:tr w:rsidR="00EE33FF" w:rsidRPr="005C1453" w14:paraId="6D8C5986" w14:textId="77777777" w:rsidTr="004C505F">
        <w:trPr>
          <w:trHeight w:val="704"/>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21BA3D8C"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Resources required</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0D7F456"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Large costs</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7C53DDD"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Moderate costs</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4E33115"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Negligible costs and savings</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ADEEA49"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Moderate savings</w:t>
            </w:r>
          </w:p>
        </w:tc>
        <w:tc>
          <w:tcPr>
            <w:tcW w:w="97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4CEF5CB"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Large savings</w:t>
            </w:r>
          </w:p>
        </w:tc>
        <w:tc>
          <w:tcPr>
            <w:tcW w:w="675"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22B84F94"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Varies</w:t>
            </w:r>
          </w:p>
        </w:tc>
        <w:tc>
          <w:tcPr>
            <w:tcW w:w="1355"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3D1AAA6"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Don't know</w:t>
            </w:r>
          </w:p>
        </w:tc>
      </w:tr>
      <w:tr w:rsidR="00EE33FF" w:rsidRPr="005C1453" w14:paraId="0D18E71B" w14:textId="77777777" w:rsidTr="004C505F">
        <w:trPr>
          <w:trHeight w:val="413"/>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3C5364DD"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Certainty of evidence of required resources</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6513D70"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Very low</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5AED2A5"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Low</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ED3DF6E"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Moderate</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12F507C"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High</w:t>
            </w:r>
          </w:p>
        </w:tc>
        <w:tc>
          <w:tcPr>
            <w:tcW w:w="9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F2F7080" w14:textId="77777777" w:rsidR="00EE33FF" w:rsidRPr="005C1453" w:rsidRDefault="00EE33FF" w:rsidP="004C505F">
            <w:pPr>
              <w:spacing w:line="276" w:lineRule="auto"/>
              <w:jc w:val="both"/>
              <w:rPr>
                <w:rFonts w:ascii="Arial" w:eastAsia="Calibri" w:hAnsi="Arial" w:cs="Arial"/>
                <w:color w:val="000000"/>
                <w:sz w:val="16"/>
                <w:szCs w:val="16"/>
              </w:rPr>
            </w:pPr>
          </w:p>
        </w:tc>
        <w:tc>
          <w:tcPr>
            <w:tcW w:w="67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9FBB4F8" w14:textId="77777777" w:rsidR="00EE33FF" w:rsidRPr="005C1453" w:rsidRDefault="00EE33FF" w:rsidP="004C505F">
            <w:pPr>
              <w:spacing w:line="276" w:lineRule="auto"/>
              <w:jc w:val="both"/>
              <w:rPr>
                <w:rFonts w:ascii="Arial" w:eastAsia="Calibri" w:hAnsi="Arial" w:cs="Arial"/>
                <w:color w:val="000000"/>
                <w:sz w:val="16"/>
                <w:szCs w:val="16"/>
              </w:rPr>
            </w:pPr>
          </w:p>
        </w:tc>
        <w:tc>
          <w:tcPr>
            <w:tcW w:w="1355"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085A591A" w14:textId="34004730"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 xml:space="preserve">No </w:t>
            </w:r>
            <w:r w:rsidR="004C505F" w:rsidRPr="005C1453">
              <w:rPr>
                <w:rFonts w:ascii="Arial" w:eastAsia="Calibri" w:hAnsi="Arial" w:cs="Arial"/>
                <w:color w:val="000000"/>
                <w:sz w:val="16"/>
                <w:szCs w:val="16"/>
              </w:rPr>
              <w:t xml:space="preserve">studies </w:t>
            </w:r>
            <w:r w:rsidRPr="005C1453">
              <w:rPr>
                <w:rFonts w:ascii="Arial" w:eastAsia="Calibri" w:hAnsi="Arial" w:cs="Arial"/>
                <w:color w:val="000000"/>
                <w:sz w:val="16"/>
                <w:szCs w:val="16"/>
              </w:rPr>
              <w:t xml:space="preserve">included </w:t>
            </w:r>
          </w:p>
        </w:tc>
      </w:tr>
      <w:tr w:rsidR="00EE33FF" w:rsidRPr="005C1453" w14:paraId="1FF7348E" w14:textId="77777777" w:rsidTr="004C505F">
        <w:trPr>
          <w:trHeight w:val="966"/>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0F66B42E"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Cost effectiveness</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21AF31E"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Favors the comparison</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EEDBEC3"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favors the comparison</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1BBF1DE"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Does not favor either the intervention or the comparison</w:t>
            </w:r>
          </w:p>
        </w:tc>
        <w:tc>
          <w:tcPr>
            <w:tcW w:w="0" w:type="auto"/>
            <w:tcBorders>
              <w:top w:val="single" w:sz="8" w:space="0" w:color="FFFFFF"/>
              <w:left w:val="single" w:sz="8" w:space="0" w:color="FFFFFF"/>
              <w:bottom w:val="single" w:sz="8" w:space="0" w:color="FFFFFF"/>
              <w:right w:val="single" w:sz="8" w:space="0" w:color="FFFFFF"/>
            </w:tcBorders>
            <w:shd w:val="clear" w:color="auto" w:fill="E7E6E6" w:themeFill="background2"/>
            <w:tcMar>
              <w:top w:w="74" w:type="dxa"/>
              <w:left w:w="74" w:type="dxa"/>
              <w:bottom w:w="74" w:type="dxa"/>
              <w:right w:w="74" w:type="dxa"/>
            </w:tcMar>
            <w:vAlign w:val="center"/>
            <w:hideMark/>
          </w:tcPr>
          <w:p w14:paraId="323A9FE0"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favors the intervention</w:t>
            </w:r>
          </w:p>
        </w:tc>
        <w:tc>
          <w:tcPr>
            <w:tcW w:w="97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E142022"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Favors the intervention</w:t>
            </w:r>
          </w:p>
        </w:tc>
        <w:tc>
          <w:tcPr>
            <w:tcW w:w="675"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35215DF7"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Varies</w:t>
            </w:r>
          </w:p>
        </w:tc>
        <w:tc>
          <w:tcPr>
            <w:tcW w:w="1355"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C1EAD9D" w14:textId="40FB4743"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 xml:space="preserve">No </w:t>
            </w:r>
            <w:r w:rsidR="004C505F" w:rsidRPr="005C1453">
              <w:rPr>
                <w:rFonts w:ascii="Arial" w:eastAsia="Calibri" w:hAnsi="Arial" w:cs="Arial"/>
                <w:color w:val="000000"/>
                <w:sz w:val="16"/>
                <w:szCs w:val="16"/>
              </w:rPr>
              <w:t xml:space="preserve">studies </w:t>
            </w:r>
            <w:r w:rsidRPr="005C1453">
              <w:rPr>
                <w:rFonts w:ascii="Arial" w:eastAsia="Calibri" w:hAnsi="Arial" w:cs="Arial"/>
                <w:color w:val="000000"/>
                <w:sz w:val="16"/>
                <w:szCs w:val="16"/>
              </w:rPr>
              <w:t xml:space="preserve">included </w:t>
            </w:r>
          </w:p>
        </w:tc>
      </w:tr>
      <w:tr w:rsidR="00EE33FF" w:rsidRPr="005C1453" w14:paraId="2F432434" w14:textId="77777777" w:rsidTr="004C505F">
        <w:trPr>
          <w:trHeight w:val="441"/>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69A8013A"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Equity</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D43FF82"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Reduced</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4AE1E94"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reduced</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6D7F374"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no impact</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5A35AE5"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increased</w:t>
            </w:r>
          </w:p>
        </w:tc>
        <w:tc>
          <w:tcPr>
            <w:tcW w:w="9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6E2CE0C"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Increased</w:t>
            </w:r>
          </w:p>
        </w:tc>
        <w:tc>
          <w:tcPr>
            <w:tcW w:w="67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6076771"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Varies</w:t>
            </w:r>
          </w:p>
        </w:tc>
        <w:tc>
          <w:tcPr>
            <w:tcW w:w="1355"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25184606"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Don't know</w:t>
            </w:r>
          </w:p>
        </w:tc>
      </w:tr>
      <w:tr w:rsidR="00EE33FF" w:rsidRPr="005C1453" w14:paraId="4348F69F" w14:textId="77777777" w:rsidTr="004C505F">
        <w:trPr>
          <w:trHeight w:val="52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3DD0B86E"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Acceptability</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B403020"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No</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882FF23"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no</w:t>
            </w:r>
          </w:p>
        </w:tc>
        <w:tc>
          <w:tcPr>
            <w:tcW w:w="0" w:type="auto"/>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1482AE72"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yes</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46AFEE3"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Yes</w:t>
            </w:r>
          </w:p>
        </w:tc>
        <w:tc>
          <w:tcPr>
            <w:tcW w:w="976"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7C14280" w14:textId="77777777" w:rsidR="00EE33FF" w:rsidRPr="005C1453" w:rsidRDefault="00EE33FF" w:rsidP="004C505F">
            <w:pPr>
              <w:spacing w:line="276" w:lineRule="auto"/>
              <w:jc w:val="both"/>
              <w:rPr>
                <w:rFonts w:ascii="Arial" w:eastAsia="Calibri" w:hAnsi="Arial" w:cs="Arial"/>
                <w:color w:val="000000"/>
                <w:sz w:val="16"/>
                <w:szCs w:val="16"/>
              </w:rPr>
            </w:pPr>
          </w:p>
        </w:tc>
        <w:tc>
          <w:tcPr>
            <w:tcW w:w="675"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C21020A"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Varies</w:t>
            </w:r>
          </w:p>
        </w:tc>
        <w:tc>
          <w:tcPr>
            <w:tcW w:w="1355"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95815CB"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Don't know</w:t>
            </w:r>
          </w:p>
        </w:tc>
      </w:tr>
      <w:tr w:rsidR="00EE33FF" w:rsidRPr="005C1453" w14:paraId="22AEAF54" w14:textId="77777777" w:rsidTr="004C505F">
        <w:trPr>
          <w:trHeight w:val="52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6129FE90"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b/>
                <w:bCs/>
                <w:color w:val="000000"/>
                <w:sz w:val="16"/>
                <w:szCs w:val="16"/>
              </w:rPr>
              <w:t>Feasibility</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317BB1F"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No</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07261D0"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no</w:t>
            </w:r>
          </w:p>
        </w:tc>
        <w:tc>
          <w:tcPr>
            <w:tcW w:w="0" w:type="auto"/>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1F1F4254"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Probably yes</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D405B39"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Yes</w:t>
            </w:r>
          </w:p>
        </w:tc>
        <w:tc>
          <w:tcPr>
            <w:tcW w:w="976"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8F850DA" w14:textId="77777777" w:rsidR="00EE33FF" w:rsidRPr="005C1453" w:rsidRDefault="00EE33FF" w:rsidP="004C505F">
            <w:pPr>
              <w:spacing w:line="276" w:lineRule="auto"/>
              <w:jc w:val="both"/>
              <w:rPr>
                <w:rFonts w:ascii="Arial" w:eastAsia="Calibri" w:hAnsi="Arial" w:cs="Arial"/>
                <w:color w:val="000000"/>
                <w:sz w:val="16"/>
                <w:szCs w:val="16"/>
              </w:rPr>
            </w:pPr>
          </w:p>
        </w:tc>
        <w:tc>
          <w:tcPr>
            <w:tcW w:w="67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942AF68"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Varies</w:t>
            </w:r>
          </w:p>
        </w:tc>
        <w:tc>
          <w:tcPr>
            <w:tcW w:w="1355"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E501E7E" w14:textId="77777777" w:rsidR="00EE33FF" w:rsidRPr="005C1453" w:rsidRDefault="00EE33FF" w:rsidP="004C505F">
            <w:pPr>
              <w:spacing w:line="276" w:lineRule="auto"/>
              <w:jc w:val="both"/>
              <w:rPr>
                <w:rFonts w:ascii="Arial" w:eastAsia="Calibri" w:hAnsi="Arial" w:cs="Arial"/>
                <w:color w:val="000000"/>
                <w:sz w:val="16"/>
                <w:szCs w:val="16"/>
              </w:rPr>
            </w:pPr>
            <w:r w:rsidRPr="005C1453">
              <w:rPr>
                <w:rFonts w:ascii="Arial" w:eastAsia="Calibri" w:hAnsi="Arial" w:cs="Arial"/>
                <w:color w:val="000000"/>
                <w:sz w:val="16"/>
                <w:szCs w:val="16"/>
              </w:rPr>
              <w:t>Don't know</w:t>
            </w:r>
          </w:p>
        </w:tc>
      </w:tr>
    </w:tbl>
    <w:p w14:paraId="73324DEF" w14:textId="77777777" w:rsidR="00EE33FF" w:rsidRDefault="00EE33FF" w:rsidP="00596BE0">
      <w:pPr>
        <w:spacing w:line="360" w:lineRule="auto"/>
        <w:jc w:val="both"/>
        <w:rPr>
          <w:rFonts w:ascii="Arial" w:hAnsi="Arial" w:cs="Arial"/>
          <w:shd w:val="clear" w:color="auto" w:fill="FFFFFF"/>
        </w:rPr>
      </w:pPr>
    </w:p>
    <w:p w14:paraId="270477C3" w14:textId="330AE516" w:rsidR="009D67D9" w:rsidRPr="004C505F" w:rsidRDefault="0049305A" w:rsidP="00596BE0">
      <w:pPr>
        <w:spacing w:line="360" w:lineRule="auto"/>
        <w:jc w:val="both"/>
        <w:rPr>
          <w:rFonts w:ascii="Arial" w:hAnsi="Arial" w:cs="Arial"/>
          <w:b/>
          <w:sz w:val="20"/>
          <w:szCs w:val="20"/>
          <w:shd w:val="clear" w:color="auto" w:fill="FFFFFF"/>
        </w:rPr>
      </w:pPr>
      <w:r w:rsidRPr="004C505F">
        <w:rPr>
          <w:rFonts w:ascii="Arial" w:hAnsi="Arial" w:cs="Arial"/>
          <w:b/>
          <w:sz w:val="20"/>
          <w:szCs w:val="20"/>
          <w:shd w:val="clear" w:color="auto" w:fill="FFFFFF"/>
        </w:rPr>
        <w:t>Table S</w:t>
      </w:r>
      <w:r w:rsidR="004C505F" w:rsidRPr="004C505F">
        <w:rPr>
          <w:rFonts w:ascii="Arial" w:hAnsi="Arial" w:cs="Arial"/>
          <w:b/>
          <w:sz w:val="20"/>
          <w:szCs w:val="20"/>
          <w:shd w:val="clear" w:color="auto" w:fill="FFFFFF"/>
        </w:rPr>
        <w:t>5</w:t>
      </w:r>
      <w:r w:rsidR="007A1037">
        <w:rPr>
          <w:rFonts w:ascii="Arial" w:hAnsi="Arial" w:cs="Arial"/>
          <w:b/>
          <w:sz w:val="20"/>
          <w:szCs w:val="20"/>
          <w:shd w:val="clear" w:color="auto" w:fill="FFFFFF"/>
        </w:rPr>
        <w:t>1</w:t>
      </w:r>
      <w:r w:rsidRPr="004C505F">
        <w:rPr>
          <w:rFonts w:ascii="Arial" w:hAnsi="Arial" w:cs="Arial"/>
          <w:b/>
          <w:sz w:val="20"/>
          <w:szCs w:val="20"/>
          <w:shd w:val="clear" w:color="auto" w:fill="FFFFFF"/>
        </w:rPr>
        <w:t>: Evidence to decision table supporting recommendations for reslizumab for severe eosinophilic asthma in adults (</w:t>
      </w:r>
      <w:r w:rsidR="00FB5797" w:rsidRPr="004C505F">
        <w:rPr>
          <w:rFonts w:ascii="Arial" w:hAnsi="Arial" w:cs="Arial"/>
          <w:b/>
          <w:sz w:val="20"/>
          <w:szCs w:val="20"/>
          <w:shd w:val="clear" w:color="auto" w:fill="FFFFFF"/>
        </w:rPr>
        <w:t>lung function</w:t>
      </w:r>
      <w:r w:rsidRPr="004C505F">
        <w:rPr>
          <w:rFonts w:ascii="Arial" w:hAnsi="Arial" w:cs="Arial"/>
          <w:b/>
          <w:sz w:val="20"/>
          <w:szCs w:val="20"/>
          <w:shd w:val="clear" w:color="auto" w:fill="FFFFFF"/>
        </w:rPr>
        <w:t>)</w:t>
      </w:r>
    </w:p>
    <w:tbl>
      <w:tblPr>
        <w:tblW w:w="0" w:type="auto"/>
        <w:tblCellMar>
          <w:left w:w="0" w:type="dxa"/>
          <w:right w:w="0" w:type="dxa"/>
        </w:tblCellMar>
        <w:tblLook w:val="04A0" w:firstRow="1" w:lastRow="0" w:firstColumn="1" w:lastColumn="0" w:noHBand="0" w:noVBand="1"/>
      </w:tblPr>
      <w:tblGrid>
        <w:gridCol w:w="1456"/>
        <w:gridCol w:w="1178"/>
        <w:gridCol w:w="1258"/>
        <w:gridCol w:w="1376"/>
        <w:gridCol w:w="1205"/>
        <w:gridCol w:w="1078"/>
        <w:gridCol w:w="602"/>
        <w:gridCol w:w="847"/>
      </w:tblGrid>
      <w:tr w:rsidR="009D67D9" w:rsidRPr="009D67D9" w14:paraId="0A0600A4" w14:textId="77777777" w:rsidTr="004C505F">
        <w:trPr>
          <w:trHeight w:val="19"/>
        </w:trPr>
        <w:tc>
          <w:tcPr>
            <w:tcW w:w="0" w:type="auto"/>
            <w:tcBorders>
              <w:top w:val="single" w:sz="8" w:space="0" w:color="FFFFFF"/>
              <w:left w:val="single" w:sz="8" w:space="0" w:color="FFFFFF"/>
              <w:bottom w:val="single" w:sz="24" w:space="0" w:color="FFFFFF"/>
              <w:right w:val="single" w:sz="8" w:space="0" w:color="FFFFFF"/>
            </w:tcBorders>
            <w:shd w:val="clear" w:color="auto" w:fill="5B9BD5"/>
            <w:tcMar>
              <w:top w:w="74" w:type="dxa"/>
              <w:left w:w="74" w:type="dxa"/>
              <w:bottom w:w="74" w:type="dxa"/>
              <w:right w:w="74" w:type="dxa"/>
            </w:tcMar>
            <w:vAlign w:val="center"/>
            <w:hideMark/>
          </w:tcPr>
          <w:p w14:paraId="24D759DA" w14:textId="77777777" w:rsidR="009D67D9" w:rsidRPr="009D67D9" w:rsidRDefault="009D67D9" w:rsidP="009D67D9">
            <w:pPr>
              <w:spacing w:line="360" w:lineRule="auto"/>
              <w:jc w:val="both"/>
              <w:rPr>
                <w:rFonts w:ascii="Arial" w:hAnsi="Arial" w:cs="Arial"/>
                <w:sz w:val="16"/>
                <w:szCs w:val="16"/>
                <w:shd w:val="clear" w:color="auto" w:fill="FFFFFF"/>
              </w:rPr>
            </w:pPr>
          </w:p>
        </w:tc>
        <w:tc>
          <w:tcPr>
            <w:tcW w:w="0" w:type="auto"/>
            <w:gridSpan w:val="7"/>
            <w:tcBorders>
              <w:top w:val="single" w:sz="8" w:space="0" w:color="FFFFFF"/>
              <w:left w:val="single" w:sz="8" w:space="0" w:color="FFFFFF"/>
              <w:bottom w:val="single" w:sz="24" w:space="0" w:color="FFFFFF"/>
              <w:right w:val="single" w:sz="8" w:space="0" w:color="FFFFFF"/>
            </w:tcBorders>
            <w:shd w:val="clear" w:color="auto" w:fill="5B9BD5"/>
            <w:tcMar>
              <w:top w:w="74" w:type="dxa"/>
              <w:left w:w="74" w:type="dxa"/>
              <w:bottom w:w="74" w:type="dxa"/>
              <w:right w:w="74" w:type="dxa"/>
            </w:tcMar>
            <w:vAlign w:val="center"/>
            <w:hideMark/>
          </w:tcPr>
          <w:p w14:paraId="749EC55A"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b/>
                <w:bCs/>
                <w:sz w:val="16"/>
                <w:szCs w:val="16"/>
                <w:shd w:val="clear" w:color="auto" w:fill="FFFFFF"/>
              </w:rPr>
              <w:t>Judgement</w:t>
            </w:r>
          </w:p>
        </w:tc>
      </w:tr>
      <w:tr w:rsidR="009D67D9" w:rsidRPr="009D67D9" w14:paraId="3E09D386" w14:textId="77777777" w:rsidTr="004C505F">
        <w:trPr>
          <w:trHeight w:val="43"/>
        </w:trPr>
        <w:tc>
          <w:tcPr>
            <w:tcW w:w="0" w:type="auto"/>
            <w:tcBorders>
              <w:top w:val="single" w:sz="24"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23533945"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b/>
                <w:bCs/>
                <w:sz w:val="16"/>
                <w:szCs w:val="16"/>
                <w:shd w:val="clear" w:color="auto" w:fill="FFFFFF"/>
              </w:rPr>
              <w:t>Problem (importance)</w:t>
            </w:r>
          </w:p>
        </w:tc>
        <w:tc>
          <w:tcPr>
            <w:tcW w:w="0" w:type="auto"/>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AC8CD8E"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sz w:val="16"/>
                <w:szCs w:val="16"/>
                <w:shd w:val="clear" w:color="auto" w:fill="FFFFFF"/>
              </w:rPr>
              <w:t>No</w:t>
            </w:r>
          </w:p>
        </w:tc>
        <w:tc>
          <w:tcPr>
            <w:tcW w:w="0" w:type="auto"/>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48290FD"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sz w:val="16"/>
                <w:szCs w:val="16"/>
                <w:shd w:val="clear" w:color="auto" w:fill="FFFFFF"/>
              </w:rPr>
              <w:t>Probably no</w:t>
            </w:r>
          </w:p>
        </w:tc>
        <w:tc>
          <w:tcPr>
            <w:tcW w:w="0" w:type="auto"/>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000E990"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sz w:val="16"/>
                <w:szCs w:val="16"/>
                <w:shd w:val="clear" w:color="auto" w:fill="FFFFFF"/>
              </w:rPr>
              <w:t>Probably yes</w:t>
            </w:r>
          </w:p>
        </w:tc>
        <w:tc>
          <w:tcPr>
            <w:tcW w:w="0" w:type="auto"/>
            <w:tcBorders>
              <w:top w:val="single" w:sz="24"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6E0D273B"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sz w:val="16"/>
                <w:szCs w:val="16"/>
                <w:shd w:val="clear" w:color="auto" w:fill="FFFFFF"/>
              </w:rPr>
              <w:t>Yes</w:t>
            </w:r>
          </w:p>
        </w:tc>
        <w:tc>
          <w:tcPr>
            <w:tcW w:w="0" w:type="auto"/>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9A6EE42" w14:textId="77777777" w:rsidR="009D67D9" w:rsidRPr="009D67D9" w:rsidRDefault="009D67D9" w:rsidP="009D67D9">
            <w:pPr>
              <w:spacing w:line="360" w:lineRule="auto"/>
              <w:jc w:val="both"/>
              <w:rPr>
                <w:rFonts w:ascii="Arial" w:hAnsi="Arial" w:cs="Arial"/>
                <w:sz w:val="16"/>
                <w:szCs w:val="16"/>
                <w:shd w:val="clear" w:color="auto" w:fill="FFFFFF"/>
              </w:rPr>
            </w:pPr>
          </w:p>
        </w:tc>
        <w:tc>
          <w:tcPr>
            <w:tcW w:w="0" w:type="auto"/>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40F1C23"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sz w:val="16"/>
                <w:szCs w:val="16"/>
                <w:shd w:val="clear" w:color="auto" w:fill="FFFFFF"/>
              </w:rPr>
              <w:t>Varies</w:t>
            </w:r>
          </w:p>
        </w:tc>
        <w:tc>
          <w:tcPr>
            <w:tcW w:w="0" w:type="auto"/>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2B75377"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sz w:val="16"/>
                <w:szCs w:val="16"/>
                <w:shd w:val="clear" w:color="auto" w:fill="FFFFFF"/>
              </w:rPr>
              <w:t>Don't know</w:t>
            </w:r>
          </w:p>
        </w:tc>
      </w:tr>
      <w:tr w:rsidR="009D67D9" w:rsidRPr="009D67D9" w14:paraId="3D64AD23" w14:textId="77777777" w:rsidTr="009D67D9">
        <w:trPr>
          <w:trHeight w:val="52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1A04869C"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b/>
                <w:bCs/>
                <w:sz w:val="16"/>
                <w:szCs w:val="16"/>
                <w:shd w:val="clear" w:color="auto" w:fill="FFFFFF"/>
              </w:rPr>
              <w:t>Desirable Effects</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AACDABA"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sz w:val="16"/>
                <w:szCs w:val="16"/>
                <w:shd w:val="clear" w:color="auto" w:fill="FFFFFF"/>
              </w:rPr>
              <w:t>Trivial</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44FD310"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sz w:val="16"/>
                <w:szCs w:val="16"/>
                <w:shd w:val="clear" w:color="auto" w:fill="FFFFFF"/>
              </w:rPr>
              <w:t>Small</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560B6D9"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sz w:val="16"/>
                <w:szCs w:val="16"/>
                <w:shd w:val="clear" w:color="auto" w:fill="FFFFFF"/>
              </w:rPr>
              <w:t>Moderate</w:t>
            </w:r>
          </w:p>
        </w:tc>
        <w:tc>
          <w:tcPr>
            <w:tcW w:w="0" w:type="auto"/>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7A5378D9"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sz w:val="16"/>
                <w:szCs w:val="16"/>
                <w:shd w:val="clear" w:color="auto" w:fill="FFFFFF"/>
              </w:rPr>
              <w:t>Large</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F500AC0" w14:textId="77777777" w:rsidR="009D67D9" w:rsidRPr="009D67D9" w:rsidRDefault="009D67D9" w:rsidP="009D67D9">
            <w:pPr>
              <w:spacing w:line="360" w:lineRule="auto"/>
              <w:jc w:val="both"/>
              <w:rPr>
                <w:rFonts w:ascii="Arial" w:hAnsi="Arial" w:cs="Arial"/>
                <w:sz w:val="16"/>
                <w:szCs w:val="16"/>
                <w:shd w:val="clear" w:color="auto" w:fill="FFFFFF"/>
              </w:rPr>
            </w:pP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CB95392"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sz w:val="16"/>
                <w:szCs w:val="16"/>
                <w:shd w:val="clear" w:color="auto" w:fill="FFFFFF"/>
              </w:rPr>
              <w:t>Varies</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CC7F091"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sz w:val="16"/>
                <w:szCs w:val="16"/>
                <w:shd w:val="clear" w:color="auto" w:fill="FFFFFF"/>
              </w:rPr>
              <w:t>Don't know</w:t>
            </w:r>
          </w:p>
        </w:tc>
      </w:tr>
      <w:tr w:rsidR="009D67D9" w:rsidRPr="009D67D9" w14:paraId="01CB74CE" w14:textId="77777777" w:rsidTr="009D67D9">
        <w:trPr>
          <w:trHeight w:val="52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5A52F5F9"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b/>
                <w:bCs/>
                <w:sz w:val="16"/>
                <w:szCs w:val="16"/>
                <w:shd w:val="clear" w:color="auto" w:fill="FFFFFF"/>
              </w:rPr>
              <w:lastRenderedPageBreak/>
              <w:t>Undesirable Effects</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BB33EA1"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sz w:val="16"/>
                <w:szCs w:val="16"/>
                <w:shd w:val="clear" w:color="auto" w:fill="FFFFFF"/>
              </w:rPr>
              <w:t>Large</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67672EA"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sz w:val="16"/>
                <w:szCs w:val="16"/>
                <w:shd w:val="clear" w:color="auto" w:fill="FFFFFF"/>
              </w:rPr>
              <w:t>Moderate</w:t>
            </w:r>
          </w:p>
        </w:tc>
        <w:tc>
          <w:tcPr>
            <w:tcW w:w="0" w:type="auto"/>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69235F56"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sz w:val="16"/>
                <w:szCs w:val="16"/>
                <w:shd w:val="clear" w:color="auto" w:fill="FFFFFF"/>
              </w:rPr>
              <w:t>Small</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D0D4867"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sz w:val="16"/>
                <w:szCs w:val="16"/>
                <w:shd w:val="clear" w:color="auto" w:fill="FFFFFF"/>
              </w:rPr>
              <w:t>Trivial</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19F48F2" w14:textId="77777777" w:rsidR="009D67D9" w:rsidRPr="009D67D9" w:rsidRDefault="009D67D9" w:rsidP="009D67D9">
            <w:pPr>
              <w:spacing w:line="360" w:lineRule="auto"/>
              <w:jc w:val="both"/>
              <w:rPr>
                <w:rFonts w:ascii="Arial" w:hAnsi="Arial" w:cs="Arial"/>
                <w:sz w:val="16"/>
                <w:szCs w:val="16"/>
                <w:shd w:val="clear" w:color="auto" w:fill="FFFFFF"/>
              </w:rPr>
            </w:pP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6BE4839"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sz w:val="16"/>
                <w:szCs w:val="16"/>
                <w:shd w:val="clear" w:color="auto" w:fill="FFFFFF"/>
              </w:rPr>
              <w:t>Varies</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CE5AA85"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sz w:val="16"/>
                <w:szCs w:val="16"/>
                <w:shd w:val="clear" w:color="auto" w:fill="FFFFFF"/>
              </w:rPr>
              <w:t>Don't know</w:t>
            </w:r>
          </w:p>
        </w:tc>
      </w:tr>
      <w:tr w:rsidR="009D67D9" w:rsidRPr="009D67D9" w14:paraId="14C6C507" w14:textId="77777777" w:rsidTr="009D67D9">
        <w:trPr>
          <w:trHeight w:val="52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754CB70F"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b/>
                <w:bCs/>
                <w:sz w:val="16"/>
                <w:szCs w:val="16"/>
                <w:shd w:val="clear" w:color="auto" w:fill="FFFFFF"/>
              </w:rPr>
              <w:t>Certainty of evidence</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B17AB72"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sz w:val="16"/>
                <w:szCs w:val="16"/>
                <w:shd w:val="clear" w:color="auto" w:fill="FFFFFF"/>
              </w:rPr>
              <w:t>Very low</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618FBAB"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sz w:val="16"/>
                <w:szCs w:val="16"/>
                <w:shd w:val="clear" w:color="auto" w:fill="FFFFFF"/>
              </w:rPr>
              <w:t>Low</w:t>
            </w:r>
          </w:p>
        </w:tc>
        <w:tc>
          <w:tcPr>
            <w:tcW w:w="0" w:type="auto"/>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377BC55C"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sz w:val="16"/>
                <w:szCs w:val="16"/>
                <w:shd w:val="clear" w:color="auto" w:fill="FFFFFF"/>
              </w:rPr>
              <w:t>Moderate</w:t>
            </w:r>
          </w:p>
        </w:tc>
        <w:tc>
          <w:tcPr>
            <w:tcW w:w="0" w:type="auto"/>
            <w:tcBorders>
              <w:top w:val="single" w:sz="8" w:space="0" w:color="FFFFFF"/>
              <w:left w:val="single" w:sz="8" w:space="0" w:color="FFFFFF"/>
              <w:bottom w:val="single" w:sz="8" w:space="0" w:color="FFFFFF"/>
              <w:right w:val="single" w:sz="8" w:space="0" w:color="FFFFFF"/>
            </w:tcBorders>
            <w:shd w:val="clear" w:color="auto" w:fill="auto"/>
            <w:tcMar>
              <w:top w:w="74" w:type="dxa"/>
              <w:left w:w="74" w:type="dxa"/>
              <w:bottom w:w="74" w:type="dxa"/>
              <w:right w:w="74" w:type="dxa"/>
            </w:tcMar>
            <w:vAlign w:val="center"/>
            <w:hideMark/>
          </w:tcPr>
          <w:p w14:paraId="224F262D"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sz w:val="16"/>
                <w:szCs w:val="16"/>
                <w:shd w:val="clear" w:color="auto" w:fill="FFFFFF"/>
              </w:rPr>
              <w:t>High</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1785853" w14:textId="77777777" w:rsidR="009D67D9" w:rsidRPr="009D67D9" w:rsidRDefault="009D67D9" w:rsidP="009D67D9">
            <w:pPr>
              <w:spacing w:line="360" w:lineRule="auto"/>
              <w:jc w:val="both"/>
              <w:rPr>
                <w:rFonts w:ascii="Arial" w:hAnsi="Arial" w:cs="Arial"/>
                <w:sz w:val="16"/>
                <w:szCs w:val="16"/>
                <w:shd w:val="clear" w:color="auto" w:fill="FFFFFF"/>
              </w:rPr>
            </w:pP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0E1490A" w14:textId="77777777" w:rsidR="009D67D9" w:rsidRPr="009D67D9" w:rsidRDefault="009D67D9" w:rsidP="009D67D9">
            <w:pPr>
              <w:spacing w:line="360" w:lineRule="auto"/>
              <w:jc w:val="both"/>
              <w:rPr>
                <w:rFonts w:ascii="Arial" w:hAnsi="Arial" w:cs="Arial"/>
                <w:sz w:val="16"/>
                <w:szCs w:val="16"/>
                <w:shd w:val="clear" w:color="auto" w:fill="FFFFFF"/>
              </w:rPr>
            </w:pP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DBBB2CA"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sz w:val="16"/>
                <w:szCs w:val="16"/>
                <w:shd w:val="clear" w:color="auto" w:fill="FFFFFF"/>
              </w:rPr>
              <w:t>No included studies</w:t>
            </w:r>
          </w:p>
        </w:tc>
      </w:tr>
      <w:tr w:rsidR="009D67D9" w:rsidRPr="009D67D9" w14:paraId="320D1CC7" w14:textId="77777777" w:rsidTr="009D67D9">
        <w:trPr>
          <w:trHeight w:val="966"/>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2881689F"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b/>
                <w:bCs/>
                <w:sz w:val="16"/>
                <w:szCs w:val="16"/>
                <w:shd w:val="clear" w:color="auto" w:fill="FFFFFF"/>
              </w:rPr>
              <w:t>Values</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79775C1"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sz w:val="16"/>
                <w:szCs w:val="16"/>
                <w:shd w:val="clear" w:color="auto" w:fill="FFFFFF"/>
              </w:rPr>
              <w:t>Important uncertainty or variability</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88D265B"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sz w:val="16"/>
                <w:szCs w:val="16"/>
                <w:shd w:val="clear" w:color="auto" w:fill="FFFFFF"/>
              </w:rPr>
              <w:t>Possibly important uncertainty or variability</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A056892"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sz w:val="16"/>
                <w:szCs w:val="16"/>
                <w:shd w:val="clear" w:color="auto" w:fill="FFFFFF"/>
              </w:rPr>
              <w:t>Probably no important uncertainty or variability</w:t>
            </w:r>
          </w:p>
        </w:tc>
        <w:tc>
          <w:tcPr>
            <w:tcW w:w="0" w:type="auto"/>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7C897803"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sz w:val="16"/>
                <w:szCs w:val="16"/>
                <w:shd w:val="clear" w:color="auto" w:fill="FFFFFF"/>
              </w:rPr>
              <w:t>no important uncertainty or variability</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0CDF62A" w14:textId="77777777" w:rsidR="009D67D9" w:rsidRPr="009D67D9" w:rsidRDefault="009D67D9" w:rsidP="009D67D9">
            <w:pPr>
              <w:spacing w:line="360" w:lineRule="auto"/>
              <w:jc w:val="both"/>
              <w:rPr>
                <w:rFonts w:ascii="Arial" w:hAnsi="Arial" w:cs="Arial"/>
                <w:sz w:val="16"/>
                <w:szCs w:val="16"/>
                <w:shd w:val="clear" w:color="auto" w:fill="FFFFFF"/>
              </w:rPr>
            </w:pP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8697277" w14:textId="77777777" w:rsidR="009D67D9" w:rsidRPr="009D67D9" w:rsidRDefault="009D67D9" w:rsidP="009D67D9">
            <w:pPr>
              <w:spacing w:line="360" w:lineRule="auto"/>
              <w:jc w:val="both"/>
              <w:rPr>
                <w:rFonts w:ascii="Arial" w:hAnsi="Arial" w:cs="Arial"/>
                <w:sz w:val="16"/>
                <w:szCs w:val="16"/>
                <w:shd w:val="clear" w:color="auto" w:fill="FFFFFF"/>
              </w:rPr>
            </w:pP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0590477" w14:textId="77777777" w:rsidR="009D67D9" w:rsidRPr="009D67D9" w:rsidRDefault="009D67D9" w:rsidP="009D67D9">
            <w:pPr>
              <w:spacing w:line="360" w:lineRule="auto"/>
              <w:jc w:val="both"/>
              <w:rPr>
                <w:rFonts w:ascii="Arial" w:hAnsi="Arial" w:cs="Arial"/>
                <w:sz w:val="16"/>
                <w:szCs w:val="16"/>
                <w:shd w:val="clear" w:color="auto" w:fill="FFFFFF"/>
              </w:rPr>
            </w:pPr>
          </w:p>
        </w:tc>
      </w:tr>
      <w:tr w:rsidR="009D67D9" w:rsidRPr="009D67D9" w14:paraId="66C8766B" w14:textId="77777777" w:rsidTr="00EE33FF">
        <w:trPr>
          <w:trHeight w:val="966"/>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3C15C613"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b/>
                <w:bCs/>
                <w:sz w:val="16"/>
                <w:szCs w:val="16"/>
                <w:shd w:val="clear" w:color="auto" w:fill="FFFFFF"/>
              </w:rPr>
              <w:t>Balance of effects</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A5CA131"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sz w:val="16"/>
                <w:szCs w:val="16"/>
                <w:shd w:val="clear" w:color="auto" w:fill="FFFFFF"/>
              </w:rPr>
              <w:t>Favors the comparison</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EA0A9EB"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sz w:val="16"/>
                <w:szCs w:val="16"/>
                <w:shd w:val="clear" w:color="auto" w:fill="FFFFFF"/>
              </w:rPr>
              <w:t>Probably favors the comparison</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4A38366"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sz w:val="16"/>
                <w:szCs w:val="16"/>
                <w:shd w:val="clear" w:color="auto" w:fill="FFFFFF"/>
              </w:rPr>
              <w:t>Does not favor either the intervention or the comparison</w:t>
            </w:r>
          </w:p>
        </w:tc>
        <w:tc>
          <w:tcPr>
            <w:tcW w:w="0" w:type="auto"/>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7FF4B086"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sz w:val="16"/>
                <w:szCs w:val="16"/>
                <w:shd w:val="clear" w:color="auto" w:fill="FFFFFF"/>
              </w:rPr>
              <w:t>Probably favors the intervention</w:t>
            </w:r>
          </w:p>
        </w:tc>
        <w:tc>
          <w:tcPr>
            <w:tcW w:w="0" w:type="auto"/>
            <w:tcBorders>
              <w:top w:val="single" w:sz="8" w:space="0" w:color="FFFFFF"/>
              <w:left w:val="single" w:sz="8" w:space="0" w:color="FFFFFF"/>
              <w:bottom w:val="single" w:sz="8" w:space="0" w:color="FFFFFF"/>
              <w:right w:val="single" w:sz="8" w:space="0" w:color="FFFFFF"/>
            </w:tcBorders>
            <w:shd w:val="clear" w:color="auto" w:fill="D0CECE" w:themeFill="background2" w:themeFillShade="E6"/>
            <w:tcMar>
              <w:top w:w="74" w:type="dxa"/>
              <w:left w:w="74" w:type="dxa"/>
              <w:bottom w:w="74" w:type="dxa"/>
              <w:right w:w="74" w:type="dxa"/>
            </w:tcMar>
            <w:vAlign w:val="center"/>
            <w:hideMark/>
          </w:tcPr>
          <w:p w14:paraId="69250807"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sz w:val="16"/>
                <w:szCs w:val="16"/>
                <w:shd w:val="clear" w:color="auto" w:fill="FFFFFF"/>
              </w:rPr>
              <w:t>Favors the intervention</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CB1DE6B"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sz w:val="16"/>
                <w:szCs w:val="16"/>
                <w:shd w:val="clear" w:color="auto" w:fill="FFFFFF"/>
              </w:rPr>
              <w:t>Varies</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EAE7B99"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sz w:val="16"/>
                <w:szCs w:val="16"/>
                <w:shd w:val="clear" w:color="auto" w:fill="FFFFFF"/>
              </w:rPr>
              <w:t>Don't know</w:t>
            </w:r>
          </w:p>
        </w:tc>
      </w:tr>
      <w:tr w:rsidR="009D67D9" w:rsidRPr="009D67D9" w14:paraId="57F44769" w14:textId="77777777" w:rsidTr="009D67D9">
        <w:trPr>
          <w:trHeight w:val="704"/>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3373DEE8"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b/>
                <w:bCs/>
                <w:sz w:val="16"/>
                <w:szCs w:val="16"/>
                <w:shd w:val="clear" w:color="auto" w:fill="FFFFFF"/>
              </w:rPr>
              <w:t>Resources required</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F3B43AB"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sz w:val="16"/>
                <w:szCs w:val="16"/>
                <w:shd w:val="clear" w:color="auto" w:fill="FFFFFF"/>
              </w:rPr>
              <w:t>Large costs</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F9FEBB6"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sz w:val="16"/>
                <w:szCs w:val="16"/>
                <w:shd w:val="clear" w:color="auto" w:fill="FFFFFF"/>
              </w:rPr>
              <w:t>Moderate costs</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52270DE"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sz w:val="16"/>
                <w:szCs w:val="16"/>
                <w:shd w:val="clear" w:color="auto" w:fill="FFFFFF"/>
              </w:rPr>
              <w:t>Negligible costs and savings</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550E6FE"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sz w:val="16"/>
                <w:szCs w:val="16"/>
                <w:shd w:val="clear" w:color="auto" w:fill="FFFFFF"/>
              </w:rPr>
              <w:t>Moderate savings</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BBA58CB"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sz w:val="16"/>
                <w:szCs w:val="16"/>
                <w:shd w:val="clear" w:color="auto" w:fill="FFFFFF"/>
              </w:rPr>
              <w:t>Large savings</w:t>
            </w:r>
          </w:p>
        </w:tc>
        <w:tc>
          <w:tcPr>
            <w:tcW w:w="0" w:type="auto"/>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26ED3844"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sz w:val="16"/>
                <w:szCs w:val="16"/>
                <w:shd w:val="clear" w:color="auto" w:fill="FFFFFF"/>
              </w:rPr>
              <w:t>Varies</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5945E58"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sz w:val="16"/>
                <w:szCs w:val="16"/>
                <w:shd w:val="clear" w:color="auto" w:fill="FFFFFF"/>
              </w:rPr>
              <w:t>Don't know</w:t>
            </w:r>
          </w:p>
        </w:tc>
      </w:tr>
      <w:tr w:rsidR="009D67D9" w:rsidRPr="009D67D9" w14:paraId="6D12D9F8" w14:textId="77777777" w:rsidTr="009D67D9">
        <w:trPr>
          <w:trHeight w:val="704"/>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51646148"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b/>
                <w:bCs/>
                <w:sz w:val="16"/>
                <w:szCs w:val="16"/>
                <w:shd w:val="clear" w:color="auto" w:fill="FFFFFF"/>
              </w:rPr>
              <w:t>Certainty of evidence of required resources</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2F4F4B4"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sz w:val="16"/>
                <w:szCs w:val="16"/>
                <w:shd w:val="clear" w:color="auto" w:fill="FFFFFF"/>
              </w:rPr>
              <w:t>Very low</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A5C664B"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sz w:val="16"/>
                <w:szCs w:val="16"/>
                <w:shd w:val="clear" w:color="auto" w:fill="FFFFFF"/>
              </w:rPr>
              <w:t>Low</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5CD4156"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sz w:val="16"/>
                <w:szCs w:val="16"/>
                <w:shd w:val="clear" w:color="auto" w:fill="FFFFFF"/>
              </w:rPr>
              <w:t>Moderate</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E503DE8"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sz w:val="16"/>
                <w:szCs w:val="16"/>
                <w:shd w:val="clear" w:color="auto" w:fill="FFFFFF"/>
              </w:rPr>
              <w:t>High</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763D9ED" w14:textId="77777777" w:rsidR="009D67D9" w:rsidRPr="009D67D9" w:rsidRDefault="009D67D9" w:rsidP="009D67D9">
            <w:pPr>
              <w:spacing w:line="360" w:lineRule="auto"/>
              <w:jc w:val="both"/>
              <w:rPr>
                <w:rFonts w:ascii="Arial" w:hAnsi="Arial" w:cs="Arial"/>
                <w:sz w:val="16"/>
                <w:szCs w:val="16"/>
                <w:shd w:val="clear" w:color="auto" w:fill="FFFFFF"/>
              </w:rPr>
            </w:pP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CAC4179" w14:textId="77777777" w:rsidR="009D67D9" w:rsidRPr="009D67D9" w:rsidRDefault="009D67D9" w:rsidP="009D67D9">
            <w:pPr>
              <w:spacing w:line="360" w:lineRule="auto"/>
              <w:jc w:val="both"/>
              <w:rPr>
                <w:rFonts w:ascii="Arial" w:hAnsi="Arial" w:cs="Arial"/>
                <w:sz w:val="16"/>
                <w:szCs w:val="16"/>
                <w:shd w:val="clear" w:color="auto" w:fill="FFFFFF"/>
              </w:rPr>
            </w:pPr>
          </w:p>
        </w:tc>
        <w:tc>
          <w:tcPr>
            <w:tcW w:w="0" w:type="auto"/>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075899D9"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sz w:val="16"/>
                <w:szCs w:val="16"/>
                <w:shd w:val="clear" w:color="auto" w:fill="FFFFFF"/>
              </w:rPr>
              <w:t>No included studies</w:t>
            </w:r>
          </w:p>
        </w:tc>
      </w:tr>
      <w:tr w:rsidR="009D67D9" w:rsidRPr="009D67D9" w14:paraId="7607E542" w14:textId="77777777" w:rsidTr="009D67D9">
        <w:trPr>
          <w:trHeight w:val="966"/>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0740EB85"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b/>
                <w:bCs/>
                <w:sz w:val="16"/>
                <w:szCs w:val="16"/>
                <w:shd w:val="clear" w:color="auto" w:fill="FFFFFF"/>
              </w:rPr>
              <w:t>Cost effectiveness</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097FA7F"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sz w:val="16"/>
                <w:szCs w:val="16"/>
                <w:shd w:val="clear" w:color="auto" w:fill="FFFFFF"/>
              </w:rPr>
              <w:t>Favors the comparison</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171C848"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sz w:val="16"/>
                <w:szCs w:val="16"/>
                <w:shd w:val="clear" w:color="auto" w:fill="FFFFFF"/>
              </w:rPr>
              <w:t>Probably favors the comparison</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51D4C72"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sz w:val="16"/>
                <w:szCs w:val="16"/>
                <w:shd w:val="clear" w:color="auto" w:fill="FFFFFF"/>
              </w:rPr>
              <w:t>Does not favor either the intervention or the comparison</w:t>
            </w:r>
          </w:p>
        </w:tc>
        <w:tc>
          <w:tcPr>
            <w:tcW w:w="0" w:type="auto"/>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100A8689"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sz w:val="16"/>
                <w:szCs w:val="16"/>
                <w:shd w:val="clear" w:color="auto" w:fill="FFFFFF"/>
              </w:rPr>
              <w:t>Probably favors the intervention</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ED7F66E"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sz w:val="16"/>
                <w:szCs w:val="16"/>
                <w:shd w:val="clear" w:color="auto" w:fill="FFFFFF"/>
              </w:rPr>
              <w:t>Favors the intervention</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E15D0CC"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sz w:val="16"/>
                <w:szCs w:val="16"/>
                <w:shd w:val="clear" w:color="auto" w:fill="FFFFFF"/>
              </w:rPr>
              <w:t>Varies</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5F7FF3E"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sz w:val="16"/>
                <w:szCs w:val="16"/>
                <w:shd w:val="clear" w:color="auto" w:fill="FFFFFF"/>
              </w:rPr>
              <w:t>No included studies</w:t>
            </w:r>
          </w:p>
        </w:tc>
      </w:tr>
      <w:tr w:rsidR="009D67D9" w:rsidRPr="009D67D9" w14:paraId="68AC43B2" w14:textId="77777777" w:rsidTr="009D67D9">
        <w:trPr>
          <w:trHeight w:val="441"/>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27F2F8DC"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b/>
                <w:bCs/>
                <w:sz w:val="16"/>
                <w:szCs w:val="16"/>
                <w:shd w:val="clear" w:color="auto" w:fill="FFFFFF"/>
              </w:rPr>
              <w:t>Equity</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F41C858"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sz w:val="16"/>
                <w:szCs w:val="16"/>
                <w:shd w:val="clear" w:color="auto" w:fill="FFFFFF"/>
              </w:rPr>
              <w:t>Reduced</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9AFA932"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sz w:val="16"/>
                <w:szCs w:val="16"/>
                <w:shd w:val="clear" w:color="auto" w:fill="FFFFFF"/>
              </w:rPr>
              <w:t>Probably reduced</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2FA92BF"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sz w:val="16"/>
                <w:szCs w:val="16"/>
                <w:shd w:val="clear" w:color="auto" w:fill="FFFFFF"/>
              </w:rPr>
              <w:t>Probably no impact</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1DC69F9"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sz w:val="16"/>
                <w:szCs w:val="16"/>
                <w:shd w:val="clear" w:color="auto" w:fill="FFFFFF"/>
              </w:rPr>
              <w:t>Probably increased</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FDA6554"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sz w:val="16"/>
                <w:szCs w:val="16"/>
                <w:shd w:val="clear" w:color="auto" w:fill="FFFFFF"/>
              </w:rPr>
              <w:t>Increased</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86E0242"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sz w:val="16"/>
                <w:szCs w:val="16"/>
                <w:shd w:val="clear" w:color="auto" w:fill="FFFFFF"/>
              </w:rPr>
              <w:t>Varies</w:t>
            </w:r>
          </w:p>
        </w:tc>
        <w:tc>
          <w:tcPr>
            <w:tcW w:w="0" w:type="auto"/>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3F598767"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sz w:val="16"/>
                <w:szCs w:val="16"/>
                <w:shd w:val="clear" w:color="auto" w:fill="FFFFFF"/>
              </w:rPr>
              <w:t>Don't know</w:t>
            </w:r>
          </w:p>
        </w:tc>
      </w:tr>
      <w:tr w:rsidR="009D67D9" w:rsidRPr="009D67D9" w14:paraId="29E123D7" w14:textId="77777777" w:rsidTr="009D67D9">
        <w:trPr>
          <w:trHeight w:val="52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33ADF63B"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b/>
                <w:bCs/>
                <w:sz w:val="16"/>
                <w:szCs w:val="16"/>
                <w:shd w:val="clear" w:color="auto" w:fill="FFFFFF"/>
              </w:rPr>
              <w:t>Acceptability</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3CC04DC"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sz w:val="16"/>
                <w:szCs w:val="16"/>
                <w:shd w:val="clear" w:color="auto" w:fill="FFFFFF"/>
              </w:rPr>
              <w:t>No</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4E33414"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sz w:val="16"/>
                <w:szCs w:val="16"/>
                <w:shd w:val="clear" w:color="auto" w:fill="FFFFFF"/>
              </w:rPr>
              <w:t>Probably no</w:t>
            </w:r>
          </w:p>
        </w:tc>
        <w:tc>
          <w:tcPr>
            <w:tcW w:w="0" w:type="auto"/>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0B51BA09"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sz w:val="16"/>
                <w:szCs w:val="16"/>
                <w:shd w:val="clear" w:color="auto" w:fill="FFFFFF"/>
              </w:rPr>
              <w:t>Probably yes</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95AABC8"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sz w:val="16"/>
                <w:szCs w:val="16"/>
                <w:shd w:val="clear" w:color="auto" w:fill="FFFFFF"/>
              </w:rPr>
              <w:t>Yes</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67D008F" w14:textId="77777777" w:rsidR="009D67D9" w:rsidRPr="009D67D9" w:rsidRDefault="009D67D9" w:rsidP="009D67D9">
            <w:pPr>
              <w:spacing w:line="360" w:lineRule="auto"/>
              <w:jc w:val="both"/>
              <w:rPr>
                <w:rFonts w:ascii="Arial" w:hAnsi="Arial" w:cs="Arial"/>
                <w:sz w:val="16"/>
                <w:szCs w:val="16"/>
                <w:shd w:val="clear" w:color="auto" w:fill="FFFFFF"/>
              </w:rPr>
            </w:pP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48B2CD1"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sz w:val="16"/>
                <w:szCs w:val="16"/>
                <w:shd w:val="clear" w:color="auto" w:fill="FFFFFF"/>
              </w:rPr>
              <w:t>Varies</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A43109C"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sz w:val="16"/>
                <w:szCs w:val="16"/>
                <w:shd w:val="clear" w:color="auto" w:fill="FFFFFF"/>
              </w:rPr>
              <w:t>Don't know</w:t>
            </w:r>
          </w:p>
        </w:tc>
      </w:tr>
      <w:tr w:rsidR="009D67D9" w:rsidRPr="009D67D9" w14:paraId="1858F713" w14:textId="77777777" w:rsidTr="009D67D9">
        <w:trPr>
          <w:trHeight w:val="52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3D28A98D"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b/>
                <w:bCs/>
                <w:sz w:val="16"/>
                <w:szCs w:val="16"/>
                <w:shd w:val="clear" w:color="auto" w:fill="FFFFFF"/>
              </w:rPr>
              <w:t>Feasibility</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BFD53C6"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sz w:val="16"/>
                <w:szCs w:val="16"/>
                <w:shd w:val="clear" w:color="auto" w:fill="FFFFFF"/>
              </w:rPr>
              <w:t>No</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083ACB2"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sz w:val="16"/>
                <w:szCs w:val="16"/>
                <w:shd w:val="clear" w:color="auto" w:fill="FFFFFF"/>
              </w:rPr>
              <w:t>Probably no</w:t>
            </w:r>
          </w:p>
        </w:tc>
        <w:tc>
          <w:tcPr>
            <w:tcW w:w="0" w:type="auto"/>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7684F35D"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sz w:val="16"/>
                <w:szCs w:val="16"/>
                <w:shd w:val="clear" w:color="auto" w:fill="FFFFFF"/>
              </w:rPr>
              <w:t>Probably yes</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5793AA8"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sz w:val="16"/>
                <w:szCs w:val="16"/>
                <w:shd w:val="clear" w:color="auto" w:fill="FFFFFF"/>
              </w:rPr>
              <w:t>Yes</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6CC333E" w14:textId="77777777" w:rsidR="009D67D9" w:rsidRPr="009D67D9" w:rsidRDefault="009D67D9" w:rsidP="009D67D9">
            <w:pPr>
              <w:spacing w:line="360" w:lineRule="auto"/>
              <w:jc w:val="both"/>
              <w:rPr>
                <w:rFonts w:ascii="Arial" w:hAnsi="Arial" w:cs="Arial"/>
                <w:sz w:val="16"/>
                <w:szCs w:val="16"/>
                <w:shd w:val="clear" w:color="auto" w:fill="FFFFFF"/>
              </w:rPr>
            </w:pP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2D6C72A"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sz w:val="16"/>
                <w:szCs w:val="16"/>
                <w:shd w:val="clear" w:color="auto" w:fill="FFFFFF"/>
              </w:rPr>
              <w:t>Varies</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4A350A0" w14:textId="77777777" w:rsidR="009D67D9" w:rsidRPr="009D67D9" w:rsidRDefault="009D67D9" w:rsidP="009D67D9">
            <w:pPr>
              <w:spacing w:line="360" w:lineRule="auto"/>
              <w:jc w:val="both"/>
              <w:rPr>
                <w:rFonts w:ascii="Arial" w:hAnsi="Arial" w:cs="Arial"/>
                <w:sz w:val="16"/>
                <w:szCs w:val="16"/>
                <w:shd w:val="clear" w:color="auto" w:fill="FFFFFF"/>
              </w:rPr>
            </w:pPr>
            <w:r w:rsidRPr="009D67D9">
              <w:rPr>
                <w:rFonts w:ascii="Arial" w:hAnsi="Arial" w:cs="Arial"/>
                <w:sz w:val="16"/>
                <w:szCs w:val="16"/>
                <w:shd w:val="clear" w:color="auto" w:fill="FFFFFF"/>
              </w:rPr>
              <w:t>Don't know</w:t>
            </w:r>
          </w:p>
        </w:tc>
      </w:tr>
    </w:tbl>
    <w:p w14:paraId="6CE87B5E" w14:textId="77777777" w:rsidR="009D67D9" w:rsidRPr="00601402" w:rsidRDefault="009D67D9" w:rsidP="00596BE0">
      <w:pPr>
        <w:spacing w:line="360" w:lineRule="auto"/>
        <w:jc w:val="both"/>
        <w:rPr>
          <w:rFonts w:ascii="Arial" w:hAnsi="Arial" w:cs="Arial"/>
          <w:shd w:val="clear" w:color="auto" w:fill="FFFFFF"/>
        </w:rPr>
      </w:pPr>
    </w:p>
    <w:p w14:paraId="4EFAEB74" w14:textId="1938BB54" w:rsidR="00396A12" w:rsidRDefault="00396A12">
      <w:pPr>
        <w:rPr>
          <w:b/>
          <w:bCs/>
          <w:color w:val="000000"/>
          <w:sz w:val="20"/>
          <w:szCs w:val="20"/>
          <w:lang w:val="en"/>
        </w:rPr>
      </w:pPr>
    </w:p>
    <w:p w14:paraId="0B5CEABF" w14:textId="5B66E75A" w:rsidR="00396A12" w:rsidRDefault="00396A12">
      <w:pPr>
        <w:rPr>
          <w:b/>
          <w:bCs/>
          <w:color w:val="000000"/>
          <w:sz w:val="20"/>
          <w:szCs w:val="20"/>
          <w:lang w:val="en"/>
        </w:rPr>
      </w:pPr>
    </w:p>
    <w:p w14:paraId="3821AC3E" w14:textId="4EF61D40" w:rsidR="00396A12" w:rsidRPr="004C505F" w:rsidRDefault="006B3C10">
      <w:pPr>
        <w:rPr>
          <w:rFonts w:ascii="Arial" w:hAnsi="Arial" w:cs="Arial"/>
          <w:b/>
          <w:bCs/>
          <w:color w:val="000000"/>
          <w:sz w:val="20"/>
          <w:szCs w:val="20"/>
          <w:lang w:val="en"/>
        </w:rPr>
      </w:pPr>
      <w:r w:rsidRPr="006B3C10">
        <w:rPr>
          <w:b/>
          <w:bCs/>
          <w:noProof/>
          <w:color w:val="000000"/>
          <w:sz w:val="20"/>
          <w:szCs w:val="20"/>
        </w:rPr>
        <mc:AlternateContent>
          <mc:Choice Requires="wps">
            <w:drawing>
              <wp:anchor distT="0" distB="0" distL="114300" distR="114300" simplePos="0" relativeHeight="251660288" behindDoc="0" locked="0" layoutInCell="1" allowOverlap="1" wp14:anchorId="027996AB" wp14:editId="025B93C0">
                <wp:simplePos x="0" y="0"/>
                <wp:positionH relativeFrom="column">
                  <wp:posOffset>2011680</wp:posOffset>
                </wp:positionH>
                <wp:positionV relativeFrom="paragraph">
                  <wp:posOffset>10147300</wp:posOffset>
                </wp:positionV>
                <wp:extent cx="8962212" cy="830997"/>
                <wp:effectExtent l="0" t="0" r="0" b="0"/>
                <wp:wrapNone/>
                <wp:docPr id="9" name="QuadreDeText 4">
                  <a:extLst xmlns:a="http://schemas.openxmlformats.org/drawingml/2006/main">
                    <a:ext uri="{FF2B5EF4-FFF2-40B4-BE49-F238E27FC236}">
                      <a16:creationId xmlns:a16="http://schemas.microsoft.com/office/drawing/2014/main" id="{21AFC280-4BDB-3D41-BC70-0BA89F66E52F}"/>
                    </a:ext>
                  </a:extLst>
                </wp:docPr>
                <wp:cNvGraphicFramePr/>
                <a:graphic xmlns:a="http://schemas.openxmlformats.org/drawingml/2006/main">
                  <a:graphicData uri="http://schemas.microsoft.com/office/word/2010/wordprocessingShape">
                    <wps:wsp>
                      <wps:cNvSpPr txBox="1"/>
                      <wps:spPr>
                        <a:xfrm>
                          <a:off x="0" y="0"/>
                          <a:ext cx="8962212" cy="830997"/>
                        </a:xfrm>
                        <a:prstGeom prst="rect">
                          <a:avLst/>
                        </a:prstGeom>
                        <a:noFill/>
                      </wps:spPr>
                      <wps:txbx>
                        <w:txbxContent>
                          <w:p w14:paraId="0C8618DB" w14:textId="77777777" w:rsidR="00111973" w:rsidRDefault="00111973" w:rsidP="006B3C10">
                            <w:pPr>
                              <w:pStyle w:val="NormalWeb"/>
                              <w:spacing w:before="0" w:beforeAutospacing="0" w:after="0" w:afterAutospacing="0"/>
                            </w:pPr>
                            <w:r>
                              <w:rPr>
                                <w:rFonts w:asciiTheme="minorHAnsi" w:hAnsi="Calibri" w:cstheme="minorBidi"/>
                                <w:color w:val="000000" w:themeColor="text1"/>
                                <w:kern w:val="24"/>
                                <w:sz w:val="32"/>
                                <w:szCs w:val="32"/>
                                <w:lang w:val="es-ES"/>
                              </w:rPr>
                              <w:t>*IRR   :  incidence rate ratio</w:t>
                            </w:r>
                          </w:p>
                          <w:p w14:paraId="0F74316C" w14:textId="77777777" w:rsidR="00111973" w:rsidRDefault="00111973" w:rsidP="006B3C10">
                            <w:pPr>
                              <w:pStyle w:val="NormalWeb"/>
                              <w:spacing w:before="0" w:beforeAutospacing="0" w:after="0" w:afterAutospacing="0"/>
                            </w:pPr>
                            <w:r>
                              <w:rPr>
                                <w:rFonts w:asciiTheme="minorHAnsi" w:hAnsi="Calibri" w:cstheme="minorBidi"/>
                                <w:color w:val="000000" w:themeColor="text1"/>
                                <w:kern w:val="24"/>
                                <w:sz w:val="32"/>
                                <w:szCs w:val="32"/>
                                <w:lang w:val="es-ES"/>
                              </w:rPr>
                              <w:t>**MD:  mean difference</w:t>
                            </w:r>
                          </w:p>
                          <w:p w14:paraId="7798C7FC" w14:textId="77777777" w:rsidR="00111973" w:rsidRDefault="00111973" w:rsidP="006B3C10">
                            <w:pPr>
                              <w:pStyle w:val="NormalWeb"/>
                              <w:spacing w:before="0" w:beforeAutospacing="0" w:after="0" w:afterAutospacing="0"/>
                            </w:pPr>
                            <w:r>
                              <w:rPr>
                                <w:rFonts w:asciiTheme="minorHAnsi" w:hAnsi="Calibri" w:cstheme="minorBidi"/>
                                <w:color w:val="000000" w:themeColor="text1"/>
                                <w:kern w:val="24"/>
                                <w:sz w:val="32"/>
                                <w:szCs w:val="32"/>
                                <w:lang w:val="es-ES"/>
                              </w:rPr>
                              <w:t>***RR: risk ratio</w:t>
                            </w:r>
                          </w:p>
                        </w:txbxContent>
                      </wps:txbx>
                      <wps:bodyPr wrap="square" rtlCol="0">
                        <a:spAutoFit/>
                      </wps:bodyPr>
                    </wps:wsp>
                  </a:graphicData>
                </a:graphic>
              </wp:anchor>
            </w:drawing>
          </mc:Choice>
          <mc:Fallback>
            <w:pict>
              <v:shapetype w14:anchorId="027996AB" id="_x0000_t202" coordsize="21600,21600" o:spt="202" path="m,l,21600r21600,l21600,xe">
                <v:stroke joinstyle="miter"/>
                <v:path gradientshapeok="t" o:connecttype="rect"/>
              </v:shapetype>
              <v:shape id="QuadreDeText 4" o:spid="_x0000_s1026" type="#_x0000_t202" style="position:absolute;margin-left:158.4pt;margin-top:799pt;width:705.7pt;height:65.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" filled="f" stroked="f">
                <v:textbox style="mso-fit-shape-to-text:t">
                  <w:txbxContent>
                    <w:p w14:paraId="0C8618DB" w14:textId="77777777" w:rsidR="00111973" w:rsidRDefault="00111973" w:rsidP="006B3C10">
                      <w:pPr>
                        <w:pStyle w:val="NormalWeb"/>
                        <w:spacing w:before="0" w:beforeAutospacing="0" w:after="0" w:afterAutospacing="0"/>
                      </w:pPr>
                      <w:r>
                        <w:rPr>
                          <w:rFonts w:asciiTheme="minorHAnsi" w:hAnsi="Calibri" w:cstheme="minorBidi"/>
                          <w:color w:val="000000" w:themeColor="text1"/>
                          <w:kern w:val="24"/>
                          <w:sz w:val="32"/>
                          <w:szCs w:val="32"/>
                          <w:lang w:val="es-ES"/>
                        </w:rPr>
                        <w:t xml:space="preserve">*IRR   :  </w:t>
                      </w:r>
                      <w:proofErr w:type="spellStart"/>
                      <w:r>
                        <w:rPr>
                          <w:rFonts w:asciiTheme="minorHAnsi" w:hAnsi="Calibri" w:cstheme="minorBidi"/>
                          <w:color w:val="000000" w:themeColor="text1"/>
                          <w:kern w:val="24"/>
                          <w:sz w:val="32"/>
                          <w:szCs w:val="32"/>
                          <w:lang w:val="es-ES"/>
                        </w:rPr>
                        <w:t>incidence</w:t>
                      </w:r>
                      <w:proofErr w:type="spellEnd"/>
                      <w:r>
                        <w:rPr>
                          <w:rFonts w:asciiTheme="minorHAnsi" w:hAnsi="Calibri" w:cstheme="minorBidi"/>
                          <w:color w:val="000000" w:themeColor="text1"/>
                          <w:kern w:val="24"/>
                          <w:sz w:val="32"/>
                          <w:szCs w:val="32"/>
                          <w:lang w:val="es-ES"/>
                        </w:rPr>
                        <w:t xml:space="preserve"> </w:t>
                      </w:r>
                      <w:proofErr w:type="spellStart"/>
                      <w:r>
                        <w:rPr>
                          <w:rFonts w:asciiTheme="minorHAnsi" w:hAnsi="Calibri" w:cstheme="minorBidi"/>
                          <w:color w:val="000000" w:themeColor="text1"/>
                          <w:kern w:val="24"/>
                          <w:sz w:val="32"/>
                          <w:szCs w:val="32"/>
                          <w:lang w:val="es-ES"/>
                        </w:rPr>
                        <w:t>rate</w:t>
                      </w:r>
                      <w:proofErr w:type="spellEnd"/>
                      <w:r>
                        <w:rPr>
                          <w:rFonts w:asciiTheme="minorHAnsi" w:hAnsi="Calibri" w:cstheme="minorBidi"/>
                          <w:color w:val="000000" w:themeColor="text1"/>
                          <w:kern w:val="24"/>
                          <w:sz w:val="32"/>
                          <w:szCs w:val="32"/>
                          <w:lang w:val="es-ES"/>
                        </w:rPr>
                        <w:t xml:space="preserve"> ratio</w:t>
                      </w:r>
                    </w:p>
                    <w:p w14:paraId="0F74316C" w14:textId="77777777" w:rsidR="00111973" w:rsidRDefault="00111973" w:rsidP="006B3C10">
                      <w:pPr>
                        <w:pStyle w:val="NormalWeb"/>
                        <w:spacing w:before="0" w:beforeAutospacing="0" w:after="0" w:afterAutospacing="0"/>
                      </w:pPr>
                      <w:r>
                        <w:rPr>
                          <w:rFonts w:asciiTheme="minorHAnsi" w:hAnsi="Calibri" w:cstheme="minorBidi"/>
                          <w:color w:val="000000" w:themeColor="text1"/>
                          <w:kern w:val="24"/>
                          <w:sz w:val="32"/>
                          <w:szCs w:val="32"/>
                          <w:lang w:val="es-ES"/>
                        </w:rPr>
                        <w:t xml:space="preserve">**MD:  mean </w:t>
                      </w:r>
                      <w:proofErr w:type="spellStart"/>
                      <w:r>
                        <w:rPr>
                          <w:rFonts w:asciiTheme="minorHAnsi" w:hAnsi="Calibri" w:cstheme="minorBidi"/>
                          <w:color w:val="000000" w:themeColor="text1"/>
                          <w:kern w:val="24"/>
                          <w:sz w:val="32"/>
                          <w:szCs w:val="32"/>
                          <w:lang w:val="es-ES"/>
                        </w:rPr>
                        <w:t>difference</w:t>
                      </w:r>
                      <w:proofErr w:type="spellEnd"/>
                    </w:p>
                    <w:p w14:paraId="7798C7FC" w14:textId="77777777" w:rsidR="00111973" w:rsidRDefault="00111973" w:rsidP="006B3C10">
                      <w:pPr>
                        <w:pStyle w:val="NormalWeb"/>
                        <w:spacing w:before="0" w:beforeAutospacing="0" w:after="0" w:afterAutospacing="0"/>
                      </w:pPr>
                      <w:r>
                        <w:rPr>
                          <w:rFonts w:asciiTheme="minorHAnsi" w:hAnsi="Calibri" w:cstheme="minorBidi"/>
                          <w:color w:val="000000" w:themeColor="text1"/>
                          <w:kern w:val="24"/>
                          <w:sz w:val="32"/>
                          <w:szCs w:val="32"/>
                          <w:lang w:val="es-ES"/>
                        </w:rPr>
                        <w:t xml:space="preserve">***RR: </w:t>
                      </w:r>
                      <w:proofErr w:type="spellStart"/>
                      <w:r>
                        <w:rPr>
                          <w:rFonts w:asciiTheme="minorHAnsi" w:hAnsi="Calibri" w:cstheme="minorBidi"/>
                          <w:color w:val="000000" w:themeColor="text1"/>
                          <w:kern w:val="24"/>
                          <w:sz w:val="32"/>
                          <w:szCs w:val="32"/>
                          <w:lang w:val="es-ES"/>
                        </w:rPr>
                        <w:t>risk</w:t>
                      </w:r>
                      <w:proofErr w:type="spellEnd"/>
                      <w:r>
                        <w:rPr>
                          <w:rFonts w:asciiTheme="minorHAnsi" w:hAnsi="Calibri" w:cstheme="minorBidi"/>
                          <w:color w:val="000000" w:themeColor="text1"/>
                          <w:kern w:val="24"/>
                          <w:sz w:val="32"/>
                          <w:szCs w:val="32"/>
                          <w:lang w:val="es-ES"/>
                        </w:rPr>
                        <w:t xml:space="preserve"> ratio</w:t>
                      </w:r>
                    </w:p>
                  </w:txbxContent>
                </v:textbox>
              </v:shape>
            </w:pict>
          </mc:Fallback>
        </mc:AlternateContent>
      </w:r>
      <w:r w:rsidR="00396A12">
        <w:rPr>
          <w:b/>
          <w:bCs/>
          <w:color w:val="000000"/>
          <w:sz w:val="20"/>
          <w:szCs w:val="20"/>
          <w:lang w:val="en"/>
        </w:rPr>
        <w:br w:type="page"/>
      </w:r>
      <w:r w:rsidR="009D67D9" w:rsidRPr="004C505F">
        <w:rPr>
          <w:rFonts w:ascii="Arial" w:hAnsi="Arial" w:cs="Arial"/>
          <w:b/>
          <w:bCs/>
          <w:color w:val="000000"/>
          <w:sz w:val="20"/>
          <w:szCs w:val="20"/>
          <w:lang w:val="en"/>
        </w:rPr>
        <w:lastRenderedPageBreak/>
        <w:t>Table S</w:t>
      </w:r>
      <w:r w:rsidR="004C505F" w:rsidRPr="004C505F">
        <w:rPr>
          <w:rFonts w:ascii="Arial" w:hAnsi="Arial" w:cs="Arial"/>
          <w:b/>
          <w:bCs/>
          <w:color w:val="000000"/>
          <w:sz w:val="20"/>
          <w:szCs w:val="20"/>
          <w:lang w:val="en"/>
        </w:rPr>
        <w:t>5</w:t>
      </w:r>
      <w:r w:rsidR="007A1037">
        <w:rPr>
          <w:rFonts w:ascii="Arial" w:hAnsi="Arial" w:cs="Arial"/>
          <w:b/>
          <w:bCs/>
          <w:color w:val="000000"/>
          <w:sz w:val="20"/>
          <w:szCs w:val="20"/>
          <w:lang w:val="en"/>
        </w:rPr>
        <w:t>2</w:t>
      </w:r>
      <w:r w:rsidR="009D67D9" w:rsidRPr="004C505F">
        <w:rPr>
          <w:rFonts w:ascii="Arial" w:hAnsi="Arial" w:cs="Arial"/>
          <w:b/>
          <w:bCs/>
          <w:color w:val="000000"/>
          <w:sz w:val="20"/>
          <w:szCs w:val="20"/>
          <w:lang w:val="en"/>
        </w:rPr>
        <w:t>: Evidence to decision table supporting recommendations for reslizumab for severe eosinophilic asthma in adults (</w:t>
      </w:r>
      <w:r w:rsidR="00FB5797" w:rsidRPr="004C505F">
        <w:rPr>
          <w:rFonts w:ascii="Arial" w:hAnsi="Arial" w:cs="Arial"/>
          <w:b/>
          <w:bCs/>
          <w:color w:val="000000"/>
          <w:sz w:val="20"/>
          <w:szCs w:val="20"/>
          <w:lang w:val="en"/>
        </w:rPr>
        <w:t>asthma control and QoL</w:t>
      </w:r>
      <w:r w:rsidR="009D67D9" w:rsidRPr="004C505F">
        <w:rPr>
          <w:rFonts w:ascii="Arial" w:hAnsi="Arial" w:cs="Arial"/>
          <w:b/>
          <w:bCs/>
          <w:color w:val="000000"/>
          <w:sz w:val="20"/>
          <w:szCs w:val="20"/>
          <w:lang w:val="en"/>
        </w:rPr>
        <w:t>)</w:t>
      </w:r>
    </w:p>
    <w:p w14:paraId="7A749503" w14:textId="658584DB" w:rsidR="009D67D9" w:rsidRDefault="009D67D9">
      <w:pPr>
        <w:rPr>
          <w:b/>
          <w:bCs/>
          <w:color w:val="000000"/>
          <w:sz w:val="20"/>
          <w:szCs w:val="20"/>
          <w:lang w:val="en"/>
        </w:rPr>
      </w:pPr>
    </w:p>
    <w:tbl>
      <w:tblPr>
        <w:tblW w:w="0" w:type="auto"/>
        <w:tblCellMar>
          <w:left w:w="0" w:type="dxa"/>
          <w:right w:w="0" w:type="dxa"/>
        </w:tblCellMar>
        <w:tblLook w:val="04A0" w:firstRow="1" w:lastRow="0" w:firstColumn="1" w:lastColumn="0" w:noHBand="0" w:noVBand="1"/>
      </w:tblPr>
      <w:tblGrid>
        <w:gridCol w:w="1299"/>
        <w:gridCol w:w="1148"/>
        <w:gridCol w:w="1218"/>
        <w:gridCol w:w="1342"/>
        <w:gridCol w:w="1203"/>
        <w:gridCol w:w="984"/>
        <w:gridCol w:w="734"/>
        <w:gridCol w:w="1072"/>
      </w:tblGrid>
      <w:tr w:rsidR="009D67D9" w:rsidRPr="009D67D9" w14:paraId="70C27142" w14:textId="77777777" w:rsidTr="004C505F">
        <w:trPr>
          <w:trHeight w:val="19"/>
        </w:trPr>
        <w:tc>
          <w:tcPr>
            <w:tcW w:w="0" w:type="auto"/>
            <w:tcBorders>
              <w:top w:val="single" w:sz="8" w:space="0" w:color="FFFFFF"/>
              <w:left w:val="single" w:sz="8" w:space="0" w:color="FFFFFF"/>
              <w:bottom w:val="single" w:sz="24" w:space="0" w:color="FFFFFF"/>
              <w:right w:val="single" w:sz="8" w:space="0" w:color="FFFFFF"/>
            </w:tcBorders>
            <w:shd w:val="clear" w:color="auto" w:fill="5B9BD5"/>
            <w:tcMar>
              <w:top w:w="74" w:type="dxa"/>
              <w:left w:w="74" w:type="dxa"/>
              <w:bottom w:w="74" w:type="dxa"/>
              <w:right w:w="74" w:type="dxa"/>
            </w:tcMar>
            <w:vAlign w:val="center"/>
            <w:hideMark/>
          </w:tcPr>
          <w:p w14:paraId="21CF8F8C" w14:textId="77777777" w:rsidR="009D67D9" w:rsidRPr="009D67D9" w:rsidRDefault="009D67D9" w:rsidP="009D67D9">
            <w:pPr>
              <w:rPr>
                <w:b/>
                <w:bCs/>
                <w:color w:val="000000"/>
                <w:sz w:val="16"/>
                <w:szCs w:val="16"/>
              </w:rPr>
            </w:pPr>
          </w:p>
        </w:tc>
        <w:tc>
          <w:tcPr>
            <w:tcW w:w="0" w:type="auto"/>
            <w:gridSpan w:val="7"/>
            <w:tcBorders>
              <w:top w:val="single" w:sz="8" w:space="0" w:color="FFFFFF"/>
              <w:left w:val="single" w:sz="8" w:space="0" w:color="FFFFFF"/>
              <w:bottom w:val="single" w:sz="24" w:space="0" w:color="FFFFFF"/>
              <w:right w:val="single" w:sz="8" w:space="0" w:color="FFFFFF"/>
            </w:tcBorders>
            <w:shd w:val="clear" w:color="auto" w:fill="5B9BD5"/>
            <w:tcMar>
              <w:top w:w="74" w:type="dxa"/>
              <w:left w:w="74" w:type="dxa"/>
              <w:bottom w:w="74" w:type="dxa"/>
              <w:right w:w="74" w:type="dxa"/>
            </w:tcMar>
            <w:vAlign w:val="center"/>
            <w:hideMark/>
          </w:tcPr>
          <w:p w14:paraId="32C2A861" w14:textId="77777777" w:rsidR="009D67D9" w:rsidRPr="009D67D9" w:rsidRDefault="009D67D9" w:rsidP="009D67D9">
            <w:pPr>
              <w:rPr>
                <w:b/>
                <w:bCs/>
                <w:color w:val="000000"/>
                <w:sz w:val="16"/>
                <w:szCs w:val="16"/>
              </w:rPr>
            </w:pPr>
            <w:r w:rsidRPr="009D67D9">
              <w:rPr>
                <w:b/>
                <w:bCs/>
                <w:color w:val="000000"/>
                <w:sz w:val="16"/>
                <w:szCs w:val="16"/>
              </w:rPr>
              <w:t>Judgement</w:t>
            </w:r>
          </w:p>
        </w:tc>
      </w:tr>
      <w:tr w:rsidR="009D67D9" w:rsidRPr="009D67D9" w14:paraId="7513C02A" w14:textId="77777777" w:rsidTr="004C505F">
        <w:trPr>
          <w:trHeight w:val="529"/>
        </w:trPr>
        <w:tc>
          <w:tcPr>
            <w:tcW w:w="0" w:type="auto"/>
            <w:tcBorders>
              <w:top w:val="single" w:sz="24"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6E7FD544" w14:textId="77777777" w:rsidR="009D67D9" w:rsidRPr="009D67D9" w:rsidRDefault="009D67D9" w:rsidP="009D67D9">
            <w:pPr>
              <w:rPr>
                <w:b/>
                <w:bCs/>
                <w:color w:val="000000"/>
                <w:sz w:val="16"/>
                <w:szCs w:val="16"/>
              </w:rPr>
            </w:pPr>
            <w:r w:rsidRPr="009D67D9">
              <w:rPr>
                <w:b/>
                <w:bCs/>
                <w:color w:val="000000"/>
                <w:sz w:val="16"/>
                <w:szCs w:val="16"/>
              </w:rPr>
              <w:t>Problem (importance)</w:t>
            </w:r>
          </w:p>
        </w:tc>
        <w:tc>
          <w:tcPr>
            <w:tcW w:w="0" w:type="auto"/>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92583AB" w14:textId="77777777" w:rsidR="009D67D9" w:rsidRPr="009D67D9" w:rsidRDefault="009D67D9" w:rsidP="009D67D9">
            <w:pPr>
              <w:rPr>
                <w:b/>
                <w:bCs/>
                <w:color w:val="000000"/>
                <w:sz w:val="16"/>
                <w:szCs w:val="16"/>
              </w:rPr>
            </w:pPr>
            <w:r w:rsidRPr="009D67D9">
              <w:rPr>
                <w:b/>
                <w:bCs/>
                <w:color w:val="000000"/>
                <w:sz w:val="16"/>
                <w:szCs w:val="16"/>
              </w:rPr>
              <w:t>No</w:t>
            </w:r>
          </w:p>
        </w:tc>
        <w:tc>
          <w:tcPr>
            <w:tcW w:w="0" w:type="auto"/>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F391B99" w14:textId="77777777" w:rsidR="009D67D9" w:rsidRPr="009D67D9" w:rsidRDefault="009D67D9" w:rsidP="009D67D9">
            <w:pPr>
              <w:rPr>
                <w:b/>
                <w:bCs/>
                <w:color w:val="000000"/>
                <w:sz w:val="16"/>
                <w:szCs w:val="16"/>
              </w:rPr>
            </w:pPr>
            <w:r w:rsidRPr="009D67D9">
              <w:rPr>
                <w:b/>
                <w:bCs/>
                <w:color w:val="000000"/>
                <w:sz w:val="16"/>
                <w:szCs w:val="16"/>
              </w:rPr>
              <w:t>Probably no</w:t>
            </w:r>
          </w:p>
        </w:tc>
        <w:tc>
          <w:tcPr>
            <w:tcW w:w="0" w:type="auto"/>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CE4ACAC" w14:textId="77777777" w:rsidR="009D67D9" w:rsidRPr="009D67D9" w:rsidRDefault="009D67D9" w:rsidP="009D67D9">
            <w:pPr>
              <w:rPr>
                <w:b/>
                <w:bCs/>
                <w:color w:val="000000"/>
                <w:sz w:val="16"/>
                <w:szCs w:val="16"/>
              </w:rPr>
            </w:pPr>
            <w:r w:rsidRPr="009D67D9">
              <w:rPr>
                <w:b/>
                <w:bCs/>
                <w:color w:val="000000"/>
                <w:sz w:val="16"/>
                <w:szCs w:val="16"/>
              </w:rPr>
              <w:t>Probably yes</w:t>
            </w:r>
          </w:p>
        </w:tc>
        <w:tc>
          <w:tcPr>
            <w:tcW w:w="0" w:type="auto"/>
            <w:tcBorders>
              <w:top w:val="single" w:sz="24" w:space="0" w:color="FFFFFF"/>
              <w:left w:val="single" w:sz="8" w:space="0" w:color="FFFFFF"/>
              <w:bottom w:val="single" w:sz="8" w:space="0" w:color="FFFFFF"/>
              <w:right w:val="single" w:sz="8" w:space="0" w:color="FFFFFF"/>
            </w:tcBorders>
            <w:shd w:val="clear" w:color="auto" w:fill="D6DCE5"/>
            <w:tcMar>
              <w:top w:w="74" w:type="dxa"/>
              <w:left w:w="74" w:type="dxa"/>
              <w:bottom w:w="74" w:type="dxa"/>
              <w:right w:w="74" w:type="dxa"/>
            </w:tcMar>
            <w:vAlign w:val="center"/>
            <w:hideMark/>
          </w:tcPr>
          <w:p w14:paraId="6BC1387E" w14:textId="77777777" w:rsidR="009D67D9" w:rsidRPr="009D67D9" w:rsidRDefault="009D67D9" w:rsidP="009D67D9">
            <w:pPr>
              <w:rPr>
                <w:b/>
                <w:bCs/>
                <w:color w:val="000000"/>
                <w:sz w:val="16"/>
                <w:szCs w:val="16"/>
              </w:rPr>
            </w:pPr>
            <w:r w:rsidRPr="009D67D9">
              <w:rPr>
                <w:b/>
                <w:bCs/>
                <w:color w:val="000000"/>
                <w:sz w:val="16"/>
                <w:szCs w:val="16"/>
              </w:rPr>
              <w:t>Yes</w:t>
            </w:r>
          </w:p>
        </w:tc>
        <w:tc>
          <w:tcPr>
            <w:tcW w:w="984"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EA13D45" w14:textId="77777777" w:rsidR="009D67D9" w:rsidRPr="009D67D9" w:rsidRDefault="009D67D9" w:rsidP="009D67D9">
            <w:pPr>
              <w:rPr>
                <w:b/>
                <w:bCs/>
                <w:color w:val="000000"/>
                <w:sz w:val="16"/>
                <w:szCs w:val="16"/>
              </w:rPr>
            </w:pPr>
          </w:p>
        </w:tc>
        <w:tc>
          <w:tcPr>
            <w:tcW w:w="734" w:type="dxa"/>
            <w:tcBorders>
              <w:top w:val="single" w:sz="24"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3AB877E1" w14:textId="77777777" w:rsidR="009D67D9" w:rsidRPr="009D67D9" w:rsidRDefault="009D67D9" w:rsidP="009D67D9">
            <w:pPr>
              <w:rPr>
                <w:b/>
                <w:bCs/>
                <w:color w:val="000000"/>
                <w:sz w:val="16"/>
                <w:szCs w:val="16"/>
              </w:rPr>
            </w:pPr>
            <w:r w:rsidRPr="009D67D9">
              <w:rPr>
                <w:b/>
                <w:bCs/>
                <w:color w:val="000000"/>
                <w:sz w:val="16"/>
                <w:szCs w:val="16"/>
              </w:rPr>
              <w:t>Varies</w:t>
            </w:r>
          </w:p>
        </w:tc>
        <w:tc>
          <w:tcPr>
            <w:tcW w:w="1072" w:type="dxa"/>
            <w:tcBorders>
              <w:top w:val="single" w:sz="24"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1DBB74C" w14:textId="77777777" w:rsidR="009D67D9" w:rsidRPr="009D67D9" w:rsidRDefault="009D67D9" w:rsidP="009D67D9">
            <w:pPr>
              <w:rPr>
                <w:b/>
                <w:bCs/>
                <w:color w:val="000000"/>
                <w:sz w:val="16"/>
                <w:szCs w:val="16"/>
              </w:rPr>
            </w:pPr>
            <w:r w:rsidRPr="009D67D9">
              <w:rPr>
                <w:b/>
                <w:bCs/>
                <w:color w:val="000000"/>
                <w:sz w:val="16"/>
                <w:szCs w:val="16"/>
              </w:rPr>
              <w:t>Don't know</w:t>
            </w:r>
          </w:p>
        </w:tc>
      </w:tr>
      <w:tr w:rsidR="009D67D9" w:rsidRPr="009D67D9" w14:paraId="133A089D" w14:textId="77777777" w:rsidTr="004C505F">
        <w:trPr>
          <w:trHeight w:val="101"/>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11BFF822" w14:textId="77777777" w:rsidR="009D67D9" w:rsidRPr="009D67D9" w:rsidRDefault="009D67D9" w:rsidP="009D67D9">
            <w:pPr>
              <w:rPr>
                <w:b/>
                <w:bCs/>
                <w:color w:val="000000"/>
                <w:sz w:val="16"/>
                <w:szCs w:val="16"/>
              </w:rPr>
            </w:pPr>
            <w:r w:rsidRPr="009D67D9">
              <w:rPr>
                <w:b/>
                <w:bCs/>
                <w:color w:val="000000"/>
                <w:sz w:val="16"/>
                <w:szCs w:val="16"/>
              </w:rPr>
              <w:t>Desirable Effects</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C9EE0FC" w14:textId="77777777" w:rsidR="009D67D9" w:rsidRPr="009D67D9" w:rsidRDefault="009D67D9" w:rsidP="009D67D9">
            <w:pPr>
              <w:rPr>
                <w:b/>
                <w:bCs/>
                <w:color w:val="000000"/>
                <w:sz w:val="16"/>
                <w:szCs w:val="16"/>
              </w:rPr>
            </w:pPr>
            <w:r w:rsidRPr="009D67D9">
              <w:rPr>
                <w:b/>
                <w:bCs/>
                <w:color w:val="000000"/>
                <w:sz w:val="16"/>
                <w:szCs w:val="16"/>
              </w:rPr>
              <w:t>Trivial</w:t>
            </w:r>
          </w:p>
        </w:tc>
        <w:tc>
          <w:tcPr>
            <w:tcW w:w="0" w:type="auto"/>
            <w:tcBorders>
              <w:top w:val="single" w:sz="8" w:space="0" w:color="FFFFFF"/>
              <w:left w:val="single" w:sz="8" w:space="0" w:color="FFFFFF"/>
              <w:bottom w:val="single" w:sz="8" w:space="0" w:color="FFFFFF"/>
              <w:right w:val="single" w:sz="8" w:space="0" w:color="FFFFFF"/>
            </w:tcBorders>
            <w:shd w:val="clear" w:color="auto" w:fill="D0CECE"/>
            <w:tcMar>
              <w:top w:w="74" w:type="dxa"/>
              <w:left w:w="74" w:type="dxa"/>
              <w:bottom w:w="74" w:type="dxa"/>
              <w:right w:w="74" w:type="dxa"/>
            </w:tcMar>
            <w:vAlign w:val="center"/>
            <w:hideMark/>
          </w:tcPr>
          <w:p w14:paraId="4629D29A" w14:textId="77777777" w:rsidR="009D67D9" w:rsidRPr="009D67D9" w:rsidRDefault="009D67D9" w:rsidP="009D67D9">
            <w:pPr>
              <w:rPr>
                <w:b/>
                <w:bCs/>
                <w:color w:val="000000"/>
                <w:sz w:val="16"/>
                <w:szCs w:val="16"/>
              </w:rPr>
            </w:pPr>
            <w:r w:rsidRPr="009D67D9">
              <w:rPr>
                <w:b/>
                <w:bCs/>
                <w:color w:val="000000"/>
                <w:sz w:val="16"/>
                <w:szCs w:val="16"/>
              </w:rPr>
              <w:t>Small</w:t>
            </w:r>
          </w:p>
        </w:tc>
        <w:tc>
          <w:tcPr>
            <w:tcW w:w="0" w:type="auto"/>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4D813A7B" w14:textId="77777777" w:rsidR="009D67D9" w:rsidRPr="009D67D9" w:rsidRDefault="009D67D9" w:rsidP="009D67D9">
            <w:pPr>
              <w:rPr>
                <w:b/>
                <w:bCs/>
                <w:color w:val="000000"/>
                <w:sz w:val="16"/>
                <w:szCs w:val="16"/>
              </w:rPr>
            </w:pPr>
            <w:r w:rsidRPr="009D67D9">
              <w:rPr>
                <w:b/>
                <w:bCs/>
                <w:color w:val="000000"/>
                <w:sz w:val="16"/>
                <w:szCs w:val="16"/>
              </w:rPr>
              <w:t>Moderate</w:t>
            </w:r>
          </w:p>
        </w:tc>
        <w:tc>
          <w:tcPr>
            <w:tcW w:w="0" w:type="auto"/>
            <w:tcBorders>
              <w:top w:val="single" w:sz="8" w:space="0" w:color="FFFFFF"/>
              <w:left w:val="single" w:sz="8" w:space="0" w:color="FFFFFF"/>
              <w:bottom w:val="single" w:sz="8" w:space="0" w:color="FFFFFF"/>
              <w:right w:val="single" w:sz="8" w:space="0" w:color="FFFFFF"/>
            </w:tcBorders>
            <w:shd w:val="clear" w:color="auto" w:fill="E7E6E6"/>
            <w:tcMar>
              <w:top w:w="74" w:type="dxa"/>
              <w:left w:w="74" w:type="dxa"/>
              <w:bottom w:w="74" w:type="dxa"/>
              <w:right w:w="74" w:type="dxa"/>
            </w:tcMar>
            <w:vAlign w:val="center"/>
            <w:hideMark/>
          </w:tcPr>
          <w:p w14:paraId="71AD6708" w14:textId="77777777" w:rsidR="009D67D9" w:rsidRPr="009D67D9" w:rsidRDefault="009D67D9" w:rsidP="009D67D9">
            <w:pPr>
              <w:rPr>
                <w:b/>
                <w:bCs/>
                <w:color w:val="000000"/>
                <w:sz w:val="16"/>
                <w:szCs w:val="16"/>
              </w:rPr>
            </w:pPr>
            <w:r w:rsidRPr="009D67D9">
              <w:rPr>
                <w:b/>
                <w:bCs/>
                <w:color w:val="000000"/>
                <w:sz w:val="16"/>
                <w:szCs w:val="16"/>
              </w:rPr>
              <w:t>Large</w:t>
            </w:r>
          </w:p>
        </w:tc>
        <w:tc>
          <w:tcPr>
            <w:tcW w:w="98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456A2C2" w14:textId="77777777" w:rsidR="009D67D9" w:rsidRPr="009D67D9" w:rsidRDefault="009D67D9" w:rsidP="009D67D9">
            <w:pPr>
              <w:rPr>
                <w:b/>
                <w:bCs/>
                <w:color w:val="000000"/>
                <w:sz w:val="16"/>
                <w:szCs w:val="16"/>
              </w:rPr>
            </w:pPr>
          </w:p>
        </w:tc>
        <w:tc>
          <w:tcPr>
            <w:tcW w:w="73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AAEA1E7" w14:textId="77777777" w:rsidR="009D67D9" w:rsidRPr="009D67D9" w:rsidRDefault="009D67D9" w:rsidP="009D67D9">
            <w:pPr>
              <w:rPr>
                <w:b/>
                <w:bCs/>
                <w:color w:val="000000"/>
                <w:sz w:val="16"/>
                <w:szCs w:val="16"/>
              </w:rPr>
            </w:pPr>
            <w:r w:rsidRPr="009D67D9">
              <w:rPr>
                <w:b/>
                <w:bCs/>
                <w:color w:val="000000"/>
                <w:sz w:val="16"/>
                <w:szCs w:val="16"/>
              </w:rPr>
              <w:t>Varies</w:t>
            </w:r>
          </w:p>
        </w:tc>
        <w:tc>
          <w:tcPr>
            <w:tcW w:w="1072"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885E1F4" w14:textId="77777777" w:rsidR="009D67D9" w:rsidRPr="009D67D9" w:rsidRDefault="009D67D9" w:rsidP="009D67D9">
            <w:pPr>
              <w:rPr>
                <w:b/>
                <w:bCs/>
                <w:color w:val="000000"/>
                <w:sz w:val="16"/>
                <w:szCs w:val="16"/>
              </w:rPr>
            </w:pPr>
            <w:r w:rsidRPr="009D67D9">
              <w:rPr>
                <w:b/>
                <w:bCs/>
                <w:color w:val="000000"/>
                <w:sz w:val="16"/>
                <w:szCs w:val="16"/>
              </w:rPr>
              <w:t>Don't know</w:t>
            </w:r>
          </w:p>
        </w:tc>
      </w:tr>
      <w:tr w:rsidR="009D67D9" w:rsidRPr="009D67D9" w14:paraId="0306F9C3" w14:textId="77777777" w:rsidTr="004C505F">
        <w:trPr>
          <w:trHeight w:val="266"/>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346920A4" w14:textId="77777777" w:rsidR="009D67D9" w:rsidRPr="009D67D9" w:rsidRDefault="009D67D9" w:rsidP="009D67D9">
            <w:pPr>
              <w:rPr>
                <w:b/>
                <w:bCs/>
                <w:color w:val="000000"/>
                <w:sz w:val="16"/>
                <w:szCs w:val="16"/>
              </w:rPr>
            </w:pPr>
            <w:r w:rsidRPr="009D67D9">
              <w:rPr>
                <w:b/>
                <w:bCs/>
                <w:color w:val="000000"/>
                <w:sz w:val="16"/>
                <w:szCs w:val="16"/>
              </w:rPr>
              <w:t>Undesirable Effects</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015F07F" w14:textId="77777777" w:rsidR="009D67D9" w:rsidRPr="009D67D9" w:rsidRDefault="009D67D9" w:rsidP="009D67D9">
            <w:pPr>
              <w:rPr>
                <w:b/>
                <w:bCs/>
                <w:color w:val="000000"/>
                <w:sz w:val="16"/>
                <w:szCs w:val="16"/>
              </w:rPr>
            </w:pPr>
            <w:r w:rsidRPr="009D67D9">
              <w:rPr>
                <w:b/>
                <w:bCs/>
                <w:color w:val="000000"/>
                <w:sz w:val="16"/>
                <w:szCs w:val="16"/>
              </w:rPr>
              <w:t>Large</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4B80577" w14:textId="77777777" w:rsidR="009D67D9" w:rsidRPr="009D67D9" w:rsidRDefault="009D67D9" w:rsidP="009D67D9">
            <w:pPr>
              <w:rPr>
                <w:b/>
                <w:bCs/>
                <w:color w:val="000000"/>
                <w:sz w:val="16"/>
                <w:szCs w:val="16"/>
              </w:rPr>
            </w:pPr>
            <w:r w:rsidRPr="009D67D9">
              <w:rPr>
                <w:b/>
                <w:bCs/>
                <w:color w:val="000000"/>
                <w:sz w:val="16"/>
                <w:szCs w:val="16"/>
              </w:rPr>
              <w:t>Moderate</w:t>
            </w:r>
          </w:p>
        </w:tc>
        <w:tc>
          <w:tcPr>
            <w:tcW w:w="0" w:type="auto"/>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42B66B17" w14:textId="77777777" w:rsidR="009D67D9" w:rsidRPr="009D67D9" w:rsidRDefault="009D67D9" w:rsidP="009D67D9">
            <w:pPr>
              <w:rPr>
                <w:b/>
                <w:bCs/>
                <w:color w:val="000000"/>
                <w:sz w:val="16"/>
                <w:szCs w:val="16"/>
              </w:rPr>
            </w:pPr>
            <w:r w:rsidRPr="009D67D9">
              <w:rPr>
                <w:b/>
                <w:bCs/>
                <w:color w:val="000000"/>
                <w:sz w:val="16"/>
                <w:szCs w:val="16"/>
              </w:rPr>
              <w:t>Small</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B37286B" w14:textId="77777777" w:rsidR="009D67D9" w:rsidRPr="009D67D9" w:rsidRDefault="009D67D9" w:rsidP="009D67D9">
            <w:pPr>
              <w:rPr>
                <w:b/>
                <w:bCs/>
                <w:color w:val="000000"/>
                <w:sz w:val="16"/>
                <w:szCs w:val="16"/>
              </w:rPr>
            </w:pPr>
            <w:r w:rsidRPr="009D67D9">
              <w:rPr>
                <w:b/>
                <w:bCs/>
                <w:color w:val="000000"/>
                <w:sz w:val="16"/>
                <w:szCs w:val="16"/>
              </w:rPr>
              <w:t>Trivial</w:t>
            </w:r>
          </w:p>
        </w:tc>
        <w:tc>
          <w:tcPr>
            <w:tcW w:w="98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E16939F" w14:textId="77777777" w:rsidR="009D67D9" w:rsidRPr="009D67D9" w:rsidRDefault="009D67D9" w:rsidP="009D67D9">
            <w:pPr>
              <w:rPr>
                <w:b/>
                <w:bCs/>
                <w:color w:val="000000"/>
                <w:sz w:val="16"/>
                <w:szCs w:val="16"/>
              </w:rPr>
            </w:pPr>
          </w:p>
        </w:tc>
        <w:tc>
          <w:tcPr>
            <w:tcW w:w="73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32A1342" w14:textId="77777777" w:rsidR="009D67D9" w:rsidRPr="009D67D9" w:rsidRDefault="009D67D9" w:rsidP="009D67D9">
            <w:pPr>
              <w:rPr>
                <w:b/>
                <w:bCs/>
                <w:color w:val="000000"/>
                <w:sz w:val="16"/>
                <w:szCs w:val="16"/>
              </w:rPr>
            </w:pPr>
            <w:r w:rsidRPr="009D67D9">
              <w:rPr>
                <w:b/>
                <w:bCs/>
                <w:color w:val="000000"/>
                <w:sz w:val="16"/>
                <w:szCs w:val="16"/>
              </w:rPr>
              <w:t>Varies</w:t>
            </w:r>
          </w:p>
        </w:tc>
        <w:tc>
          <w:tcPr>
            <w:tcW w:w="1072"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0316BF3" w14:textId="77777777" w:rsidR="009D67D9" w:rsidRPr="009D67D9" w:rsidRDefault="009D67D9" w:rsidP="009D67D9">
            <w:pPr>
              <w:rPr>
                <w:b/>
                <w:bCs/>
                <w:color w:val="000000"/>
                <w:sz w:val="16"/>
                <w:szCs w:val="16"/>
              </w:rPr>
            </w:pPr>
            <w:r w:rsidRPr="009D67D9">
              <w:rPr>
                <w:b/>
                <w:bCs/>
                <w:color w:val="000000"/>
                <w:sz w:val="16"/>
                <w:szCs w:val="16"/>
              </w:rPr>
              <w:t>Don't know</w:t>
            </w:r>
          </w:p>
        </w:tc>
      </w:tr>
      <w:tr w:rsidR="00FB5797" w:rsidRPr="009D67D9" w14:paraId="7C29F6FA" w14:textId="77777777" w:rsidTr="004C505F">
        <w:trPr>
          <w:trHeight w:val="136"/>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3DA865F5" w14:textId="77777777" w:rsidR="009D67D9" w:rsidRPr="009D67D9" w:rsidRDefault="009D67D9" w:rsidP="009D67D9">
            <w:pPr>
              <w:rPr>
                <w:b/>
                <w:bCs/>
                <w:color w:val="000000"/>
                <w:sz w:val="16"/>
                <w:szCs w:val="16"/>
              </w:rPr>
            </w:pPr>
            <w:r w:rsidRPr="009D67D9">
              <w:rPr>
                <w:b/>
                <w:bCs/>
                <w:color w:val="000000"/>
                <w:sz w:val="16"/>
                <w:szCs w:val="16"/>
              </w:rPr>
              <w:t>Certainty of evidence</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05C3378" w14:textId="77777777" w:rsidR="009D67D9" w:rsidRPr="009D67D9" w:rsidRDefault="009D67D9" w:rsidP="009D67D9">
            <w:pPr>
              <w:rPr>
                <w:b/>
                <w:bCs/>
                <w:color w:val="000000"/>
                <w:sz w:val="16"/>
                <w:szCs w:val="16"/>
              </w:rPr>
            </w:pPr>
            <w:r w:rsidRPr="009D67D9">
              <w:rPr>
                <w:b/>
                <w:bCs/>
                <w:color w:val="000000"/>
                <w:sz w:val="16"/>
                <w:szCs w:val="16"/>
              </w:rPr>
              <w:t>Very low</w:t>
            </w:r>
          </w:p>
        </w:tc>
        <w:tc>
          <w:tcPr>
            <w:tcW w:w="0" w:type="auto"/>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4" w:type="dxa"/>
              <w:left w:w="74" w:type="dxa"/>
              <w:bottom w:w="74" w:type="dxa"/>
              <w:right w:w="74" w:type="dxa"/>
            </w:tcMar>
            <w:vAlign w:val="center"/>
            <w:hideMark/>
          </w:tcPr>
          <w:p w14:paraId="6C2F41FB" w14:textId="77777777" w:rsidR="009D67D9" w:rsidRPr="009D67D9" w:rsidRDefault="009D67D9" w:rsidP="009D67D9">
            <w:pPr>
              <w:rPr>
                <w:b/>
                <w:bCs/>
                <w:color w:val="000000"/>
                <w:sz w:val="16"/>
                <w:szCs w:val="16"/>
              </w:rPr>
            </w:pPr>
            <w:r w:rsidRPr="009D67D9">
              <w:rPr>
                <w:b/>
                <w:bCs/>
                <w:color w:val="000000"/>
                <w:sz w:val="16"/>
                <w:szCs w:val="16"/>
              </w:rPr>
              <w:t>Low</w:t>
            </w:r>
          </w:p>
        </w:tc>
        <w:tc>
          <w:tcPr>
            <w:tcW w:w="0" w:type="auto"/>
            <w:tcBorders>
              <w:top w:val="single" w:sz="8" w:space="0" w:color="FFFFFF"/>
              <w:left w:val="single" w:sz="8" w:space="0" w:color="FFFFFF"/>
              <w:bottom w:val="single" w:sz="8" w:space="0" w:color="FFFFFF"/>
              <w:right w:val="single" w:sz="8" w:space="0" w:color="FFFFFF"/>
            </w:tcBorders>
            <w:shd w:val="clear" w:color="auto" w:fill="D6DCE5"/>
            <w:tcMar>
              <w:top w:w="74" w:type="dxa"/>
              <w:left w:w="74" w:type="dxa"/>
              <w:bottom w:w="74" w:type="dxa"/>
              <w:right w:w="74" w:type="dxa"/>
            </w:tcMar>
            <w:vAlign w:val="center"/>
            <w:hideMark/>
          </w:tcPr>
          <w:p w14:paraId="6C032DA6" w14:textId="77777777" w:rsidR="009D67D9" w:rsidRPr="009D67D9" w:rsidRDefault="009D67D9" w:rsidP="009D67D9">
            <w:pPr>
              <w:rPr>
                <w:b/>
                <w:bCs/>
                <w:color w:val="000000"/>
                <w:sz w:val="16"/>
                <w:szCs w:val="16"/>
              </w:rPr>
            </w:pPr>
            <w:r w:rsidRPr="009D67D9">
              <w:rPr>
                <w:b/>
                <w:bCs/>
                <w:color w:val="000000"/>
                <w:sz w:val="16"/>
                <w:szCs w:val="16"/>
              </w:rPr>
              <w:t>Moderate</w:t>
            </w:r>
          </w:p>
        </w:tc>
        <w:tc>
          <w:tcPr>
            <w:tcW w:w="0" w:type="auto"/>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50FB1E15" w14:textId="77777777" w:rsidR="009D67D9" w:rsidRPr="009D67D9" w:rsidRDefault="009D67D9" w:rsidP="009D67D9">
            <w:pPr>
              <w:rPr>
                <w:b/>
                <w:bCs/>
                <w:color w:val="000000"/>
                <w:sz w:val="16"/>
                <w:szCs w:val="16"/>
              </w:rPr>
            </w:pPr>
            <w:r w:rsidRPr="009D67D9">
              <w:rPr>
                <w:b/>
                <w:bCs/>
                <w:color w:val="000000"/>
                <w:sz w:val="16"/>
                <w:szCs w:val="16"/>
              </w:rPr>
              <w:t>High</w:t>
            </w:r>
          </w:p>
        </w:tc>
        <w:tc>
          <w:tcPr>
            <w:tcW w:w="98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CBDF14E" w14:textId="77777777" w:rsidR="009D67D9" w:rsidRPr="009D67D9" w:rsidRDefault="009D67D9" w:rsidP="009D67D9">
            <w:pPr>
              <w:rPr>
                <w:b/>
                <w:bCs/>
                <w:color w:val="000000"/>
                <w:sz w:val="16"/>
                <w:szCs w:val="16"/>
              </w:rPr>
            </w:pPr>
          </w:p>
        </w:tc>
        <w:tc>
          <w:tcPr>
            <w:tcW w:w="73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DDF29D5" w14:textId="77777777" w:rsidR="009D67D9" w:rsidRPr="009D67D9" w:rsidRDefault="009D67D9" w:rsidP="009D67D9">
            <w:pPr>
              <w:rPr>
                <w:b/>
                <w:bCs/>
                <w:color w:val="000000"/>
                <w:sz w:val="16"/>
                <w:szCs w:val="16"/>
              </w:rPr>
            </w:pPr>
          </w:p>
        </w:tc>
        <w:tc>
          <w:tcPr>
            <w:tcW w:w="1072"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554AAD1" w14:textId="30020EDD" w:rsidR="009D67D9" w:rsidRPr="009D67D9" w:rsidRDefault="009D67D9" w:rsidP="009D67D9">
            <w:pPr>
              <w:rPr>
                <w:b/>
                <w:bCs/>
                <w:color w:val="000000"/>
                <w:sz w:val="16"/>
                <w:szCs w:val="16"/>
              </w:rPr>
            </w:pPr>
            <w:r w:rsidRPr="009D67D9">
              <w:rPr>
                <w:b/>
                <w:bCs/>
                <w:color w:val="000000"/>
                <w:sz w:val="16"/>
                <w:szCs w:val="16"/>
              </w:rPr>
              <w:t xml:space="preserve">No </w:t>
            </w:r>
            <w:r w:rsidR="004C505F" w:rsidRPr="009D67D9">
              <w:rPr>
                <w:b/>
                <w:bCs/>
                <w:color w:val="000000"/>
                <w:sz w:val="16"/>
                <w:szCs w:val="16"/>
              </w:rPr>
              <w:t xml:space="preserve">studies </w:t>
            </w:r>
            <w:r w:rsidRPr="009D67D9">
              <w:rPr>
                <w:b/>
                <w:bCs/>
                <w:color w:val="000000"/>
                <w:sz w:val="16"/>
                <w:szCs w:val="16"/>
              </w:rPr>
              <w:t xml:space="preserve">included </w:t>
            </w:r>
          </w:p>
        </w:tc>
      </w:tr>
      <w:tr w:rsidR="009D67D9" w:rsidRPr="009D67D9" w14:paraId="2B55BBD7" w14:textId="77777777" w:rsidTr="004C505F">
        <w:trPr>
          <w:trHeight w:val="287"/>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70F4D9F7" w14:textId="77777777" w:rsidR="009D67D9" w:rsidRPr="009D67D9" w:rsidRDefault="009D67D9" w:rsidP="009D67D9">
            <w:pPr>
              <w:rPr>
                <w:b/>
                <w:bCs/>
                <w:color w:val="000000"/>
                <w:sz w:val="16"/>
                <w:szCs w:val="16"/>
              </w:rPr>
            </w:pPr>
            <w:r w:rsidRPr="009D67D9">
              <w:rPr>
                <w:b/>
                <w:bCs/>
                <w:color w:val="000000"/>
                <w:sz w:val="16"/>
                <w:szCs w:val="16"/>
              </w:rPr>
              <w:t>Values</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C5AD063" w14:textId="77777777" w:rsidR="009D67D9" w:rsidRPr="009D67D9" w:rsidRDefault="009D67D9" w:rsidP="009D67D9">
            <w:pPr>
              <w:rPr>
                <w:b/>
                <w:bCs/>
                <w:color w:val="000000"/>
                <w:sz w:val="16"/>
                <w:szCs w:val="16"/>
              </w:rPr>
            </w:pPr>
            <w:r w:rsidRPr="009D67D9">
              <w:rPr>
                <w:b/>
                <w:bCs/>
                <w:color w:val="000000"/>
                <w:sz w:val="16"/>
                <w:szCs w:val="16"/>
              </w:rPr>
              <w:t>Important uncertainty or variability</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2F96950" w14:textId="77777777" w:rsidR="009D67D9" w:rsidRPr="009D67D9" w:rsidRDefault="009D67D9" w:rsidP="009D67D9">
            <w:pPr>
              <w:rPr>
                <w:b/>
                <w:bCs/>
                <w:color w:val="000000"/>
                <w:sz w:val="16"/>
                <w:szCs w:val="16"/>
              </w:rPr>
            </w:pPr>
            <w:r w:rsidRPr="009D67D9">
              <w:rPr>
                <w:b/>
                <w:bCs/>
                <w:color w:val="000000"/>
                <w:sz w:val="16"/>
                <w:szCs w:val="16"/>
              </w:rPr>
              <w:t>Possibly important uncertainty or variability</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54A0BEF" w14:textId="77777777" w:rsidR="009D67D9" w:rsidRPr="009D67D9" w:rsidRDefault="009D67D9" w:rsidP="009D67D9">
            <w:pPr>
              <w:rPr>
                <w:b/>
                <w:bCs/>
                <w:color w:val="000000"/>
                <w:sz w:val="16"/>
                <w:szCs w:val="16"/>
              </w:rPr>
            </w:pPr>
            <w:r w:rsidRPr="009D67D9">
              <w:rPr>
                <w:b/>
                <w:bCs/>
                <w:color w:val="000000"/>
                <w:sz w:val="16"/>
                <w:szCs w:val="16"/>
              </w:rPr>
              <w:t>Probably no important uncertainty or variability</w:t>
            </w:r>
          </w:p>
        </w:tc>
        <w:tc>
          <w:tcPr>
            <w:tcW w:w="0" w:type="auto"/>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34B8C2EA" w14:textId="77777777" w:rsidR="009D67D9" w:rsidRPr="009D67D9" w:rsidRDefault="009D67D9" w:rsidP="009D67D9">
            <w:pPr>
              <w:rPr>
                <w:b/>
                <w:bCs/>
                <w:color w:val="000000"/>
                <w:sz w:val="16"/>
                <w:szCs w:val="16"/>
              </w:rPr>
            </w:pPr>
            <w:r w:rsidRPr="009D67D9">
              <w:rPr>
                <w:b/>
                <w:bCs/>
                <w:color w:val="000000"/>
                <w:sz w:val="16"/>
                <w:szCs w:val="16"/>
              </w:rPr>
              <w:t>no important uncertainty or variability</w:t>
            </w:r>
          </w:p>
        </w:tc>
        <w:tc>
          <w:tcPr>
            <w:tcW w:w="98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F1A64D9" w14:textId="77777777" w:rsidR="009D67D9" w:rsidRPr="009D67D9" w:rsidRDefault="009D67D9" w:rsidP="009D67D9">
            <w:pPr>
              <w:rPr>
                <w:b/>
                <w:bCs/>
                <w:color w:val="000000"/>
                <w:sz w:val="16"/>
                <w:szCs w:val="16"/>
              </w:rPr>
            </w:pPr>
          </w:p>
        </w:tc>
        <w:tc>
          <w:tcPr>
            <w:tcW w:w="73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29BAA82" w14:textId="77777777" w:rsidR="009D67D9" w:rsidRPr="009D67D9" w:rsidRDefault="009D67D9" w:rsidP="009D67D9">
            <w:pPr>
              <w:rPr>
                <w:b/>
                <w:bCs/>
                <w:color w:val="000000"/>
                <w:sz w:val="16"/>
                <w:szCs w:val="16"/>
              </w:rPr>
            </w:pPr>
          </w:p>
        </w:tc>
        <w:tc>
          <w:tcPr>
            <w:tcW w:w="1072"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8E8F041" w14:textId="77777777" w:rsidR="009D67D9" w:rsidRPr="009D67D9" w:rsidRDefault="009D67D9" w:rsidP="009D67D9">
            <w:pPr>
              <w:rPr>
                <w:b/>
                <w:bCs/>
                <w:color w:val="000000"/>
                <w:sz w:val="16"/>
                <w:szCs w:val="16"/>
              </w:rPr>
            </w:pPr>
          </w:p>
        </w:tc>
      </w:tr>
      <w:tr w:rsidR="009D67D9" w:rsidRPr="009D67D9" w14:paraId="54BB0D89" w14:textId="77777777" w:rsidTr="004C505F">
        <w:trPr>
          <w:trHeight w:val="151"/>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1313F2DC" w14:textId="77777777" w:rsidR="009D67D9" w:rsidRPr="009D67D9" w:rsidRDefault="009D67D9" w:rsidP="009D67D9">
            <w:pPr>
              <w:rPr>
                <w:b/>
                <w:bCs/>
                <w:color w:val="000000"/>
                <w:sz w:val="16"/>
                <w:szCs w:val="16"/>
              </w:rPr>
            </w:pPr>
            <w:r w:rsidRPr="009D67D9">
              <w:rPr>
                <w:b/>
                <w:bCs/>
                <w:color w:val="000000"/>
                <w:sz w:val="16"/>
                <w:szCs w:val="16"/>
              </w:rPr>
              <w:t>Balance of effects</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F58ADE5" w14:textId="77777777" w:rsidR="009D67D9" w:rsidRPr="009D67D9" w:rsidRDefault="009D67D9" w:rsidP="009D67D9">
            <w:pPr>
              <w:rPr>
                <w:b/>
                <w:bCs/>
                <w:color w:val="000000"/>
                <w:sz w:val="16"/>
                <w:szCs w:val="16"/>
              </w:rPr>
            </w:pPr>
            <w:r w:rsidRPr="009D67D9">
              <w:rPr>
                <w:b/>
                <w:bCs/>
                <w:color w:val="000000"/>
                <w:sz w:val="16"/>
                <w:szCs w:val="16"/>
              </w:rPr>
              <w:t>Favors the comparison</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8143171" w14:textId="77777777" w:rsidR="009D67D9" w:rsidRPr="009D67D9" w:rsidRDefault="009D67D9" w:rsidP="009D67D9">
            <w:pPr>
              <w:rPr>
                <w:b/>
                <w:bCs/>
                <w:color w:val="000000"/>
                <w:sz w:val="16"/>
                <w:szCs w:val="16"/>
              </w:rPr>
            </w:pPr>
            <w:r w:rsidRPr="009D67D9">
              <w:rPr>
                <w:b/>
                <w:bCs/>
                <w:color w:val="000000"/>
                <w:sz w:val="16"/>
                <w:szCs w:val="16"/>
              </w:rPr>
              <w:t>Probably favors the comparison</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9B96A49" w14:textId="77777777" w:rsidR="009D67D9" w:rsidRPr="009D67D9" w:rsidRDefault="009D67D9" w:rsidP="009D67D9">
            <w:pPr>
              <w:rPr>
                <w:b/>
                <w:bCs/>
                <w:color w:val="000000"/>
                <w:sz w:val="16"/>
                <w:szCs w:val="16"/>
              </w:rPr>
            </w:pPr>
            <w:r w:rsidRPr="009D67D9">
              <w:rPr>
                <w:b/>
                <w:bCs/>
                <w:color w:val="000000"/>
                <w:sz w:val="16"/>
                <w:szCs w:val="16"/>
              </w:rPr>
              <w:t>Does not favor either the intervention or the comparison</w:t>
            </w:r>
          </w:p>
        </w:tc>
        <w:tc>
          <w:tcPr>
            <w:tcW w:w="0" w:type="auto"/>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292F28C5" w14:textId="77777777" w:rsidR="009D67D9" w:rsidRPr="009D67D9" w:rsidRDefault="009D67D9" w:rsidP="009D67D9">
            <w:pPr>
              <w:rPr>
                <w:b/>
                <w:bCs/>
                <w:color w:val="000000"/>
                <w:sz w:val="16"/>
                <w:szCs w:val="16"/>
              </w:rPr>
            </w:pPr>
            <w:r w:rsidRPr="009D67D9">
              <w:rPr>
                <w:b/>
                <w:bCs/>
                <w:color w:val="000000"/>
                <w:sz w:val="16"/>
                <w:szCs w:val="16"/>
              </w:rPr>
              <w:t>Probably favors the intervention</w:t>
            </w:r>
          </w:p>
        </w:tc>
        <w:tc>
          <w:tcPr>
            <w:tcW w:w="984" w:type="dxa"/>
            <w:tcBorders>
              <w:top w:val="single" w:sz="8" w:space="0" w:color="FFFFFF"/>
              <w:left w:val="single" w:sz="8" w:space="0" w:color="FFFFFF"/>
              <w:bottom w:val="single" w:sz="8" w:space="0" w:color="FFFFFF"/>
              <w:right w:val="single" w:sz="8" w:space="0" w:color="FFFFFF"/>
            </w:tcBorders>
            <w:shd w:val="clear" w:color="auto" w:fill="D0CECE" w:themeFill="background2" w:themeFillShade="E6"/>
            <w:tcMar>
              <w:top w:w="74" w:type="dxa"/>
              <w:left w:w="74" w:type="dxa"/>
              <w:bottom w:w="74" w:type="dxa"/>
              <w:right w:w="74" w:type="dxa"/>
            </w:tcMar>
            <w:vAlign w:val="center"/>
            <w:hideMark/>
          </w:tcPr>
          <w:p w14:paraId="113BD487" w14:textId="77777777" w:rsidR="009D67D9" w:rsidRPr="009D67D9" w:rsidRDefault="009D67D9" w:rsidP="009D67D9">
            <w:pPr>
              <w:rPr>
                <w:b/>
                <w:bCs/>
                <w:color w:val="000000"/>
                <w:sz w:val="16"/>
                <w:szCs w:val="16"/>
              </w:rPr>
            </w:pPr>
            <w:r w:rsidRPr="009D67D9">
              <w:rPr>
                <w:b/>
                <w:bCs/>
                <w:color w:val="000000"/>
                <w:sz w:val="16"/>
                <w:szCs w:val="16"/>
              </w:rPr>
              <w:t>Favors the intervention</w:t>
            </w:r>
          </w:p>
        </w:tc>
        <w:tc>
          <w:tcPr>
            <w:tcW w:w="73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F54F30B" w14:textId="77777777" w:rsidR="009D67D9" w:rsidRPr="009D67D9" w:rsidRDefault="009D67D9" w:rsidP="009D67D9">
            <w:pPr>
              <w:rPr>
                <w:b/>
                <w:bCs/>
                <w:color w:val="000000"/>
                <w:sz w:val="16"/>
                <w:szCs w:val="16"/>
              </w:rPr>
            </w:pPr>
            <w:r w:rsidRPr="009D67D9">
              <w:rPr>
                <w:b/>
                <w:bCs/>
                <w:color w:val="000000"/>
                <w:sz w:val="16"/>
                <w:szCs w:val="16"/>
              </w:rPr>
              <w:t>Varies</w:t>
            </w:r>
          </w:p>
        </w:tc>
        <w:tc>
          <w:tcPr>
            <w:tcW w:w="1072"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8FCC915" w14:textId="77777777" w:rsidR="009D67D9" w:rsidRPr="009D67D9" w:rsidRDefault="009D67D9" w:rsidP="009D67D9">
            <w:pPr>
              <w:rPr>
                <w:b/>
                <w:bCs/>
                <w:color w:val="000000"/>
                <w:sz w:val="16"/>
                <w:szCs w:val="16"/>
              </w:rPr>
            </w:pPr>
            <w:r w:rsidRPr="009D67D9">
              <w:rPr>
                <w:b/>
                <w:bCs/>
                <w:color w:val="000000"/>
                <w:sz w:val="16"/>
                <w:szCs w:val="16"/>
              </w:rPr>
              <w:t>Don't know</w:t>
            </w:r>
          </w:p>
        </w:tc>
      </w:tr>
      <w:tr w:rsidR="009D67D9" w:rsidRPr="009D67D9" w14:paraId="4E2268CB" w14:textId="77777777" w:rsidTr="004C505F">
        <w:trPr>
          <w:trHeight w:val="704"/>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2703119E" w14:textId="77777777" w:rsidR="009D67D9" w:rsidRPr="009D67D9" w:rsidRDefault="009D67D9" w:rsidP="009D67D9">
            <w:pPr>
              <w:rPr>
                <w:b/>
                <w:bCs/>
                <w:color w:val="000000"/>
                <w:sz w:val="16"/>
                <w:szCs w:val="16"/>
              </w:rPr>
            </w:pPr>
            <w:r w:rsidRPr="009D67D9">
              <w:rPr>
                <w:b/>
                <w:bCs/>
                <w:color w:val="000000"/>
                <w:sz w:val="16"/>
                <w:szCs w:val="16"/>
              </w:rPr>
              <w:t>Resources required</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BC7B3DD" w14:textId="77777777" w:rsidR="009D67D9" w:rsidRPr="009D67D9" w:rsidRDefault="009D67D9" w:rsidP="009D67D9">
            <w:pPr>
              <w:rPr>
                <w:b/>
                <w:bCs/>
                <w:color w:val="000000"/>
                <w:sz w:val="16"/>
                <w:szCs w:val="16"/>
              </w:rPr>
            </w:pPr>
            <w:r w:rsidRPr="009D67D9">
              <w:rPr>
                <w:b/>
                <w:bCs/>
                <w:color w:val="000000"/>
                <w:sz w:val="16"/>
                <w:szCs w:val="16"/>
              </w:rPr>
              <w:t>Large costs</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74BFA7A" w14:textId="77777777" w:rsidR="009D67D9" w:rsidRPr="009D67D9" w:rsidRDefault="009D67D9" w:rsidP="009D67D9">
            <w:pPr>
              <w:rPr>
                <w:b/>
                <w:bCs/>
                <w:color w:val="000000"/>
                <w:sz w:val="16"/>
                <w:szCs w:val="16"/>
              </w:rPr>
            </w:pPr>
            <w:r w:rsidRPr="009D67D9">
              <w:rPr>
                <w:b/>
                <w:bCs/>
                <w:color w:val="000000"/>
                <w:sz w:val="16"/>
                <w:szCs w:val="16"/>
              </w:rPr>
              <w:t>Moderate costs</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8D50851" w14:textId="77777777" w:rsidR="009D67D9" w:rsidRPr="009D67D9" w:rsidRDefault="009D67D9" w:rsidP="009D67D9">
            <w:pPr>
              <w:rPr>
                <w:b/>
                <w:bCs/>
                <w:color w:val="000000"/>
                <w:sz w:val="16"/>
                <w:szCs w:val="16"/>
              </w:rPr>
            </w:pPr>
            <w:r w:rsidRPr="009D67D9">
              <w:rPr>
                <w:b/>
                <w:bCs/>
                <w:color w:val="000000"/>
                <w:sz w:val="16"/>
                <w:szCs w:val="16"/>
              </w:rPr>
              <w:t>Negligible costs and savings</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5FACD7C7" w14:textId="77777777" w:rsidR="009D67D9" w:rsidRPr="009D67D9" w:rsidRDefault="009D67D9" w:rsidP="009D67D9">
            <w:pPr>
              <w:rPr>
                <w:b/>
                <w:bCs/>
                <w:color w:val="000000"/>
                <w:sz w:val="16"/>
                <w:szCs w:val="16"/>
              </w:rPr>
            </w:pPr>
            <w:r w:rsidRPr="009D67D9">
              <w:rPr>
                <w:b/>
                <w:bCs/>
                <w:color w:val="000000"/>
                <w:sz w:val="16"/>
                <w:szCs w:val="16"/>
              </w:rPr>
              <w:t>Moderate savings</w:t>
            </w:r>
          </w:p>
        </w:tc>
        <w:tc>
          <w:tcPr>
            <w:tcW w:w="98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04DECAA8" w14:textId="77777777" w:rsidR="009D67D9" w:rsidRPr="009D67D9" w:rsidRDefault="009D67D9" w:rsidP="009D67D9">
            <w:pPr>
              <w:rPr>
                <w:b/>
                <w:bCs/>
                <w:color w:val="000000"/>
                <w:sz w:val="16"/>
                <w:szCs w:val="16"/>
              </w:rPr>
            </w:pPr>
            <w:r w:rsidRPr="009D67D9">
              <w:rPr>
                <w:b/>
                <w:bCs/>
                <w:color w:val="000000"/>
                <w:sz w:val="16"/>
                <w:szCs w:val="16"/>
              </w:rPr>
              <w:t>Large savings</w:t>
            </w:r>
          </w:p>
        </w:tc>
        <w:tc>
          <w:tcPr>
            <w:tcW w:w="734"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72114EF1" w14:textId="77777777" w:rsidR="009D67D9" w:rsidRPr="009D67D9" w:rsidRDefault="009D67D9" w:rsidP="009D67D9">
            <w:pPr>
              <w:rPr>
                <w:b/>
                <w:bCs/>
                <w:color w:val="000000"/>
                <w:sz w:val="16"/>
                <w:szCs w:val="16"/>
              </w:rPr>
            </w:pPr>
            <w:r w:rsidRPr="009D67D9">
              <w:rPr>
                <w:b/>
                <w:bCs/>
                <w:color w:val="000000"/>
                <w:sz w:val="16"/>
                <w:szCs w:val="16"/>
              </w:rPr>
              <w:t>Varies</w:t>
            </w:r>
          </w:p>
        </w:tc>
        <w:tc>
          <w:tcPr>
            <w:tcW w:w="1072"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D0E716F" w14:textId="77777777" w:rsidR="009D67D9" w:rsidRPr="009D67D9" w:rsidRDefault="009D67D9" w:rsidP="009D67D9">
            <w:pPr>
              <w:rPr>
                <w:b/>
                <w:bCs/>
                <w:color w:val="000000"/>
                <w:sz w:val="16"/>
                <w:szCs w:val="16"/>
              </w:rPr>
            </w:pPr>
            <w:r w:rsidRPr="009D67D9">
              <w:rPr>
                <w:b/>
                <w:bCs/>
                <w:color w:val="000000"/>
                <w:sz w:val="16"/>
                <w:szCs w:val="16"/>
              </w:rPr>
              <w:t>Don't know</w:t>
            </w:r>
          </w:p>
        </w:tc>
      </w:tr>
      <w:tr w:rsidR="009D67D9" w:rsidRPr="009D67D9" w14:paraId="71D130CE" w14:textId="77777777" w:rsidTr="004C505F">
        <w:trPr>
          <w:trHeight w:val="1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191B19CD" w14:textId="77777777" w:rsidR="009D67D9" w:rsidRPr="009D67D9" w:rsidRDefault="009D67D9" w:rsidP="009D67D9">
            <w:pPr>
              <w:rPr>
                <w:b/>
                <w:bCs/>
                <w:color w:val="000000"/>
                <w:sz w:val="16"/>
                <w:szCs w:val="16"/>
              </w:rPr>
            </w:pPr>
            <w:r w:rsidRPr="009D67D9">
              <w:rPr>
                <w:b/>
                <w:bCs/>
                <w:color w:val="000000"/>
                <w:sz w:val="16"/>
                <w:szCs w:val="16"/>
              </w:rPr>
              <w:t>Certainty of evidence of required resources</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FB99016" w14:textId="77777777" w:rsidR="009D67D9" w:rsidRPr="009D67D9" w:rsidRDefault="009D67D9" w:rsidP="009D67D9">
            <w:pPr>
              <w:rPr>
                <w:b/>
                <w:bCs/>
                <w:color w:val="000000"/>
                <w:sz w:val="16"/>
                <w:szCs w:val="16"/>
              </w:rPr>
            </w:pPr>
            <w:r w:rsidRPr="009D67D9">
              <w:rPr>
                <w:b/>
                <w:bCs/>
                <w:color w:val="000000"/>
                <w:sz w:val="16"/>
                <w:szCs w:val="16"/>
              </w:rPr>
              <w:t>Very low</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CD961D3" w14:textId="77777777" w:rsidR="009D67D9" w:rsidRPr="009D67D9" w:rsidRDefault="009D67D9" w:rsidP="009D67D9">
            <w:pPr>
              <w:rPr>
                <w:b/>
                <w:bCs/>
                <w:color w:val="000000"/>
                <w:sz w:val="16"/>
                <w:szCs w:val="16"/>
              </w:rPr>
            </w:pPr>
            <w:r w:rsidRPr="009D67D9">
              <w:rPr>
                <w:b/>
                <w:bCs/>
                <w:color w:val="000000"/>
                <w:sz w:val="16"/>
                <w:szCs w:val="16"/>
              </w:rPr>
              <w:t>Low</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A8AC095" w14:textId="77777777" w:rsidR="009D67D9" w:rsidRPr="009D67D9" w:rsidRDefault="009D67D9" w:rsidP="009D67D9">
            <w:pPr>
              <w:rPr>
                <w:b/>
                <w:bCs/>
                <w:color w:val="000000"/>
                <w:sz w:val="16"/>
                <w:szCs w:val="16"/>
              </w:rPr>
            </w:pPr>
            <w:r w:rsidRPr="009D67D9">
              <w:rPr>
                <w:b/>
                <w:bCs/>
                <w:color w:val="000000"/>
                <w:sz w:val="16"/>
                <w:szCs w:val="16"/>
              </w:rPr>
              <w:t>Moderate</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480AE14E" w14:textId="77777777" w:rsidR="009D67D9" w:rsidRPr="009D67D9" w:rsidRDefault="009D67D9" w:rsidP="009D67D9">
            <w:pPr>
              <w:rPr>
                <w:b/>
                <w:bCs/>
                <w:color w:val="000000"/>
                <w:sz w:val="16"/>
                <w:szCs w:val="16"/>
              </w:rPr>
            </w:pPr>
            <w:r w:rsidRPr="009D67D9">
              <w:rPr>
                <w:b/>
                <w:bCs/>
                <w:color w:val="000000"/>
                <w:sz w:val="16"/>
                <w:szCs w:val="16"/>
              </w:rPr>
              <w:t>High</w:t>
            </w:r>
          </w:p>
        </w:tc>
        <w:tc>
          <w:tcPr>
            <w:tcW w:w="98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4724A9F" w14:textId="77777777" w:rsidR="009D67D9" w:rsidRPr="009D67D9" w:rsidRDefault="009D67D9" w:rsidP="009D67D9">
            <w:pPr>
              <w:rPr>
                <w:b/>
                <w:bCs/>
                <w:color w:val="000000"/>
                <w:sz w:val="16"/>
                <w:szCs w:val="16"/>
              </w:rPr>
            </w:pPr>
          </w:p>
        </w:tc>
        <w:tc>
          <w:tcPr>
            <w:tcW w:w="73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FA59513" w14:textId="77777777" w:rsidR="009D67D9" w:rsidRPr="009D67D9" w:rsidRDefault="009D67D9" w:rsidP="009D67D9">
            <w:pPr>
              <w:rPr>
                <w:b/>
                <w:bCs/>
                <w:color w:val="000000"/>
                <w:sz w:val="16"/>
                <w:szCs w:val="16"/>
              </w:rPr>
            </w:pPr>
          </w:p>
        </w:tc>
        <w:tc>
          <w:tcPr>
            <w:tcW w:w="1072"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5E54AF2D" w14:textId="35489F41" w:rsidR="009D67D9" w:rsidRPr="009D67D9" w:rsidRDefault="009D67D9" w:rsidP="009D67D9">
            <w:pPr>
              <w:rPr>
                <w:b/>
                <w:bCs/>
                <w:color w:val="000000"/>
                <w:sz w:val="16"/>
                <w:szCs w:val="16"/>
              </w:rPr>
            </w:pPr>
            <w:r w:rsidRPr="009D67D9">
              <w:rPr>
                <w:b/>
                <w:bCs/>
                <w:color w:val="000000"/>
                <w:sz w:val="16"/>
                <w:szCs w:val="16"/>
              </w:rPr>
              <w:t xml:space="preserve">No </w:t>
            </w:r>
            <w:r w:rsidR="004C505F" w:rsidRPr="009D67D9">
              <w:rPr>
                <w:b/>
                <w:bCs/>
                <w:color w:val="000000"/>
                <w:sz w:val="16"/>
                <w:szCs w:val="16"/>
              </w:rPr>
              <w:t xml:space="preserve">studies </w:t>
            </w:r>
            <w:r w:rsidRPr="009D67D9">
              <w:rPr>
                <w:b/>
                <w:bCs/>
                <w:color w:val="000000"/>
                <w:sz w:val="16"/>
                <w:szCs w:val="16"/>
              </w:rPr>
              <w:t xml:space="preserve">included </w:t>
            </w:r>
          </w:p>
        </w:tc>
      </w:tr>
      <w:tr w:rsidR="009D67D9" w:rsidRPr="009D67D9" w14:paraId="1B0B0985" w14:textId="77777777" w:rsidTr="004C505F">
        <w:trPr>
          <w:trHeight w:val="161"/>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014A386A" w14:textId="77777777" w:rsidR="009D67D9" w:rsidRPr="009D67D9" w:rsidRDefault="009D67D9" w:rsidP="009D67D9">
            <w:pPr>
              <w:rPr>
                <w:b/>
                <w:bCs/>
                <w:color w:val="000000"/>
                <w:sz w:val="16"/>
                <w:szCs w:val="16"/>
              </w:rPr>
            </w:pPr>
            <w:r w:rsidRPr="009D67D9">
              <w:rPr>
                <w:b/>
                <w:bCs/>
                <w:color w:val="000000"/>
                <w:sz w:val="16"/>
                <w:szCs w:val="16"/>
              </w:rPr>
              <w:t>Cost effectiveness</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762EB70" w14:textId="77777777" w:rsidR="009D67D9" w:rsidRPr="009D67D9" w:rsidRDefault="009D67D9" w:rsidP="009D67D9">
            <w:pPr>
              <w:rPr>
                <w:b/>
                <w:bCs/>
                <w:color w:val="000000"/>
                <w:sz w:val="16"/>
                <w:szCs w:val="16"/>
              </w:rPr>
            </w:pPr>
            <w:r w:rsidRPr="009D67D9">
              <w:rPr>
                <w:b/>
                <w:bCs/>
                <w:color w:val="000000"/>
                <w:sz w:val="16"/>
                <w:szCs w:val="16"/>
              </w:rPr>
              <w:t>Favors the comparison</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8EEF29E" w14:textId="77777777" w:rsidR="009D67D9" w:rsidRPr="009D67D9" w:rsidRDefault="009D67D9" w:rsidP="009D67D9">
            <w:pPr>
              <w:rPr>
                <w:b/>
                <w:bCs/>
                <w:color w:val="000000"/>
                <w:sz w:val="16"/>
                <w:szCs w:val="16"/>
              </w:rPr>
            </w:pPr>
            <w:r w:rsidRPr="009D67D9">
              <w:rPr>
                <w:b/>
                <w:bCs/>
                <w:color w:val="000000"/>
                <w:sz w:val="16"/>
                <w:szCs w:val="16"/>
              </w:rPr>
              <w:t>Probably favors the comparison</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11DE6EF5" w14:textId="77777777" w:rsidR="009D67D9" w:rsidRPr="009D67D9" w:rsidRDefault="009D67D9" w:rsidP="009D67D9">
            <w:pPr>
              <w:rPr>
                <w:b/>
                <w:bCs/>
                <w:color w:val="000000"/>
                <w:sz w:val="16"/>
                <w:szCs w:val="16"/>
              </w:rPr>
            </w:pPr>
            <w:r w:rsidRPr="009D67D9">
              <w:rPr>
                <w:b/>
                <w:bCs/>
                <w:color w:val="000000"/>
                <w:sz w:val="16"/>
                <w:szCs w:val="16"/>
              </w:rPr>
              <w:t>Does not favor either the intervention or the comparison</w:t>
            </w:r>
          </w:p>
        </w:tc>
        <w:tc>
          <w:tcPr>
            <w:tcW w:w="0" w:type="auto"/>
            <w:tcBorders>
              <w:top w:val="single" w:sz="8" w:space="0" w:color="FFFFFF"/>
              <w:left w:val="single" w:sz="8" w:space="0" w:color="FFFFFF"/>
              <w:bottom w:val="single" w:sz="8" w:space="0" w:color="FFFFFF"/>
              <w:right w:val="single" w:sz="8" w:space="0" w:color="FFFFFF"/>
            </w:tcBorders>
            <w:shd w:val="clear" w:color="auto" w:fill="E7E6E6"/>
            <w:tcMar>
              <w:top w:w="74" w:type="dxa"/>
              <w:left w:w="74" w:type="dxa"/>
              <w:bottom w:w="74" w:type="dxa"/>
              <w:right w:w="74" w:type="dxa"/>
            </w:tcMar>
            <w:vAlign w:val="center"/>
            <w:hideMark/>
          </w:tcPr>
          <w:p w14:paraId="1D5356D1" w14:textId="77777777" w:rsidR="009D67D9" w:rsidRPr="009D67D9" w:rsidRDefault="009D67D9" w:rsidP="009D67D9">
            <w:pPr>
              <w:rPr>
                <w:b/>
                <w:bCs/>
                <w:color w:val="000000"/>
                <w:sz w:val="16"/>
                <w:szCs w:val="16"/>
              </w:rPr>
            </w:pPr>
            <w:r w:rsidRPr="009D67D9">
              <w:rPr>
                <w:b/>
                <w:bCs/>
                <w:color w:val="000000"/>
                <w:sz w:val="16"/>
                <w:szCs w:val="16"/>
              </w:rPr>
              <w:t>Probably favors the intervention</w:t>
            </w:r>
          </w:p>
        </w:tc>
        <w:tc>
          <w:tcPr>
            <w:tcW w:w="98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136510A" w14:textId="77777777" w:rsidR="009D67D9" w:rsidRPr="009D67D9" w:rsidRDefault="009D67D9" w:rsidP="009D67D9">
            <w:pPr>
              <w:rPr>
                <w:b/>
                <w:bCs/>
                <w:color w:val="000000"/>
                <w:sz w:val="16"/>
                <w:szCs w:val="16"/>
              </w:rPr>
            </w:pPr>
            <w:r w:rsidRPr="009D67D9">
              <w:rPr>
                <w:b/>
                <w:bCs/>
                <w:color w:val="000000"/>
                <w:sz w:val="16"/>
                <w:szCs w:val="16"/>
              </w:rPr>
              <w:t>Favors the intervention</w:t>
            </w:r>
          </w:p>
        </w:tc>
        <w:tc>
          <w:tcPr>
            <w:tcW w:w="73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3BCFC08E" w14:textId="77777777" w:rsidR="009D67D9" w:rsidRPr="009D67D9" w:rsidRDefault="009D67D9" w:rsidP="009D67D9">
            <w:pPr>
              <w:rPr>
                <w:b/>
                <w:bCs/>
                <w:color w:val="000000"/>
                <w:sz w:val="16"/>
                <w:szCs w:val="16"/>
              </w:rPr>
            </w:pPr>
            <w:r w:rsidRPr="009D67D9">
              <w:rPr>
                <w:b/>
                <w:bCs/>
                <w:color w:val="000000"/>
                <w:sz w:val="16"/>
                <w:szCs w:val="16"/>
              </w:rPr>
              <w:t>Varies</w:t>
            </w:r>
          </w:p>
        </w:tc>
        <w:tc>
          <w:tcPr>
            <w:tcW w:w="1072"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2C1ACBD9" w14:textId="78624533" w:rsidR="009D67D9" w:rsidRPr="009D67D9" w:rsidRDefault="009D67D9" w:rsidP="009D67D9">
            <w:pPr>
              <w:rPr>
                <w:b/>
                <w:bCs/>
                <w:color w:val="000000"/>
                <w:sz w:val="16"/>
                <w:szCs w:val="16"/>
              </w:rPr>
            </w:pPr>
            <w:r w:rsidRPr="009D67D9">
              <w:rPr>
                <w:b/>
                <w:bCs/>
                <w:color w:val="000000"/>
                <w:sz w:val="16"/>
                <w:szCs w:val="16"/>
              </w:rPr>
              <w:t xml:space="preserve">No </w:t>
            </w:r>
            <w:r w:rsidR="004C505F" w:rsidRPr="009D67D9">
              <w:rPr>
                <w:b/>
                <w:bCs/>
                <w:color w:val="000000"/>
                <w:sz w:val="16"/>
                <w:szCs w:val="16"/>
              </w:rPr>
              <w:t xml:space="preserve">studies </w:t>
            </w:r>
            <w:r w:rsidRPr="009D67D9">
              <w:rPr>
                <w:b/>
                <w:bCs/>
                <w:color w:val="000000"/>
                <w:sz w:val="16"/>
                <w:szCs w:val="16"/>
              </w:rPr>
              <w:t xml:space="preserve">included </w:t>
            </w:r>
          </w:p>
        </w:tc>
      </w:tr>
      <w:tr w:rsidR="009D67D9" w:rsidRPr="009D67D9" w14:paraId="219AF5A6" w14:textId="77777777" w:rsidTr="004C505F">
        <w:trPr>
          <w:trHeight w:val="441"/>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1178E3F3" w14:textId="77777777" w:rsidR="009D67D9" w:rsidRPr="009D67D9" w:rsidRDefault="009D67D9" w:rsidP="009D67D9">
            <w:pPr>
              <w:rPr>
                <w:b/>
                <w:bCs/>
                <w:color w:val="000000"/>
                <w:sz w:val="16"/>
                <w:szCs w:val="16"/>
              </w:rPr>
            </w:pPr>
            <w:r w:rsidRPr="009D67D9">
              <w:rPr>
                <w:b/>
                <w:bCs/>
                <w:color w:val="000000"/>
                <w:sz w:val="16"/>
                <w:szCs w:val="16"/>
              </w:rPr>
              <w:t>Equity</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5CD9055" w14:textId="77777777" w:rsidR="009D67D9" w:rsidRPr="009D67D9" w:rsidRDefault="009D67D9" w:rsidP="009D67D9">
            <w:pPr>
              <w:rPr>
                <w:b/>
                <w:bCs/>
                <w:color w:val="000000"/>
                <w:sz w:val="16"/>
                <w:szCs w:val="16"/>
              </w:rPr>
            </w:pPr>
            <w:r w:rsidRPr="009D67D9">
              <w:rPr>
                <w:b/>
                <w:bCs/>
                <w:color w:val="000000"/>
                <w:sz w:val="16"/>
                <w:szCs w:val="16"/>
              </w:rPr>
              <w:t>Reduced</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1A26E96B" w14:textId="77777777" w:rsidR="009D67D9" w:rsidRPr="009D67D9" w:rsidRDefault="009D67D9" w:rsidP="009D67D9">
            <w:pPr>
              <w:rPr>
                <w:b/>
                <w:bCs/>
                <w:color w:val="000000"/>
                <w:sz w:val="16"/>
                <w:szCs w:val="16"/>
              </w:rPr>
            </w:pPr>
            <w:r w:rsidRPr="009D67D9">
              <w:rPr>
                <w:b/>
                <w:bCs/>
                <w:color w:val="000000"/>
                <w:sz w:val="16"/>
                <w:szCs w:val="16"/>
              </w:rPr>
              <w:t>Probably reduced</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61D56DDC" w14:textId="77777777" w:rsidR="009D67D9" w:rsidRPr="009D67D9" w:rsidRDefault="009D67D9" w:rsidP="009D67D9">
            <w:pPr>
              <w:rPr>
                <w:b/>
                <w:bCs/>
                <w:color w:val="000000"/>
                <w:sz w:val="16"/>
                <w:szCs w:val="16"/>
              </w:rPr>
            </w:pPr>
            <w:r w:rsidRPr="009D67D9">
              <w:rPr>
                <w:b/>
                <w:bCs/>
                <w:color w:val="000000"/>
                <w:sz w:val="16"/>
                <w:szCs w:val="16"/>
              </w:rPr>
              <w:t>Probably no impact</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53E46F68" w14:textId="77777777" w:rsidR="009D67D9" w:rsidRPr="009D67D9" w:rsidRDefault="009D67D9" w:rsidP="009D67D9">
            <w:pPr>
              <w:rPr>
                <w:b/>
                <w:bCs/>
                <w:color w:val="000000"/>
                <w:sz w:val="16"/>
                <w:szCs w:val="16"/>
              </w:rPr>
            </w:pPr>
            <w:r w:rsidRPr="009D67D9">
              <w:rPr>
                <w:b/>
                <w:bCs/>
                <w:color w:val="000000"/>
                <w:sz w:val="16"/>
                <w:szCs w:val="16"/>
              </w:rPr>
              <w:t>Probably increased</w:t>
            </w:r>
          </w:p>
        </w:tc>
        <w:tc>
          <w:tcPr>
            <w:tcW w:w="98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7D92C47D" w14:textId="77777777" w:rsidR="009D67D9" w:rsidRPr="009D67D9" w:rsidRDefault="009D67D9" w:rsidP="009D67D9">
            <w:pPr>
              <w:rPr>
                <w:b/>
                <w:bCs/>
                <w:color w:val="000000"/>
                <w:sz w:val="16"/>
                <w:szCs w:val="16"/>
              </w:rPr>
            </w:pPr>
            <w:r w:rsidRPr="009D67D9">
              <w:rPr>
                <w:b/>
                <w:bCs/>
                <w:color w:val="000000"/>
                <w:sz w:val="16"/>
                <w:szCs w:val="16"/>
              </w:rPr>
              <w:t>Increased</w:t>
            </w:r>
          </w:p>
        </w:tc>
        <w:tc>
          <w:tcPr>
            <w:tcW w:w="73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288FC34" w14:textId="77777777" w:rsidR="009D67D9" w:rsidRPr="009D67D9" w:rsidRDefault="009D67D9" w:rsidP="009D67D9">
            <w:pPr>
              <w:rPr>
                <w:b/>
                <w:bCs/>
                <w:color w:val="000000"/>
                <w:sz w:val="16"/>
                <w:szCs w:val="16"/>
              </w:rPr>
            </w:pPr>
            <w:r w:rsidRPr="009D67D9">
              <w:rPr>
                <w:b/>
                <w:bCs/>
                <w:color w:val="000000"/>
                <w:sz w:val="16"/>
                <w:szCs w:val="16"/>
              </w:rPr>
              <w:t>Varies</w:t>
            </w:r>
          </w:p>
        </w:tc>
        <w:tc>
          <w:tcPr>
            <w:tcW w:w="1072" w:type="dxa"/>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5C40160E" w14:textId="77777777" w:rsidR="009D67D9" w:rsidRPr="009D67D9" w:rsidRDefault="009D67D9" w:rsidP="009D67D9">
            <w:pPr>
              <w:rPr>
                <w:b/>
                <w:bCs/>
                <w:color w:val="000000"/>
                <w:sz w:val="16"/>
                <w:szCs w:val="16"/>
              </w:rPr>
            </w:pPr>
            <w:r w:rsidRPr="009D67D9">
              <w:rPr>
                <w:b/>
                <w:bCs/>
                <w:color w:val="000000"/>
                <w:sz w:val="16"/>
                <w:szCs w:val="16"/>
              </w:rPr>
              <w:t>Don't know</w:t>
            </w:r>
          </w:p>
        </w:tc>
      </w:tr>
      <w:tr w:rsidR="009D67D9" w:rsidRPr="009D67D9" w14:paraId="5F89E00B" w14:textId="77777777" w:rsidTr="004C505F">
        <w:trPr>
          <w:trHeight w:val="52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50CEB4A0" w14:textId="77777777" w:rsidR="009D67D9" w:rsidRPr="009D67D9" w:rsidRDefault="009D67D9" w:rsidP="009D67D9">
            <w:pPr>
              <w:rPr>
                <w:b/>
                <w:bCs/>
                <w:color w:val="000000"/>
                <w:sz w:val="16"/>
                <w:szCs w:val="16"/>
              </w:rPr>
            </w:pPr>
            <w:r w:rsidRPr="009D67D9">
              <w:rPr>
                <w:b/>
                <w:bCs/>
                <w:color w:val="000000"/>
                <w:sz w:val="16"/>
                <w:szCs w:val="16"/>
              </w:rPr>
              <w:t>Acceptability</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24F4375E" w14:textId="77777777" w:rsidR="009D67D9" w:rsidRPr="009D67D9" w:rsidRDefault="009D67D9" w:rsidP="009D67D9">
            <w:pPr>
              <w:rPr>
                <w:b/>
                <w:bCs/>
                <w:color w:val="000000"/>
                <w:sz w:val="16"/>
                <w:szCs w:val="16"/>
              </w:rPr>
            </w:pPr>
            <w:r w:rsidRPr="009D67D9">
              <w:rPr>
                <w:b/>
                <w:bCs/>
                <w:color w:val="000000"/>
                <w:sz w:val="16"/>
                <w:szCs w:val="16"/>
              </w:rPr>
              <w:t>No</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7FCD170" w14:textId="77777777" w:rsidR="009D67D9" w:rsidRPr="009D67D9" w:rsidRDefault="009D67D9" w:rsidP="009D67D9">
            <w:pPr>
              <w:rPr>
                <w:b/>
                <w:bCs/>
                <w:color w:val="000000"/>
                <w:sz w:val="16"/>
                <w:szCs w:val="16"/>
              </w:rPr>
            </w:pPr>
            <w:r w:rsidRPr="009D67D9">
              <w:rPr>
                <w:b/>
                <w:bCs/>
                <w:color w:val="000000"/>
                <w:sz w:val="16"/>
                <w:szCs w:val="16"/>
              </w:rPr>
              <w:t>Probably no</w:t>
            </w:r>
          </w:p>
        </w:tc>
        <w:tc>
          <w:tcPr>
            <w:tcW w:w="0" w:type="auto"/>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48FB89AF" w14:textId="77777777" w:rsidR="009D67D9" w:rsidRPr="009D67D9" w:rsidRDefault="009D67D9" w:rsidP="009D67D9">
            <w:pPr>
              <w:rPr>
                <w:b/>
                <w:bCs/>
                <w:color w:val="000000"/>
                <w:sz w:val="16"/>
                <w:szCs w:val="16"/>
              </w:rPr>
            </w:pPr>
            <w:r w:rsidRPr="009D67D9">
              <w:rPr>
                <w:b/>
                <w:bCs/>
                <w:color w:val="000000"/>
                <w:sz w:val="16"/>
                <w:szCs w:val="16"/>
              </w:rPr>
              <w:t>Probably yes</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4DDC9CD" w14:textId="77777777" w:rsidR="009D67D9" w:rsidRPr="009D67D9" w:rsidRDefault="009D67D9" w:rsidP="009D67D9">
            <w:pPr>
              <w:rPr>
                <w:b/>
                <w:bCs/>
                <w:color w:val="000000"/>
                <w:sz w:val="16"/>
                <w:szCs w:val="16"/>
              </w:rPr>
            </w:pPr>
            <w:r w:rsidRPr="009D67D9">
              <w:rPr>
                <w:b/>
                <w:bCs/>
                <w:color w:val="000000"/>
                <w:sz w:val="16"/>
                <w:szCs w:val="16"/>
              </w:rPr>
              <w:t>Yes</w:t>
            </w:r>
          </w:p>
        </w:tc>
        <w:tc>
          <w:tcPr>
            <w:tcW w:w="98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7B93A565" w14:textId="77777777" w:rsidR="009D67D9" w:rsidRPr="009D67D9" w:rsidRDefault="009D67D9" w:rsidP="009D67D9">
            <w:pPr>
              <w:rPr>
                <w:b/>
                <w:bCs/>
                <w:color w:val="000000"/>
                <w:sz w:val="16"/>
                <w:szCs w:val="16"/>
              </w:rPr>
            </w:pPr>
          </w:p>
        </w:tc>
        <w:tc>
          <w:tcPr>
            <w:tcW w:w="734"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6A3D117E" w14:textId="77777777" w:rsidR="009D67D9" w:rsidRPr="009D67D9" w:rsidRDefault="009D67D9" w:rsidP="009D67D9">
            <w:pPr>
              <w:rPr>
                <w:b/>
                <w:bCs/>
                <w:color w:val="000000"/>
                <w:sz w:val="16"/>
                <w:szCs w:val="16"/>
              </w:rPr>
            </w:pPr>
            <w:r w:rsidRPr="009D67D9">
              <w:rPr>
                <w:b/>
                <w:bCs/>
                <w:color w:val="000000"/>
                <w:sz w:val="16"/>
                <w:szCs w:val="16"/>
              </w:rPr>
              <w:t>Varies</w:t>
            </w:r>
          </w:p>
        </w:tc>
        <w:tc>
          <w:tcPr>
            <w:tcW w:w="1072" w:type="dxa"/>
            <w:tcBorders>
              <w:top w:val="single" w:sz="8" w:space="0" w:color="FFFFFF"/>
              <w:left w:val="single" w:sz="8" w:space="0" w:color="FFFFFF"/>
              <w:bottom w:val="single" w:sz="8" w:space="0" w:color="FFFFFF"/>
              <w:right w:val="single" w:sz="8" w:space="0" w:color="FFFFFF"/>
            </w:tcBorders>
            <w:shd w:val="clear" w:color="auto" w:fill="D2DEEF"/>
            <w:tcMar>
              <w:top w:w="74" w:type="dxa"/>
              <w:left w:w="74" w:type="dxa"/>
              <w:bottom w:w="74" w:type="dxa"/>
              <w:right w:w="74" w:type="dxa"/>
            </w:tcMar>
            <w:vAlign w:val="center"/>
            <w:hideMark/>
          </w:tcPr>
          <w:p w14:paraId="43D50E14" w14:textId="77777777" w:rsidR="009D67D9" w:rsidRPr="009D67D9" w:rsidRDefault="009D67D9" w:rsidP="009D67D9">
            <w:pPr>
              <w:rPr>
                <w:b/>
                <w:bCs/>
                <w:color w:val="000000"/>
                <w:sz w:val="16"/>
                <w:szCs w:val="16"/>
              </w:rPr>
            </w:pPr>
            <w:r w:rsidRPr="009D67D9">
              <w:rPr>
                <w:b/>
                <w:bCs/>
                <w:color w:val="000000"/>
                <w:sz w:val="16"/>
                <w:szCs w:val="16"/>
              </w:rPr>
              <w:t>Don't know</w:t>
            </w:r>
          </w:p>
        </w:tc>
      </w:tr>
      <w:tr w:rsidR="009D67D9" w:rsidRPr="009D67D9" w14:paraId="3045914E" w14:textId="77777777" w:rsidTr="004C505F">
        <w:trPr>
          <w:trHeight w:val="529"/>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74" w:type="dxa"/>
              <w:left w:w="74" w:type="dxa"/>
              <w:bottom w:w="74" w:type="dxa"/>
              <w:right w:w="74" w:type="dxa"/>
            </w:tcMar>
            <w:vAlign w:val="center"/>
            <w:hideMark/>
          </w:tcPr>
          <w:p w14:paraId="4764EA7A" w14:textId="77777777" w:rsidR="009D67D9" w:rsidRPr="009D67D9" w:rsidRDefault="009D67D9" w:rsidP="009D67D9">
            <w:pPr>
              <w:rPr>
                <w:b/>
                <w:bCs/>
                <w:color w:val="000000"/>
                <w:sz w:val="16"/>
                <w:szCs w:val="16"/>
              </w:rPr>
            </w:pPr>
            <w:r w:rsidRPr="009D67D9">
              <w:rPr>
                <w:b/>
                <w:bCs/>
                <w:color w:val="000000"/>
                <w:sz w:val="16"/>
                <w:szCs w:val="16"/>
              </w:rPr>
              <w:t>Feasibility</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0584140E" w14:textId="77777777" w:rsidR="009D67D9" w:rsidRPr="009D67D9" w:rsidRDefault="009D67D9" w:rsidP="009D67D9">
            <w:pPr>
              <w:rPr>
                <w:b/>
                <w:bCs/>
                <w:color w:val="000000"/>
                <w:sz w:val="16"/>
                <w:szCs w:val="16"/>
              </w:rPr>
            </w:pPr>
            <w:r w:rsidRPr="009D67D9">
              <w:rPr>
                <w:b/>
                <w:bCs/>
                <w:color w:val="000000"/>
                <w:sz w:val="16"/>
                <w:szCs w:val="16"/>
              </w:rPr>
              <w:t>No</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702065F" w14:textId="77777777" w:rsidR="009D67D9" w:rsidRPr="009D67D9" w:rsidRDefault="009D67D9" w:rsidP="009D67D9">
            <w:pPr>
              <w:rPr>
                <w:b/>
                <w:bCs/>
                <w:color w:val="000000"/>
                <w:sz w:val="16"/>
                <w:szCs w:val="16"/>
              </w:rPr>
            </w:pPr>
            <w:r w:rsidRPr="009D67D9">
              <w:rPr>
                <w:b/>
                <w:bCs/>
                <w:color w:val="000000"/>
                <w:sz w:val="16"/>
                <w:szCs w:val="16"/>
              </w:rPr>
              <w:t>Probably no</w:t>
            </w:r>
          </w:p>
        </w:tc>
        <w:tc>
          <w:tcPr>
            <w:tcW w:w="0" w:type="auto"/>
            <w:tcBorders>
              <w:top w:val="single" w:sz="8" w:space="0" w:color="FFFFFF"/>
              <w:left w:val="single" w:sz="8" w:space="0" w:color="FFFFFF"/>
              <w:bottom w:val="single" w:sz="8" w:space="0" w:color="FFFFFF"/>
              <w:right w:val="single" w:sz="8" w:space="0" w:color="FFFFFF"/>
            </w:tcBorders>
            <w:shd w:val="clear" w:color="auto" w:fill="FFC000"/>
            <w:tcMar>
              <w:top w:w="74" w:type="dxa"/>
              <w:left w:w="74" w:type="dxa"/>
              <w:bottom w:w="74" w:type="dxa"/>
              <w:right w:w="74" w:type="dxa"/>
            </w:tcMar>
            <w:vAlign w:val="center"/>
            <w:hideMark/>
          </w:tcPr>
          <w:p w14:paraId="63BB4792" w14:textId="77777777" w:rsidR="009D67D9" w:rsidRPr="009D67D9" w:rsidRDefault="009D67D9" w:rsidP="009D67D9">
            <w:pPr>
              <w:rPr>
                <w:b/>
                <w:bCs/>
                <w:color w:val="000000"/>
                <w:sz w:val="16"/>
                <w:szCs w:val="16"/>
              </w:rPr>
            </w:pPr>
            <w:r w:rsidRPr="009D67D9">
              <w:rPr>
                <w:b/>
                <w:bCs/>
                <w:color w:val="000000"/>
                <w:sz w:val="16"/>
                <w:szCs w:val="16"/>
              </w:rPr>
              <w:t>Probably yes</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2B59CCF" w14:textId="77777777" w:rsidR="009D67D9" w:rsidRPr="009D67D9" w:rsidRDefault="009D67D9" w:rsidP="009D67D9">
            <w:pPr>
              <w:rPr>
                <w:b/>
                <w:bCs/>
                <w:color w:val="000000"/>
                <w:sz w:val="16"/>
                <w:szCs w:val="16"/>
              </w:rPr>
            </w:pPr>
            <w:r w:rsidRPr="009D67D9">
              <w:rPr>
                <w:b/>
                <w:bCs/>
                <w:color w:val="000000"/>
                <w:sz w:val="16"/>
                <w:szCs w:val="16"/>
              </w:rPr>
              <w:t>Yes</w:t>
            </w:r>
          </w:p>
        </w:tc>
        <w:tc>
          <w:tcPr>
            <w:tcW w:w="98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C4D72D7" w14:textId="77777777" w:rsidR="009D67D9" w:rsidRPr="009D67D9" w:rsidRDefault="009D67D9" w:rsidP="009D67D9">
            <w:pPr>
              <w:rPr>
                <w:b/>
                <w:bCs/>
                <w:color w:val="000000"/>
                <w:sz w:val="16"/>
                <w:szCs w:val="16"/>
              </w:rPr>
            </w:pPr>
          </w:p>
        </w:tc>
        <w:tc>
          <w:tcPr>
            <w:tcW w:w="734"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323B5A14" w14:textId="77777777" w:rsidR="009D67D9" w:rsidRPr="009D67D9" w:rsidRDefault="009D67D9" w:rsidP="009D67D9">
            <w:pPr>
              <w:rPr>
                <w:b/>
                <w:bCs/>
                <w:color w:val="000000"/>
                <w:sz w:val="16"/>
                <w:szCs w:val="16"/>
              </w:rPr>
            </w:pPr>
            <w:r w:rsidRPr="009D67D9">
              <w:rPr>
                <w:b/>
                <w:bCs/>
                <w:color w:val="000000"/>
                <w:sz w:val="16"/>
                <w:szCs w:val="16"/>
              </w:rPr>
              <w:t>Varies</w:t>
            </w:r>
          </w:p>
        </w:tc>
        <w:tc>
          <w:tcPr>
            <w:tcW w:w="1072" w:type="dxa"/>
            <w:tcBorders>
              <w:top w:val="single" w:sz="8" w:space="0" w:color="FFFFFF"/>
              <w:left w:val="single" w:sz="8" w:space="0" w:color="FFFFFF"/>
              <w:bottom w:val="single" w:sz="8" w:space="0" w:color="FFFFFF"/>
              <w:right w:val="single" w:sz="8" w:space="0" w:color="FFFFFF"/>
            </w:tcBorders>
            <w:shd w:val="clear" w:color="auto" w:fill="EAEFF7"/>
            <w:tcMar>
              <w:top w:w="74" w:type="dxa"/>
              <w:left w:w="74" w:type="dxa"/>
              <w:bottom w:w="74" w:type="dxa"/>
              <w:right w:w="74" w:type="dxa"/>
            </w:tcMar>
            <w:vAlign w:val="center"/>
            <w:hideMark/>
          </w:tcPr>
          <w:p w14:paraId="29FB7F0B" w14:textId="77777777" w:rsidR="009D67D9" w:rsidRPr="009D67D9" w:rsidRDefault="009D67D9" w:rsidP="009D67D9">
            <w:pPr>
              <w:rPr>
                <w:b/>
                <w:bCs/>
                <w:color w:val="000000"/>
                <w:sz w:val="16"/>
                <w:szCs w:val="16"/>
              </w:rPr>
            </w:pPr>
            <w:r w:rsidRPr="009D67D9">
              <w:rPr>
                <w:b/>
                <w:bCs/>
                <w:color w:val="000000"/>
                <w:sz w:val="16"/>
                <w:szCs w:val="16"/>
              </w:rPr>
              <w:t>Don't know</w:t>
            </w:r>
          </w:p>
        </w:tc>
      </w:tr>
    </w:tbl>
    <w:p w14:paraId="1FA604C1" w14:textId="3F1120A0" w:rsidR="001474B0" w:rsidRDefault="001474B0">
      <w:pPr>
        <w:rPr>
          <w:b/>
          <w:bCs/>
          <w:color w:val="000000"/>
          <w:sz w:val="20"/>
          <w:szCs w:val="20"/>
          <w:lang w:val="en" w:eastAsia="ca-ES"/>
        </w:rPr>
      </w:pPr>
    </w:p>
    <w:p w14:paraId="7A386268" w14:textId="1B920251" w:rsidR="001474B0" w:rsidRDefault="001474B0" w:rsidP="001474B0">
      <w:pPr>
        <w:rPr>
          <w:b/>
          <w:bCs/>
          <w:color w:val="000000"/>
          <w:sz w:val="20"/>
          <w:szCs w:val="20"/>
          <w:lang w:val="en" w:eastAsia="ca-ES"/>
        </w:rPr>
      </w:pPr>
      <w:r>
        <w:rPr>
          <w:b/>
          <w:bCs/>
          <w:color w:val="000000"/>
          <w:sz w:val="20"/>
          <w:szCs w:val="20"/>
          <w:lang w:val="en" w:eastAsia="ca-ES"/>
        </w:rPr>
        <w:t>Table S5</w:t>
      </w:r>
      <w:r w:rsidR="007A1037">
        <w:rPr>
          <w:b/>
          <w:bCs/>
          <w:color w:val="000000"/>
          <w:sz w:val="20"/>
          <w:szCs w:val="20"/>
          <w:lang w:val="en" w:eastAsia="ca-ES"/>
        </w:rPr>
        <w:t>3</w:t>
      </w:r>
      <w:r>
        <w:rPr>
          <w:b/>
          <w:bCs/>
          <w:color w:val="000000"/>
          <w:sz w:val="20"/>
          <w:szCs w:val="20"/>
          <w:lang w:val="en" w:eastAsia="ca-ES"/>
        </w:rPr>
        <w:t>: Efficacy of reslizumab stratified by blood eosinophils</w:t>
      </w:r>
    </w:p>
    <w:tbl>
      <w:tblPr>
        <w:tblW w:w="0" w:type="auto"/>
        <w:tblCellMar>
          <w:left w:w="0" w:type="dxa"/>
          <w:right w:w="0" w:type="dxa"/>
        </w:tblCellMar>
        <w:tblLook w:val="0420" w:firstRow="1" w:lastRow="0" w:firstColumn="0" w:lastColumn="0" w:noHBand="0" w:noVBand="1"/>
      </w:tblPr>
      <w:tblGrid>
        <w:gridCol w:w="942"/>
        <w:gridCol w:w="2742"/>
        <w:gridCol w:w="1955"/>
        <w:gridCol w:w="2537"/>
      </w:tblGrid>
      <w:tr w:rsidR="001474B0" w:rsidRPr="009D67D9" w14:paraId="35050DF1" w14:textId="77777777" w:rsidTr="0090666E">
        <w:trPr>
          <w:trHeight w:val="74"/>
        </w:trPr>
        <w:tc>
          <w:tcPr>
            <w:tcW w:w="0" w:type="auto"/>
            <w:tcBorders>
              <w:top w:val="single" w:sz="18" w:space="0" w:color="000000"/>
              <w:left w:val="nil"/>
              <w:bottom w:val="single" w:sz="8" w:space="0" w:color="FFFFFF"/>
              <w:right w:val="single" w:sz="8" w:space="0" w:color="FFFFFF"/>
            </w:tcBorders>
            <w:shd w:val="clear" w:color="auto" w:fill="92D050"/>
            <w:tcMar>
              <w:top w:w="72" w:type="dxa"/>
              <w:left w:w="144" w:type="dxa"/>
              <w:bottom w:w="72" w:type="dxa"/>
              <w:right w:w="144" w:type="dxa"/>
            </w:tcMar>
            <w:vAlign w:val="center"/>
            <w:hideMark/>
          </w:tcPr>
          <w:p w14:paraId="602418D4" w14:textId="77777777" w:rsidR="001474B0" w:rsidRPr="0034427B" w:rsidRDefault="001474B0" w:rsidP="0090666E">
            <w:pPr>
              <w:rPr>
                <w:b/>
                <w:bCs/>
                <w:color w:val="000000"/>
                <w:sz w:val="16"/>
                <w:szCs w:val="16"/>
                <w:lang w:eastAsia="ca-ES"/>
              </w:rPr>
            </w:pPr>
            <w:r w:rsidRPr="0034427B">
              <w:rPr>
                <w:b/>
                <w:bCs/>
                <w:color w:val="000000"/>
                <w:sz w:val="16"/>
                <w:szCs w:val="16"/>
                <w:lang w:val="es-ES" w:eastAsia="ca-ES"/>
              </w:rPr>
              <w:t xml:space="preserve">Blood eos </w:t>
            </w:r>
          </w:p>
        </w:tc>
        <w:tc>
          <w:tcPr>
            <w:tcW w:w="0" w:type="auto"/>
            <w:tcBorders>
              <w:top w:val="single" w:sz="18" w:space="0" w:color="000000"/>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vAlign w:val="center"/>
            <w:hideMark/>
          </w:tcPr>
          <w:p w14:paraId="63D97054" w14:textId="77777777" w:rsidR="001474B0" w:rsidRPr="0034427B" w:rsidRDefault="001474B0" w:rsidP="0090666E">
            <w:pPr>
              <w:rPr>
                <w:b/>
                <w:bCs/>
                <w:color w:val="000000"/>
                <w:sz w:val="16"/>
                <w:szCs w:val="16"/>
                <w:lang w:eastAsia="ca-ES"/>
              </w:rPr>
            </w:pPr>
            <w:r w:rsidRPr="0034427B">
              <w:rPr>
                <w:b/>
                <w:bCs/>
                <w:color w:val="000000"/>
                <w:sz w:val="16"/>
                <w:szCs w:val="16"/>
                <w:lang w:val="es-ES" w:eastAsia="ca-ES"/>
              </w:rPr>
              <w:t xml:space="preserve">Exacerbations – incidence risk ratio </w:t>
            </w:r>
          </w:p>
          <w:p w14:paraId="27B73543" w14:textId="77777777" w:rsidR="001474B0" w:rsidRPr="0034427B" w:rsidRDefault="001474B0" w:rsidP="0090666E">
            <w:pPr>
              <w:rPr>
                <w:b/>
                <w:bCs/>
                <w:color w:val="000000"/>
                <w:sz w:val="16"/>
                <w:szCs w:val="16"/>
                <w:lang w:eastAsia="ca-ES"/>
              </w:rPr>
            </w:pPr>
            <w:r w:rsidRPr="0034427B">
              <w:rPr>
                <w:b/>
                <w:bCs/>
                <w:color w:val="000000"/>
                <w:sz w:val="16"/>
                <w:szCs w:val="16"/>
                <w:lang w:val="es-ES" w:eastAsia="ca-ES"/>
              </w:rPr>
              <w:t>(95% CI)</w:t>
            </w:r>
          </w:p>
        </w:tc>
        <w:tc>
          <w:tcPr>
            <w:tcW w:w="0" w:type="auto"/>
            <w:tcBorders>
              <w:top w:val="single" w:sz="18" w:space="0" w:color="000000"/>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vAlign w:val="center"/>
            <w:hideMark/>
          </w:tcPr>
          <w:p w14:paraId="3A8310A6" w14:textId="77777777" w:rsidR="001474B0" w:rsidRPr="0034427B" w:rsidRDefault="001474B0" w:rsidP="0090666E">
            <w:pPr>
              <w:rPr>
                <w:b/>
                <w:bCs/>
                <w:color w:val="000000"/>
                <w:sz w:val="16"/>
                <w:szCs w:val="16"/>
                <w:lang w:val="ca-ES" w:eastAsia="ca-ES"/>
              </w:rPr>
            </w:pPr>
            <w:r w:rsidRPr="0034427B">
              <w:rPr>
                <w:b/>
                <w:bCs/>
                <w:color w:val="000000"/>
                <w:sz w:val="16"/>
                <w:szCs w:val="16"/>
                <w:lang w:val="ca-ES" w:eastAsia="ca-ES"/>
              </w:rPr>
              <w:t xml:space="preserve">FEV1 improvement </w:t>
            </w:r>
          </w:p>
          <w:p w14:paraId="51228AD1" w14:textId="77777777" w:rsidR="001474B0" w:rsidRPr="0034427B" w:rsidRDefault="001474B0" w:rsidP="0090666E">
            <w:pPr>
              <w:rPr>
                <w:b/>
                <w:bCs/>
                <w:color w:val="000000"/>
                <w:sz w:val="16"/>
                <w:szCs w:val="16"/>
                <w:lang w:eastAsia="ca-ES"/>
              </w:rPr>
            </w:pPr>
            <w:r w:rsidRPr="0034427B">
              <w:rPr>
                <w:b/>
                <w:bCs/>
                <w:color w:val="000000"/>
                <w:sz w:val="16"/>
                <w:szCs w:val="16"/>
                <w:lang w:val="es-ES" w:eastAsia="ca-ES"/>
              </w:rPr>
              <w:t>(95% CI)</w:t>
            </w:r>
          </w:p>
        </w:tc>
        <w:tc>
          <w:tcPr>
            <w:tcW w:w="0" w:type="auto"/>
            <w:tcBorders>
              <w:top w:val="single" w:sz="18" w:space="0" w:color="000000"/>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vAlign w:val="center"/>
            <w:hideMark/>
          </w:tcPr>
          <w:p w14:paraId="35345DF3" w14:textId="77777777" w:rsidR="001474B0" w:rsidRPr="0034427B" w:rsidRDefault="001474B0" w:rsidP="0090666E">
            <w:pPr>
              <w:rPr>
                <w:b/>
                <w:bCs/>
                <w:color w:val="000000"/>
                <w:sz w:val="16"/>
                <w:szCs w:val="16"/>
                <w:lang w:eastAsia="ca-ES"/>
              </w:rPr>
            </w:pPr>
            <w:r w:rsidRPr="0034427B">
              <w:rPr>
                <w:b/>
                <w:bCs/>
                <w:color w:val="000000"/>
                <w:sz w:val="16"/>
                <w:szCs w:val="16"/>
                <w:lang w:val="ca-ES" w:eastAsia="ca-ES"/>
              </w:rPr>
              <w:t>Asthma control (ACQ (</w:t>
            </w:r>
            <w:r w:rsidRPr="0034427B">
              <w:rPr>
                <w:b/>
                <w:bCs/>
                <w:color w:val="000000"/>
                <w:sz w:val="16"/>
                <w:szCs w:val="16"/>
                <w:lang w:val="es-ES" w:eastAsia="ca-ES"/>
              </w:rPr>
              <w:t>(95% CI)</w:t>
            </w:r>
          </w:p>
        </w:tc>
      </w:tr>
      <w:tr w:rsidR="001474B0" w:rsidRPr="009D67D9" w14:paraId="4D7401C0" w14:textId="77777777" w:rsidTr="0090666E">
        <w:trPr>
          <w:trHeight w:val="21"/>
        </w:trPr>
        <w:tc>
          <w:tcPr>
            <w:tcW w:w="0" w:type="auto"/>
            <w:tcBorders>
              <w:top w:val="single" w:sz="8" w:space="0" w:color="FFFFFF"/>
              <w:left w:val="nil"/>
              <w:bottom w:val="single" w:sz="8" w:space="0" w:color="FFFFFF"/>
              <w:right w:val="single" w:sz="8" w:space="0" w:color="FFFFFF"/>
            </w:tcBorders>
            <w:shd w:val="clear" w:color="auto" w:fill="E7E7E7"/>
            <w:tcMar>
              <w:top w:w="72" w:type="dxa"/>
              <w:left w:w="144" w:type="dxa"/>
              <w:bottom w:w="72" w:type="dxa"/>
              <w:right w:w="144" w:type="dxa"/>
            </w:tcMar>
            <w:hideMark/>
          </w:tcPr>
          <w:p w14:paraId="1DF4A826" w14:textId="77777777" w:rsidR="001474B0" w:rsidRPr="009D67D9" w:rsidRDefault="001474B0" w:rsidP="0090666E">
            <w:pPr>
              <w:rPr>
                <w:b/>
                <w:bCs/>
                <w:color w:val="000000"/>
                <w:sz w:val="20"/>
                <w:szCs w:val="20"/>
                <w:lang w:eastAsia="ca-ES"/>
              </w:rPr>
            </w:pPr>
            <w:r w:rsidRPr="009D67D9">
              <w:rPr>
                <w:b/>
                <w:bCs/>
                <w:color w:val="000000"/>
                <w:sz w:val="20"/>
                <w:szCs w:val="20"/>
                <w:lang w:val="es-ES" w:eastAsia="ca-ES"/>
              </w:rPr>
              <w:t>&gt;400</w:t>
            </w:r>
          </w:p>
        </w:tc>
        <w:tc>
          <w:tcPr>
            <w:tcW w:w="0" w:type="auto"/>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4DE38C3A" w14:textId="77777777" w:rsidR="001474B0" w:rsidRPr="009D67D9" w:rsidRDefault="001474B0" w:rsidP="0090666E">
            <w:pPr>
              <w:rPr>
                <w:b/>
                <w:bCs/>
                <w:color w:val="000000"/>
                <w:sz w:val="20"/>
                <w:szCs w:val="20"/>
                <w:lang w:eastAsia="ca-ES"/>
              </w:rPr>
            </w:pPr>
            <w:r w:rsidRPr="009D67D9">
              <w:rPr>
                <w:b/>
                <w:bCs/>
                <w:color w:val="000000"/>
                <w:sz w:val="20"/>
                <w:szCs w:val="20"/>
                <w:lang w:val="es-ES" w:eastAsia="ca-ES"/>
              </w:rPr>
              <w:t>0.46 (0.37 to 0.57)</w:t>
            </w:r>
          </w:p>
        </w:tc>
        <w:tc>
          <w:tcPr>
            <w:tcW w:w="0" w:type="auto"/>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2D875F6B" w14:textId="77777777" w:rsidR="001474B0" w:rsidRPr="009D67D9" w:rsidRDefault="001474B0" w:rsidP="0090666E">
            <w:pPr>
              <w:rPr>
                <w:b/>
                <w:bCs/>
                <w:color w:val="000000"/>
                <w:sz w:val="20"/>
                <w:szCs w:val="20"/>
                <w:lang w:eastAsia="ca-ES"/>
              </w:rPr>
            </w:pPr>
            <w:r w:rsidRPr="009D67D9">
              <w:rPr>
                <w:b/>
                <w:bCs/>
                <w:color w:val="000000"/>
                <w:sz w:val="20"/>
                <w:szCs w:val="20"/>
                <w:lang w:val="es-ES" w:eastAsia="ca-ES"/>
              </w:rPr>
              <w:t>142 (-334 to 618)</w:t>
            </w:r>
          </w:p>
        </w:tc>
        <w:tc>
          <w:tcPr>
            <w:tcW w:w="0" w:type="auto"/>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3D645740" w14:textId="77777777" w:rsidR="001474B0" w:rsidRPr="009D67D9" w:rsidRDefault="001474B0" w:rsidP="0090666E">
            <w:pPr>
              <w:rPr>
                <w:b/>
                <w:bCs/>
                <w:color w:val="000000"/>
                <w:sz w:val="20"/>
                <w:szCs w:val="20"/>
                <w:lang w:eastAsia="ca-ES"/>
              </w:rPr>
            </w:pPr>
            <w:r w:rsidRPr="009D67D9">
              <w:rPr>
                <w:b/>
                <w:bCs/>
                <w:color w:val="000000"/>
                <w:sz w:val="20"/>
                <w:szCs w:val="20"/>
                <w:lang w:val="es-ES" w:eastAsia="ca-ES"/>
              </w:rPr>
              <w:t>-0.14 (-0.77 to 0.5)</w:t>
            </w:r>
          </w:p>
        </w:tc>
      </w:tr>
      <w:tr w:rsidR="001474B0" w:rsidRPr="009D67D9" w14:paraId="4074631A" w14:textId="77777777" w:rsidTr="0090666E">
        <w:trPr>
          <w:trHeight w:val="21"/>
        </w:trPr>
        <w:tc>
          <w:tcPr>
            <w:tcW w:w="0" w:type="auto"/>
            <w:tcBorders>
              <w:top w:val="single" w:sz="8" w:space="0" w:color="FFFFFF"/>
              <w:left w:val="nil"/>
              <w:bottom w:val="single" w:sz="8" w:space="0" w:color="FFFFFF"/>
              <w:right w:val="single" w:sz="8" w:space="0" w:color="FFFFFF"/>
            </w:tcBorders>
            <w:shd w:val="clear" w:color="auto" w:fill="FFFFFF"/>
            <w:tcMar>
              <w:top w:w="72" w:type="dxa"/>
              <w:left w:w="144" w:type="dxa"/>
              <w:bottom w:w="72" w:type="dxa"/>
              <w:right w:w="144" w:type="dxa"/>
            </w:tcMar>
            <w:hideMark/>
          </w:tcPr>
          <w:p w14:paraId="7673F1DF" w14:textId="77777777" w:rsidR="001474B0" w:rsidRPr="009D67D9" w:rsidRDefault="001474B0" w:rsidP="0090666E">
            <w:pPr>
              <w:rPr>
                <w:b/>
                <w:bCs/>
                <w:color w:val="000000"/>
                <w:sz w:val="20"/>
                <w:szCs w:val="20"/>
                <w:lang w:eastAsia="ca-ES"/>
              </w:rPr>
            </w:pPr>
            <w:r w:rsidRPr="009D67D9">
              <w:rPr>
                <w:b/>
                <w:bCs/>
                <w:color w:val="000000"/>
                <w:sz w:val="20"/>
                <w:szCs w:val="20"/>
                <w:lang w:val="ca-ES" w:eastAsia="ca-ES"/>
              </w:rPr>
              <w:t>&gt;500</w:t>
            </w:r>
          </w:p>
        </w:tc>
        <w:tc>
          <w:tcPr>
            <w:tcW w:w="0" w:type="auto"/>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5912F105" w14:textId="77777777" w:rsidR="001474B0" w:rsidRPr="009D67D9" w:rsidRDefault="001474B0" w:rsidP="0090666E">
            <w:pPr>
              <w:rPr>
                <w:b/>
                <w:bCs/>
                <w:color w:val="000000"/>
                <w:sz w:val="20"/>
                <w:szCs w:val="20"/>
                <w:lang w:eastAsia="ca-ES"/>
              </w:rPr>
            </w:pPr>
            <w:r w:rsidRPr="009D67D9">
              <w:rPr>
                <w:b/>
                <w:bCs/>
                <w:color w:val="000000"/>
                <w:sz w:val="20"/>
                <w:szCs w:val="20"/>
                <w:lang w:val="es-ES" w:eastAsia="ca-ES"/>
              </w:rPr>
              <w:t xml:space="preserve">0.49 (0.36 to 0.67) </w:t>
            </w:r>
          </w:p>
        </w:tc>
        <w:tc>
          <w:tcPr>
            <w:tcW w:w="0" w:type="auto"/>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46B53424" w14:textId="77777777" w:rsidR="001474B0" w:rsidRPr="009D67D9" w:rsidRDefault="001474B0" w:rsidP="0090666E">
            <w:pPr>
              <w:rPr>
                <w:b/>
                <w:bCs/>
                <w:color w:val="000000"/>
                <w:sz w:val="20"/>
                <w:szCs w:val="20"/>
                <w:lang w:eastAsia="ca-ES"/>
              </w:rPr>
            </w:pPr>
            <w:r w:rsidRPr="009D67D9">
              <w:rPr>
                <w:b/>
                <w:bCs/>
                <w:color w:val="000000"/>
                <w:sz w:val="20"/>
                <w:szCs w:val="20"/>
                <w:lang w:val="ca-ES" w:eastAsia="ca-ES"/>
              </w:rPr>
              <w:t>105 (-326 to 536.19)</w:t>
            </w:r>
          </w:p>
        </w:tc>
        <w:tc>
          <w:tcPr>
            <w:tcW w:w="0" w:type="auto"/>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309E356D" w14:textId="77777777" w:rsidR="001474B0" w:rsidRPr="009D67D9" w:rsidRDefault="001474B0" w:rsidP="0090666E">
            <w:pPr>
              <w:rPr>
                <w:b/>
                <w:bCs/>
                <w:color w:val="000000"/>
                <w:sz w:val="20"/>
                <w:szCs w:val="20"/>
                <w:lang w:eastAsia="ca-ES"/>
              </w:rPr>
            </w:pPr>
            <w:r w:rsidRPr="009D67D9">
              <w:rPr>
                <w:b/>
                <w:bCs/>
                <w:color w:val="000000"/>
                <w:sz w:val="20"/>
                <w:szCs w:val="20"/>
                <w:lang w:val="ca-ES" w:eastAsia="ca-ES"/>
              </w:rPr>
              <w:t>-0.43 (-1.7 to 0.83)</w:t>
            </w:r>
          </w:p>
        </w:tc>
      </w:tr>
      <w:tr w:rsidR="001474B0" w:rsidRPr="009D67D9" w14:paraId="10BFC759" w14:textId="77777777" w:rsidTr="0090666E">
        <w:trPr>
          <w:trHeight w:val="21"/>
        </w:trPr>
        <w:tc>
          <w:tcPr>
            <w:tcW w:w="0" w:type="auto"/>
            <w:tcBorders>
              <w:top w:val="single" w:sz="8" w:space="0" w:color="FFFFFF"/>
              <w:left w:val="nil"/>
              <w:bottom w:val="single" w:sz="8" w:space="0" w:color="FFFFFF"/>
              <w:right w:val="single" w:sz="8" w:space="0" w:color="FFFFFF"/>
            </w:tcBorders>
            <w:shd w:val="clear" w:color="auto" w:fill="E7E7E7"/>
            <w:tcMar>
              <w:top w:w="72" w:type="dxa"/>
              <w:left w:w="144" w:type="dxa"/>
              <w:bottom w:w="72" w:type="dxa"/>
              <w:right w:w="144" w:type="dxa"/>
            </w:tcMar>
            <w:hideMark/>
          </w:tcPr>
          <w:p w14:paraId="4C0AA161" w14:textId="77777777" w:rsidR="001474B0" w:rsidRPr="009D67D9" w:rsidRDefault="001474B0" w:rsidP="0090666E">
            <w:pPr>
              <w:rPr>
                <w:b/>
                <w:bCs/>
                <w:color w:val="000000"/>
                <w:sz w:val="20"/>
                <w:szCs w:val="20"/>
                <w:lang w:eastAsia="ca-ES"/>
              </w:rPr>
            </w:pPr>
            <w:r w:rsidRPr="009D67D9">
              <w:rPr>
                <w:b/>
                <w:bCs/>
                <w:color w:val="000000"/>
                <w:sz w:val="20"/>
                <w:szCs w:val="20"/>
                <w:lang w:val="ca-ES" w:eastAsia="ca-ES"/>
              </w:rPr>
              <w:t>&gt;600</w:t>
            </w:r>
          </w:p>
        </w:tc>
        <w:tc>
          <w:tcPr>
            <w:tcW w:w="0" w:type="auto"/>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4EDDE446" w14:textId="77777777" w:rsidR="001474B0" w:rsidRPr="009D67D9" w:rsidRDefault="001474B0" w:rsidP="0090666E">
            <w:pPr>
              <w:rPr>
                <w:b/>
                <w:bCs/>
                <w:color w:val="000000"/>
                <w:sz w:val="20"/>
                <w:szCs w:val="20"/>
                <w:lang w:eastAsia="ca-ES"/>
              </w:rPr>
            </w:pPr>
            <w:r w:rsidRPr="009D67D9">
              <w:rPr>
                <w:b/>
                <w:bCs/>
                <w:color w:val="000000"/>
                <w:sz w:val="20"/>
                <w:szCs w:val="20"/>
                <w:lang w:val="ca-ES" w:eastAsia="ca-ES"/>
              </w:rPr>
              <w:t>0.41 (0.28 to 0.6)</w:t>
            </w:r>
            <w:r w:rsidRPr="009D67D9">
              <w:rPr>
                <w:b/>
                <w:bCs/>
                <w:color w:val="000000"/>
                <w:sz w:val="20"/>
                <w:szCs w:val="20"/>
                <w:lang w:val="es-ES" w:eastAsia="ca-ES"/>
              </w:rPr>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318B29B2" w14:textId="77777777" w:rsidR="001474B0" w:rsidRPr="009D67D9" w:rsidRDefault="001474B0" w:rsidP="0090666E">
            <w:pPr>
              <w:rPr>
                <w:b/>
                <w:bCs/>
                <w:color w:val="000000"/>
                <w:sz w:val="20"/>
                <w:szCs w:val="20"/>
                <w:lang w:eastAsia="ca-ES"/>
              </w:rPr>
            </w:pPr>
            <w:r w:rsidRPr="009D67D9">
              <w:rPr>
                <w:b/>
                <w:bCs/>
                <w:color w:val="000000"/>
                <w:sz w:val="20"/>
                <w:szCs w:val="20"/>
                <w:lang w:val="ca-ES" w:eastAsia="ca-ES"/>
              </w:rPr>
              <w:t>250 (10-490)</w:t>
            </w:r>
          </w:p>
        </w:tc>
        <w:tc>
          <w:tcPr>
            <w:tcW w:w="0" w:type="auto"/>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42CB6A74" w14:textId="77777777" w:rsidR="001474B0" w:rsidRPr="009D67D9" w:rsidRDefault="001474B0" w:rsidP="0090666E">
            <w:pPr>
              <w:rPr>
                <w:b/>
                <w:bCs/>
                <w:color w:val="000000"/>
                <w:sz w:val="20"/>
                <w:szCs w:val="20"/>
                <w:lang w:eastAsia="ca-ES"/>
              </w:rPr>
            </w:pPr>
            <w:r w:rsidRPr="009D67D9">
              <w:rPr>
                <w:b/>
                <w:bCs/>
                <w:color w:val="000000"/>
                <w:sz w:val="20"/>
                <w:szCs w:val="20"/>
                <w:lang w:val="ca-ES" w:eastAsia="ca-ES"/>
              </w:rPr>
              <w:t>-0.8 (-1.39 to – 0.21)</w:t>
            </w:r>
          </w:p>
        </w:tc>
      </w:tr>
    </w:tbl>
    <w:p w14:paraId="0949BA49" w14:textId="77777777" w:rsidR="001474B0" w:rsidRDefault="001474B0">
      <w:pPr>
        <w:rPr>
          <w:b/>
          <w:bCs/>
          <w:color w:val="000000"/>
          <w:sz w:val="20"/>
          <w:szCs w:val="20"/>
          <w:lang w:val="en" w:eastAsia="ca-ES"/>
        </w:rPr>
      </w:pPr>
    </w:p>
    <w:p w14:paraId="08A6D6D9" w14:textId="133352CA" w:rsidR="009D67D9" w:rsidRDefault="009D67D9">
      <w:pPr>
        <w:rPr>
          <w:b/>
          <w:bCs/>
          <w:color w:val="000000"/>
          <w:sz w:val="20"/>
          <w:szCs w:val="20"/>
          <w:lang w:val="en" w:eastAsia="ca-ES"/>
        </w:rPr>
      </w:pPr>
      <w:r>
        <w:rPr>
          <w:b/>
          <w:bCs/>
          <w:color w:val="000000"/>
          <w:sz w:val="20"/>
          <w:szCs w:val="20"/>
          <w:lang w:val="en" w:eastAsia="ca-ES"/>
        </w:rPr>
        <w:t xml:space="preserve">Table </w:t>
      </w:r>
      <w:r w:rsidR="004C505F">
        <w:rPr>
          <w:b/>
          <w:bCs/>
          <w:color w:val="000000"/>
          <w:sz w:val="20"/>
          <w:szCs w:val="20"/>
          <w:lang w:val="en" w:eastAsia="ca-ES"/>
        </w:rPr>
        <w:t>S5</w:t>
      </w:r>
      <w:r w:rsidR="007A1037">
        <w:rPr>
          <w:b/>
          <w:bCs/>
          <w:color w:val="000000"/>
          <w:sz w:val="20"/>
          <w:szCs w:val="20"/>
          <w:lang w:val="en" w:eastAsia="ca-ES"/>
        </w:rPr>
        <w:t>4</w:t>
      </w:r>
      <w:r w:rsidR="0034427B">
        <w:rPr>
          <w:b/>
          <w:bCs/>
          <w:color w:val="000000"/>
          <w:sz w:val="20"/>
          <w:szCs w:val="20"/>
          <w:lang w:val="en" w:eastAsia="ca-ES"/>
        </w:rPr>
        <w:t xml:space="preserve">: Efficacy of reslizumab stratified by co-morbidities (CRSwNP) </w:t>
      </w:r>
    </w:p>
    <w:tbl>
      <w:tblPr>
        <w:tblW w:w="8661" w:type="dxa"/>
        <w:tblCellMar>
          <w:left w:w="0" w:type="dxa"/>
          <w:right w:w="0" w:type="dxa"/>
        </w:tblCellMar>
        <w:tblLook w:val="0420" w:firstRow="1" w:lastRow="0" w:firstColumn="0" w:lastColumn="0" w:noHBand="0" w:noVBand="1"/>
      </w:tblPr>
      <w:tblGrid>
        <w:gridCol w:w="937"/>
        <w:gridCol w:w="2890"/>
        <w:gridCol w:w="2215"/>
        <w:gridCol w:w="2619"/>
      </w:tblGrid>
      <w:tr w:rsidR="00E177F8" w:rsidRPr="009D67D9" w14:paraId="2B299E7E" w14:textId="77777777" w:rsidTr="001474B0">
        <w:trPr>
          <w:trHeight w:val="10"/>
        </w:trPr>
        <w:tc>
          <w:tcPr>
            <w:tcW w:w="0" w:type="auto"/>
            <w:tcBorders>
              <w:top w:val="single" w:sz="18" w:space="0" w:color="000000"/>
              <w:left w:val="nil"/>
              <w:bottom w:val="single" w:sz="8" w:space="0" w:color="FFFFFF"/>
              <w:right w:val="single" w:sz="8" w:space="0" w:color="FFFFFF"/>
            </w:tcBorders>
            <w:shd w:val="clear" w:color="auto" w:fill="92D050"/>
            <w:tcMar>
              <w:top w:w="72" w:type="dxa"/>
              <w:left w:w="144" w:type="dxa"/>
              <w:bottom w:w="72" w:type="dxa"/>
              <w:right w:w="144" w:type="dxa"/>
            </w:tcMar>
            <w:vAlign w:val="center"/>
            <w:hideMark/>
          </w:tcPr>
          <w:p w14:paraId="556D9EE3" w14:textId="77777777" w:rsidR="009D67D9" w:rsidRPr="0034427B" w:rsidRDefault="009D67D9" w:rsidP="009D67D9">
            <w:pPr>
              <w:rPr>
                <w:b/>
                <w:bCs/>
                <w:color w:val="000000"/>
                <w:sz w:val="16"/>
                <w:szCs w:val="16"/>
                <w:lang w:eastAsia="ca-ES"/>
              </w:rPr>
            </w:pPr>
            <w:r w:rsidRPr="0034427B">
              <w:rPr>
                <w:b/>
                <w:bCs/>
                <w:color w:val="000000"/>
                <w:sz w:val="16"/>
                <w:szCs w:val="16"/>
                <w:lang w:val="es-ES" w:eastAsia="ca-ES"/>
              </w:rPr>
              <w:t>CRSwNP</w:t>
            </w:r>
          </w:p>
        </w:tc>
        <w:tc>
          <w:tcPr>
            <w:tcW w:w="2890" w:type="dxa"/>
            <w:tcBorders>
              <w:top w:val="single" w:sz="18" w:space="0" w:color="000000"/>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vAlign w:val="center"/>
            <w:hideMark/>
          </w:tcPr>
          <w:p w14:paraId="6975608D" w14:textId="2541B55A" w:rsidR="009D67D9" w:rsidRPr="0034427B" w:rsidRDefault="009D67D9" w:rsidP="009D67D9">
            <w:pPr>
              <w:rPr>
                <w:b/>
                <w:bCs/>
                <w:color w:val="000000"/>
                <w:sz w:val="16"/>
                <w:szCs w:val="16"/>
                <w:lang w:eastAsia="ca-ES"/>
              </w:rPr>
            </w:pPr>
            <w:r w:rsidRPr="0034427B">
              <w:rPr>
                <w:b/>
                <w:bCs/>
                <w:color w:val="000000"/>
                <w:sz w:val="16"/>
                <w:szCs w:val="16"/>
                <w:lang w:val="es-ES" w:eastAsia="ca-ES"/>
              </w:rPr>
              <w:t xml:space="preserve">Exacerbations </w:t>
            </w:r>
            <w:r w:rsidR="00E177F8" w:rsidRPr="0034427B">
              <w:rPr>
                <w:b/>
                <w:bCs/>
                <w:color w:val="000000"/>
                <w:sz w:val="16"/>
                <w:szCs w:val="16"/>
                <w:lang w:val="es-ES" w:eastAsia="ca-ES"/>
              </w:rPr>
              <w:t>–</w:t>
            </w:r>
            <w:r w:rsidRPr="0034427B">
              <w:rPr>
                <w:b/>
                <w:bCs/>
                <w:color w:val="000000"/>
                <w:sz w:val="16"/>
                <w:szCs w:val="16"/>
                <w:lang w:val="es-ES" w:eastAsia="ca-ES"/>
              </w:rPr>
              <w:t xml:space="preserve"> </w:t>
            </w:r>
            <w:r w:rsidR="00E177F8" w:rsidRPr="0034427B">
              <w:rPr>
                <w:b/>
                <w:bCs/>
                <w:color w:val="000000"/>
                <w:sz w:val="16"/>
                <w:szCs w:val="16"/>
                <w:lang w:val="es-ES" w:eastAsia="ca-ES"/>
              </w:rPr>
              <w:t>indicence risk ratio</w:t>
            </w:r>
            <w:r w:rsidRPr="0034427B">
              <w:rPr>
                <w:b/>
                <w:bCs/>
                <w:color w:val="000000"/>
                <w:sz w:val="16"/>
                <w:szCs w:val="16"/>
                <w:lang w:val="es-ES" w:eastAsia="ca-ES"/>
              </w:rPr>
              <w:t xml:space="preserve"> </w:t>
            </w:r>
          </w:p>
          <w:p w14:paraId="5705E540" w14:textId="77777777" w:rsidR="009D67D9" w:rsidRPr="0034427B" w:rsidRDefault="009D67D9" w:rsidP="009D67D9">
            <w:pPr>
              <w:rPr>
                <w:b/>
                <w:bCs/>
                <w:color w:val="000000"/>
                <w:sz w:val="16"/>
                <w:szCs w:val="16"/>
                <w:lang w:eastAsia="ca-ES"/>
              </w:rPr>
            </w:pPr>
            <w:r w:rsidRPr="0034427B">
              <w:rPr>
                <w:b/>
                <w:bCs/>
                <w:color w:val="000000"/>
                <w:sz w:val="16"/>
                <w:szCs w:val="16"/>
                <w:lang w:val="es-ES" w:eastAsia="ca-ES"/>
              </w:rPr>
              <w:t>(95% CI)</w:t>
            </w:r>
          </w:p>
        </w:tc>
        <w:tc>
          <w:tcPr>
            <w:tcW w:w="2215" w:type="dxa"/>
            <w:tcBorders>
              <w:top w:val="single" w:sz="18" w:space="0" w:color="000000"/>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vAlign w:val="center"/>
            <w:hideMark/>
          </w:tcPr>
          <w:p w14:paraId="1838B4E6" w14:textId="6CB9869B" w:rsidR="009D67D9" w:rsidRPr="0034427B" w:rsidRDefault="009D67D9" w:rsidP="009D67D9">
            <w:pPr>
              <w:rPr>
                <w:b/>
                <w:bCs/>
                <w:color w:val="000000"/>
                <w:sz w:val="16"/>
                <w:szCs w:val="16"/>
                <w:lang w:eastAsia="ca-ES"/>
              </w:rPr>
            </w:pPr>
            <w:r w:rsidRPr="0034427B">
              <w:rPr>
                <w:b/>
                <w:bCs/>
                <w:color w:val="000000"/>
                <w:sz w:val="16"/>
                <w:szCs w:val="16"/>
                <w:lang w:val="ca-ES" w:eastAsia="ca-ES"/>
              </w:rPr>
              <w:t xml:space="preserve">FEV1 </w:t>
            </w:r>
            <w:r w:rsidR="00E177F8" w:rsidRPr="0034427B">
              <w:rPr>
                <w:b/>
                <w:bCs/>
                <w:color w:val="000000"/>
                <w:sz w:val="16"/>
                <w:szCs w:val="16"/>
                <w:lang w:val="ca-ES" w:eastAsia="ca-ES"/>
              </w:rPr>
              <w:t>improvement (</w:t>
            </w:r>
            <w:r w:rsidR="00E177F8" w:rsidRPr="0034427B">
              <w:rPr>
                <w:b/>
                <w:bCs/>
                <w:color w:val="000000"/>
                <w:sz w:val="16"/>
                <w:szCs w:val="16"/>
                <w:lang w:val="es-ES" w:eastAsia="ca-ES"/>
              </w:rPr>
              <w:t>(95% CI)</w:t>
            </w:r>
          </w:p>
        </w:tc>
        <w:tc>
          <w:tcPr>
            <w:tcW w:w="0" w:type="auto"/>
            <w:tcBorders>
              <w:top w:val="single" w:sz="18" w:space="0" w:color="000000"/>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vAlign w:val="center"/>
            <w:hideMark/>
          </w:tcPr>
          <w:p w14:paraId="52809D91" w14:textId="538E7446" w:rsidR="009D67D9" w:rsidRPr="0034427B" w:rsidRDefault="009D67D9" w:rsidP="009D67D9">
            <w:pPr>
              <w:rPr>
                <w:b/>
                <w:bCs/>
                <w:color w:val="000000"/>
                <w:sz w:val="16"/>
                <w:szCs w:val="16"/>
                <w:lang w:eastAsia="ca-ES"/>
              </w:rPr>
            </w:pPr>
            <w:r w:rsidRPr="0034427B">
              <w:rPr>
                <w:b/>
                <w:bCs/>
                <w:color w:val="000000"/>
                <w:sz w:val="16"/>
                <w:szCs w:val="16"/>
                <w:lang w:val="ca-ES" w:eastAsia="ca-ES"/>
              </w:rPr>
              <w:t>Asthma control (ACQ</w:t>
            </w:r>
            <w:r w:rsidR="00E177F8" w:rsidRPr="0034427B">
              <w:rPr>
                <w:b/>
                <w:bCs/>
                <w:color w:val="000000"/>
                <w:sz w:val="16"/>
                <w:szCs w:val="16"/>
                <w:lang w:val="ca-ES" w:eastAsia="ca-ES"/>
              </w:rPr>
              <w:t xml:space="preserve"> </w:t>
            </w:r>
            <w:r w:rsidRPr="0034427B">
              <w:rPr>
                <w:b/>
                <w:bCs/>
                <w:color w:val="000000"/>
                <w:sz w:val="16"/>
                <w:szCs w:val="16"/>
                <w:lang w:val="ca-ES" w:eastAsia="ca-ES"/>
              </w:rPr>
              <w:t>)</w:t>
            </w:r>
            <w:r w:rsidR="00E177F8" w:rsidRPr="0034427B">
              <w:rPr>
                <w:b/>
                <w:bCs/>
                <w:color w:val="000000"/>
                <w:sz w:val="16"/>
                <w:szCs w:val="16"/>
                <w:lang w:val="ca-ES" w:eastAsia="ca-ES"/>
              </w:rPr>
              <w:t xml:space="preserve"> (</w:t>
            </w:r>
            <w:r w:rsidR="00E177F8" w:rsidRPr="0034427B">
              <w:rPr>
                <w:b/>
                <w:bCs/>
                <w:color w:val="000000"/>
                <w:sz w:val="16"/>
                <w:szCs w:val="16"/>
                <w:lang w:val="es-ES" w:eastAsia="ca-ES"/>
              </w:rPr>
              <w:t>(95% CI)</w:t>
            </w:r>
          </w:p>
        </w:tc>
      </w:tr>
      <w:tr w:rsidR="00E177F8" w:rsidRPr="009D67D9" w14:paraId="0005F1C7" w14:textId="77777777" w:rsidTr="001474B0">
        <w:trPr>
          <w:trHeight w:val="9"/>
        </w:trPr>
        <w:tc>
          <w:tcPr>
            <w:tcW w:w="0" w:type="auto"/>
            <w:tcBorders>
              <w:top w:val="single" w:sz="8" w:space="0" w:color="FFFFFF"/>
              <w:left w:val="nil"/>
              <w:bottom w:val="single" w:sz="8" w:space="0" w:color="FFFFFF"/>
              <w:right w:val="single" w:sz="8" w:space="0" w:color="FFFFFF"/>
            </w:tcBorders>
            <w:shd w:val="clear" w:color="auto" w:fill="E7E7E7"/>
            <w:tcMar>
              <w:top w:w="72" w:type="dxa"/>
              <w:left w:w="144" w:type="dxa"/>
              <w:bottom w:w="72" w:type="dxa"/>
              <w:right w:w="144" w:type="dxa"/>
            </w:tcMar>
            <w:hideMark/>
          </w:tcPr>
          <w:p w14:paraId="76B200F1" w14:textId="77777777" w:rsidR="009D67D9" w:rsidRPr="0034427B" w:rsidRDefault="009D67D9" w:rsidP="009D67D9">
            <w:pPr>
              <w:rPr>
                <w:b/>
                <w:bCs/>
                <w:color w:val="000000"/>
                <w:sz w:val="16"/>
                <w:szCs w:val="16"/>
                <w:lang w:eastAsia="ca-ES"/>
              </w:rPr>
            </w:pPr>
            <w:r w:rsidRPr="0034427B">
              <w:rPr>
                <w:b/>
                <w:bCs/>
                <w:color w:val="000000"/>
                <w:sz w:val="16"/>
                <w:szCs w:val="16"/>
                <w:lang w:val="es-ES" w:eastAsia="ca-ES"/>
              </w:rPr>
              <w:t xml:space="preserve">With </w:t>
            </w:r>
          </w:p>
        </w:tc>
        <w:tc>
          <w:tcPr>
            <w:tcW w:w="289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25DB0E18" w14:textId="77777777" w:rsidR="009D67D9" w:rsidRPr="0034427B" w:rsidRDefault="009D67D9" w:rsidP="009D67D9">
            <w:pPr>
              <w:rPr>
                <w:b/>
                <w:bCs/>
                <w:color w:val="000000"/>
                <w:sz w:val="16"/>
                <w:szCs w:val="16"/>
                <w:lang w:eastAsia="ca-ES"/>
              </w:rPr>
            </w:pPr>
            <w:r w:rsidRPr="0034427B">
              <w:rPr>
                <w:b/>
                <w:bCs/>
                <w:color w:val="000000"/>
                <w:sz w:val="16"/>
                <w:szCs w:val="16"/>
                <w:lang w:val="es-ES" w:eastAsia="ca-ES"/>
              </w:rPr>
              <w:t>0.17 (0.10 to 0.29)</w:t>
            </w:r>
          </w:p>
        </w:tc>
        <w:tc>
          <w:tcPr>
            <w:tcW w:w="2215"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5FB881F6" w14:textId="77777777" w:rsidR="009D67D9" w:rsidRPr="0034427B" w:rsidRDefault="009D67D9" w:rsidP="009D67D9">
            <w:pPr>
              <w:rPr>
                <w:b/>
                <w:bCs/>
                <w:color w:val="000000"/>
                <w:sz w:val="16"/>
                <w:szCs w:val="16"/>
                <w:lang w:eastAsia="ca-ES"/>
              </w:rPr>
            </w:pPr>
            <w:r w:rsidRPr="0034427B">
              <w:rPr>
                <w:b/>
                <w:bCs/>
                <w:color w:val="000000"/>
                <w:sz w:val="16"/>
                <w:szCs w:val="16"/>
                <w:lang w:val="es-ES" w:eastAsia="ca-ES"/>
              </w:rPr>
              <w:t>220.0 (25.56 – 414.44)</w:t>
            </w:r>
          </w:p>
        </w:tc>
        <w:tc>
          <w:tcPr>
            <w:tcW w:w="0" w:type="auto"/>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445EB300" w14:textId="77777777" w:rsidR="009D67D9" w:rsidRPr="0034427B" w:rsidRDefault="009D67D9" w:rsidP="009D67D9">
            <w:pPr>
              <w:rPr>
                <w:b/>
                <w:bCs/>
                <w:color w:val="000000"/>
                <w:sz w:val="16"/>
                <w:szCs w:val="16"/>
                <w:lang w:eastAsia="ca-ES"/>
              </w:rPr>
            </w:pPr>
            <w:r w:rsidRPr="0034427B">
              <w:rPr>
                <w:b/>
                <w:bCs/>
                <w:color w:val="000000"/>
                <w:sz w:val="16"/>
                <w:szCs w:val="16"/>
                <w:lang w:val="es-ES" w:eastAsia="ca-ES"/>
              </w:rPr>
              <w:t>-0.9 (-1.63 to -0.17)</w:t>
            </w:r>
          </w:p>
        </w:tc>
      </w:tr>
      <w:tr w:rsidR="00E177F8" w:rsidRPr="009D67D9" w14:paraId="3839768C" w14:textId="77777777" w:rsidTr="001474B0">
        <w:trPr>
          <w:trHeight w:val="340"/>
        </w:trPr>
        <w:tc>
          <w:tcPr>
            <w:tcW w:w="0" w:type="auto"/>
            <w:tcBorders>
              <w:top w:val="single" w:sz="8" w:space="0" w:color="FFFFFF"/>
              <w:left w:val="nil"/>
              <w:bottom w:val="single" w:sz="8" w:space="0" w:color="FFFFFF"/>
              <w:right w:val="single" w:sz="8" w:space="0" w:color="FFFFFF"/>
            </w:tcBorders>
            <w:shd w:val="clear" w:color="auto" w:fill="FFFFFF"/>
            <w:tcMar>
              <w:top w:w="72" w:type="dxa"/>
              <w:left w:w="144" w:type="dxa"/>
              <w:bottom w:w="72" w:type="dxa"/>
              <w:right w:w="144" w:type="dxa"/>
            </w:tcMar>
            <w:hideMark/>
          </w:tcPr>
          <w:p w14:paraId="7F190C8C" w14:textId="77777777" w:rsidR="009D67D9" w:rsidRPr="0034427B" w:rsidRDefault="009D67D9" w:rsidP="009D67D9">
            <w:pPr>
              <w:rPr>
                <w:b/>
                <w:bCs/>
                <w:color w:val="000000"/>
                <w:sz w:val="16"/>
                <w:szCs w:val="16"/>
                <w:lang w:eastAsia="ca-ES"/>
              </w:rPr>
            </w:pPr>
            <w:r w:rsidRPr="0034427B">
              <w:rPr>
                <w:b/>
                <w:bCs/>
                <w:color w:val="000000"/>
                <w:sz w:val="16"/>
                <w:szCs w:val="16"/>
                <w:lang w:val="ca-ES" w:eastAsia="ca-ES"/>
              </w:rPr>
              <w:lastRenderedPageBreak/>
              <w:t xml:space="preserve">Without </w:t>
            </w:r>
          </w:p>
        </w:tc>
        <w:tc>
          <w:tcPr>
            <w:tcW w:w="2890"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7F034BF8" w14:textId="77777777" w:rsidR="009D67D9" w:rsidRPr="0034427B" w:rsidRDefault="009D67D9" w:rsidP="009D67D9">
            <w:pPr>
              <w:rPr>
                <w:b/>
                <w:bCs/>
                <w:color w:val="000000"/>
                <w:sz w:val="16"/>
                <w:szCs w:val="16"/>
                <w:lang w:eastAsia="ca-ES"/>
              </w:rPr>
            </w:pPr>
            <w:r w:rsidRPr="0034427B">
              <w:rPr>
                <w:b/>
                <w:bCs/>
                <w:color w:val="000000"/>
                <w:sz w:val="16"/>
                <w:szCs w:val="16"/>
                <w:lang w:val="es-ES" w:eastAsia="ca-ES"/>
              </w:rPr>
              <w:t xml:space="preserve">0.56 (0.44 to 0.71) </w:t>
            </w:r>
          </w:p>
        </w:tc>
        <w:tc>
          <w:tcPr>
            <w:tcW w:w="2215"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3C86737D" w14:textId="77777777" w:rsidR="009D67D9" w:rsidRPr="0034427B" w:rsidRDefault="009D67D9" w:rsidP="009D67D9">
            <w:pPr>
              <w:rPr>
                <w:b/>
                <w:bCs/>
                <w:color w:val="000000"/>
                <w:sz w:val="16"/>
                <w:szCs w:val="16"/>
                <w:lang w:eastAsia="ca-ES"/>
              </w:rPr>
            </w:pPr>
            <w:r w:rsidRPr="0034427B">
              <w:rPr>
                <w:b/>
                <w:bCs/>
                <w:color w:val="000000"/>
                <w:sz w:val="16"/>
                <w:szCs w:val="16"/>
                <w:lang w:val="ca-ES" w:eastAsia="ca-ES"/>
              </w:rPr>
              <w:t>280.0 (71.86-488.14)</w:t>
            </w:r>
          </w:p>
        </w:tc>
        <w:tc>
          <w:tcPr>
            <w:tcW w:w="0" w:type="auto"/>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0D0948C5" w14:textId="77777777" w:rsidR="009D67D9" w:rsidRPr="0034427B" w:rsidRDefault="009D67D9" w:rsidP="009D67D9">
            <w:pPr>
              <w:rPr>
                <w:b/>
                <w:bCs/>
                <w:color w:val="000000"/>
                <w:sz w:val="16"/>
                <w:szCs w:val="16"/>
                <w:lang w:eastAsia="ca-ES"/>
              </w:rPr>
            </w:pPr>
            <w:r w:rsidRPr="0034427B">
              <w:rPr>
                <w:b/>
                <w:bCs/>
                <w:color w:val="000000"/>
                <w:sz w:val="16"/>
                <w:szCs w:val="16"/>
                <w:lang w:val="ca-ES" w:eastAsia="ca-ES"/>
              </w:rPr>
              <w:t>-0.1 (-0.53 to 0.33)</w:t>
            </w:r>
          </w:p>
        </w:tc>
      </w:tr>
    </w:tbl>
    <w:p w14:paraId="735E4CDD" w14:textId="77777777" w:rsidR="009D67D9" w:rsidRDefault="009D67D9">
      <w:pPr>
        <w:rPr>
          <w:b/>
          <w:bCs/>
          <w:color w:val="000000"/>
          <w:sz w:val="20"/>
          <w:szCs w:val="20"/>
          <w:lang w:val="en" w:eastAsia="ca-ES"/>
        </w:rPr>
      </w:pPr>
    </w:p>
    <w:tbl>
      <w:tblPr>
        <w:tblW w:w="5000" w:type="pct"/>
        <w:tblCellMar>
          <w:top w:w="75" w:type="dxa"/>
          <w:left w:w="75" w:type="dxa"/>
          <w:bottom w:w="75" w:type="dxa"/>
          <w:right w:w="75" w:type="dxa"/>
        </w:tblCellMar>
        <w:tblLook w:val="04A0" w:firstRow="1" w:lastRow="0" w:firstColumn="1" w:lastColumn="0" w:noHBand="0" w:noVBand="1"/>
      </w:tblPr>
      <w:tblGrid>
        <w:gridCol w:w="507"/>
        <w:gridCol w:w="735"/>
        <w:gridCol w:w="501"/>
        <w:gridCol w:w="827"/>
        <w:gridCol w:w="759"/>
        <w:gridCol w:w="736"/>
        <w:gridCol w:w="884"/>
        <w:gridCol w:w="803"/>
        <w:gridCol w:w="596"/>
        <w:gridCol w:w="557"/>
        <w:gridCol w:w="636"/>
        <w:gridCol w:w="719"/>
        <w:gridCol w:w="730"/>
      </w:tblGrid>
      <w:tr w:rsidR="00396A12" w:rsidRPr="0070742B" w14:paraId="6F69E7D9" w14:textId="77777777" w:rsidTr="0034427B">
        <w:trPr>
          <w:cantSplit/>
          <w:tblHeader/>
        </w:trPr>
        <w:tc>
          <w:tcPr>
            <w:tcW w:w="5000" w:type="pct"/>
            <w:gridSpan w:val="13"/>
            <w:tcBorders>
              <w:top w:val="single" w:sz="12" w:space="0" w:color="FFFFFF"/>
              <w:left w:val="single" w:sz="12" w:space="0" w:color="FFFFFF"/>
              <w:bottom w:val="single" w:sz="12" w:space="0" w:color="FFFFFF"/>
              <w:right w:val="single" w:sz="12" w:space="0" w:color="FFFFFF"/>
            </w:tcBorders>
            <w:shd w:val="clear" w:color="auto" w:fill="92D050"/>
            <w:vAlign w:val="center"/>
          </w:tcPr>
          <w:p w14:paraId="411F78CB" w14:textId="01778C31" w:rsidR="00396A12" w:rsidRPr="0070742B" w:rsidRDefault="00396A12" w:rsidP="00596BE0">
            <w:pPr>
              <w:rPr>
                <w:rFonts w:asciiTheme="minorHAnsi" w:hAnsiTheme="minorHAnsi"/>
                <w:b/>
                <w:bCs/>
                <w:color w:val="FFFFFF"/>
                <w:sz w:val="16"/>
                <w:szCs w:val="16"/>
              </w:rPr>
            </w:pPr>
            <w:proofErr w:type="gramStart"/>
            <w:r w:rsidRPr="0034427B">
              <w:rPr>
                <w:rFonts w:asciiTheme="minorHAnsi" w:hAnsiTheme="minorHAnsi"/>
                <w:b/>
                <w:bCs/>
                <w:color w:val="000000" w:themeColor="text1"/>
                <w:sz w:val="16"/>
                <w:szCs w:val="16"/>
              </w:rPr>
              <w:t>Table  S</w:t>
            </w:r>
            <w:proofErr w:type="gramEnd"/>
            <w:r w:rsidR="0034427B" w:rsidRPr="0034427B">
              <w:rPr>
                <w:rFonts w:asciiTheme="minorHAnsi" w:hAnsiTheme="minorHAnsi"/>
                <w:b/>
                <w:bCs/>
                <w:color w:val="000000" w:themeColor="text1"/>
                <w:sz w:val="16"/>
                <w:szCs w:val="16"/>
              </w:rPr>
              <w:t>5</w:t>
            </w:r>
            <w:r w:rsidR="007A1037">
              <w:rPr>
                <w:rFonts w:asciiTheme="minorHAnsi" w:hAnsiTheme="minorHAnsi"/>
                <w:b/>
                <w:bCs/>
                <w:color w:val="000000" w:themeColor="text1"/>
                <w:sz w:val="16"/>
                <w:szCs w:val="16"/>
              </w:rPr>
              <w:t>5</w:t>
            </w:r>
            <w:r w:rsidRPr="0034427B">
              <w:rPr>
                <w:rFonts w:asciiTheme="minorHAnsi" w:hAnsiTheme="minorHAnsi"/>
                <w:b/>
                <w:bCs/>
                <w:color w:val="000000" w:themeColor="text1"/>
                <w:sz w:val="16"/>
                <w:szCs w:val="16"/>
              </w:rPr>
              <w:t>: Evidence profile for tezepelumab as add-on treatment in asthma</w:t>
            </w:r>
          </w:p>
        </w:tc>
      </w:tr>
      <w:tr w:rsidR="00396A12" w:rsidRPr="0070742B" w14:paraId="1CDD386D" w14:textId="77777777" w:rsidTr="00596BE0">
        <w:trPr>
          <w:cantSplit/>
          <w:tblHeader/>
        </w:trPr>
        <w:tc>
          <w:tcPr>
            <w:tcW w:w="2753" w:type="pct"/>
            <w:gridSpan w:val="7"/>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CF06372" w14:textId="77777777" w:rsidR="00396A12" w:rsidRPr="0070742B" w:rsidRDefault="00396A12" w:rsidP="00596BE0">
            <w:pPr>
              <w:jc w:val="center"/>
              <w:rPr>
                <w:rFonts w:asciiTheme="minorHAnsi" w:hAnsiTheme="minorHAnsi"/>
                <w:b/>
                <w:bCs/>
                <w:color w:val="FFFFFF"/>
                <w:sz w:val="16"/>
                <w:szCs w:val="16"/>
              </w:rPr>
            </w:pPr>
            <w:r w:rsidRPr="0070742B">
              <w:rPr>
                <w:rFonts w:asciiTheme="minorHAnsi" w:hAnsiTheme="minorHAnsi"/>
                <w:b/>
                <w:bCs/>
                <w:color w:val="FFFFFF"/>
                <w:sz w:val="16"/>
                <w:szCs w:val="16"/>
              </w:rPr>
              <w:t>Certainty assessment</w:t>
            </w:r>
          </w:p>
        </w:tc>
        <w:tc>
          <w:tcPr>
            <w:tcW w:w="778" w:type="pct"/>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D23F0BE" w14:textId="77777777" w:rsidR="00396A12" w:rsidRPr="0070742B" w:rsidRDefault="00396A12" w:rsidP="00596BE0">
            <w:pPr>
              <w:jc w:val="center"/>
              <w:rPr>
                <w:rFonts w:asciiTheme="minorHAnsi" w:hAnsiTheme="minorHAnsi"/>
                <w:b/>
                <w:bCs/>
                <w:color w:val="FFFFFF"/>
                <w:sz w:val="16"/>
                <w:szCs w:val="16"/>
              </w:rPr>
            </w:pPr>
            <w:r w:rsidRPr="0070742B">
              <w:rPr>
                <w:rFonts w:asciiTheme="minorHAnsi" w:hAnsiTheme="minorHAnsi"/>
                <w:b/>
                <w:bCs/>
                <w:color w:val="FFFFFF"/>
                <w:sz w:val="16"/>
                <w:szCs w:val="16"/>
              </w:rPr>
              <w:t>№ of patients</w:t>
            </w:r>
          </w:p>
        </w:tc>
        <w:tc>
          <w:tcPr>
            <w:tcW w:w="664" w:type="pct"/>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26D78B2E" w14:textId="77777777" w:rsidR="00396A12" w:rsidRPr="0070742B" w:rsidRDefault="00396A12" w:rsidP="00596BE0">
            <w:pPr>
              <w:jc w:val="center"/>
              <w:rPr>
                <w:rFonts w:asciiTheme="minorHAnsi" w:hAnsiTheme="minorHAnsi"/>
                <w:b/>
                <w:bCs/>
                <w:color w:val="FFFFFF"/>
                <w:sz w:val="16"/>
                <w:szCs w:val="16"/>
              </w:rPr>
            </w:pPr>
            <w:r w:rsidRPr="0070742B">
              <w:rPr>
                <w:rFonts w:asciiTheme="minorHAnsi" w:hAnsiTheme="minorHAnsi"/>
                <w:b/>
                <w:bCs/>
                <w:color w:val="FFFFFF"/>
                <w:sz w:val="16"/>
                <w:szCs w:val="16"/>
              </w:rPr>
              <w:t>Effect</w:t>
            </w:r>
          </w:p>
        </w:tc>
        <w:tc>
          <w:tcPr>
            <w:tcW w:w="400" w:type="pct"/>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6033B9A" w14:textId="77777777" w:rsidR="00396A12" w:rsidRPr="0070742B" w:rsidRDefault="00396A12" w:rsidP="00596BE0">
            <w:pPr>
              <w:jc w:val="center"/>
              <w:rPr>
                <w:rFonts w:asciiTheme="minorHAnsi" w:hAnsiTheme="minorHAnsi"/>
                <w:b/>
                <w:bCs/>
                <w:color w:val="FFFFFF"/>
                <w:sz w:val="16"/>
                <w:szCs w:val="16"/>
              </w:rPr>
            </w:pPr>
            <w:r w:rsidRPr="0070742B">
              <w:rPr>
                <w:rFonts w:asciiTheme="minorHAnsi" w:hAnsiTheme="minorHAnsi"/>
                <w:b/>
                <w:bCs/>
                <w:color w:val="FFFFFF"/>
                <w:sz w:val="16"/>
                <w:szCs w:val="16"/>
              </w:rPr>
              <w:t>Certainty</w:t>
            </w:r>
          </w:p>
        </w:tc>
        <w:tc>
          <w:tcPr>
            <w:tcW w:w="406" w:type="pct"/>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5125F42" w14:textId="77777777" w:rsidR="00396A12" w:rsidRPr="0070742B" w:rsidRDefault="00396A12" w:rsidP="00596BE0">
            <w:pPr>
              <w:jc w:val="center"/>
              <w:rPr>
                <w:rFonts w:asciiTheme="minorHAnsi" w:hAnsiTheme="minorHAnsi"/>
                <w:b/>
                <w:bCs/>
                <w:color w:val="FFFFFF"/>
                <w:sz w:val="16"/>
                <w:szCs w:val="16"/>
              </w:rPr>
            </w:pPr>
            <w:r w:rsidRPr="0070742B">
              <w:rPr>
                <w:rFonts w:asciiTheme="minorHAnsi" w:hAnsiTheme="minorHAnsi"/>
                <w:b/>
                <w:bCs/>
                <w:color w:val="FFFFFF"/>
                <w:sz w:val="16"/>
                <w:szCs w:val="16"/>
              </w:rPr>
              <w:t>Importance</w:t>
            </w:r>
          </w:p>
        </w:tc>
      </w:tr>
      <w:tr w:rsidR="00396A12" w:rsidRPr="0070742B" w14:paraId="5A19D6E6" w14:textId="77777777" w:rsidTr="00596BE0">
        <w:trPr>
          <w:cantSplit/>
          <w:tblHeader/>
        </w:trPr>
        <w:tc>
          <w:tcPr>
            <w:tcW w:w="282"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DCA7214" w14:textId="77777777" w:rsidR="00396A12" w:rsidRPr="0070742B" w:rsidRDefault="00396A12" w:rsidP="00596BE0">
            <w:pPr>
              <w:jc w:val="center"/>
              <w:rPr>
                <w:rFonts w:asciiTheme="minorHAnsi" w:hAnsiTheme="minorHAnsi"/>
                <w:b/>
                <w:bCs/>
                <w:color w:val="FFFFFF"/>
                <w:sz w:val="16"/>
                <w:szCs w:val="16"/>
              </w:rPr>
            </w:pPr>
            <w:r w:rsidRPr="0070742B">
              <w:rPr>
                <w:rFonts w:asciiTheme="minorHAnsi" w:hAnsiTheme="minorHAnsi"/>
                <w:b/>
                <w:bCs/>
                <w:color w:val="FFFFFF"/>
                <w:sz w:val="16"/>
                <w:szCs w:val="16"/>
              </w:rPr>
              <w:t>№ of studies</w:t>
            </w:r>
          </w:p>
        </w:tc>
        <w:tc>
          <w:tcPr>
            <w:tcW w:w="409"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A876A39" w14:textId="77777777" w:rsidR="00396A12" w:rsidRPr="0070742B" w:rsidRDefault="00396A12" w:rsidP="00596BE0">
            <w:pPr>
              <w:jc w:val="center"/>
              <w:rPr>
                <w:rFonts w:asciiTheme="minorHAnsi" w:hAnsiTheme="minorHAnsi"/>
                <w:b/>
                <w:bCs/>
                <w:color w:val="FFFFFF"/>
                <w:sz w:val="16"/>
                <w:szCs w:val="16"/>
              </w:rPr>
            </w:pPr>
            <w:r w:rsidRPr="0070742B">
              <w:rPr>
                <w:rFonts w:asciiTheme="minorHAnsi" w:hAnsiTheme="minorHAnsi"/>
                <w:b/>
                <w:bCs/>
                <w:color w:val="FFFFFF"/>
                <w:sz w:val="16"/>
                <w:szCs w:val="16"/>
              </w:rPr>
              <w:t>Study design</w:t>
            </w:r>
          </w:p>
        </w:tc>
        <w:tc>
          <w:tcPr>
            <w:tcW w:w="279"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802B10D" w14:textId="77777777" w:rsidR="00396A12" w:rsidRPr="0070742B" w:rsidRDefault="00396A12" w:rsidP="00596BE0">
            <w:pPr>
              <w:jc w:val="center"/>
              <w:rPr>
                <w:rFonts w:asciiTheme="minorHAnsi" w:hAnsiTheme="minorHAnsi"/>
                <w:b/>
                <w:bCs/>
                <w:color w:val="FFFFFF"/>
                <w:sz w:val="16"/>
                <w:szCs w:val="16"/>
              </w:rPr>
            </w:pPr>
            <w:r w:rsidRPr="0070742B">
              <w:rPr>
                <w:rFonts w:asciiTheme="minorHAnsi" w:hAnsiTheme="minorHAnsi"/>
                <w:b/>
                <w:bCs/>
                <w:color w:val="FFFFFF"/>
                <w:sz w:val="16"/>
                <w:szCs w:val="16"/>
              </w:rPr>
              <w:t>Risk of bias</w:t>
            </w:r>
          </w:p>
        </w:tc>
        <w:tc>
          <w:tcPr>
            <w:tcW w:w="46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A4EF6DE" w14:textId="77777777" w:rsidR="00396A12" w:rsidRPr="0070742B" w:rsidRDefault="00396A12" w:rsidP="00596BE0">
            <w:pPr>
              <w:jc w:val="center"/>
              <w:rPr>
                <w:rFonts w:asciiTheme="minorHAnsi" w:hAnsiTheme="minorHAnsi"/>
                <w:b/>
                <w:bCs/>
                <w:color w:val="FFFFFF"/>
                <w:sz w:val="16"/>
                <w:szCs w:val="16"/>
              </w:rPr>
            </w:pPr>
            <w:r w:rsidRPr="0070742B">
              <w:rPr>
                <w:rFonts w:asciiTheme="minorHAnsi" w:hAnsiTheme="minorHAnsi"/>
                <w:b/>
                <w:bCs/>
                <w:color w:val="FFFFFF"/>
                <w:sz w:val="16"/>
                <w:szCs w:val="16"/>
              </w:rPr>
              <w:t>Inconsistency</w:t>
            </w:r>
          </w:p>
        </w:tc>
        <w:tc>
          <w:tcPr>
            <w:tcW w:w="422"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26196DC" w14:textId="77777777" w:rsidR="00396A12" w:rsidRPr="0070742B" w:rsidRDefault="00396A12" w:rsidP="00596BE0">
            <w:pPr>
              <w:jc w:val="center"/>
              <w:rPr>
                <w:rFonts w:asciiTheme="minorHAnsi" w:hAnsiTheme="minorHAnsi"/>
                <w:b/>
                <w:bCs/>
                <w:color w:val="FFFFFF"/>
                <w:sz w:val="16"/>
                <w:szCs w:val="16"/>
              </w:rPr>
            </w:pPr>
            <w:r w:rsidRPr="0070742B">
              <w:rPr>
                <w:rFonts w:asciiTheme="minorHAnsi" w:hAnsiTheme="minorHAnsi"/>
                <w:b/>
                <w:bCs/>
                <w:color w:val="FFFFFF"/>
                <w:sz w:val="16"/>
                <w:szCs w:val="16"/>
              </w:rPr>
              <w:t>Indirectness</w:t>
            </w:r>
          </w:p>
        </w:tc>
        <w:tc>
          <w:tcPr>
            <w:tcW w:w="409"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24E56B90" w14:textId="77777777" w:rsidR="00396A12" w:rsidRPr="0070742B" w:rsidRDefault="00396A12" w:rsidP="00596BE0">
            <w:pPr>
              <w:jc w:val="center"/>
              <w:rPr>
                <w:rFonts w:asciiTheme="minorHAnsi" w:hAnsiTheme="minorHAnsi"/>
                <w:b/>
                <w:bCs/>
                <w:color w:val="FFFFFF"/>
                <w:sz w:val="16"/>
                <w:szCs w:val="16"/>
              </w:rPr>
            </w:pPr>
            <w:r w:rsidRPr="0070742B">
              <w:rPr>
                <w:rFonts w:asciiTheme="minorHAnsi" w:hAnsiTheme="minorHAnsi"/>
                <w:b/>
                <w:bCs/>
                <w:color w:val="FFFFFF"/>
                <w:sz w:val="16"/>
                <w:szCs w:val="16"/>
              </w:rPr>
              <w:t>Imprecision</w:t>
            </w:r>
          </w:p>
        </w:tc>
        <w:tc>
          <w:tcPr>
            <w:tcW w:w="492"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05C2DAF" w14:textId="77777777" w:rsidR="00396A12" w:rsidRPr="0070742B" w:rsidRDefault="00396A12" w:rsidP="00596BE0">
            <w:pPr>
              <w:jc w:val="center"/>
              <w:rPr>
                <w:rFonts w:asciiTheme="minorHAnsi" w:hAnsiTheme="minorHAnsi"/>
                <w:b/>
                <w:bCs/>
                <w:color w:val="FFFFFF"/>
                <w:sz w:val="16"/>
                <w:szCs w:val="16"/>
              </w:rPr>
            </w:pPr>
            <w:r w:rsidRPr="0070742B">
              <w:rPr>
                <w:rFonts w:asciiTheme="minorHAnsi" w:hAnsiTheme="minorHAnsi"/>
                <w:b/>
                <w:bCs/>
                <w:color w:val="FFFFFF"/>
                <w:sz w:val="16"/>
                <w:szCs w:val="16"/>
              </w:rPr>
              <w:t>Other considerations</w:t>
            </w:r>
          </w:p>
        </w:tc>
        <w:tc>
          <w:tcPr>
            <w:tcW w:w="447"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B515928" w14:textId="77777777" w:rsidR="00396A12" w:rsidRPr="0070742B" w:rsidRDefault="00396A12" w:rsidP="00596BE0">
            <w:pPr>
              <w:jc w:val="center"/>
              <w:rPr>
                <w:rFonts w:asciiTheme="minorHAnsi" w:hAnsiTheme="minorHAnsi"/>
                <w:b/>
                <w:bCs/>
                <w:color w:val="FFFFFF"/>
                <w:sz w:val="16"/>
                <w:szCs w:val="16"/>
              </w:rPr>
            </w:pPr>
            <w:r w:rsidRPr="0070742B">
              <w:rPr>
                <w:rFonts w:asciiTheme="minorHAnsi" w:hAnsiTheme="minorHAnsi"/>
                <w:b/>
                <w:bCs/>
                <w:color w:val="FFFFFF"/>
                <w:sz w:val="16"/>
                <w:szCs w:val="16"/>
              </w:rPr>
              <w:t>tezepelumab</w:t>
            </w:r>
          </w:p>
        </w:tc>
        <w:tc>
          <w:tcPr>
            <w:tcW w:w="331"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AD6316B" w14:textId="77777777" w:rsidR="00396A12" w:rsidRPr="0070742B" w:rsidRDefault="00396A12" w:rsidP="00596BE0">
            <w:pPr>
              <w:jc w:val="center"/>
              <w:rPr>
                <w:rFonts w:asciiTheme="minorHAnsi" w:hAnsiTheme="minorHAnsi"/>
                <w:b/>
                <w:bCs/>
                <w:color w:val="FFFFFF"/>
                <w:sz w:val="16"/>
                <w:szCs w:val="16"/>
              </w:rPr>
            </w:pPr>
            <w:r w:rsidRPr="0070742B">
              <w:rPr>
                <w:rFonts w:asciiTheme="minorHAnsi" w:hAnsiTheme="minorHAnsi"/>
                <w:b/>
                <w:bCs/>
                <w:color w:val="FFFFFF"/>
                <w:sz w:val="16"/>
                <w:szCs w:val="16"/>
              </w:rPr>
              <w:t>standard of care</w:t>
            </w:r>
          </w:p>
        </w:tc>
        <w:tc>
          <w:tcPr>
            <w:tcW w:w="31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632A033" w14:textId="77777777" w:rsidR="00396A12" w:rsidRPr="0070742B" w:rsidRDefault="00396A12" w:rsidP="00596BE0">
            <w:pPr>
              <w:jc w:val="center"/>
              <w:rPr>
                <w:rFonts w:asciiTheme="minorHAnsi" w:hAnsiTheme="minorHAnsi"/>
                <w:b/>
                <w:bCs/>
                <w:color w:val="FFFFFF"/>
                <w:sz w:val="16"/>
                <w:szCs w:val="16"/>
              </w:rPr>
            </w:pPr>
            <w:r w:rsidRPr="0070742B">
              <w:rPr>
                <w:rFonts w:asciiTheme="minorHAnsi" w:hAnsiTheme="minorHAnsi"/>
                <w:b/>
                <w:bCs/>
                <w:color w:val="FFFFFF"/>
                <w:sz w:val="16"/>
                <w:szCs w:val="16"/>
              </w:rPr>
              <w:t>Relative</w:t>
            </w:r>
            <w:r w:rsidRPr="0070742B">
              <w:rPr>
                <w:rFonts w:asciiTheme="minorHAnsi" w:hAnsiTheme="minorHAnsi"/>
                <w:b/>
                <w:bCs/>
                <w:color w:val="FFFFFF"/>
                <w:sz w:val="16"/>
                <w:szCs w:val="16"/>
              </w:rPr>
              <w:br/>
              <w:t>(95% CI)</w:t>
            </w:r>
          </w:p>
        </w:tc>
        <w:tc>
          <w:tcPr>
            <w:tcW w:w="354"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F38A590" w14:textId="77777777" w:rsidR="00396A12" w:rsidRPr="0070742B" w:rsidRDefault="00396A12" w:rsidP="00596BE0">
            <w:pPr>
              <w:jc w:val="center"/>
              <w:rPr>
                <w:rFonts w:asciiTheme="minorHAnsi" w:hAnsiTheme="minorHAnsi"/>
                <w:b/>
                <w:bCs/>
                <w:color w:val="FFFFFF"/>
                <w:sz w:val="16"/>
                <w:szCs w:val="16"/>
              </w:rPr>
            </w:pPr>
            <w:r w:rsidRPr="0070742B">
              <w:rPr>
                <w:rFonts w:asciiTheme="minorHAnsi" w:hAnsiTheme="minorHAnsi"/>
                <w:b/>
                <w:bCs/>
                <w:color w:val="FFFFFF"/>
                <w:sz w:val="16"/>
                <w:szCs w:val="16"/>
              </w:rPr>
              <w:t>Absolute</w:t>
            </w:r>
            <w:r w:rsidRPr="0070742B">
              <w:rPr>
                <w:rFonts w:asciiTheme="minorHAnsi" w:hAnsiTheme="minorHAnsi"/>
                <w:b/>
                <w:bCs/>
                <w:color w:val="FFFFFF"/>
                <w:sz w:val="16"/>
                <w:szCs w:val="16"/>
              </w:rPr>
              <w:br/>
              <w:t>(95% CI)</w:t>
            </w:r>
          </w:p>
        </w:tc>
        <w:tc>
          <w:tcPr>
            <w:tcW w:w="400" w:type="pct"/>
            <w:vMerge/>
            <w:tcBorders>
              <w:top w:val="single" w:sz="12" w:space="0" w:color="FFFFFF"/>
              <w:left w:val="single" w:sz="12" w:space="0" w:color="FFFFFF"/>
              <w:bottom w:val="single" w:sz="12" w:space="0" w:color="FFFFFF"/>
              <w:right w:val="single" w:sz="12" w:space="0" w:color="FFFFFF"/>
            </w:tcBorders>
            <w:vAlign w:val="center"/>
            <w:hideMark/>
          </w:tcPr>
          <w:p w14:paraId="5B344167" w14:textId="77777777" w:rsidR="00396A12" w:rsidRPr="0070742B" w:rsidRDefault="00396A12" w:rsidP="00596BE0">
            <w:pPr>
              <w:rPr>
                <w:rFonts w:asciiTheme="minorHAnsi" w:hAnsiTheme="minorHAnsi"/>
                <w:b/>
                <w:bCs/>
                <w:color w:val="FFFFFF"/>
                <w:sz w:val="16"/>
                <w:szCs w:val="16"/>
              </w:rPr>
            </w:pPr>
          </w:p>
        </w:tc>
        <w:tc>
          <w:tcPr>
            <w:tcW w:w="406" w:type="pct"/>
            <w:vMerge/>
            <w:tcBorders>
              <w:top w:val="single" w:sz="12" w:space="0" w:color="FFFFFF"/>
              <w:left w:val="single" w:sz="12" w:space="0" w:color="FFFFFF"/>
              <w:bottom w:val="single" w:sz="12" w:space="0" w:color="FFFFFF"/>
              <w:right w:val="single" w:sz="12" w:space="0" w:color="FFFFFF"/>
            </w:tcBorders>
            <w:vAlign w:val="center"/>
            <w:hideMark/>
          </w:tcPr>
          <w:p w14:paraId="7EBE002E" w14:textId="77777777" w:rsidR="00396A12" w:rsidRPr="0070742B" w:rsidRDefault="00396A12" w:rsidP="00596BE0">
            <w:pPr>
              <w:rPr>
                <w:rFonts w:asciiTheme="minorHAnsi" w:hAnsiTheme="minorHAnsi"/>
                <w:b/>
                <w:bCs/>
                <w:color w:val="FFFFFF"/>
                <w:sz w:val="16"/>
                <w:szCs w:val="16"/>
              </w:rPr>
            </w:pPr>
          </w:p>
        </w:tc>
      </w:tr>
      <w:tr w:rsidR="00396A12" w:rsidRPr="0070742B" w14:paraId="0150B10D" w14:textId="77777777" w:rsidTr="00596BE0">
        <w:trPr>
          <w:cantSplit/>
        </w:trPr>
        <w:tc>
          <w:tcPr>
            <w:tcW w:w="5000" w:type="pct"/>
            <w:gridSpan w:val="13"/>
            <w:shd w:val="clear" w:color="auto" w:fill="FFFFFF"/>
            <w:vAlign w:val="center"/>
            <w:hideMark/>
          </w:tcPr>
          <w:p w14:paraId="2C562EDD" w14:textId="77777777" w:rsidR="00396A12" w:rsidRPr="0070742B" w:rsidRDefault="00396A12" w:rsidP="00596BE0">
            <w:pPr>
              <w:rPr>
                <w:rFonts w:asciiTheme="minorHAnsi" w:hAnsiTheme="minorHAnsi"/>
                <w:b/>
                <w:bCs/>
                <w:color w:val="000000"/>
                <w:sz w:val="16"/>
                <w:szCs w:val="16"/>
              </w:rPr>
            </w:pPr>
            <w:r w:rsidRPr="0070742B">
              <w:rPr>
                <w:rStyle w:val="label"/>
                <w:rFonts w:asciiTheme="minorHAnsi" w:hAnsiTheme="minorHAnsi"/>
                <w:b/>
                <w:bCs/>
                <w:color w:val="000000"/>
                <w:sz w:val="16"/>
                <w:szCs w:val="16"/>
              </w:rPr>
              <w:t>Annual exacerbation rates (follow up: mean 52 weeks; assessed with: annual asthma exacerbations)</w:t>
            </w:r>
            <w:r w:rsidRPr="0070742B">
              <w:rPr>
                <w:rFonts w:asciiTheme="minorHAnsi" w:hAnsiTheme="minorHAnsi"/>
                <w:b/>
                <w:bCs/>
                <w:color w:val="000000"/>
                <w:sz w:val="16"/>
                <w:szCs w:val="16"/>
                <w:vertAlign w:val="superscript"/>
              </w:rPr>
              <w:t>1a</w:t>
            </w:r>
          </w:p>
        </w:tc>
      </w:tr>
      <w:tr w:rsidR="00396A12" w:rsidRPr="0070742B" w14:paraId="2EA59A64" w14:textId="77777777" w:rsidTr="00596BE0">
        <w:trPr>
          <w:cantSplit/>
        </w:trPr>
        <w:tc>
          <w:tcPr>
            <w:tcW w:w="282" w:type="pct"/>
            <w:tcBorders>
              <w:top w:val="single" w:sz="6" w:space="0" w:color="000000"/>
              <w:left w:val="single" w:sz="6" w:space="0" w:color="000000"/>
              <w:bottom w:val="single" w:sz="6" w:space="0" w:color="000000"/>
              <w:right w:val="single" w:sz="6" w:space="0" w:color="000000"/>
            </w:tcBorders>
            <w:hideMark/>
          </w:tcPr>
          <w:p w14:paraId="0FA4EE42" w14:textId="77777777" w:rsidR="00396A12" w:rsidRPr="0070742B" w:rsidRDefault="00396A12" w:rsidP="00596BE0">
            <w:pPr>
              <w:jc w:val="center"/>
              <w:rPr>
                <w:rFonts w:asciiTheme="minorHAnsi" w:hAnsiTheme="minorHAnsi"/>
                <w:sz w:val="16"/>
                <w:szCs w:val="16"/>
              </w:rPr>
            </w:pPr>
            <w:r w:rsidRPr="0070742B">
              <w:rPr>
                <w:rFonts w:asciiTheme="minorHAnsi" w:hAnsiTheme="minorHAnsi"/>
                <w:sz w:val="16"/>
                <w:szCs w:val="16"/>
              </w:rPr>
              <w:t xml:space="preserve">1 </w:t>
            </w:r>
            <w:r w:rsidRPr="0070742B">
              <w:rPr>
                <w:rFonts w:asciiTheme="minorHAnsi" w:hAnsiTheme="minorHAnsi"/>
                <w:sz w:val="16"/>
                <w:szCs w:val="16"/>
                <w:vertAlign w:val="superscript"/>
              </w:rPr>
              <w:t>2</w:t>
            </w:r>
          </w:p>
        </w:tc>
        <w:tc>
          <w:tcPr>
            <w:tcW w:w="409" w:type="pct"/>
            <w:tcBorders>
              <w:top w:val="single" w:sz="6" w:space="0" w:color="000000"/>
              <w:left w:val="single" w:sz="6" w:space="0" w:color="000000"/>
              <w:bottom w:val="single" w:sz="6" w:space="0" w:color="000000"/>
              <w:right w:val="single" w:sz="6" w:space="0" w:color="000000"/>
            </w:tcBorders>
            <w:hideMark/>
          </w:tcPr>
          <w:p w14:paraId="455505BC" w14:textId="77777777" w:rsidR="00396A12" w:rsidRPr="0070742B" w:rsidRDefault="00396A12" w:rsidP="00596BE0">
            <w:pPr>
              <w:jc w:val="center"/>
              <w:rPr>
                <w:rFonts w:asciiTheme="minorHAnsi" w:hAnsiTheme="minorHAnsi"/>
                <w:sz w:val="16"/>
                <w:szCs w:val="16"/>
              </w:rPr>
            </w:pPr>
            <w:r w:rsidRPr="0070742B">
              <w:rPr>
                <w:rFonts w:asciiTheme="minorHAnsi" w:hAnsiTheme="minorHAnsi"/>
                <w:sz w:val="16"/>
                <w:szCs w:val="16"/>
              </w:rPr>
              <w:t xml:space="preserve">randomised trial </w:t>
            </w:r>
          </w:p>
        </w:tc>
        <w:tc>
          <w:tcPr>
            <w:tcW w:w="279" w:type="pct"/>
            <w:tcBorders>
              <w:top w:val="single" w:sz="6" w:space="0" w:color="000000"/>
              <w:left w:val="single" w:sz="6" w:space="0" w:color="000000"/>
              <w:bottom w:val="single" w:sz="6" w:space="0" w:color="000000"/>
              <w:right w:val="single" w:sz="6" w:space="0" w:color="000000"/>
            </w:tcBorders>
            <w:hideMark/>
          </w:tcPr>
          <w:p w14:paraId="69C9E5A2" w14:textId="77777777" w:rsidR="00396A12" w:rsidRPr="0070742B" w:rsidRDefault="00396A12" w:rsidP="00596BE0">
            <w:pPr>
              <w:jc w:val="center"/>
              <w:rPr>
                <w:rFonts w:asciiTheme="minorHAnsi" w:hAnsiTheme="minorHAnsi"/>
                <w:sz w:val="16"/>
                <w:szCs w:val="16"/>
              </w:rPr>
            </w:pPr>
            <w:r w:rsidRPr="0070742B">
              <w:rPr>
                <w:rFonts w:asciiTheme="minorHAnsi" w:hAnsiTheme="minorHAnsi"/>
                <w:sz w:val="16"/>
                <w:szCs w:val="16"/>
              </w:rPr>
              <w:t xml:space="preserve">not serious </w:t>
            </w:r>
          </w:p>
        </w:tc>
        <w:tc>
          <w:tcPr>
            <w:tcW w:w="460" w:type="pct"/>
            <w:tcBorders>
              <w:top w:val="single" w:sz="6" w:space="0" w:color="000000"/>
              <w:left w:val="single" w:sz="6" w:space="0" w:color="000000"/>
              <w:bottom w:val="single" w:sz="6" w:space="0" w:color="000000"/>
              <w:right w:val="single" w:sz="6" w:space="0" w:color="000000"/>
            </w:tcBorders>
            <w:hideMark/>
          </w:tcPr>
          <w:p w14:paraId="017B6267" w14:textId="77777777" w:rsidR="00396A12" w:rsidRPr="0070742B" w:rsidRDefault="00396A12" w:rsidP="00596BE0">
            <w:pPr>
              <w:jc w:val="center"/>
              <w:rPr>
                <w:rFonts w:asciiTheme="minorHAnsi" w:hAnsiTheme="minorHAnsi"/>
                <w:sz w:val="16"/>
                <w:szCs w:val="16"/>
              </w:rPr>
            </w:pPr>
            <w:r w:rsidRPr="0070742B">
              <w:rPr>
                <w:rFonts w:asciiTheme="minorHAnsi" w:hAnsiTheme="minorHAnsi"/>
                <w:sz w:val="16"/>
                <w:szCs w:val="16"/>
              </w:rPr>
              <w:t xml:space="preserve">not serious </w:t>
            </w:r>
          </w:p>
        </w:tc>
        <w:tc>
          <w:tcPr>
            <w:tcW w:w="422" w:type="pct"/>
            <w:tcBorders>
              <w:top w:val="single" w:sz="6" w:space="0" w:color="000000"/>
              <w:left w:val="single" w:sz="6" w:space="0" w:color="000000"/>
              <w:bottom w:val="single" w:sz="6" w:space="0" w:color="000000"/>
              <w:right w:val="single" w:sz="6" w:space="0" w:color="000000"/>
            </w:tcBorders>
            <w:hideMark/>
          </w:tcPr>
          <w:p w14:paraId="757AC821" w14:textId="77777777" w:rsidR="00396A12" w:rsidRPr="0070742B" w:rsidRDefault="00396A12" w:rsidP="00596BE0">
            <w:pPr>
              <w:jc w:val="center"/>
              <w:rPr>
                <w:rFonts w:asciiTheme="minorHAnsi" w:hAnsiTheme="minorHAnsi"/>
                <w:sz w:val="16"/>
                <w:szCs w:val="16"/>
              </w:rPr>
            </w:pPr>
            <w:r w:rsidRPr="0070742B">
              <w:rPr>
                <w:rFonts w:asciiTheme="minorHAnsi" w:hAnsiTheme="minorHAnsi"/>
                <w:sz w:val="16"/>
                <w:szCs w:val="16"/>
              </w:rPr>
              <w:t xml:space="preserve">not serious </w:t>
            </w:r>
          </w:p>
        </w:tc>
        <w:tc>
          <w:tcPr>
            <w:tcW w:w="409" w:type="pct"/>
            <w:tcBorders>
              <w:top w:val="single" w:sz="6" w:space="0" w:color="000000"/>
              <w:left w:val="single" w:sz="6" w:space="0" w:color="000000"/>
              <w:bottom w:val="single" w:sz="6" w:space="0" w:color="000000"/>
              <w:right w:val="single" w:sz="6" w:space="0" w:color="000000"/>
            </w:tcBorders>
            <w:hideMark/>
          </w:tcPr>
          <w:p w14:paraId="025C9B78" w14:textId="77777777" w:rsidR="00396A12" w:rsidRPr="0070742B" w:rsidRDefault="00396A12" w:rsidP="00596BE0">
            <w:pPr>
              <w:jc w:val="center"/>
              <w:rPr>
                <w:rFonts w:asciiTheme="minorHAnsi" w:hAnsiTheme="minorHAnsi"/>
                <w:sz w:val="16"/>
                <w:szCs w:val="16"/>
              </w:rPr>
            </w:pPr>
            <w:r w:rsidRPr="0070742B">
              <w:rPr>
                <w:rFonts w:asciiTheme="minorHAnsi" w:hAnsiTheme="minorHAnsi"/>
                <w:sz w:val="16"/>
                <w:szCs w:val="16"/>
              </w:rPr>
              <w:t xml:space="preserve">not serious </w:t>
            </w:r>
          </w:p>
        </w:tc>
        <w:tc>
          <w:tcPr>
            <w:tcW w:w="492" w:type="pct"/>
            <w:tcBorders>
              <w:top w:val="single" w:sz="6" w:space="0" w:color="000000"/>
              <w:left w:val="single" w:sz="6" w:space="0" w:color="000000"/>
              <w:bottom w:val="single" w:sz="6" w:space="0" w:color="000000"/>
              <w:right w:val="single" w:sz="6" w:space="0" w:color="000000"/>
            </w:tcBorders>
            <w:hideMark/>
          </w:tcPr>
          <w:p w14:paraId="35C504D0" w14:textId="77777777" w:rsidR="00396A12" w:rsidRPr="0070742B" w:rsidRDefault="00396A12" w:rsidP="00596BE0">
            <w:pPr>
              <w:jc w:val="center"/>
              <w:rPr>
                <w:rFonts w:asciiTheme="minorHAnsi" w:hAnsiTheme="minorHAnsi"/>
                <w:sz w:val="16"/>
                <w:szCs w:val="16"/>
              </w:rPr>
            </w:pPr>
            <w:r w:rsidRPr="0070742B">
              <w:rPr>
                <w:rFonts w:asciiTheme="minorHAnsi" w:hAnsiTheme="minorHAnsi"/>
                <w:sz w:val="16"/>
                <w:szCs w:val="16"/>
              </w:rPr>
              <w:t xml:space="preserve">publication bias strongly suspected </w:t>
            </w:r>
            <w:proofErr w:type="gramStart"/>
            <w:r w:rsidRPr="0070742B">
              <w:rPr>
                <w:rFonts w:asciiTheme="minorHAnsi" w:hAnsiTheme="minorHAnsi"/>
                <w:sz w:val="16"/>
                <w:szCs w:val="16"/>
                <w:vertAlign w:val="superscript"/>
              </w:rPr>
              <w:t>3</w:t>
            </w:r>
            <w:r w:rsidRPr="0070742B">
              <w:rPr>
                <w:rStyle w:val="comma"/>
                <w:rFonts w:asciiTheme="minorHAnsi" w:hAnsiTheme="minorHAnsi"/>
                <w:sz w:val="16"/>
                <w:szCs w:val="16"/>
                <w:vertAlign w:val="superscript"/>
              </w:rPr>
              <w:t>,</w:t>
            </w:r>
            <w:r w:rsidRPr="0070742B">
              <w:rPr>
                <w:rFonts w:asciiTheme="minorHAnsi" w:hAnsiTheme="minorHAnsi"/>
                <w:sz w:val="16"/>
                <w:szCs w:val="16"/>
                <w:vertAlign w:val="superscript"/>
              </w:rPr>
              <w:t>b</w:t>
            </w:r>
            <w:proofErr w:type="gramEnd"/>
          </w:p>
        </w:tc>
        <w:tc>
          <w:tcPr>
            <w:tcW w:w="447" w:type="pct"/>
            <w:tcBorders>
              <w:top w:val="single" w:sz="6" w:space="0" w:color="000000"/>
              <w:left w:val="single" w:sz="6" w:space="0" w:color="000000"/>
              <w:bottom w:val="single" w:sz="6" w:space="0" w:color="000000"/>
              <w:right w:val="single" w:sz="6" w:space="0" w:color="000000"/>
            </w:tcBorders>
            <w:hideMark/>
          </w:tcPr>
          <w:p w14:paraId="62567E92" w14:textId="77777777" w:rsidR="00396A12" w:rsidRPr="0070742B" w:rsidRDefault="00396A12" w:rsidP="00596BE0">
            <w:pPr>
              <w:jc w:val="center"/>
              <w:rPr>
                <w:rFonts w:asciiTheme="minorHAnsi" w:hAnsiTheme="minorHAnsi"/>
                <w:sz w:val="16"/>
                <w:szCs w:val="16"/>
              </w:rPr>
            </w:pPr>
            <w:r w:rsidRPr="0070742B">
              <w:rPr>
                <w:rFonts w:asciiTheme="minorHAnsi" w:hAnsiTheme="minorHAnsi"/>
                <w:sz w:val="16"/>
                <w:szCs w:val="16"/>
              </w:rPr>
              <w:t xml:space="preserve">0/412 </w:t>
            </w:r>
          </w:p>
        </w:tc>
        <w:tc>
          <w:tcPr>
            <w:tcW w:w="331" w:type="pct"/>
            <w:tcBorders>
              <w:top w:val="single" w:sz="6" w:space="0" w:color="000000"/>
              <w:left w:val="single" w:sz="6" w:space="0" w:color="000000"/>
              <w:bottom w:val="single" w:sz="6" w:space="0" w:color="000000"/>
              <w:right w:val="single" w:sz="6" w:space="0" w:color="000000"/>
            </w:tcBorders>
            <w:hideMark/>
          </w:tcPr>
          <w:p w14:paraId="2B42A42C" w14:textId="77777777" w:rsidR="00396A12" w:rsidRPr="0070742B" w:rsidRDefault="00396A12" w:rsidP="00596BE0">
            <w:pPr>
              <w:jc w:val="center"/>
              <w:rPr>
                <w:rFonts w:asciiTheme="minorHAnsi" w:hAnsiTheme="minorHAnsi"/>
                <w:sz w:val="16"/>
                <w:szCs w:val="16"/>
              </w:rPr>
            </w:pPr>
            <w:r w:rsidRPr="0070742B">
              <w:rPr>
                <w:rStyle w:val="cell-value"/>
                <w:rFonts w:asciiTheme="minorHAnsi" w:hAnsiTheme="minorHAnsi"/>
                <w:sz w:val="16"/>
                <w:szCs w:val="16"/>
              </w:rPr>
              <w:t>0.7%</w:t>
            </w:r>
            <w:r w:rsidRPr="0070742B">
              <w:rPr>
                <w:rFonts w:asciiTheme="minorHAnsi" w:hAnsiTheme="minorHAnsi"/>
                <w:sz w:val="16"/>
                <w:szCs w:val="16"/>
              </w:rPr>
              <w:t xml:space="preserve"> </w:t>
            </w:r>
          </w:p>
        </w:tc>
        <w:tc>
          <w:tcPr>
            <w:tcW w:w="310" w:type="pct"/>
            <w:tcBorders>
              <w:top w:val="single" w:sz="6" w:space="0" w:color="000000"/>
              <w:left w:val="single" w:sz="6" w:space="0" w:color="000000"/>
              <w:bottom w:val="single" w:sz="6" w:space="0" w:color="000000"/>
              <w:right w:val="single" w:sz="6" w:space="0" w:color="000000"/>
            </w:tcBorders>
            <w:hideMark/>
          </w:tcPr>
          <w:p w14:paraId="36A0EC80" w14:textId="19963007" w:rsidR="00396A12" w:rsidRPr="0070742B" w:rsidRDefault="0034427B" w:rsidP="00596BE0">
            <w:pPr>
              <w:jc w:val="center"/>
              <w:rPr>
                <w:rFonts w:asciiTheme="minorHAnsi" w:hAnsiTheme="minorHAnsi"/>
                <w:sz w:val="16"/>
                <w:szCs w:val="16"/>
              </w:rPr>
            </w:pPr>
            <w:r>
              <w:rPr>
                <w:rStyle w:val="block"/>
                <w:rFonts w:asciiTheme="minorHAnsi" w:hAnsiTheme="minorHAnsi"/>
                <w:b/>
                <w:bCs/>
                <w:sz w:val="16"/>
                <w:szCs w:val="16"/>
              </w:rPr>
              <w:t>I</w:t>
            </w:r>
            <w:r>
              <w:rPr>
                <w:rStyle w:val="block"/>
                <w:rFonts w:asciiTheme="minorHAnsi" w:hAnsiTheme="minorHAnsi"/>
                <w:sz w:val="16"/>
                <w:szCs w:val="16"/>
              </w:rPr>
              <w:t>RR</w:t>
            </w:r>
            <w:r w:rsidR="00396A12" w:rsidRPr="0070742B">
              <w:rPr>
                <w:rStyle w:val="block"/>
                <w:rFonts w:asciiTheme="minorHAnsi" w:hAnsiTheme="minorHAnsi"/>
                <w:b/>
                <w:bCs/>
                <w:sz w:val="16"/>
                <w:szCs w:val="16"/>
              </w:rPr>
              <w:t xml:space="preserve"> 0.33</w:t>
            </w:r>
            <w:r w:rsidR="00396A12" w:rsidRPr="0070742B">
              <w:rPr>
                <w:rFonts w:asciiTheme="minorHAnsi" w:hAnsiTheme="minorHAnsi"/>
                <w:sz w:val="16"/>
                <w:szCs w:val="16"/>
              </w:rPr>
              <w:br/>
            </w:r>
            <w:r w:rsidR="00396A12" w:rsidRPr="0070742B">
              <w:rPr>
                <w:rStyle w:val="cell"/>
                <w:rFonts w:asciiTheme="minorHAnsi" w:hAnsiTheme="minorHAnsi"/>
                <w:sz w:val="16"/>
                <w:szCs w:val="16"/>
              </w:rPr>
              <w:t>(0.21 to 0.51)</w:t>
            </w:r>
            <w:r w:rsidR="00396A12" w:rsidRPr="0070742B">
              <w:rPr>
                <w:rFonts w:asciiTheme="minorHAnsi" w:hAnsiTheme="minorHAnsi"/>
                <w:sz w:val="16"/>
                <w:szCs w:val="16"/>
              </w:rPr>
              <w:t xml:space="preserve"> </w:t>
            </w:r>
          </w:p>
        </w:tc>
        <w:tc>
          <w:tcPr>
            <w:tcW w:w="354" w:type="pct"/>
            <w:tcBorders>
              <w:top w:val="single" w:sz="6" w:space="0" w:color="000000"/>
              <w:left w:val="single" w:sz="6" w:space="0" w:color="000000"/>
              <w:bottom w:val="single" w:sz="6" w:space="0" w:color="000000"/>
              <w:right w:val="single" w:sz="6" w:space="0" w:color="000000"/>
            </w:tcBorders>
            <w:hideMark/>
          </w:tcPr>
          <w:p w14:paraId="569DAD09" w14:textId="77777777" w:rsidR="00396A12" w:rsidRPr="0070742B" w:rsidRDefault="00396A12" w:rsidP="00596BE0">
            <w:pPr>
              <w:jc w:val="center"/>
              <w:rPr>
                <w:rFonts w:asciiTheme="minorHAnsi" w:hAnsiTheme="minorHAnsi"/>
                <w:sz w:val="16"/>
                <w:szCs w:val="16"/>
              </w:rPr>
            </w:pPr>
            <w:r w:rsidRPr="0070742B">
              <w:rPr>
                <w:rFonts w:asciiTheme="minorHAnsi" w:hAnsiTheme="minorHAnsi"/>
                <w:b/>
                <w:bCs/>
                <w:sz w:val="16"/>
                <w:szCs w:val="16"/>
              </w:rPr>
              <w:t xml:space="preserve">757 fewer per 1000 patient(s) per years </w:t>
            </w:r>
            <w:r w:rsidRPr="0070742B">
              <w:rPr>
                <w:rFonts w:asciiTheme="minorHAnsi" w:hAnsiTheme="minorHAnsi"/>
                <w:sz w:val="16"/>
                <w:szCs w:val="16"/>
              </w:rPr>
              <w:br/>
              <w:t xml:space="preserve">(from 836 fewer to 655 fewer) </w:t>
            </w:r>
          </w:p>
        </w:tc>
        <w:tc>
          <w:tcPr>
            <w:tcW w:w="400" w:type="pct"/>
            <w:tcBorders>
              <w:top w:val="single" w:sz="6" w:space="0" w:color="000000"/>
              <w:left w:val="single" w:sz="6" w:space="0" w:color="000000"/>
              <w:bottom w:val="single" w:sz="6" w:space="0" w:color="000000"/>
              <w:right w:val="single" w:sz="6" w:space="0" w:color="000000"/>
            </w:tcBorders>
            <w:hideMark/>
          </w:tcPr>
          <w:p w14:paraId="7A04177F" w14:textId="77777777" w:rsidR="00396A12" w:rsidRPr="0070742B" w:rsidRDefault="00396A12" w:rsidP="00596BE0">
            <w:pPr>
              <w:jc w:val="center"/>
              <w:rPr>
                <w:rFonts w:asciiTheme="minorHAnsi" w:hAnsiTheme="minorHAnsi"/>
                <w:sz w:val="16"/>
                <w:szCs w:val="16"/>
              </w:rPr>
            </w:pPr>
            <w:r w:rsidRPr="0070742B">
              <w:rPr>
                <w:rStyle w:val="quality-sign"/>
                <w:rFonts w:ascii="Cambria Math" w:hAnsi="Cambria Math" w:cs="Cambria Math"/>
                <w:sz w:val="16"/>
                <w:szCs w:val="16"/>
              </w:rPr>
              <w:t>⨁⨁⨁</w:t>
            </w:r>
            <w:r w:rsidRPr="0070742B">
              <w:rPr>
                <w:rStyle w:val="quality-sign"/>
                <w:rFonts w:ascii="MS Gothic" w:eastAsia="MS Gothic" w:hAnsi="MS Gothic" w:cs="MS Gothic" w:hint="eastAsia"/>
                <w:sz w:val="16"/>
                <w:szCs w:val="16"/>
              </w:rPr>
              <w:t>◯</w:t>
            </w:r>
            <w:r w:rsidRPr="0070742B">
              <w:rPr>
                <w:rFonts w:asciiTheme="minorHAnsi" w:hAnsiTheme="minorHAnsi"/>
                <w:sz w:val="16"/>
                <w:szCs w:val="16"/>
              </w:rPr>
              <w:br/>
            </w:r>
            <w:r w:rsidRPr="0070742B">
              <w:rPr>
                <w:rStyle w:val="quality-text"/>
                <w:rFonts w:asciiTheme="minorHAnsi" w:hAnsiTheme="minorHAnsi"/>
                <w:sz w:val="16"/>
                <w:szCs w:val="16"/>
              </w:rPr>
              <w:t>MODERATE</w:t>
            </w:r>
            <w:r w:rsidRPr="0070742B">
              <w:rPr>
                <w:rFonts w:asciiTheme="minorHAnsi" w:hAnsiTheme="minorHAnsi"/>
                <w:sz w:val="16"/>
                <w:szCs w:val="16"/>
              </w:rPr>
              <w:t xml:space="preserve"> </w:t>
            </w:r>
          </w:p>
        </w:tc>
        <w:tc>
          <w:tcPr>
            <w:tcW w:w="406" w:type="pct"/>
            <w:tcBorders>
              <w:top w:val="single" w:sz="6" w:space="0" w:color="000000"/>
              <w:left w:val="single" w:sz="6" w:space="0" w:color="000000"/>
              <w:bottom w:val="single" w:sz="6" w:space="0" w:color="000000"/>
              <w:right w:val="single" w:sz="6" w:space="0" w:color="000000"/>
            </w:tcBorders>
            <w:hideMark/>
          </w:tcPr>
          <w:p w14:paraId="0A064C31" w14:textId="77777777" w:rsidR="00396A12" w:rsidRPr="0070742B" w:rsidRDefault="00396A12" w:rsidP="00596BE0">
            <w:pPr>
              <w:jc w:val="center"/>
              <w:rPr>
                <w:rFonts w:asciiTheme="minorHAnsi" w:hAnsiTheme="minorHAnsi"/>
                <w:sz w:val="16"/>
                <w:szCs w:val="16"/>
              </w:rPr>
            </w:pPr>
            <w:r>
              <w:rPr>
                <w:rFonts w:asciiTheme="minorHAnsi" w:hAnsiTheme="minorHAnsi"/>
                <w:sz w:val="16"/>
                <w:szCs w:val="16"/>
              </w:rPr>
              <w:t xml:space="preserve">Critical </w:t>
            </w:r>
          </w:p>
        </w:tc>
      </w:tr>
      <w:tr w:rsidR="00396A12" w:rsidRPr="0070742B" w14:paraId="5C0E296D" w14:textId="77777777" w:rsidTr="00596BE0">
        <w:trPr>
          <w:cantSplit/>
        </w:trPr>
        <w:tc>
          <w:tcPr>
            <w:tcW w:w="5000" w:type="pct"/>
            <w:gridSpan w:val="13"/>
            <w:shd w:val="clear" w:color="auto" w:fill="FFFFFF"/>
            <w:vAlign w:val="center"/>
            <w:hideMark/>
          </w:tcPr>
          <w:p w14:paraId="2220B6B6" w14:textId="77777777" w:rsidR="00396A12" w:rsidRPr="0070742B" w:rsidRDefault="00396A12" w:rsidP="00596BE0">
            <w:pPr>
              <w:rPr>
                <w:rFonts w:asciiTheme="minorHAnsi" w:hAnsiTheme="minorHAnsi"/>
                <w:b/>
                <w:bCs/>
                <w:color w:val="000000"/>
                <w:sz w:val="16"/>
                <w:szCs w:val="16"/>
              </w:rPr>
            </w:pPr>
            <w:r w:rsidRPr="0070742B">
              <w:rPr>
                <w:rStyle w:val="label"/>
                <w:rFonts w:asciiTheme="minorHAnsi" w:hAnsiTheme="minorHAnsi"/>
                <w:b/>
                <w:bCs/>
                <w:color w:val="000000"/>
                <w:sz w:val="16"/>
                <w:szCs w:val="16"/>
              </w:rPr>
              <w:t>Lung function (follow up: mean 52 weeks; assessed with: Pre-bronchodilator Forced Expiratory Volume in One Second (FEV1 in L))</w:t>
            </w:r>
            <w:r w:rsidRPr="0070742B">
              <w:rPr>
                <w:rFonts w:asciiTheme="minorHAnsi" w:hAnsiTheme="minorHAnsi"/>
                <w:b/>
                <w:bCs/>
                <w:color w:val="000000"/>
                <w:sz w:val="16"/>
                <w:szCs w:val="16"/>
                <w:vertAlign w:val="superscript"/>
              </w:rPr>
              <w:t>1a</w:t>
            </w:r>
          </w:p>
        </w:tc>
      </w:tr>
      <w:tr w:rsidR="00396A12" w:rsidRPr="0070742B" w14:paraId="38DE3CD0" w14:textId="77777777" w:rsidTr="00596BE0">
        <w:trPr>
          <w:cantSplit/>
        </w:trPr>
        <w:tc>
          <w:tcPr>
            <w:tcW w:w="282" w:type="pct"/>
            <w:tcBorders>
              <w:top w:val="single" w:sz="6" w:space="0" w:color="000000"/>
              <w:left w:val="single" w:sz="6" w:space="0" w:color="000000"/>
              <w:bottom w:val="single" w:sz="6" w:space="0" w:color="000000"/>
              <w:right w:val="single" w:sz="6" w:space="0" w:color="000000"/>
            </w:tcBorders>
            <w:hideMark/>
          </w:tcPr>
          <w:p w14:paraId="2658151D" w14:textId="77777777" w:rsidR="00396A12" w:rsidRPr="0070742B" w:rsidRDefault="00396A12" w:rsidP="00596BE0">
            <w:pPr>
              <w:jc w:val="center"/>
              <w:rPr>
                <w:rFonts w:asciiTheme="minorHAnsi" w:hAnsiTheme="minorHAnsi"/>
                <w:sz w:val="16"/>
                <w:szCs w:val="16"/>
              </w:rPr>
            </w:pPr>
            <w:r w:rsidRPr="0070742B">
              <w:rPr>
                <w:rFonts w:asciiTheme="minorHAnsi" w:hAnsiTheme="minorHAnsi"/>
                <w:sz w:val="16"/>
                <w:szCs w:val="16"/>
              </w:rPr>
              <w:t xml:space="preserve">1 </w:t>
            </w:r>
            <w:r w:rsidRPr="0070742B">
              <w:rPr>
                <w:rFonts w:asciiTheme="minorHAnsi" w:hAnsiTheme="minorHAnsi"/>
                <w:sz w:val="16"/>
                <w:szCs w:val="16"/>
                <w:vertAlign w:val="superscript"/>
              </w:rPr>
              <w:t>2</w:t>
            </w:r>
          </w:p>
        </w:tc>
        <w:tc>
          <w:tcPr>
            <w:tcW w:w="409" w:type="pct"/>
            <w:tcBorders>
              <w:top w:val="single" w:sz="6" w:space="0" w:color="000000"/>
              <w:left w:val="single" w:sz="6" w:space="0" w:color="000000"/>
              <w:bottom w:val="single" w:sz="6" w:space="0" w:color="000000"/>
              <w:right w:val="single" w:sz="6" w:space="0" w:color="000000"/>
            </w:tcBorders>
            <w:hideMark/>
          </w:tcPr>
          <w:p w14:paraId="1C2EBD33" w14:textId="77777777" w:rsidR="00396A12" w:rsidRPr="0070742B" w:rsidRDefault="00396A12" w:rsidP="00596BE0">
            <w:pPr>
              <w:jc w:val="center"/>
              <w:rPr>
                <w:rFonts w:asciiTheme="minorHAnsi" w:hAnsiTheme="minorHAnsi"/>
                <w:sz w:val="16"/>
                <w:szCs w:val="16"/>
              </w:rPr>
            </w:pPr>
            <w:r w:rsidRPr="0070742B">
              <w:rPr>
                <w:rFonts w:asciiTheme="minorHAnsi" w:hAnsiTheme="minorHAnsi"/>
                <w:sz w:val="16"/>
                <w:szCs w:val="16"/>
              </w:rPr>
              <w:t xml:space="preserve">randomised trial </w:t>
            </w:r>
          </w:p>
        </w:tc>
        <w:tc>
          <w:tcPr>
            <w:tcW w:w="279" w:type="pct"/>
            <w:tcBorders>
              <w:top w:val="single" w:sz="6" w:space="0" w:color="000000"/>
              <w:left w:val="single" w:sz="6" w:space="0" w:color="000000"/>
              <w:bottom w:val="single" w:sz="6" w:space="0" w:color="000000"/>
              <w:right w:val="single" w:sz="6" w:space="0" w:color="000000"/>
            </w:tcBorders>
            <w:hideMark/>
          </w:tcPr>
          <w:p w14:paraId="481D01D4" w14:textId="77777777" w:rsidR="00396A12" w:rsidRPr="0070742B" w:rsidRDefault="00396A12" w:rsidP="00596BE0">
            <w:pPr>
              <w:jc w:val="center"/>
              <w:rPr>
                <w:rFonts w:asciiTheme="minorHAnsi" w:hAnsiTheme="minorHAnsi"/>
                <w:sz w:val="16"/>
                <w:szCs w:val="16"/>
              </w:rPr>
            </w:pPr>
            <w:r w:rsidRPr="0070742B">
              <w:rPr>
                <w:rFonts w:asciiTheme="minorHAnsi" w:hAnsiTheme="minorHAnsi"/>
                <w:sz w:val="16"/>
                <w:szCs w:val="16"/>
              </w:rPr>
              <w:t xml:space="preserve">not serious </w:t>
            </w:r>
          </w:p>
        </w:tc>
        <w:tc>
          <w:tcPr>
            <w:tcW w:w="460" w:type="pct"/>
            <w:tcBorders>
              <w:top w:val="single" w:sz="6" w:space="0" w:color="000000"/>
              <w:left w:val="single" w:sz="6" w:space="0" w:color="000000"/>
              <w:bottom w:val="single" w:sz="6" w:space="0" w:color="000000"/>
              <w:right w:val="single" w:sz="6" w:space="0" w:color="000000"/>
            </w:tcBorders>
            <w:hideMark/>
          </w:tcPr>
          <w:p w14:paraId="1BDBF39D" w14:textId="77777777" w:rsidR="00396A12" w:rsidRPr="0070742B" w:rsidRDefault="00396A12" w:rsidP="00596BE0">
            <w:pPr>
              <w:jc w:val="center"/>
              <w:rPr>
                <w:rFonts w:asciiTheme="minorHAnsi" w:hAnsiTheme="minorHAnsi"/>
                <w:sz w:val="16"/>
                <w:szCs w:val="16"/>
              </w:rPr>
            </w:pPr>
            <w:r w:rsidRPr="0070742B">
              <w:rPr>
                <w:rFonts w:asciiTheme="minorHAnsi" w:hAnsiTheme="minorHAnsi"/>
                <w:sz w:val="16"/>
                <w:szCs w:val="16"/>
              </w:rPr>
              <w:t xml:space="preserve">not serious </w:t>
            </w:r>
          </w:p>
        </w:tc>
        <w:tc>
          <w:tcPr>
            <w:tcW w:w="422" w:type="pct"/>
            <w:tcBorders>
              <w:top w:val="single" w:sz="6" w:space="0" w:color="000000"/>
              <w:left w:val="single" w:sz="6" w:space="0" w:color="000000"/>
              <w:bottom w:val="single" w:sz="6" w:space="0" w:color="000000"/>
              <w:right w:val="single" w:sz="6" w:space="0" w:color="000000"/>
            </w:tcBorders>
            <w:hideMark/>
          </w:tcPr>
          <w:p w14:paraId="601DA074" w14:textId="77777777" w:rsidR="00396A12" w:rsidRPr="0070742B" w:rsidRDefault="00396A12" w:rsidP="00596BE0">
            <w:pPr>
              <w:jc w:val="center"/>
              <w:rPr>
                <w:rFonts w:asciiTheme="minorHAnsi" w:hAnsiTheme="minorHAnsi"/>
                <w:sz w:val="16"/>
                <w:szCs w:val="16"/>
              </w:rPr>
            </w:pPr>
            <w:r w:rsidRPr="0070742B">
              <w:rPr>
                <w:rFonts w:asciiTheme="minorHAnsi" w:hAnsiTheme="minorHAnsi"/>
                <w:sz w:val="16"/>
                <w:szCs w:val="16"/>
              </w:rPr>
              <w:t xml:space="preserve">serious </w:t>
            </w:r>
            <w:proofErr w:type="gramStart"/>
            <w:r w:rsidRPr="0070742B">
              <w:rPr>
                <w:rFonts w:asciiTheme="minorHAnsi" w:hAnsiTheme="minorHAnsi"/>
                <w:sz w:val="16"/>
                <w:szCs w:val="16"/>
                <w:vertAlign w:val="superscript"/>
              </w:rPr>
              <w:t>4</w:t>
            </w:r>
            <w:r w:rsidRPr="0070742B">
              <w:rPr>
                <w:rStyle w:val="comma"/>
                <w:rFonts w:asciiTheme="minorHAnsi" w:hAnsiTheme="minorHAnsi"/>
                <w:sz w:val="16"/>
                <w:szCs w:val="16"/>
                <w:vertAlign w:val="superscript"/>
              </w:rPr>
              <w:t>,</w:t>
            </w:r>
            <w:r w:rsidRPr="0070742B">
              <w:rPr>
                <w:rFonts w:asciiTheme="minorHAnsi" w:hAnsiTheme="minorHAnsi"/>
                <w:sz w:val="16"/>
                <w:szCs w:val="16"/>
                <w:vertAlign w:val="superscript"/>
              </w:rPr>
              <w:t>c</w:t>
            </w:r>
            <w:proofErr w:type="gramEnd"/>
          </w:p>
        </w:tc>
        <w:tc>
          <w:tcPr>
            <w:tcW w:w="409" w:type="pct"/>
            <w:tcBorders>
              <w:top w:val="single" w:sz="6" w:space="0" w:color="000000"/>
              <w:left w:val="single" w:sz="6" w:space="0" w:color="000000"/>
              <w:bottom w:val="single" w:sz="6" w:space="0" w:color="000000"/>
              <w:right w:val="single" w:sz="6" w:space="0" w:color="000000"/>
            </w:tcBorders>
            <w:hideMark/>
          </w:tcPr>
          <w:p w14:paraId="6BA17AD9" w14:textId="77777777" w:rsidR="00396A12" w:rsidRPr="0070742B" w:rsidRDefault="00396A12" w:rsidP="00596BE0">
            <w:pPr>
              <w:jc w:val="center"/>
              <w:rPr>
                <w:rFonts w:asciiTheme="minorHAnsi" w:hAnsiTheme="minorHAnsi"/>
                <w:sz w:val="16"/>
                <w:szCs w:val="16"/>
              </w:rPr>
            </w:pPr>
            <w:r w:rsidRPr="0070742B">
              <w:rPr>
                <w:rFonts w:asciiTheme="minorHAnsi" w:hAnsiTheme="minorHAnsi"/>
                <w:sz w:val="16"/>
                <w:szCs w:val="16"/>
              </w:rPr>
              <w:t xml:space="preserve">serious </w:t>
            </w:r>
            <w:proofErr w:type="gramStart"/>
            <w:r w:rsidRPr="0070742B">
              <w:rPr>
                <w:rFonts w:asciiTheme="minorHAnsi" w:hAnsiTheme="minorHAnsi"/>
                <w:sz w:val="16"/>
                <w:szCs w:val="16"/>
                <w:vertAlign w:val="superscript"/>
              </w:rPr>
              <w:t>5</w:t>
            </w:r>
            <w:r w:rsidRPr="0070742B">
              <w:rPr>
                <w:rStyle w:val="comma"/>
                <w:rFonts w:asciiTheme="minorHAnsi" w:hAnsiTheme="minorHAnsi"/>
                <w:sz w:val="16"/>
                <w:szCs w:val="16"/>
                <w:vertAlign w:val="superscript"/>
              </w:rPr>
              <w:t>,</w:t>
            </w:r>
            <w:r w:rsidRPr="0070742B">
              <w:rPr>
                <w:rFonts w:asciiTheme="minorHAnsi" w:hAnsiTheme="minorHAnsi"/>
                <w:sz w:val="16"/>
                <w:szCs w:val="16"/>
                <w:vertAlign w:val="superscript"/>
              </w:rPr>
              <w:t>d</w:t>
            </w:r>
            <w:proofErr w:type="gramEnd"/>
          </w:p>
        </w:tc>
        <w:tc>
          <w:tcPr>
            <w:tcW w:w="492" w:type="pct"/>
            <w:tcBorders>
              <w:top w:val="single" w:sz="6" w:space="0" w:color="000000"/>
              <w:left w:val="single" w:sz="6" w:space="0" w:color="000000"/>
              <w:bottom w:val="single" w:sz="6" w:space="0" w:color="000000"/>
              <w:right w:val="single" w:sz="6" w:space="0" w:color="000000"/>
            </w:tcBorders>
            <w:hideMark/>
          </w:tcPr>
          <w:p w14:paraId="2CF2C893" w14:textId="77777777" w:rsidR="00396A12" w:rsidRPr="0070742B" w:rsidRDefault="00396A12" w:rsidP="00596BE0">
            <w:pPr>
              <w:jc w:val="center"/>
              <w:rPr>
                <w:rFonts w:asciiTheme="minorHAnsi" w:hAnsiTheme="minorHAnsi"/>
                <w:sz w:val="16"/>
                <w:szCs w:val="16"/>
              </w:rPr>
            </w:pPr>
            <w:r w:rsidRPr="0070742B">
              <w:rPr>
                <w:rFonts w:asciiTheme="minorHAnsi" w:hAnsiTheme="minorHAnsi"/>
                <w:sz w:val="16"/>
                <w:szCs w:val="16"/>
              </w:rPr>
              <w:t xml:space="preserve">publication bias strongly suspected </w:t>
            </w:r>
            <w:proofErr w:type="gramStart"/>
            <w:r w:rsidRPr="0070742B">
              <w:rPr>
                <w:rFonts w:asciiTheme="minorHAnsi" w:hAnsiTheme="minorHAnsi"/>
                <w:sz w:val="16"/>
                <w:szCs w:val="16"/>
                <w:vertAlign w:val="superscript"/>
              </w:rPr>
              <w:t>3</w:t>
            </w:r>
            <w:r w:rsidRPr="0070742B">
              <w:rPr>
                <w:rStyle w:val="comma"/>
                <w:rFonts w:asciiTheme="minorHAnsi" w:hAnsiTheme="minorHAnsi"/>
                <w:sz w:val="16"/>
                <w:szCs w:val="16"/>
                <w:vertAlign w:val="superscript"/>
              </w:rPr>
              <w:t>,</w:t>
            </w:r>
            <w:r w:rsidRPr="0070742B">
              <w:rPr>
                <w:rFonts w:asciiTheme="minorHAnsi" w:hAnsiTheme="minorHAnsi"/>
                <w:sz w:val="16"/>
                <w:szCs w:val="16"/>
                <w:vertAlign w:val="superscript"/>
              </w:rPr>
              <w:t>b</w:t>
            </w:r>
            <w:proofErr w:type="gramEnd"/>
          </w:p>
        </w:tc>
        <w:tc>
          <w:tcPr>
            <w:tcW w:w="447" w:type="pct"/>
            <w:tcBorders>
              <w:top w:val="single" w:sz="6" w:space="0" w:color="000000"/>
              <w:left w:val="single" w:sz="6" w:space="0" w:color="000000"/>
              <w:bottom w:val="single" w:sz="6" w:space="0" w:color="000000"/>
              <w:right w:val="single" w:sz="6" w:space="0" w:color="000000"/>
            </w:tcBorders>
            <w:hideMark/>
          </w:tcPr>
          <w:p w14:paraId="79057F0C" w14:textId="77777777" w:rsidR="00396A12" w:rsidRPr="0070742B" w:rsidRDefault="00396A12" w:rsidP="00596BE0">
            <w:pPr>
              <w:jc w:val="center"/>
              <w:rPr>
                <w:rFonts w:asciiTheme="minorHAnsi" w:hAnsiTheme="minorHAnsi"/>
                <w:sz w:val="16"/>
                <w:szCs w:val="16"/>
              </w:rPr>
            </w:pPr>
            <w:r w:rsidRPr="0070742B">
              <w:rPr>
                <w:rFonts w:asciiTheme="minorHAnsi" w:hAnsiTheme="minorHAnsi"/>
                <w:sz w:val="16"/>
                <w:szCs w:val="16"/>
              </w:rPr>
              <w:t xml:space="preserve">0 </w:t>
            </w:r>
          </w:p>
        </w:tc>
        <w:tc>
          <w:tcPr>
            <w:tcW w:w="331" w:type="pct"/>
            <w:tcBorders>
              <w:top w:val="single" w:sz="6" w:space="0" w:color="000000"/>
              <w:left w:val="single" w:sz="6" w:space="0" w:color="000000"/>
              <w:bottom w:val="single" w:sz="6" w:space="0" w:color="000000"/>
              <w:right w:val="single" w:sz="6" w:space="0" w:color="000000"/>
            </w:tcBorders>
            <w:hideMark/>
          </w:tcPr>
          <w:p w14:paraId="62E7F2C8" w14:textId="77777777" w:rsidR="00396A12" w:rsidRPr="0070742B" w:rsidRDefault="00396A12" w:rsidP="00596BE0">
            <w:pPr>
              <w:jc w:val="center"/>
              <w:rPr>
                <w:rFonts w:asciiTheme="minorHAnsi" w:hAnsiTheme="minorHAnsi"/>
                <w:sz w:val="16"/>
                <w:szCs w:val="16"/>
              </w:rPr>
            </w:pPr>
            <w:r w:rsidRPr="0070742B">
              <w:rPr>
                <w:rStyle w:val="cell-value"/>
                <w:rFonts w:asciiTheme="minorHAnsi" w:hAnsiTheme="minorHAnsi"/>
                <w:sz w:val="16"/>
                <w:szCs w:val="16"/>
              </w:rPr>
              <w:t>0</w:t>
            </w:r>
            <w:r w:rsidRPr="0070742B">
              <w:rPr>
                <w:rFonts w:asciiTheme="minorHAnsi" w:hAnsiTheme="minorHAnsi"/>
                <w:sz w:val="16"/>
                <w:szCs w:val="16"/>
              </w:rPr>
              <w:t xml:space="preserve"> </w:t>
            </w:r>
          </w:p>
        </w:tc>
        <w:tc>
          <w:tcPr>
            <w:tcW w:w="310" w:type="pct"/>
            <w:tcBorders>
              <w:top w:val="single" w:sz="6" w:space="0" w:color="000000"/>
              <w:left w:val="single" w:sz="6" w:space="0" w:color="000000"/>
              <w:bottom w:val="single" w:sz="6" w:space="0" w:color="000000"/>
              <w:right w:val="single" w:sz="6" w:space="0" w:color="000000"/>
            </w:tcBorders>
            <w:hideMark/>
          </w:tcPr>
          <w:p w14:paraId="7759D392" w14:textId="77777777" w:rsidR="00396A12" w:rsidRPr="0070742B" w:rsidRDefault="00396A12" w:rsidP="00596BE0">
            <w:pPr>
              <w:jc w:val="center"/>
              <w:rPr>
                <w:rFonts w:asciiTheme="minorHAnsi" w:hAnsiTheme="minorHAnsi"/>
                <w:sz w:val="16"/>
                <w:szCs w:val="16"/>
              </w:rPr>
            </w:pPr>
            <w:r w:rsidRPr="0070742B">
              <w:rPr>
                <w:rStyle w:val="cell"/>
                <w:rFonts w:asciiTheme="minorHAnsi" w:hAnsiTheme="minorHAnsi"/>
                <w:sz w:val="16"/>
                <w:szCs w:val="16"/>
              </w:rPr>
              <w:t>-</w:t>
            </w:r>
            <w:r w:rsidRPr="0070742B">
              <w:rPr>
                <w:rFonts w:asciiTheme="minorHAnsi" w:hAnsiTheme="minorHAnsi"/>
                <w:sz w:val="16"/>
                <w:szCs w:val="16"/>
              </w:rPr>
              <w:t xml:space="preserve"> </w:t>
            </w:r>
          </w:p>
        </w:tc>
        <w:tc>
          <w:tcPr>
            <w:tcW w:w="354" w:type="pct"/>
            <w:tcBorders>
              <w:top w:val="single" w:sz="6" w:space="0" w:color="000000"/>
              <w:left w:val="single" w:sz="6" w:space="0" w:color="000000"/>
              <w:bottom w:val="single" w:sz="6" w:space="0" w:color="000000"/>
              <w:right w:val="single" w:sz="6" w:space="0" w:color="000000"/>
            </w:tcBorders>
            <w:hideMark/>
          </w:tcPr>
          <w:p w14:paraId="4C167DFA" w14:textId="77777777" w:rsidR="00396A12" w:rsidRPr="0070742B" w:rsidRDefault="00396A12" w:rsidP="00596BE0">
            <w:pPr>
              <w:jc w:val="center"/>
              <w:rPr>
                <w:rFonts w:asciiTheme="minorHAnsi" w:hAnsiTheme="minorHAnsi"/>
                <w:sz w:val="16"/>
                <w:szCs w:val="16"/>
              </w:rPr>
            </w:pPr>
            <w:r w:rsidRPr="0070742B">
              <w:rPr>
                <w:rStyle w:val="cell-value"/>
                <w:rFonts w:asciiTheme="minorHAnsi" w:hAnsiTheme="minorHAnsi"/>
                <w:sz w:val="16"/>
                <w:szCs w:val="16"/>
              </w:rPr>
              <w:t xml:space="preserve">MD </w:t>
            </w:r>
            <w:r>
              <w:rPr>
                <w:rStyle w:val="cell-value"/>
                <w:rFonts w:asciiTheme="minorHAnsi" w:hAnsiTheme="minorHAnsi"/>
                <w:sz w:val="16"/>
                <w:szCs w:val="16"/>
              </w:rPr>
              <w:t>+</w:t>
            </w:r>
            <w:r w:rsidRPr="0070742B">
              <w:rPr>
                <w:rStyle w:val="cell-value"/>
                <w:rFonts w:asciiTheme="minorHAnsi" w:hAnsiTheme="minorHAnsi"/>
                <w:b/>
                <w:bCs/>
                <w:sz w:val="16"/>
                <w:szCs w:val="16"/>
              </w:rPr>
              <w:t xml:space="preserve">0.15 SD </w:t>
            </w:r>
            <w:r w:rsidRPr="0070742B">
              <w:rPr>
                <w:rFonts w:asciiTheme="minorHAnsi" w:hAnsiTheme="minorHAnsi"/>
                <w:sz w:val="16"/>
                <w:szCs w:val="16"/>
              </w:rPr>
              <w:br/>
            </w:r>
            <w:r w:rsidRPr="0070742B">
              <w:rPr>
                <w:rStyle w:val="cell-value"/>
                <w:rFonts w:asciiTheme="minorHAnsi" w:hAnsiTheme="minorHAnsi"/>
                <w:sz w:val="16"/>
                <w:szCs w:val="16"/>
              </w:rPr>
              <w:t>(</w:t>
            </w:r>
            <w:r>
              <w:rPr>
                <w:rStyle w:val="cell-value"/>
                <w:rFonts w:asciiTheme="minorHAnsi" w:hAnsiTheme="minorHAnsi"/>
                <w:sz w:val="16"/>
                <w:szCs w:val="16"/>
              </w:rPr>
              <w:t>-</w:t>
            </w:r>
            <w:r w:rsidRPr="0070742B">
              <w:rPr>
                <w:rStyle w:val="cell-value"/>
                <w:rFonts w:asciiTheme="minorHAnsi" w:hAnsiTheme="minorHAnsi"/>
                <w:sz w:val="16"/>
                <w:szCs w:val="16"/>
              </w:rPr>
              <w:t>0.01 to</w:t>
            </w:r>
            <w:r>
              <w:rPr>
                <w:rStyle w:val="cell-value"/>
                <w:rFonts w:asciiTheme="minorHAnsi" w:hAnsiTheme="minorHAnsi"/>
                <w:sz w:val="16"/>
                <w:szCs w:val="16"/>
              </w:rPr>
              <w:t xml:space="preserve"> </w:t>
            </w:r>
            <w:r>
              <w:rPr>
                <w:rStyle w:val="cell-value"/>
              </w:rPr>
              <w:t>+</w:t>
            </w:r>
            <w:r w:rsidRPr="0070742B">
              <w:rPr>
                <w:rStyle w:val="cell-value"/>
                <w:rFonts w:asciiTheme="minorHAnsi" w:hAnsiTheme="minorHAnsi"/>
                <w:sz w:val="16"/>
                <w:szCs w:val="16"/>
              </w:rPr>
              <w:t xml:space="preserve"> 0.3)</w:t>
            </w:r>
            <w:r w:rsidRPr="0070742B">
              <w:rPr>
                <w:rFonts w:asciiTheme="minorHAnsi" w:hAnsiTheme="minorHAnsi"/>
                <w:sz w:val="16"/>
                <w:szCs w:val="16"/>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15EBB611" w14:textId="77777777" w:rsidR="00396A12" w:rsidRPr="0070742B" w:rsidRDefault="00396A12" w:rsidP="00596BE0">
            <w:pPr>
              <w:jc w:val="center"/>
              <w:rPr>
                <w:rFonts w:asciiTheme="minorHAnsi" w:hAnsiTheme="minorHAnsi"/>
                <w:sz w:val="16"/>
                <w:szCs w:val="16"/>
              </w:rPr>
            </w:pPr>
            <w:r w:rsidRPr="0070742B">
              <w:rPr>
                <w:rStyle w:val="quality-sign"/>
                <w:rFonts w:ascii="Cambria Math" w:hAnsi="Cambria Math" w:cs="Cambria Math"/>
                <w:sz w:val="16"/>
                <w:szCs w:val="16"/>
              </w:rPr>
              <w:t>⨁</w:t>
            </w:r>
            <w:r w:rsidRPr="0070742B">
              <w:rPr>
                <w:rStyle w:val="quality-sign"/>
                <w:rFonts w:ascii="MS Gothic" w:eastAsia="MS Gothic" w:hAnsi="MS Gothic" w:cs="MS Gothic" w:hint="eastAsia"/>
                <w:sz w:val="16"/>
                <w:szCs w:val="16"/>
              </w:rPr>
              <w:t>◯◯◯</w:t>
            </w:r>
            <w:r w:rsidRPr="0070742B">
              <w:rPr>
                <w:rFonts w:asciiTheme="minorHAnsi" w:hAnsiTheme="minorHAnsi"/>
                <w:sz w:val="16"/>
                <w:szCs w:val="16"/>
              </w:rPr>
              <w:br/>
            </w:r>
            <w:r w:rsidRPr="0070742B">
              <w:rPr>
                <w:rStyle w:val="quality-text"/>
                <w:rFonts w:asciiTheme="minorHAnsi" w:hAnsiTheme="minorHAnsi"/>
                <w:sz w:val="16"/>
                <w:szCs w:val="16"/>
              </w:rPr>
              <w:t>VERY LOW</w:t>
            </w:r>
            <w:r w:rsidRPr="0070742B">
              <w:rPr>
                <w:rFonts w:asciiTheme="minorHAnsi" w:hAnsiTheme="minorHAnsi"/>
                <w:sz w:val="16"/>
                <w:szCs w:val="16"/>
              </w:rPr>
              <w:t xml:space="preserve"> </w:t>
            </w:r>
          </w:p>
        </w:tc>
        <w:tc>
          <w:tcPr>
            <w:tcW w:w="406" w:type="pct"/>
            <w:tcBorders>
              <w:top w:val="single" w:sz="6" w:space="0" w:color="000000"/>
              <w:left w:val="single" w:sz="6" w:space="0" w:color="000000"/>
              <w:bottom w:val="single" w:sz="6" w:space="0" w:color="000000"/>
              <w:right w:val="single" w:sz="6" w:space="0" w:color="000000"/>
            </w:tcBorders>
            <w:hideMark/>
          </w:tcPr>
          <w:p w14:paraId="0EB46047" w14:textId="77777777" w:rsidR="00396A12" w:rsidRPr="0070742B" w:rsidRDefault="00396A12" w:rsidP="00596BE0">
            <w:pPr>
              <w:jc w:val="center"/>
              <w:rPr>
                <w:rFonts w:asciiTheme="minorHAnsi" w:hAnsiTheme="minorHAnsi"/>
                <w:sz w:val="16"/>
                <w:szCs w:val="16"/>
              </w:rPr>
            </w:pPr>
            <w:r>
              <w:rPr>
                <w:rFonts w:asciiTheme="minorHAnsi" w:hAnsiTheme="minorHAnsi"/>
                <w:sz w:val="16"/>
                <w:szCs w:val="16"/>
              </w:rPr>
              <w:t>Important</w:t>
            </w:r>
          </w:p>
        </w:tc>
      </w:tr>
      <w:tr w:rsidR="00396A12" w:rsidRPr="0070742B" w14:paraId="00F17EF6" w14:textId="77777777" w:rsidTr="00596BE0">
        <w:trPr>
          <w:cantSplit/>
        </w:trPr>
        <w:tc>
          <w:tcPr>
            <w:tcW w:w="5000" w:type="pct"/>
            <w:gridSpan w:val="13"/>
            <w:shd w:val="clear" w:color="auto" w:fill="FFFFFF"/>
            <w:vAlign w:val="center"/>
            <w:hideMark/>
          </w:tcPr>
          <w:p w14:paraId="40CFDA2B" w14:textId="77777777" w:rsidR="00396A12" w:rsidRPr="0070742B" w:rsidRDefault="00396A12" w:rsidP="00596BE0">
            <w:pPr>
              <w:rPr>
                <w:rFonts w:asciiTheme="minorHAnsi" w:hAnsiTheme="minorHAnsi"/>
                <w:b/>
                <w:bCs/>
                <w:color w:val="000000"/>
                <w:sz w:val="16"/>
                <w:szCs w:val="16"/>
              </w:rPr>
            </w:pPr>
            <w:r w:rsidRPr="0070742B">
              <w:rPr>
                <w:rStyle w:val="label"/>
                <w:rFonts w:asciiTheme="minorHAnsi" w:hAnsiTheme="minorHAnsi"/>
                <w:b/>
                <w:bCs/>
                <w:color w:val="000000"/>
                <w:sz w:val="16"/>
                <w:szCs w:val="16"/>
              </w:rPr>
              <w:t>Asthma control (follow up: mean 52 weeks; assessed with: Asthma Control Questionnaire (ACQ-6); Scale from: 1 to 6)</w:t>
            </w:r>
            <w:r w:rsidRPr="0070742B">
              <w:rPr>
                <w:rFonts w:asciiTheme="minorHAnsi" w:hAnsiTheme="minorHAnsi"/>
                <w:b/>
                <w:bCs/>
                <w:color w:val="000000"/>
                <w:sz w:val="16"/>
                <w:szCs w:val="16"/>
                <w:vertAlign w:val="superscript"/>
              </w:rPr>
              <w:t>1a</w:t>
            </w:r>
          </w:p>
        </w:tc>
      </w:tr>
      <w:tr w:rsidR="00396A12" w:rsidRPr="0070742B" w14:paraId="7226597A" w14:textId="77777777" w:rsidTr="00596BE0">
        <w:trPr>
          <w:cantSplit/>
        </w:trPr>
        <w:tc>
          <w:tcPr>
            <w:tcW w:w="282" w:type="pct"/>
            <w:tcBorders>
              <w:top w:val="single" w:sz="6" w:space="0" w:color="000000"/>
              <w:left w:val="single" w:sz="6" w:space="0" w:color="000000"/>
              <w:bottom w:val="single" w:sz="6" w:space="0" w:color="000000"/>
              <w:right w:val="single" w:sz="6" w:space="0" w:color="000000"/>
            </w:tcBorders>
            <w:hideMark/>
          </w:tcPr>
          <w:p w14:paraId="4BA066F4" w14:textId="77777777" w:rsidR="00396A12" w:rsidRPr="0070742B" w:rsidRDefault="00396A12" w:rsidP="00596BE0">
            <w:pPr>
              <w:jc w:val="center"/>
              <w:rPr>
                <w:rFonts w:asciiTheme="minorHAnsi" w:hAnsiTheme="minorHAnsi"/>
                <w:sz w:val="16"/>
                <w:szCs w:val="16"/>
              </w:rPr>
            </w:pPr>
            <w:r w:rsidRPr="0070742B">
              <w:rPr>
                <w:rFonts w:asciiTheme="minorHAnsi" w:hAnsiTheme="minorHAnsi"/>
                <w:sz w:val="16"/>
                <w:szCs w:val="16"/>
              </w:rPr>
              <w:t xml:space="preserve">1 </w:t>
            </w:r>
            <w:r w:rsidRPr="0070742B">
              <w:rPr>
                <w:rFonts w:asciiTheme="minorHAnsi" w:hAnsiTheme="minorHAnsi"/>
                <w:sz w:val="16"/>
                <w:szCs w:val="16"/>
                <w:vertAlign w:val="superscript"/>
              </w:rPr>
              <w:t>2</w:t>
            </w:r>
          </w:p>
        </w:tc>
        <w:tc>
          <w:tcPr>
            <w:tcW w:w="409" w:type="pct"/>
            <w:tcBorders>
              <w:top w:val="single" w:sz="6" w:space="0" w:color="000000"/>
              <w:left w:val="single" w:sz="6" w:space="0" w:color="000000"/>
              <w:bottom w:val="single" w:sz="6" w:space="0" w:color="000000"/>
              <w:right w:val="single" w:sz="6" w:space="0" w:color="000000"/>
            </w:tcBorders>
            <w:hideMark/>
          </w:tcPr>
          <w:p w14:paraId="639A7256" w14:textId="77777777" w:rsidR="00396A12" w:rsidRPr="0070742B" w:rsidRDefault="00396A12" w:rsidP="00596BE0">
            <w:pPr>
              <w:jc w:val="center"/>
              <w:rPr>
                <w:rFonts w:asciiTheme="minorHAnsi" w:hAnsiTheme="minorHAnsi"/>
                <w:sz w:val="16"/>
                <w:szCs w:val="16"/>
              </w:rPr>
            </w:pPr>
            <w:r w:rsidRPr="0070742B">
              <w:rPr>
                <w:rFonts w:asciiTheme="minorHAnsi" w:hAnsiTheme="minorHAnsi"/>
                <w:sz w:val="16"/>
                <w:szCs w:val="16"/>
              </w:rPr>
              <w:t xml:space="preserve">randomised trials </w:t>
            </w:r>
          </w:p>
        </w:tc>
        <w:tc>
          <w:tcPr>
            <w:tcW w:w="279" w:type="pct"/>
            <w:tcBorders>
              <w:top w:val="single" w:sz="6" w:space="0" w:color="000000"/>
              <w:left w:val="single" w:sz="6" w:space="0" w:color="000000"/>
              <w:bottom w:val="single" w:sz="6" w:space="0" w:color="000000"/>
              <w:right w:val="single" w:sz="6" w:space="0" w:color="000000"/>
            </w:tcBorders>
            <w:hideMark/>
          </w:tcPr>
          <w:p w14:paraId="37212E6D" w14:textId="77777777" w:rsidR="00396A12" w:rsidRPr="0070742B" w:rsidRDefault="00396A12" w:rsidP="00596BE0">
            <w:pPr>
              <w:jc w:val="center"/>
              <w:rPr>
                <w:rFonts w:asciiTheme="minorHAnsi" w:hAnsiTheme="minorHAnsi"/>
                <w:sz w:val="16"/>
                <w:szCs w:val="16"/>
              </w:rPr>
            </w:pPr>
            <w:r w:rsidRPr="0070742B">
              <w:rPr>
                <w:rFonts w:asciiTheme="minorHAnsi" w:hAnsiTheme="minorHAnsi"/>
                <w:sz w:val="16"/>
                <w:szCs w:val="16"/>
              </w:rPr>
              <w:t xml:space="preserve">not serious </w:t>
            </w:r>
          </w:p>
        </w:tc>
        <w:tc>
          <w:tcPr>
            <w:tcW w:w="460" w:type="pct"/>
            <w:tcBorders>
              <w:top w:val="single" w:sz="6" w:space="0" w:color="000000"/>
              <w:left w:val="single" w:sz="6" w:space="0" w:color="000000"/>
              <w:bottom w:val="single" w:sz="6" w:space="0" w:color="000000"/>
              <w:right w:val="single" w:sz="6" w:space="0" w:color="000000"/>
            </w:tcBorders>
            <w:hideMark/>
          </w:tcPr>
          <w:p w14:paraId="0EFED5A1" w14:textId="77777777" w:rsidR="00396A12" w:rsidRPr="0070742B" w:rsidRDefault="00396A12" w:rsidP="00596BE0">
            <w:pPr>
              <w:jc w:val="center"/>
              <w:rPr>
                <w:rFonts w:asciiTheme="minorHAnsi" w:hAnsiTheme="minorHAnsi"/>
                <w:sz w:val="16"/>
                <w:szCs w:val="16"/>
              </w:rPr>
            </w:pPr>
            <w:r w:rsidRPr="0070742B">
              <w:rPr>
                <w:rFonts w:asciiTheme="minorHAnsi" w:hAnsiTheme="minorHAnsi"/>
                <w:sz w:val="16"/>
                <w:szCs w:val="16"/>
              </w:rPr>
              <w:t xml:space="preserve">not serious </w:t>
            </w:r>
          </w:p>
        </w:tc>
        <w:tc>
          <w:tcPr>
            <w:tcW w:w="422" w:type="pct"/>
            <w:tcBorders>
              <w:top w:val="single" w:sz="6" w:space="0" w:color="000000"/>
              <w:left w:val="single" w:sz="6" w:space="0" w:color="000000"/>
              <w:bottom w:val="single" w:sz="6" w:space="0" w:color="000000"/>
              <w:right w:val="single" w:sz="6" w:space="0" w:color="000000"/>
            </w:tcBorders>
            <w:hideMark/>
          </w:tcPr>
          <w:p w14:paraId="615646A5" w14:textId="77777777" w:rsidR="00396A12" w:rsidRPr="0070742B" w:rsidRDefault="00396A12" w:rsidP="00596BE0">
            <w:pPr>
              <w:jc w:val="center"/>
              <w:rPr>
                <w:rFonts w:asciiTheme="minorHAnsi" w:hAnsiTheme="minorHAnsi"/>
                <w:sz w:val="16"/>
                <w:szCs w:val="16"/>
              </w:rPr>
            </w:pPr>
            <w:r w:rsidRPr="0070742B">
              <w:rPr>
                <w:rFonts w:asciiTheme="minorHAnsi" w:hAnsiTheme="minorHAnsi"/>
                <w:sz w:val="16"/>
                <w:szCs w:val="16"/>
              </w:rPr>
              <w:t xml:space="preserve">not serious </w:t>
            </w:r>
          </w:p>
        </w:tc>
        <w:tc>
          <w:tcPr>
            <w:tcW w:w="409" w:type="pct"/>
            <w:tcBorders>
              <w:top w:val="single" w:sz="6" w:space="0" w:color="000000"/>
              <w:left w:val="single" w:sz="6" w:space="0" w:color="000000"/>
              <w:bottom w:val="single" w:sz="6" w:space="0" w:color="000000"/>
              <w:right w:val="single" w:sz="6" w:space="0" w:color="000000"/>
            </w:tcBorders>
            <w:hideMark/>
          </w:tcPr>
          <w:p w14:paraId="45E11AE2" w14:textId="77777777" w:rsidR="00396A12" w:rsidRPr="0070742B" w:rsidRDefault="00396A12" w:rsidP="00596BE0">
            <w:pPr>
              <w:jc w:val="center"/>
              <w:rPr>
                <w:rFonts w:asciiTheme="minorHAnsi" w:hAnsiTheme="minorHAnsi"/>
                <w:sz w:val="16"/>
                <w:szCs w:val="16"/>
              </w:rPr>
            </w:pPr>
            <w:r w:rsidRPr="0070742B">
              <w:rPr>
                <w:rFonts w:asciiTheme="minorHAnsi" w:hAnsiTheme="minorHAnsi"/>
                <w:sz w:val="16"/>
                <w:szCs w:val="16"/>
              </w:rPr>
              <w:t xml:space="preserve">serious </w:t>
            </w:r>
            <w:proofErr w:type="gramStart"/>
            <w:r w:rsidRPr="0070742B">
              <w:rPr>
                <w:rFonts w:asciiTheme="minorHAnsi" w:hAnsiTheme="minorHAnsi"/>
                <w:sz w:val="16"/>
                <w:szCs w:val="16"/>
                <w:vertAlign w:val="superscript"/>
              </w:rPr>
              <w:t>6</w:t>
            </w:r>
            <w:r w:rsidRPr="0070742B">
              <w:rPr>
                <w:rStyle w:val="comma"/>
                <w:rFonts w:asciiTheme="minorHAnsi" w:hAnsiTheme="minorHAnsi"/>
                <w:sz w:val="16"/>
                <w:szCs w:val="16"/>
                <w:vertAlign w:val="superscript"/>
              </w:rPr>
              <w:t>,</w:t>
            </w:r>
            <w:r w:rsidRPr="0070742B">
              <w:rPr>
                <w:rFonts w:asciiTheme="minorHAnsi" w:hAnsiTheme="minorHAnsi"/>
                <w:sz w:val="16"/>
                <w:szCs w:val="16"/>
                <w:vertAlign w:val="superscript"/>
              </w:rPr>
              <w:t>e</w:t>
            </w:r>
            <w:proofErr w:type="gramEnd"/>
          </w:p>
        </w:tc>
        <w:tc>
          <w:tcPr>
            <w:tcW w:w="492" w:type="pct"/>
            <w:tcBorders>
              <w:top w:val="single" w:sz="6" w:space="0" w:color="000000"/>
              <w:left w:val="single" w:sz="6" w:space="0" w:color="000000"/>
              <w:bottom w:val="single" w:sz="6" w:space="0" w:color="000000"/>
              <w:right w:val="single" w:sz="6" w:space="0" w:color="000000"/>
            </w:tcBorders>
            <w:hideMark/>
          </w:tcPr>
          <w:p w14:paraId="67D11C00" w14:textId="77777777" w:rsidR="00396A12" w:rsidRPr="0070742B" w:rsidRDefault="00396A12" w:rsidP="00596BE0">
            <w:pPr>
              <w:jc w:val="center"/>
              <w:rPr>
                <w:rFonts w:asciiTheme="minorHAnsi" w:hAnsiTheme="minorHAnsi"/>
                <w:sz w:val="16"/>
                <w:szCs w:val="16"/>
              </w:rPr>
            </w:pPr>
            <w:r w:rsidRPr="0070742B">
              <w:rPr>
                <w:rFonts w:asciiTheme="minorHAnsi" w:hAnsiTheme="minorHAnsi"/>
                <w:sz w:val="16"/>
                <w:szCs w:val="16"/>
              </w:rPr>
              <w:t xml:space="preserve">publication bias strongly suspected </w:t>
            </w:r>
            <w:proofErr w:type="gramStart"/>
            <w:r w:rsidRPr="0070742B">
              <w:rPr>
                <w:rFonts w:asciiTheme="minorHAnsi" w:hAnsiTheme="minorHAnsi"/>
                <w:sz w:val="16"/>
                <w:szCs w:val="16"/>
                <w:vertAlign w:val="superscript"/>
              </w:rPr>
              <w:t>3</w:t>
            </w:r>
            <w:r w:rsidRPr="0070742B">
              <w:rPr>
                <w:rStyle w:val="comma"/>
                <w:rFonts w:asciiTheme="minorHAnsi" w:hAnsiTheme="minorHAnsi"/>
                <w:sz w:val="16"/>
                <w:szCs w:val="16"/>
                <w:vertAlign w:val="superscript"/>
              </w:rPr>
              <w:t>,</w:t>
            </w:r>
            <w:r w:rsidRPr="0070742B">
              <w:rPr>
                <w:rFonts w:asciiTheme="minorHAnsi" w:hAnsiTheme="minorHAnsi"/>
                <w:sz w:val="16"/>
                <w:szCs w:val="16"/>
                <w:vertAlign w:val="superscript"/>
              </w:rPr>
              <w:t>b</w:t>
            </w:r>
            <w:proofErr w:type="gramEnd"/>
          </w:p>
        </w:tc>
        <w:tc>
          <w:tcPr>
            <w:tcW w:w="447" w:type="pct"/>
            <w:tcBorders>
              <w:top w:val="single" w:sz="6" w:space="0" w:color="000000"/>
              <w:left w:val="single" w:sz="6" w:space="0" w:color="000000"/>
              <w:bottom w:val="single" w:sz="6" w:space="0" w:color="000000"/>
              <w:right w:val="single" w:sz="6" w:space="0" w:color="000000"/>
            </w:tcBorders>
            <w:hideMark/>
          </w:tcPr>
          <w:p w14:paraId="5C2C2C47" w14:textId="77777777" w:rsidR="00396A12" w:rsidRPr="0070742B" w:rsidRDefault="00396A12" w:rsidP="00596BE0">
            <w:pPr>
              <w:jc w:val="center"/>
              <w:rPr>
                <w:rFonts w:asciiTheme="minorHAnsi" w:hAnsiTheme="minorHAnsi"/>
                <w:sz w:val="16"/>
                <w:szCs w:val="16"/>
              </w:rPr>
            </w:pPr>
            <w:r w:rsidRPr="0070742B">
              <w:rPr>
                <w:rFonts w:asciiTheme="minorHAnsi" w:hAnsiTheme="minorHAnsi"/>
                <w:sz w:val="16"/>
                <w:szCs w:val="16"/>
              </w:rPr>
              <w:t xml:space="preserve">0 </w:t>
            </w:r>
          </w:p>
        </w:tc>
        <w:tc>
          <w:tcPr>
            <w:tcW w:w="331" w:type="pct"/>
            <w:tcBorders>
              <w:top w:val="single" w:sz="6" w:space="0" w:color="000000"/>
              <w:left w:val="single" w:sz="6" w:space="0" w:color="000000"/>
              <w:bottom w:val="single" w:sz="6" w:space="0" w:color="000000"/>
              <w:right w:val="single" w:sz="6" w:space="0" w:color="000000"/>
            </w:tcBorders>
            <w:hideMark/>
          </w:tcPr>
          <w:p w14:paraId="25AB786F" w14:textId="77777777" w:rsidR="00396A12" w:rsidRPr="0070742B" w:rsidRDefault="00396A12" w:rsidP="00596BE0">
            <w:pPr>
              <w:jc w:val="center"/>
              <w:rPr>
                <w:rFonts w:asciiTheme="minorHAnsi" w:hAnsiTheme="minorHAnsi"/>
                <w:sz w:val="16"/>
                <w:szCs w:val="16"/>
              </w:rPr>
            </w:pPr>
            <w:r w:rsidRPr="0070742B">
              <w:rPr>
                <w:rStyle w:val="cell-value"/>
                <w:rFonts w:asciiTheme="minorHAnsi" w:hAnsiTheme="minorHAnsi"/>
                <w:sz w:val="16"/>
                <w:szCs w:val="16"/>
              </w:rPr>
              <w:t>0</w:t>
            </w:r>
            <w:r w:rsidRPr="0070742B">
              <w:rPr>
                <w:rFonts w:asciiTheme="minorHAnsi" w:hAnsiTheme="minorHAnsi"/>
                <w:sz w:val="16"/>
                <w:szCs w:val="16"/>
              </w:rPr>
              <w:t xml:space="preserve"> </w:t>
            </w:r>
          </w:p>
        </w:tc>
        <w:tc>
          <w:tcPr>
            <w:tcW w:w="310" w:type="pct"/>
            <w:tcBorders>
              <w:top w:val="single" w:sz="6" w:space="0" w:color="000000"/>
              <w:left w:val="single" w:sz="6" w:space="0" w:color="000000"/>
              <w:bottom w:val="single" w:sz="6" w:space="0" w:color="000000"/>
              <w:right w:val="single" w:sz="6" w:space="0" w:color="000000"/>
            </w:tcBorders>
            <w:hideMark/>
          </w:tcPr>
          <w:p w14:paraId="3E380F98" w14:textId="77777777" w:rsidR="00396A12" w:rsidRPr="0070742B" w:rsidRDefault="00396A12" w:rsidP="00596BE0">
            <w:pPr>
              <w:jc w:val="center"/>
              <w:rPr>
                <w:rFonts w:asciiTheme="minorHAnsi" w:hAnsiTheme="minorHAnsi"/>
                <w:sz w:val="16"/>
                <w:szCs w:val="16"/>
              </w:rPr>
            </w:pPr>
            <w:r w:rsidRPr="0070742B">
              <w:rPr>
                <w:rStyle w:val="cell"/>
                <w:rFonts w:asciiTheme="minorHAnsi" w:hAnsiTheme="minorHAnsi"/>
                <w:sz w:val="16"/>
                <w:szCs w:val="16"/>
              </w:rPr>
              <w:t>-</w:t>
            </w:r>
            <w:r w:rsidRPr="0070742B">
              <w:rPr>
                <w:rFonts w:asciiTheme="minorHAnsi" w:hAnsiTheme="minorHAnsi"/>
                <w:sz w:val="16"/>
                <w:szCs w:val="16"/>
              </w:rPr>
              <w:t xml:space="preserve"> </w:t>
            </w:r>
          </w:p>
        </w:tc>
        <w:tc>
          <w:tcPr>
            <w:tcW w:w="354" w:type="pct"/>
            <w:tcBorders>
              <w:top w:val="single" w:sz="6" w:space="0" w:color="000000"/>
              <w:left w:val="single" w:sz="6" w:space="0" w:color="000000"/>
              <w:bottom w:val="single" w:sz="6" w:space="0" w:color="000000"/>
              <w:right w:val="single" w:sz="6" w:space="0" w:color="000000"/>
            </w:tcBorders>
            <w:hideMark/>
          </w:tcPr>
          <w:p w14:paraId="07BB08D3" w14:textId="77777777" w:rsidR="00396A12" w:rsidRPr="0070742B" w:rsidRDefault="00396A12" w:rsidP="00596BE0">
            <w:pPr>
              <w:jc w:val="center"/>
              <w:rPr>
                <w:rFonts w:asciiTheme="minorHAnsi" w:hAnsiTheme="minorHAnsi"/>
                <w:sz w:val="16"/>
                <w:szCs w:val="16"/>
              </w:rPr>
            </w:pPr>
            <w:r w:rsidRPr="0070742B">
              <w:rPr>
                <w:rStyle w:val="cell-value"/>
                <w:rFonts w:asciiTheme="minorHAnsi" w:hAnsiTheme="minorHAnsi"/>
                <w:sz w:val="16"/>
                <w:szCs w:val="16"/>
              </w:rPr>
              <w:t xml:space="preserve">MD </w:t>
            </w:r>
            <w:r>
              <w:rPr>
                <w:rStyle w:val="cell-value"/>
                <w:rFonts w:asciiTheme="minorHAnsi" w:hAnsiTheme="minorHAnsi"/>
                <w:sz w:val="16"/>
                <w:szCs w:val="16"/>
              </w:rPr>
              <w:t>-</w:t>
            </w:r>
            <w:r w:rsidRPr="0070742B">
              <w:rPr>
                <w:rStyle w:val="cell-value"/>
                <w:rFonts w:asciiTheme="minorHAnsi" w:hAnsiTheme="minorHAnsi"/>
                <w:b/>
                <w:bCs/>
                <w:sz w:val="16"/>
                <w:szCs w:val="16"/>
              </w:rPr>
              <w:t xml:space="preserve">0.31 </w:t>
            </w:r>
            <w:r w:rsidRPr="0070742B">
              <w:rPr>
                <w:rFonts w:asciiTheme="minorHAnsi" w:hAnsiTheme="minorHAnsi"/>
                <w:sz w:val="16"/>
                <w:szCs w:val="16"/>
              </w:rPr>
              <w:br/>
            </w:r>
            <w:r w:rsidRPr="0070742B">
              <w:rPr>
                <w:rStyle w:val="cell-value"/>
                <w:rFonts w:asciiTheme="minorHAnsi" w:hAnsiTheme="minorHAnsi"/>
                <w:sz w:val="16"/>
                <w:szCs w:val="16"/>
              </w:rPr>
              <w:t>(</w:t>
            </w:r>
            <w:r>
              <w:rPr>
                <w:rStyle w:val="cell-value"/>
                <w:rFonts w:asciiTheme="minorHAnsi" w:hAnsiTheme="minorHAnsi"/>
                <w:sz w:val="16"/>
                <w:szCs w:val="16"/>
              </w:rPr>
              <w:t>-</w:t>
            </w:r>
            <w:r w:rsidRPr="0070742B">
              <w:rPr>
                <w:rStyle w:val="cell-value"/>
                <w:rFonts w:asciiTheme="minorHAnsi" w:hAnsiTheme="minorHAnsi"/>
                <w:sz w:val="16"/>
                <w:szCs w:val="16"/>
              </w:rPr>
              <w:t xml:space="preserve">0.44 to </w:t>
            </w:r>
            <w:r>
              <w:rPr>
                <w:rStyle w:val="cell-value"/>
                <w:rFonts w:asciiTheme="minorHAnsi" w:hAnsiTheme="minorHAnsi"/>
                <w:sz w:val="16"/>
                <w:szCs w:val="16"/>
              </w:rPr>
              <w:t>-</w:t>
            </w:r>
            <w:r w:rsidRPr="0070742B">
              <w:rPr>
                <w:rStyle w:val="cell-value"/>
                <w:rFonts w:asciiTheme="minorHAnsi" w:hAnsiTheme="minorHAnsi"/>
                <w:sz w:val="16"/>
                <w:szCs w:val="16"/>
              </w:rPr>
              <w:t>0.18)</w:t>
            </w:r>
            <w:r w:rsidRPr="0070742B">
              <w:rPr>
                <w:rFonts w:asciiTheme="minorHAnsi" w:hAnsiTheme="minorHAnsi"/>
                <w:sz w:val="16"/>
                <w:szCs w:val="16"/>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2D4E2885" w14:textId="77777777" w:rsidR="00396A12" w:rsidRPr="0070742B" w:rsidRDefault="00396A12" w:rsidP="00596BE0">
            <w:pPr>
              <w:jc w:val="center"/>
              <w:rPr>
                <w:rFonts w:asciiTheme="minorHAnsi" w:hAnsiTheme="minorHAnsi"/>
                <w:sz w:val="16"/>
                <w:szCs w:val="16"/>
              </w:rPr>
            </w:pPr>
            <w:r w:rsidRPr="0070742B">
              <w:rPr>
                <w:rStyle w:val="quality-sign"/>
                <w:rFonts w:ascii="Cambria Math" w:hAnsi="Cambria Math" w:cs="Cambria Math"/>
                <w:sz w:val="16"/>
                <w:szCs w:val="16"/>
              </w:rPr>
              <w:t>⨁⨁</w:t>
            </w:r>
            <w:r w:rsidRPr="0070742B">
              <w:rPr>
                <w:rStyle w:val="quality-sign"/>
                <w:rFonts w:ascii="MS Gothic" w:eastAsia="MS Gothic" w:hAnsi="MS Gothic" w:cs="MS Gothic" w:hint="eastAsia"/>
                <w:sz w:val="16"/>
                <w:szCs w:val="16"/>
              </w:rPr>
              <w:t>◯◯</w:t>
            </w:r>
            <w:r w:rsidRPr="0070742B">
              <w:rPr>
                <w:rFonts w:asciiTheme="minorHAnsi" w:hAnsiTheme="minorHAnsi"/>
                <w:sz w:val="16"/>
                <w:szCs w:val="16"/>
              </w:rPr>
              <w:br/>
            </w:r>
            <w:r w:rsidRPr="0070742B">
              <w:rPr>
                <w:rStyle w:val="quality-text"/>
                <w:rFonts w:asciiTheme="minorHAnsi" w:hAnsiTheme="minorHAnsi"/>
                <w:sz w:val="16"/>
                <w:szCs w:val="16"/>
              </w:rPr>
              <w:t>LOW</w:t>
            </w:r>
            <w:r w:rsidRPr="0070742B">
              <w:rPr>
                <w:rFonts w:asciiTheme="minorHAnsi" w:hAnsiTheme="minorHAnsi"/>
                <w:sz w:val="16"/>
                <w:szCs w:val="16"/>
              </w:rPr>
              <w:t xml:space="preserve"> </w:t>
            </w:r>
          </w:p>
        </w:tc>
        <w:tc>
          <w:tcPr>
            <w:tcW w:w="406" w:type="pct"/>
            <w:tcBorders>
              <w:top w:val="single" w:sz="6" w:space="0" w:color="000000"/>
              <w:left w:val="single" w:sz="6" w:space="0" w:color="000000"/>
              <w:bottom w:val="single" w:sz="6" w:space="0" w:color="000000"/>
              <w:right w:val="single" w:sz="6" w:space="0" w:color="000000"/>
            </w:tcBorders>
            <w:hideMark/>
          </w:tcPr>
          <w:p w14:paraId="2A75540E" w14:textId="77777777" w:rsidR="00396A12" w:rsidRPr="0070742B" w:rsidRDefault="00396A12" w:rsidP="00596BE0">
            <w:pPr>
              <w:jc w:val="center"/>
              <w:rPr>
                <w:rFonts w:asciiTheme="minorHAnsi" w:hAnsiTheme="minorHAnsi"/>
                <w:sz w:val="16"/>
                <w:szCs w:val="16"/>
              </w:rPr>
            </w:pPr>
            <w:r>
              <w:rPr>
                <w:rFonts w:asciiTheme="minorHAnsi" w:hAnsiTheme="minorHAnsi"/>
                <w:sz w:val="16"/>
                <w:szCs w:val="16"/>
              </w:rPr>
              <w:t>Critical</w:t>
            </w:r>
          </w:p>
        </w:tc>
      </w:tr>
      <w:tr w:rsidR="00396A12" w:rsidRPr="0070742B" w14:paraId="6D8F56FF" w14:textId="77777777" w:rsidTr="00596BE0">
        <w:trPr>
          <w:cantSplit/>
        </w:trPr>
        <w:tc>
          <w:tcPr>
            <w:tcW w:w="5000" w:type="pct"/>
            <w:gridSpan w:val="13"/>
            <w:shd w:val="clear" w:color="auto" w:fill="FFFFFF"/>
            <w:vAlign w:val="center"/>
            <w:hideMark/>
          </w:tcPr>
          <w:p w14:paraId="44438698" w14:textId="77777777" w:rsidR="00396A12" w:rsidRPr="0070742B" w:rsidRDefault="00396A12" w:rsidP="00596BE0">
            <w:pPr>
              <w:rPr>
                <w:rFonts w:asciiTheme="minorHAnsi" w:hAnsiTheme="minorHAnsi"/>
                <w:b/>
                <w:bCs/>
                <w:color w:val="000000"/>
                <w:sz w:val="16"/>
                <w:szCs w:val="16"/>
              </w:rPr>
            </w:pPr>
            <w:r w:rsidRPr="0070742B">
              <w:rPr>
                <w:rStyle w:val="label"/>
                <w:rFonts w:asciiTheme="minorHAnsi" w:hAnsiTheme="minorHAnsi"/>
                <w:b/>
                <w:bCs/>
                <w:color w:val="000000"/>
                <w:sz w:val="16"/>
                <w:szCs w:val="16"/>
              </w:rPr>
              <w:t>Quality of life (follow up: mean 52 weeks; assessed with: Asthma Quality of Life Questionnaire (AQLQ); Scale from: 1 to 7)</w:t>
            </w:r>
            <w:r w:rsidRPr="0070742B">
              <w:rPr>
                <w:rFonts w:asciiTheme="minorHAnsi" w:hAnsiTheme="minorHAnsi"/>
                <w:b/>
                <w:bCs/>
                <w:color w:val="000000"/>
                <w:sz w:val="16"/>
                <w:szCs w:val="16"/>
                <w:vertAlign w:val="superscript"/>
              </w:rPr>
              <w:t>1a</w:t>
            </w:r>
          </w:p>
        </w:tc>
      </w:tr>
      <w:tr w:rsidR="00396A12" w:rsidRPr="0070742B" w14:paraId="2E3C9206" w14:textId="77777777" w:rsidTr="00596BE0">
        <w:trPr>
          <w:cantSplit/>
        </w:trPr>
        <w:tc>
          <w:tcPr>
            <w:tcW w:w="282" w:type="pct"/>
            <w:tcBorders>
              <w:top w:val="single" w:sz="6" w:space="0" w:color="000000"/>
              <w:left w:val="single" w:sz="6" w:space="0" w:color="000000"/>
              <w:bottom w:val="single" w:sz="6" w:space="0" w:color="000000"/>
              <w:right w:val="single" w:sz="6" w:space="0" w:color="000000"/>
            </w:tcBorders>
            <w:hideMark/>
          </w:tcPr>
          <w:p w14:paraId="2F09766A" w14:textId="77777777" w:rsidR="00396A12" w:rsidRPr="0070742B" w:rsidRDefault="00396A12" w:rsidP="00596BE0">
            <w:pPr>
              <w:jc w:val="center"/>
              <w:rPr>
                <w:rFonts w:asciiTheme="minorHAnsi" w:hAnsiTheme="minorHAnsi"/>
                <w:sz w:val="16"/>
                <w:szCs w:val="16"/>
              </w:rPr>
            </w:pPr>
            <w:r w:rsidRPr="0070742B">
              <w:rPr>
                <w:rFonts w:asciiTheme="minorHAnsi" w:hAnsiTheme="minorHAnsi"/>
                <w:sz w:val="16"/>
                <w:szCs w:val="16"/>
              </w:rPr>
              <w:t xml:space="preserve">1 </w:t>
            </w:r>
            <w:r w:rsidRPr="0070742B">
              <w:rPr>
                <w:rFonts w:asciiTheme="minorHAnsi" w:hAnsiTheme="minorHAnsi"/>
                <w:sz w:val="16"/>
                <w:szCs w:val="16"/>
                <w:vertAlign w:val="superscript"/>
              </w:rPr>
              <w:t>2</w:t>
            </w:r>
          </w:p>
        </w:tc>
        <w:tc>
          <w:tcPr>
            <w:tcW w:w="409" w:type="pct"/>
            <w:tcBorders>
              <w:top w:val="single" w:sz="6" w:space="0" w:color="000000"/>
              <w:left w:val="single" w:sz="6" w:space="0" w:color="000000"/>
              <w:bottom w:val="single" w:sz="6" w:space="0" w:color="000000"/>
              <w:right w:val="single" w:sz="6" w:space="0" w:color="000000"/>
            </w:tcBorders>
            <w:hideMark/>
          </w:tcPr>
          <w:p w14:paraId="19108B10" w14:textId="77777777" w:rsidR="00396A12" w:rsidRPr="0070742B" w:rsidRDefault="00396A12" w:rsidP="00596BE0">
            <w:pPr>
              <w:jc w:val="center"/>
              <w:rPr>
                <w:rFonts w:asciiTheme="minorHAnsi" w:hAnsiTheme="minorHAnsi"/>
                <w:sz w:val="16"/>
                <w:szCs w:val="16"/>
              </w:rPr>
            </w:pPr>
            <w:r w:rsidRPr="0070742B">
              <w:rPr>
                <w:rFonts w:asciiTheme="minorHAnsi" w:hAnsiTheme="minorHAnsi"/>
                <w:sz w:val="16"/>
                <w:szCs w:val="16"/>
              </w:rPr>
              <w:t xml:space="preserve">randomised trials </w:t>
            </w:r>
          </w:p>
        </w:tc>
        <w:tc>
          <w:tcPr>
            <w:tcW w:w="279" w:type="pct"/>
            <w:tcBorders>
              <w:top w:val="single" w:sz="6" w:space="0" w:color="000000"/>
              <w:left w:val="single" w:sz="6" w:space="0" w:color="000000"/>
              <w:bottom w:val="single" w:sz="6" w:space="0" w:color="000000"/>
              <w:right w:val="single" w:sz="6" w:space="0" w:color="000000"/>
            </w:tcBorders>
            <w:hideMark/>
          </w:tcPr>
          <w:p w14:paraId="2AB3B463" w14:textId="77777777" w:rsidR="00396A12" w:rsidRPr="0070742B" w:rsidRDefault="00396A12" w:rsidP="00596BE0">
            <w:pPr>
              <w:jc w:val="center"/>
              <w:rPr>
                <w:rFonts w:asciiTheme="minorHAnsi" w:hAnsiTheme="minorHAnsi"/>
                <w:sz w:val="16"/>
                <w:szCs w:val="16"/>
              </w:rPr>
            </w:pPr>
            <w:r w:rsidRPr="0070742B">
              <w:rPr>
                <w:rFonts w:asciiTheme="minorHAnsi" w:hAnsiTheme="minorHAnsi"/>
                <w:sz w:val="16"/>
                <w:szCs w:val="16"/>
              </w:rPr>
              <w:t xml:space="preserve">not serious </w:t>
            </w:r>
          </w:p>
        </w:tc>
        <w:tc>
          <w:tcPr>
            <w:tcW w:w="460" w:type="pct"/>
            <w:tcBorders>
              <w:top w:val="single" w:sz="6" w:space="0" w:color="000000"/>
              <w:left w:val="single" w:sz="6" w:space="0" w:color="000000"/>
              <w:bottom w:val="single" w:sz="6" w:space="0" w:color="000000"/>
              <w:right w:val="single" w:sz="6" w:space="0" w:color="000000"/>
            </w:tcBorders>
            <w:hideMark/>
          </w:tcPr>
          <w:p w14:paraId="4B1C100F" w14:textId="77777777" w:rsidR="00396A12" w:rsidRPr="0070742B" w:rsidRDefault="00396A12" w:rsidP="00596BE0">
            <w:pPr>
              <w:jc w:val="center"/>
              <w:rPr>
                <w:rFonts w:asciiTheme="minorHAnsi" w:hAnsiTheme="minorHAnsi"/>
                <w:sz w:val="16"/>
                <w:szCs w:val="16"/>
              </w:rPr>
            </w:pPr>
            <w:r w:rsidRPr="0070742B">
              <w:rPr>
                <w:rFonts w:asciiTheme="minorHAnsi" w:hAnsiTheme="minorHAnsi"/>
                <w:sz w:val="16"/>
                <w:szCs w:val="16"/>
              </w:rPr>
              <w:t xml:space="preserve">not serious </w:t>
            </w:r>
          </w:p>
        </w:tc>
        <w:tc>
          <w:tcPr>
            <w:tcW w:w="422" w:type="pct"/>
            <w:tcBorders>
              <w:top w:val="single" w:sz="6" w:space="0" w:color="000000"/>
              <w:left w:val="single" w:sz="6" w:space="0" w:color="000000"/>
              <w:bottom w:val="single" w:sz="6" w:space="0" w:color="000000"/>
              <w:right w:val="single" w:sz="6" w:space="0" w:color="000000"/>
            </w:tcBorders>
            <w:hideMark/>
          </w:tcPr>
          <w:p w14:paraId="0EA0DDFA" w14:textId="77777777" w:rsidR="00396A12" w:rsidRPr="0070742B" w:rsidRDefault="00396A12" w:rsidP="00596BE0">
            <w:pPr>
              <w:jc w:val="center"/>
              <w:rPr>
                <w:rFonts w:asciiTheme="minorHAnsi" w:hAnsiTheme="minorHAnsi"/>
                <w:sz w:val="16"/>
                <w:szCs w:val="16"/>
              </w:rPr>
            </w:pPr>
            <w:r w:rsidRPr="0070742B">
              <w:rPr>
                <w:rFonts w:asciiTheme="minorHAnsi" w:hAnsiTheme="minorHAnsi"/>
                <w:sz w:val="16"/>
                <w:szCs w:val="16"/>
              </w:rPr>
              <w:t xml:space="preserve">not serious </w:t>
            </w:r>
          </w:p>
        </w:tc>
        <w:tc>
          <w:tcPr>
            <w:tcW w:w="409" w:type="pct"/>
            <w:tcBorders>
              <w:top w:val="single" w:sz="6" w:space="0" w:color="000000"/>
              <w:left w:val="single" w:sz="6" w:space="0" w:color="000000"/>
              <w:bottom w:val="single" w:sz="6" w:space="0" w:color="000000"/>
              <w:right w:val="single" w:sz="6" w:space="0" w:color="000000"/>
            </w:tcBorders>
            <w:hideMark/>
          </w:tcPr>
          <w:p w14:paraId="4C708115" w14:textId="77777777" w:rsidR="00396A12" w:rsidRPr="0070742B" w:rsidRDefault="00396A12" w:rsidP="00596BE0">
            <w:pPr>
              <w:jc w:val="center"/>
              <w:rPr>
                <w:rFonts w:asciiTheme="minorHAnsi" w:hAnsiTheme="minorHAnsi"/>
                <w:sz w:val="16"/>
                <w:szCs w:val="16"/>
              </w:rPr>
            </w:pPr>
            <w:r w:rsidRPr="0070742B">
              <w:rPr>
                <w:rFonts w:asciiTheme="minorHAnsi" w:hAnsiTheme="minorHAnsi"/>
                <w:sz w:val="16"/>
                <w:szCs w:val="16"/>
              </w:rPr>
              <w:t xml:space="preserve">serious </w:t>
            </w:r>
            <w:proofErr w:type="gramStart"/>
            <w:r w:rsidRPr="0070742B">
              <w:rPr>
                <w:rFonts w:asciiTheme="minorHAnsi" w:hAnsiTheme="minorHAnsi"/>
                <w:sz w:val="16"/>
                <w:szCs w:val="16"/>
                <w:vertAlign w:val="superscript"/>
              </w:rPr>
              <w:t>7</w:t>
            </w:r>
            <w:r w:rsidRPr="0070742B">
              <w:rPr>
                <w:rStyle w:val="comma"/>
                <w:rFonts w:asciiTheme="minorHAnsi" w:hAnsiTheme="minorHAnsi"/>
                <w:sz w:val="16"/>
                <w:szCs w:val="16"/>
                <w:vertAlign w:val="superscript"/>
              </w:rPr>
              <w:t>,</w:t>
            </w:r>
            <w:r w:rsidRPr="0070742B">
              <w:rPr>
                <w:rFonts w:asciiTheme="minorHAnsi" w:hAnsiTheme="minorHAnsi"/>
                <w:sz w:val="16"/>
                <w:szCs w:val="16"/>
                <w:vertAlign w:val="superscript"/>
              </w:rPr>
              <w:t>f</w:t>
            </w:r>
            <w:proofErr w:type="gramEnd"/>
          </w:p>
        </w:tc>
        <w:tc>
          <w:tcPr>
            <w:tcW w:w="492" w:type="pct"/>
            <w:tcBorders>
              <w:top w:val="single" w:sz="6" w:space="0" w:color="000000"/>
              <w:left w:val="single" w:sz="6" w:space="0" w:color="000000"/>
              <w:bottom w:val="single" w:sz="6" w:space="0" w:color="000000"/>
              <w:right w:val="single" w:sz="6" w:space="0" w:color="000000"/>
            </w:tcBorders>
            <w:hideMark/>
          </w:tcPr>
          <w:p w14:paraId="1314E47D" w14:textId="77777777" w:rsidR="00396A12" w:rsidRPr="0070742B" w:rsidRDefault="00396A12" w:rsidP="00596BE0">
            <w:pPr>
              <w:jc w:val="center"/>
              <w:rPr>
                <w:rFonts w:asciiTheme="minorHAnsi" w:hAnsiTheme="minorHAnsi"/>
                <w:sz w:val="16"/>
                <w:szCs w:val="16"/>
              </w:rPr>
            </w:pPr>
            <w:r w:rsidRPr="0070742B">
              <w:rPr>
                <w:rFonts w:asciiTheme="minorHAnsi" w:hAnsiTheme="minorHAnsi"/>
                <w:sz w:val="16"/>
                <w:szCs w:val="16"/>
              </w:rPr>
              <w:t xml:space="preserve">publication bias strongly suspected </w:t>
            </w:r>
            <w:proofErr w:type="gramStart"/>
            <w:r w:rsidRPr="0070742B">
              <w:rPr>
                <w:rFonts w:asciiTheme="minorHAnsi" w:hAnsiTheme="minorHAnsi"/>
                <w:sz w:val="16"/>
                <w:szCs w:val="16"/>
                <w:vertAlign w:val="superscript"/>
              </w:rPr>
              <w:t>3</w:t>
            </w:r>
            <w:r w:rsidRPr="0070742B">
              <w:rPr>
                <w:rStyle w:val="comma"/>
                <w:rFonts w:asciiTheme="minorHAnsi" w:hAnsiTheme="minorHAnsi"/>
                <w:sz w:val="16"/>
                <w:szCs w:val="16"/>
                <w:vertAlign w:val="superscript"/>
              </w:rPr>
              <w:t>,</w:t>
            </w:r>
            <w:r w:rsidRPr="0070742B">
              <w:rPr>
                <w:rFonts w:asciiTheme="minorHAnsi" w:hAnsiTheme="minorHAnsi"/>
                <w:sz w:val="16"/>
                <w:szCs w:val="16"/>
                <w:vertAlign w:val="superscript"/>
              </w:rPr>
              <w:t>b</w:t>
            </w:r>
            <w:proofErr w:type="gramEnd"/>
          </w:p>
        </w:tc>
        <w:tc>
          <w:tcPr>
            <w:tcW w:w="447" w:type="pct"/>
            <w:tcBorders>
              <w:top w:val="single" w:sz="6" w:space="0" w:color="000000"/>
              <w:left w:val="single" w:sz="6" w:space="0" w:color="000000"/>
              <w:bottom w:val="single" w:sz="6" w:space="0" w:color="000000"/>
              <w:right w:val="single" w:sz="6" w:space="0" w:color="000000"/>
            </w:tcBorders>
            <w:hideMark/>
          </w:tcPr>
          <w:p w14:paraId="238E4B6E" w14:textId="77777777" w:rsidR="00396A12" w:rsidRPr="0070742B" w:rsidRDefault="00396A12" w:rsidP="00596BE0">
            <w:pPr>
              <w:jc w:val="center"/>
              <w:rPr>
                <w:rFonts w:asciiTheme="minorHAnsi" w:hAnsiTheme="minorHAnsi"/>
                <w:sz w:val="16"/>
                <w:szCs w:val="16"/>
              </w:rPr>
            </w:pPr>
            <w:r w:rsidRPr="0070742B">
              <w:rPr>
                <w:rFonts w:asciiTheme="minorHAnsi" w:hAnsiTheme="minorHAnsi"/>
                <w:sz w:val="16"/>
                <w:szCs w:val="16"/>
              </w:rPr>
              <w:t xml:space="preserve">0 </w:t>
            </w:r>
          </w:p>
        </w:tc>
        <w:tc>
          <w:tcPr>
            <w:tcW w:w="331" w:type="pct"/>
            <w:tcBorders>
              <w:top w:val="single" w:sz="6" w:space="0" w:color="000000"/>
              <w:left w:val="single" w:sz="6" w:space="0" w:color="000000"/>
              <w:bottom w:val="single" w:sz="6" w:space="0" w:color="000000"/>
              <w:right w:val="single" w:sz="6" w:space="0" w:color="000000"/>
            </w:tcBorders>
            <w:hideMark/>
          </w:tcPr>
          <w:p w14:paraId="24F08165" w14:textId="77777777" w:rsidR="00396A12" w:rsidRPr="0070742B" w:rsidRDefault="00396A12" w:rsidP="00596BE0">
            <w:pPr>
              <w:jc w:val="center"/>
              <w:rPr>
                <w:rFonts w:asciiTheme="minorHAnsi" w:hAnsiTheme="minorHAnsi"/>
                <w:sz w:val="16"/>
                <w:szCs w:val="16"/>
              </w:rPr>
            </w:pPr>
            <w:r w:rsidRPr="0070742B">
              <w:rPr>
                <w:rStyle w:val="cell-value"/>
                <w:rFonts w:asciiTheme="minorHAnsi" w:hAnsiTheme="minorHAnsi"/>
                <w:sz w:val="16"/>
                <w:szCs w:val="16"/>
              </w:rPr>
              <w:t>0</w:t>
            </w:r>
            <w:r w:rsidRPr="0070742B">
              <w:rPr>
                <w:rFonts w:asciiTheme="minorHAnsi" w:hAnsiTheme="minorHAnsi"/>
                <w:sz w:val="16"/>
                <w:szCs w:val="16"/>
              </w:rPr>
              <w:t xml:space="preserve"> </w:t>
            </w:r>
          </w:p>
        </w:tc>
        <w:tc>
          <w:tcPr>
            <w:tcW w:w="310" w:type="pct"/>
            <w:tcBorders>
              <w:top w:val="single" w:sz="6" w:space="0" w:color="000000"/>
              <w:left w:val="single" w:sz="6" w:space="0" w:color="000000"/>
              <w:bottom w:val="single" w:sz="6" w:space="0" w:color="000000"/>
              <w:right w:val="single" w:sz="6" w:space="0" w:color="000000"/>
            </w:tcBorders>
            <w:hideMark/>
          </w:tcPr>
          <w:p w14:paraId="39A0CFA4" w14:textId="77777777" w:rsidR="00396A12" w:rsidRPr="0070742B" w:rsidRDefault="00396A12" w:rsidP="00596BE0">
            <w:pPr>
              <w:jc w:val="center"/>
              <w:rPr>
                <w:rFonts w:asciiTheme="minorHAnsi" w:hAnsiTheme="minorHAnsi"/>
                <w:sz w:val="16"/>
                <w:szCs w:val="16"/>
              </w:rPr>
            </w:pPr>
            <w:r w:rsidRPr="0070742B">
              <w:rPr>
                <w:rStyle w:val="cell"/>
                <w:rFonts w:asciiTheme="minorHAnsi" w:hAnsiTheme="minorHAnsi"/>
                <w:sz w:val="16"/>
                <w:szCs w:val="16"/>
              </w:rPr>
              <w:t>-</w:t>
            </w:r>
            <w:r w:rsidRPr="0070742B">
              <w:rPr>
                <w:rFonts w:asciiTheme="minorHAnsi" w:hAnsiTheme="minorHAnsi"/>
                <w:sz w:val="16"/>
                <w:szCs w:val="16"/>
              </w:rPr>
              <w:t xml:space="preserve"> </w:t>
            </w:r>
          </w:p>
        </w:tc>
        <w:tc>
          <w:tcPr>
            <w:tcW w:w="354" w:type="pct"/>
            <w:tcBorders>
              <w:top w:val="single" w:sz="6" w:space="0" w:color="000000"/>
              <w:left w:val="single" w:sz="6" w:space="0" w:color="000000"/>
              <w:bottom w:val="single" w:sz="6" w:space="0" w:color="000000"/>
              <w:right w:val="single" w:sz="6" w:space="0" w:color="000000"/>
            </w:tcBorders>
            <w:hideMark/>
          </w:tcPr>
          <w:p w14:paraId="694A9926" w14:textId="77777777" w:rsidR="00396A12" w:rsidRPr="0070742B" w:rsidRDefault="00396A12" w:rsidP="00596BE0">
            <w:pPr>
              <w:jc w:val="center"/>
              <w:rPr>
                <w:rFonts w:asciiTheme="minorHAnsi" w:hAnsiTheme="minorHAnsi"/>
                <w:sz w:val="16"/>
                <w:szCs w:val="16"/>
              </w:rPr>
            </w:pPr>
            <w:r w:rsidRPr="0070742B">
              <w:rPr>
                <w:rStyle w:val="cell-value"/>
                <w:rFonts w:asciiTheme="minorHAnsi" w:hAnsiTheme="minorHAnsi"/>
                <w:sz w:val="16"/>
                <w:szCs w:val="16"/>
              </w:rPr>
              <w:t xml:space="preserve">MD </w:t>
            </w:r>
            <w:r>
              <w:rPr>
                <w:rStyle w:val="cell-value"/>
                <w:rFonts w:asciiTheme="minorHAnsi" w:hAnsiTheme="minorHAnsi"/>
                <w:sz w:val="16"/>
                <w:szCs w:val="16"/>
              </w:rPr>
              <w:t>+</w:t>
            </w:r>
            <w:r w:rsidRPr="0070742B">
              <w:rPr>
                <w:rStyle w:val="cell-value"/>
                <w:rFonts w:asciiTheme="minorHAnsi" w:hAnsiTheme="minorHAnsi"/>
                <w:b/>
                <w:bCs/>
                <w:sz w:val="16"/>
                <w:szCs w:val="16"/>
              </w:rPr>
              <w:t xml:space="preserve">0.04 </w:t>
            </w:r>
            <w:r w:rsidRPr="0070742B">
              <w:rPr>
                <w:rFonts w:asciiTheme="minorHAnsi" w:hAnsiTheme="minorHAnsi"/>
                <w:sz w:val="16"/>
                <w:szCs w:val="16"/>
              </w:rPr>
              <w:br/>
            </w:r>
            <w:r w:rsidRPr="0070742B">
              <w:rPr>
                <w:rStyle w:val="cell-value"/>
                <w:rFonts w:asciiTheme="minorHAnsi" w:hAnsiTheme="minorHAnsi"/>
                <w:sz w:val="16"/>
                <w:szCs w:val="16"/>
              </w:rPr>
              <w:t>(</w:t>
            </w:r>
            <w:r>
              <w:rPr>
                <w:rStyle w:val="cell-value"/>
                <w:rFonts w:asciiTheme="minorHAnsi" w:hAnsiTheme="minorHAnsi"/>
                <w:sz w:val="16"/>
                <w:szCs w:val="16"/>
              </w:rPr>
              <w:t>-</w:t>
            </w:r>
            <w:r w:rsidRPr="0070742B">
              <w:rPr>
                <w:rStyle w:val="cell-value"/>
                <w:rFonts w:asciiTheme="minorHAnsi" w:hAnsiTheme="minorHAnsi"/>
                <w:sz w:val="16"/>
                <w:szCs w:val="16"/>
              </w:rPr>
              <w:t xml:space="preserve">0.4 to </w:t>
            </w:r>
            <w:r>
              <w:rPr>
                <w:rStyle w:val="cell-value"/>
                <w:rFonts w:asciiTheme="minorHAnsi" w:hAnsiTheme="minorHAnsi"/>
                <w:sz w:val="16"/>
                <w:szCs w:val="16"/>
              </w:rPr>
              <w:t>+</w:t>
            </w:r>
            <w:r w:rsidRPr="0070742B">
              <w:rPr>
                <w:rStyle w:val="cell-value"/>
                <w:rFonts w:asciiTheme="minorHAnsi" w:hAnsiTheme="minorHAnsi"/>
                <w:sz w:val="16"/>
                <w:szCs w:val="16"/>
              </w:rPr>
              <w:t>0.48)</w:t>
            </w:r>
            <w:r w:rsidRPr="0070742B">
              <w:rPr>
                <w:rFonts w:asciiTheme="minorHAnsi" w:hAnsiTheme="minorHAnsi"/>
                <w:sz w:val="16"/>
                <w:szCs w:val="16"/>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6DE22716" w14:textId="77777777" w:rsidR="00396A12" w:rsidRPr="0070742B" w:rsidRDefault="00396A12" w:rsidP="00596BE0">
            <w:pPr>
              <w:jc w:val="center"/>
              <w:rPr>
                <w:rFonts w:asciiTheme="minorHAnsi" w:hAnsiTheme="minorHAnsi"/>
                <w:sz w:val="16"/>
                <w:szCs w:val="16"/>
              </w:rPr>
            </w:pPr>
            <w:r w:rsidRPr="0070742B">
              <w:rPr>
                <w:rStyle w:val="quality-sign"/>
                <w:rFonts w:ascii="Cambria Math" w:hAnsi="Cambria Math" w:cs="Cambria Math"/>
                <w:sz w:val="16"/>
                <w:szCs w:val="16"/>
              </w:rPr>
              <w:t>⨁⨁</w:t>
            </w:r>
            <w:r w:rsidRPr="0070742B">
              <w:rPr>
                <w:rStyle w:val="quality-sign"/>
                <w:rFonts w:ascii="MS Gothic" w:eastAsia="MS Gothic" w:hAnsi="MS Gothic" w:cs="MS Gothic" w:hint="eastAsia"/>
                <w:sz w:val="16"/>
                <w:szCs w:val="16"/>
              </w:rPr>
              <w:t>◯◯</w:t>
            </w:r>
            <w:r w:rsidRPr="0070742B">
              <w:rPr>
                <w:rFonts w:asciiTheme="minorHAnsi" w:hAnsiTheme="minorHAnsi"/>
                <w:sz w:val="16"/>
                <w:szCs w:val="16"/>
              </w:rPr>
              <w:br/>
            </w:r>
            <w:r w:rsidRPr="0070742B">
              <w:rPr>
                <w:rStyle w:val="quality-text"/>
                <w:rFonts w:asciiTheme="minorHAnsi" w:hAnsiTheme="minorHAnsi"/>
                <w:sz w:val="16"/>
                <w:szCs w:val="16"/>
              </w:rPr>
              <w:t>LOW</w:t>
            </w:r>
            <w:r w:rsidRPr="0070742B">
              <w:rPr>
                <w:rFonts w:asciiTheme="minorHAnsi" w:hAnsiTheme="minorHAnsi"/>
                <w:sz w:val="16"/>
                <w:szCs w:val="16"/>
              </w:rPr>
              <w:t xml:space="preserve"> </w:t>
            </w:r>
          </w:p>
        </w:tc>
        <w:tc>
          <w:tcPr>
            <w:tcW w:w="406" w:type="pct"/>
            <w:tcBorders>
              <w:top w:val="single" w:sz="6" w:space="0" w:color="000000"/>
              <w:left w:val="single" w:sz="6" w:space="0" w:color="000000"/>
              <w:bottom w:val="single" w:sz="6" w:space="0" w:color="000000"/>
              <w:right w:val="single" w:sz="6" w:space="0" w:color="000000"/>
            </w:tcBorders>
            <w:hideMark/>
          </w:tcPr>
          <w:p w14:paraId="1802607E" w14:textId="721613B1" w:rsidR="00396A12" w:rsidRPr="0070742B" w:rsidRDefault="0034427B" w:rsidP="00596BE0">
            <w:pPr>
              <w:jc w:val="center"/>
              <w:rPr>
                <w:rFonts w:asciiTheme="minorHAnsi" w:hAnsiTheme="minorHAnsi"/>
                <w:sz w:val="16"/>
                <w:szCs w:val="16"/>
              </w:rPr>
            </w:pPr>
            <w:r>
              <w:rPr>
                <w:rFonts w:asciiTheme="minorHAnsi" w:hAnsiTheme="minorHAnsi"/>
                <w:sz w:val="16"/>
                <w:szCs w:val="16"/>
              </w:rPr>
              <w:t>Critical</w:t>
            </w:r>
          </w:p>
        </w:tc>
      </w:tr>
      <w:tr w:rsidR="00396A12" w:rsidRPr="0070742B" w14:paraId="6A3BB223" w14:textId="77777777" w:rsidTr="00596BE0">
        <w:trPr>
          <w:cantSplit/>
        </w:trPr>
        <w:tc>
          <w:tcPr>
            <w:tcW w:w="5000" w:type="pct"/>
            <w:gridSpan w:val="13"/>
            <w:shd w:val="clear" w:color="auto" w:fill="FFFFFF"/>
            <w:vAlign w:val="center"/>
            <w:hideMark/>
          </w:tcPr>
          <w:p w14:paraId="64BAB842" w14:textId="77777777" w:rsidR="00396A12" w:rsidRPr="0070742B" w:rsidRDefault="00396A12" w:rsidP="00596BE0">
            <w:pPr>
              <w:rPr>
                <w:rFonts w:asciiTheme="minorHAnsi" w:hAnsiTheme="minorHAnsi"/>
                <w:b/>
                <w:bCs/>
                <w:color w:val="000000"/>
                <w:sz w:val="16"/>
                <w:szCs w:val="16"/>
              </w:rPr>
            </w:pPr>
            <w:r w:rsidRPr="0070742B">
              <w:rPr>
                <w:rStyle w:val="label"/>
                <w:rFonts w:asciiTheme="minorHAnsi" w:hAnsiTheme="minorHAnsi"/>
                <w:b/>
                <w:bCs/>
                <w:color w:val="000000"/>
                <w:sz w:val="16"/>
                <w:szCs w:val="16"/>
              </w:rPr>
              <w:t>Fraction of exhaled nitric oxide (FeNO) (follow up: mean 52 weeks; assessed with: mean change (ppb))</w:t>
            </w:r>
            <w:r w:rsidRPr="0070742B">
              <w:rPr>
                <w:rFonts w:asciiTheme="minorHAnsi" w:hAnsiTheme="minorHAnsi"/>
                <w:b/>
                <w:bCs/>
                <w:color w:val="000000"/>
                <w:sz w:val="16"/>
                <w:szCs w:val="16"/>
                <w:vertAlign w:val="superscript"/>
              </w:rPr>
              <w:t>1a</w:t>
            </w:r>
          </w:p>
        </w:tc>
      </w:tr>
      <w:tr w:rsidR="00396A12" w:rsidRPr="0070742B" w14:paraId="474D40B4" w14:textId="77777777" w:rsidTr="00596BE0">
        <w:trPr>
          <w:cantSplit/>
        </w:trPr>
        <w:tc>
          <w:tcPr>
            <w:tcW w:w="282" w:type="pct"/>
            <w:tcBorders>
              <w:top w:val="single" w:sz="6" w:space="0" w:color="000000"/>
              <w:left w:val="single" w:sz="6" w:space="0" w:color="000000"/>
              <w:bottom w:val="single" w:sz="6" w:space="0" w:color="000000"/>
              <w:right w:val="single" w:sz="6" w:space="0" w:color="000000"/>
            </w:tcBorders>
            <w:hideMark/>
          </w:tcPr>
          <w:p w14:paraId="0F2DD3B7" w14:textId="77777777" w:rsidR="00396A12" w:rsidRPr="0070742B" w:rsidRDefault="00396A12" w:rsidP="00596BE0">
            <w:pPr>
              <w:jc w:val="center"/>
              <w:rPr>
                <w:rFonts w:asciiTheme="minorHAnsi" w:hAnsiTheme="minorHAnsi"/>
                <w:sz w:val="16"/>
                <w:szCs w:val="16"/>
              </w:rPr>
            </w:pPr>
            <w:r w:rsidRPr="0070742B">
              <w:rPr>
                <w:rFonts w:asciiTheme="minorHAnsi" w:hAnsiTheme="minorHAnsi"/>
                <w:sz w:val="16"/>
                <w:szCs w:val="16"/>
              </w:rPr>
              <w:t xml:space="preserve">1 </w:t>
            </w:r>
            <w:r w:rsidRPr="0070742B">
              <w:rPr>
                <w:rFonts w:asciiTheme="minorHAnsi" w:hAnsiTheme="minorHAnsi"/>
                <w:sz w:val="16"/>
                <w:szCs w:val="16"/>
                <w:vertAlign w:val="superscript"/>
              </w:rPr>
              <w:t>2</w:t>
            </w:r>
          </w:p>
        </w:tc>
        <w:tc>
          <w:tcPr>
            <w:tcW w:w="409" w:type="pct"/>
            <w:tcBorders>
              <w:top w:val="single" w:sz="6" w:space="0" w:color="000000"/>
              <w:left w:val="single" w:sz="6" w:space="0" w:color="000000"/>
              <w:bottom w:val="single" w:sz="6" w:space="0" w:color="000000"/>
              <w:right w:val="single" w:sz="6" w:space="0" w:color="000000"/>
            </w:tcBorders>
            <w:hideMark/>
          </w:tcPr>
          <w:p w14:paraId="6C1FD5A4" w14:textId="77777777" w:rsidR="00396A12" w:rsidRPr="0070742B" w:rsidRDefault="00396A12" w:rsidP="00596BE0">
            <w:pPr>
              <w:jc w:val="center"/>
              <w:rPr>
                <w:rFonts w:asciiTheme="minorHAnsi" w:hAnsiTheme="minorHAnsi"/>
                <w:sz w:val="16"/>
                <w:szCs w:val="16"/>
              </w:rPr>
            </w:pPr>
            <w:r w:rsidRPr="0070742B">
              <w:rPr>
                <w:rFonts w:asciiTheme="minorHAnsi" w:hAnsiTheme="minorHAnsi"/>
                <w:sz w:val="16"/>
                <w:szCs w:val="16"/>
              </w:rPr>
              <w:t xml:space="preserve">randomised trials </w:t>
            </w:r>
          </w:p>
        </w:tc>
        <w:tc>
          <w:tcPr>
            <w:tcW w:w="279" w:type="pct"/>
            <w:tcBorders>
              <w:top w:val="single" w:sz="6" w:space="0" w:color="000000"/>
              <w:left w:val="single" w:sz="6" w:space="0" w:color="000000"/>
              <w:bottom w:val="single" w:sz="6" w:space="0" w:color="000000"/>
              <w:right w:val="single" w:sz="6" w:space="0" w:color="000000"/>
            </w:tcBorders>
            <w:hideMark/>
          </w:tcPr>
          <w:p w14:paraId="1C53DD55" w14:textId="77777777" w:rsidR="00396A12" w:rsidRPr="0070742B" w:rsidRDefault="00396A12" w:rsidP="00596BE0">
            <w:pPr>
              <w:jc w:val="center"/>
              <w:rPr>
                <w:rFonts w:asciiTheme="minorHAnsi" w:hAnsiTheme="minorHAnsi"/>
                <w:sz w:val="16"/>
                <w:szCs w:val="16"/>
              </w:rPr>
            </w:pPr>
            <w:r w:rsidRPr="0070742B">
              <w:rPr>
                <w:rFonts w:asciiTheme="minorHAnsi" w:hAnsiTheme="minorHAnsi"/>
                <w:sz w:val="16"/>
                <w:szCs w:val="16"/>
              </w:rPr>
              <w:t xml:space="preserve">not serious </w:t>
            </w:r>
          </w:p>
        </w:tc>
        <w:tc>
          <w:tcPr>
            <w:tcW w:w="460" w:type="pct"/>
            <w:tcBorders>
              <w:top w:val="single" w:sz="6" w:space="0" w:color="000000"/>
              <w:left w:val="single" w:sz="6" w:space="0" w:color="000000"/>
              <w:bottom w:val="single" w:sz="6" w:space="0" w:color="000000"/>
              <w:right w:val="single" w:sz="6" w:space="0" w:color="000000"/>
            </w:tcBorders>
            <w:hideMark/>
          </w:tcPr>
          <w:p w14:paraId="585EB6F5" w14:textId="77777777" w:rsidR="00396A12" w:rsidRPr="0070742B" w:rsidRDefault="00396A12" w:rsidP="00596BE0">
            <w:pPr>
              <w:jc w:val="center"/>
              <w:rPr>
                <w:rFonts w:asciiTheme="minorHAnsi" w:hAnsiTheme="minorHAnsi"/>
                <w:sz w:val="16"/>
                <w:szCs w:val="16"/>
              </w:rPr>
            </w:pPr>
            <w:r w:rsidRPr="0070742B">
              <w:rPr>
                <w:rFonts w:asciiTheme="minorHAnsi" w:hAnsiTheme="minorHAnsi"/>
                <w:sz w:val="16"/>
                <w:szCs w:val="16"/>
              </w:rPr>
              <w:t xml:space="preserve">not serious </w:t>
            </w:r>
          </w:p>
        </w:tc>
        <w:tc>
          <w:tcPr>
            <w:tcW w:w="422" w:type="pct"/>
            <w:tcBorders>
              <w:top w:val="single" w:sz="6" w:space="0" w:color="000000"/>
              <w:left w:val="single" w:sz="6" w:space="0" w:color="000000"/>
              <w:bottom w:val="single" w:sz="6" w:space="0" w:color="000000"/>
              <w:right w:val="single" w:sz="6" w:space="0" w:color="000000"/>
            </w:tcBorders>
            <w:hideMark/>
          </w:tcPr>
          <w:p w14:paraId="449DADDE" w14:textId="77777777" w:rsidR="00396A12" w:rsidRPr="0070742B" w:rsidRDefault="00396A12" w:rsidP="00596BE0">
            <w:pPr>
              <w:jc w:val="center"/>
              <w:rPr>
                <w:rFonts w:asciiTheme="minorHAnsi" w:hAnsiTheme="minorHAnsi"/>
                <w:sz w:val="16"/>
                <w:szCs w:val="16"/>
              </w:rPr>
            </w:pPr>
            <w:r w:rsidRPr="0070742B">
              <w:rPr>
                <w:rFonts w:asciiTheme="minorHAnsi" w:hAnsiTheme="minorHAnsi"/>
                <w:sz w:val="16"/>
                <w:szCs w:val="16"/>
              </w:rPr>
              <w:t xml:space="preserve">serious </w:t>
            </w:r>
            <w:r w:rsidRPr="0070742B">
              <w:rPr>
                <w:rFonts w:asciiTheme="minorHAnsi" w:hAnsiTheme="minorHAnsi"/>
                <w:sz w:val="16"/>
                <w:szCs w:val="16"/>
                <w:vertAlign w:val="superscript"/>
              </w:rPr>
              <w:t>g</w:t>
            </w:r>
          </w:p>
        </w:tc>
        <w:tc>
          <w:tcPr>
            <w:tcW w:w="409" w:type="pct"/>
            <w:tcBorders>
              <w:top w:val="single" w:sz="6" w:space="0" w:color="000000"/>
              <w:left w:val="single" w:sz="6" w:space="0" w:color="000000"/>
              <w:bottom w:val="single" w:sz="6" w:space="0" w:color="000000"/>
              <w:right w:val="single" w:sz="6" w:space="0" w:color="000000"/>
            </w:tcBorders>
            <w:hideMark/>
          </w:tcPr>
          <w:p w14:paraId="702407D2" w14:textId="77777777" w:rsidR="00396A12" w:rsidRPr="0070742B" w:rsidRDefault="00396A12" w:rsidP="00596BE0">
            <w:pPr>
              <w:jc w:val="center"/>
              <w:rPr>
                <w:rFonts w:asciiTheme="minorHAnsi" w:hAnsiTheme="minorHAnsi"/>
                <w:sz w:val="16"/>
                <w:szCs w:val="16"/>
              </w:rPr>
            </w:pPr>
            <w:r w:rsidRPr="0070742B">
              <w:rPr>
                <w:rFonts w:asciiTheme="minorHAnsi" w:hAnsiTheme="minorHAnsi"/>
                <w:sz w:val="16"/>
                <w:szCs w:val="16"/>
              </w:rPr>
              <w:t xml:space="preserve">serious </w:t>
            </w:r>
            <w:proofErr w:type="gramStart"/>
            <w:r w:rsidRPr="0070742B">
              <w:rPr>
                <w:rFonts w:asciiTheme="minorHAnsi" w:hAnsiTheme="minorHAnsi"/>
                <w:sz w:val="16"/>
                <w:szCs w:val="16"/>
                <w:vertAlign w:val="superscript"/>
              </w:rPr>
              <w:t>8</w:t>
            </w:r>
            <w:r w:rsidRPr="0070742B">
              <w:rPr>
                <w:rStyle w:val="comma"/>
                <w:rFonts w:asciiTheme="minorHAnsi" w:hAnsiTheme="minorHAnsi"/>
                <w:sz w:val="16"/>
                <w:szCs w:val="16"/>
                <w:vertAlign w:val="superscript"/>
              </w:rPr>
              <w:t>,</w:t>
            </w:r>
            <w:r w:rsidRPr="0070742B">
              <w:rPr>
                <w:rFonts w:asciiTheme="minorHAnsi" w:hAnsiTheme="minorHAnsi"/>
                <w:sz w:val="16"/>
                <w:szCs w:val="16"/>
                <w:vertAlign w:val="superscript"/>
              </w:rPr>
              <w:t>h</w:t>
            </w:r>
            <w:proofErr w:type="gramEnd"/>
          </w:p>
        </w:tc>
        <w:tc>
          <w:tcPr>
            <w:tcW w:w="492" w:type="pct"/>
            <w:tcBorders>
              <w:top w:val="single" w:sz="6" w:space="0" w:color="000000"/>
              <w:left w:val="single" w:sz="6" w:space="0" w:color="000000"/>
              <w:bottom w:val="single" w:sz="6" w:space="0" w:color="000000"/>
              <w:right w:val="single" w:sz="6" w:space="0" w:color="000000"/>
            </w:tcBorders>
            <w:hideMark/>
          </w:tcPr>
          <w:p w14:paraId="314CEBE4" w14:textId="77777777" w:rsidR="00396A12" w:rsidRPr="0070742B" w:rsidRDefault="00396A12" w:rsidP="00596BE0">
            <w:pPr>
              <w:jc w:val="center"/>
              <w:rPr>
                <w:rFonts w:asciiTheme="minorHAnsi" w:hAnsiTheme="minorHAnsi"/>
                <w:sz w:val="16"/>
                <w:szCs w:val="16"/>
              </w:rPr>
            </w:pPr>
            <w:r w:rsidRPr="0070742B">
              <w:rPr>
                <w:rFonts w:asciiTheme="minorHAnsi" w:hAnsiTheme="minorHAnsi"/>
                <w:sz w:val="16"/>
                <w:szCs w:val="16"/>
              </w:rPr>
              <w:t xml:space="preserve">publication bias strongly suspected </w:t>
            </w:r>
            <w:proofErr w:type="gramStart"/>
            <w:r w:rsidRPr="0070742B">
              <w:rPr>
                <w:rFonts w:asciiTheme="minorHAnsi" w:hAnsiTheme="minorHAnsi"/>
                <w:sz w:val="16"/>
                <w:szCs w:val="16"/>
                <w:vertAlign w:val="superscript"/>
              </w:rPr>
              <w:t>3</w:t>
            </w:r>
            <w:r w:rsidRPr="0070742B">
              <w:rPr>
                <w:rStyle w:val="comma"/>
                <w:rFonts w:asciiTheme="minorHAnsi" w:hAnsiTheme="minorHAnsi"/>
                <w:sz w:val="16"/>
                <w:szCs w:val="16"/>
                <w:vertAlign w:val="superscript"/>
              </w:rPr>
              <w:t>,</w:t>
            </w:r>
            <w:r w:rsidRPr="0070742B">
              <w:rPr>
                <w:rFonts w:asciiTheme="minorHAnsi" w:hAnsiTheme="minorHAnsi"/>
                <w:sz w:val="16"/>
                <w:szCs w:val="16"/>
                <w:vertAlign w:val="superscript"/>
              </w:rPr>
              <w:t>b</w:t>
            </w:r>
            <w:proofErr w:type="gramEnd"/>
          </w:p>
        </w:tc>
        <w:tc>
          <w:tcPr>
            <w:tcW w:w="447" w:type="pct"/>
            <w:tcBorders>
              <w:top w:val="single" w:sz="6" w:space="0" w:color="000000"/>
              <w:left w:val="single" w:sz="6" w:space="0" w:color="000000"/>
              <w:bottom w:val="single" w:sz="6" w:space="0" w:color="000000"/>
              <w:right w:val="single" w:sz="6" w:space="0" w:color="000000"/>
            </w:tcBorders>
            <w:hideMark/>
          </w:tcPr>
          <w:p w14:paraId="6F02532E" w14:textId="77777777" w:rsidR="00396A12" w:rsidRPr="0070742B" w:rsidRDefault="00396A12" w:rsidP="00596BE0">
            <w:pPr>
              <w:jc w:val="center"/>
              <w:rPr>
                <w:rFonts w:asciiTheme="minorHAnsi" w:hAnsiTheme="minorHAnsi"/>
                <w:sz w:val="16"/>
                <w:szCs w:val="16"/>
              </w:rPr>
            </w:pPr>
            <w:r w:rsidRPr="0070742B">
              <w:rPr>
                <w:rFonts w:asciiTheme="minorHAnsi" w:hAnsiTheme="minorHAnsi"/>
                <w:sz w:val="16"/>
                <w:szCs w:val="16"/>
              </w:rPr>
              <w:t xml:space="preserve">0 </w:t>
            </w:r>
          </w:p>
        </w:tc>
        <w:tc>
          <w:tcPr>
            <w:tcW w:w="331" w:type="pct"/>
            <w:tcBorders>
              <w:top w:val="single" w:sz="6" w:space="0" w:color="000000"/>
              <w:left w:val="single" w:sz="6" w:space="0" w:color="000000"/>
              <w:bottom w:val="single" w:sz="6" w:space="0" w:color="000000"/>
              <w:right w:val="single" w:sz="6" w:space="0" w:color="000000"/>
            </w:tcBorders>
            <w:hideMark/>
          </w:tcPr>
          <w:p w14:paraId="473E053F" w14:textId="77777777" w:rsidR="00396A12" w:rsidRPr="0070742B" w:rsidRDefault="00396A12" w:rsidP="00596BE0">
            <w:pPr>
              <w:jc w:val="center"/>
              <w:rPr>
                <w:rFonts w:asciiTheme="minorHAnsi" w:hAnsiTheme="minorHAnsi"/>
                <w:sz w:val="16"/>
                <w:szCs w:val="16"/>
              </w:rPr>
            </w:pPr>
            <w:r w:rsidRPr="0070742B">
              <w:rPr>
                <w:rStyle w:val="cell-value"/>
                <w:rFonts w:asciiTheme="minorHAnsi" w:hAnsiTheme="minorHAnsi"/>
                <w:sz w:val="16"/>
                <w:szCs w:val="16"/>
              </w:rPr>
              <w:t>0</w:t>
            </w:r>
            <w:r w:rsidRPr="0070742B">
              <w:rPr>
                <w:rFonts w:asciiTheme="minorHAnsi" w:hAnsiTheme="minorHAnsi"/>
                <w:sz w:val="16"/>
                <w:szCs w:val="16"/>
              </w:rPr>
              <w:t xml:space="preserve"> </w:t>
            </w:r>
          </w:p>
        </w:tc>
        <w:tc>
          <w:tcPr>
            <w:tcW w:w="310" w:type="pct"/>
            <w:tcBorders>
              <w:top w:val="single" w:sz="6" w:space="0" w:color="000000"/>
              <w:left w:val="single" w:sz="6" w:space="0" w:color="000000"/>
              <w:bottom w:val="single" w:sz="6" w:space="0" w:color="000000"/>
              <w:right w:val="single" w:sz="6" w:space="0" w:color="000000"/>
            </w:tcBorders>
            <w:hideMark/>
          </w:tcPr>
          <w:p w14:paraId="315C0D57" w14:textId="77777777" w:rsidR="00396A12" w:rsidRPr="0070742B" w:rsidRDefault="00396A12" w:rsidP="00596BE0">
            <w:pPr>
              <w:jc w:val="center"/>
              <w:rPr>
                <w:rFonts w:asciiTheme="minorHAnsi" w:hAnsiTheme="minorHAnsi"/>
                <w:sz w:val="16"/>
                <w:szCs w:val="16"/>
              </w:rPr>
            </w:pPr>
            <w:r w:rsidRPr="0070742B">
              <w:rPr>
                <w:rStyle w:val="cell"/>
                <w:rFonts w:asciiTheme="minorHAnsi" w:hAnsiTheme="minorHAnsi"/>
                <w:sz w:val="16"/>
                <w:szCs w:val="16"/>
              </w:rPr>
              <w:t>-</w:t>
            </w:r>
            <w:r w:rsidRPr="0070742B">
              <w:rPr>
                <w:rFonts w:asciiTheme="minorHAnsi" w:hAnsiTheme="minorHAnsi"/>
                <w:sz w:val="16"/>
                <w:szCs w:val="16"/>
              </w:rPr>
              <w:t xml:space="preserve"> </w:t>
            </w:r>
          </w:p>
        </w:tc>
        <w:tc>
          <w:tcPr>
            <w:tcW w:w="354" w:type="pct"/>
            <w:tcBorders>
              <w:top w:val="single" w:sz="6" w:space="0" w:color="000000"/>
              <w:left w:val="single" w:sz="6" w:space="0" w:color="000000"/>
              <w:bottom w:val="single" w:sz="6" w:space="0" w:color="000000"/>
              <w:right w:val="single" w:sz="6" w:space="0" w:color="000000"/>
            </w:tcBorders>
            <w:hideMark/>
          </w:tcPr>
          <w:p w14:paraId="33789913" w14:textId="77777777" w:rsidR="00396A12" w:rsidRPr="0070742B" w:rsidRDefault="00396A12" w:rsidP="00596BE0">
            <w:pPr>
              <w:jc w:val="center"/>
              <w:rPr>
                <w:rFonts w:asciiTheme="minorHAnsi" w:hAnsiTheme="minorHAnsi"/>
                <w:sz w:val="16"/>
                <w:szCs w:val="16"/>
              </w:rPr>
            </w:pPr>
            <w:r w:rsidRPr="0070742B">
              <w:rPr>
                <w:rStyle w:val="cell-value"/>
                <w:rFonts w:asciiTheme="minorHAnsi" w:hAnsiTheme="minorHAnsi"/>
                <w:sz w:val="16"/>
                <w:szCs w:val="16"/>
              </w:rPr>
              <w:t xml:space="preserve">MD </w:t>
            </w:r>
            <w:r>
              <w:rPr>
                <w:rStyle w:val="cell-value"/>
                <w:rFonts w:asciiTheme="minorHAnsi" w:hAnsiTheme="minorHAnsi"/>
                <w:sz w:val="16"/>
                <w:szCs w:val="16"/>
              </w:rPr>
              <w:t>-</w:t>
            </w:r>
            <w:r w:rsidRPr="0070742B">
              <w:rPr>
                <w:rStyle w:val="cell-value"/>
                <w:rFonts w:asciiTheme="minorHAnsi" w:hAnsiTheme="minorHAnsi"/>
                <w:b/>
                <w:bCs/>
                <w:sz w:val="16"/>
                <w:szCs w:val="16"/>
              </w:rPr>
              <w:t xml:space="preserve">7.74 </w:t>
            </w:r>
            <w:r w:rsidRPr="0070742B">
              <w:rPr>
                <w:rFonts w:asciiTheme="minorHAnsi" w:hAnsiTheme="minorHAnsi"/>
                <w:sz w:val="16"/>
                <w:szCs w:val="16"/>
              </w:rPr>
              <w:br/>
            </w:r>
            <w:r w:rsidRPr="0070742B">
              <w:rPr>
                <w:rStyle w:val="cell-value"/>
                <w:rFonts w:asciiTheme="minorHAnsi" w:hAnsiTheme="minorHAnsi"/>
                <w:sz w:val="16"/>
                <w:szCs w:val="16"/>
              </w:rPr>
              <w:t>(</w:t>
            </w:r>
            <w:r>
              <w:rPr>
                <w:rStyle w:val="cell-value"/>
                <w:rFonts w:asciiTheme="minorHAnsi" w:hAnsiTheme="minorHAnsi"/>
                <w:sz w:val="16"/>
                <w:szCs w:val="16"/>
              </w:rPr>
              <w:t>-</w:t>
            </w:r>
            <w:r w:rsidRPr="0070742B">
              <w:rPr>
                <w:rStyle w:val="cell-value"/>
                <w:rFonts w:asciiTheme="minorHAnsi" w:hAnsiTheme="minorHAnsi"/>
                <w:sz w:val="16"/>
                <w:szCs w:val="16"/>
              </w:rPr>
              <w:t xml:space="preserve">21.79 to </w:t>
            </w:r>
            <w:r>
              <w:rPr>
                <w:rStyle w:val="cell-value"/>
                <w:rFonts w:asciiTheme="minorHAnsi" w:hAnsiTheme="minorHAnsi"/>
                <w:sz w:val="16"/>
                <w:szCs w:val="16"/>
              </w:rPr>
              <w:t>+</w:t>
            </w:r>
            <w:r w:rsidRPr="0070742B">
              <w:rPr>
                <w:rStyle w:val="cell-value"/>
                <w:rFonts w:asciiTheme="minorHAnsi" w:hAnsiTheme="minorHAnsi"/>
                <w:sz w:val="16"/>
                <w:szCs w:val="16"/>
              </w:rPr>
              <w:t>7.2)</w:t>
            </w:r>
            <w:r w:rsidRPr="0070742B">
              <w:rPr>
                <w:rFonts w:asciiTheme="minorHAnsi" w:hAnsiTheme="minorHAnsi"/>
                <w:sz w:val="16"/>
                <w:szCs w:val="16"/>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349538E8" w14:textId="77777777" w:rsidR="00396A12" w:rsidRPr="0070742B" w:rsidRDefault="00396A12" w:rsidP="00596BE0">
            <w:pPr>
              <w:jc w:val="center"/>
              <w:rPr>
                <w:rFonts w:asciiTheme="minorHAnsi" w:hAnsiTheme="minorHAnsi"/>
                <w:sz w:val="16"/>
                <w:szCs w:val="16"/>
              </w:rPr>
            </w:pPr>
            <w:r w:rsidRPr="0070742B">
              <w:rPr>
                <w:rStyle w:val="quality-sign"/>
                <w:rFonts w:ascii="Cambria Math" w:hAnsi="Cambria Math" w:cs="Cambria Math"/>
                <w:sz w:val="16"/>
                <w:szCs w:val="16"/>
              </w:rPr>
              <w:t>⨁</w:t>
            </w:r>
            <w:r w:rsidRPr="0070742B">
              <w:rPr>
                <w:rStyle w:val="quality-sign"/>
                <w:rFonts w:ascii="MS Gothic" w:eastAsia="MS Gothic" w:hAnsi="MS Gothic" w:cs="MS Gothic" w:hint="eastAsia"/>
                <w:sz w:val="16"/>
                <w:szCs w:val="16"/>
              </w:rPr>
              <w:t>◯◯◯</w:t>
            </w:r>
            <w:r w:rsidRPr="0070742B">
              <w:rPr>
                <w:rFonts w:asciiTheme="minorHAnsi" w:hAnsiTheme="minorHAnsi"/>
                <w:sz w:val="16"/>
                <w:szCs w:val="16"/>
              </w:rPr>
              <w:br/>
            </w:r>
            <w:r w:rsidRPr="0070742B">
              <w:rPr>
                <w:rStyle w:val="quality-text"/>
                <w:rFonts w:asciiTheme="minorHAnsi" w:hAnsiTheme="minorHAnsi"/>
                <w:sz w:val="16"/>
                <w:szCs w:val="16"/>
              </w:rPr>
              <w:t>VERY LOW</w:t>
            </w:r>
            <w:r w:rsidRPr="0070742B">
              <w:rPr>
                <w:rFonts w:asciiTheme="minorHAnsi" w:hAnsiTheme="minorHAnsi"/>
                <w:sz w:val="16"/>
                <w:szCs w:val="16"/>
              </w:rPr>
              <w:t xml:space="preserve"> </w:t>
            </w:r>
          </w:p>
        </w:tc>
        <w:tc>
          <w:tcPr>
            <w:tcW w:w="406" w:type="pct"/>
            <w:tcBorders>
              <w:top w:val="single" w:sz="6" w:space="0" w:color="000000"/>
              <w:left w:val="single" w:sz="6" w:space="0" w:color="000000"/>
              <w:bottom w:val="single" w:sz="6" w:space="0" w:color="000000"/>
              <w:right w:val="single" w:sz="6" w:space="0" w:color="000000"/>
            </w:tcBorders>
            <w:hideMark/>
          </w:tcPr>
          <w:p w14:paraId="5BB4EF4D" w14:textId="77777777" w:rsidR="00396A12" w:rsidRPr="0070742B" w:rsidRDefault="00396A12" w:rsidP="00596BE0">
            <w:pPr>
              <w:jc w:val="center"/>
              <w:rPr>
                <w:rFonts w:asciiTheme="minorHAnsi" w:hAnsiTheme="minorHAnsi"/>
                <w:sz w:val="16"/>
                <w:szCs w:val="16"/>
              </w:rPr>
            </w:pPr>
            <w:r>
              <w:rPr>
                <w:rFonts w:asciiTheme="minorHAnsi" w:hAnsiTheme="minorHAnsi"/>
                <w:sz w:val="16"/>
                <w:szCs w:val="16"/>
              </w:rPr>
              <w:t>Low</w:t>
            </w:r>
          </w:p>
        </w:tc>
      </w:tr>
      <w:tr w:rsidR="00396A12" w:rsidRPr="0070742B" w14:paraId="246ABFC2" w14:textId="77777777" w:rsidTr="00596BE0">
        <w:trPr>
          <w:cantSplit/>
        </w:trPr>
        <w:tc>
          <w:tcPr>
            <w:tcW w:w="5000" w:type="pct"/>
            <w:gridSpan w:val="13"/>
            <w:shd w:val="clear" w:color="auto" w:fill="FFFFFF"/>
            <w:vAlign w:val="center"/>
            <w:hideMark/>
          </w:tcPr>
          <w:p w14:paraId="79B80A29" w14:textId="77777777" w:rsidR="00396A12" w:rsidRPr="0070742B" w:rsidRDefault="00396A12" w:rsidP="00596BE0">
            <w:pPr>
              <w:rPr>
                <w:rFonts w:asciiTheme="minorHAnsi" w:hAnsiTheme="minorHAnsi"/>
                <w:b/>
                <w:bCs/>
                <w:color w:val="000000"/>
                <w:sz w:val="16"/>
                <w:szCs w:val="16"/>
              </w:rPr>
            </w:pPr>
            <w:r w:rsidRPr="0070742B">
              <w:rPr>
                <w:rStyle w:val="label"/>
                <w:rFonts w:asciiTheme="minorHAnsi" w:hAnsiTheme="minorHAnsi"/>
                <w:b/>
                <w:bCs/>
                <w:color w:val="000000"/>
                <w:sz w:val="16"/>
                <w:szCs w:val="16"/>
              </w:rPr>
              <w:t>Treatment-related adverse events (AE) (follow up: mean 52 weeks)</w:t>
            </w:r>
            <w:r w:rsidRPr="0070742B">
              <w:rPr>
                <w:rFonts w:asciiTheme="minorHAnsi" w:hAnsiTheme="minorHAnsi"/>
                <w:b/>
                <w:bCs/>
                <w:color w:val="000000"/>
                <w:sz w:val="16"/>
                <w:szCs w:val="16"/>
                <w:vertAlign w:val="superscript"/>
              </w:rPr>
              <w:t>1a</w:t>
            </w:r>
          </w:p>
        </w:tc>
      </w:tr>
      <w:tr w:rsidR="00396A12" w:rsidRPr="0070742B" w14:paraId="19F86C36" w14:textId="77777777" w:rsidTr="00596BE0">
        <w:trPr>
          <w:cantSplit/>
        </w:trPr>
        <w:tc>
          <w:tcPr>
            <w:tcW w:w="282" w:type="pct"/>
            <w:tcBorders>
              <w:top w:val="single" w:sz="6" w:space="0" w:color="000000"/>
              <w:left w:val="single" w:sz="6" w:space="0" w:color="000000"/>
              <w:bottom w:val="single" w:sz="6" w:space="0" w:color="000000"/>
              <w:right w:val="single" w:sz="6" w:space="0" w:color="000000"/>
            </w:tcBorders>
            <w:hideMark/>
          </w:tcPr>
          <w:p w14:paraId="2E4B2881" w14:textId="77777777" w:rsidR="00396A12" w:rsidRPr="0070742B" w:rsidRDefault="00396A12" w:rsidP="00596BE0">
            <w:pPr>
              <w:jc w:val="center"/>
              <w:rPr>
                <w:rFonts w:asciiTheme="minorHAnsi" w:hAnsiTheme="minorHAnsi"/>
                <w:sz w:val="16"/>
                <w:szCs w:val="16"/>
              </w:rPr>
            </w:pPr>
            <w:r w:rsidRPr="0070742B">
              <w:rPr>
                <w:rFonts w:asciiTheme="minorHAnsi" w:hAnsiTheme="minorHAnsi"/>
                <w:sz w:val="16"/>
                <w:szCs w:val="16"/>
              </w:rPr>
              <w:t xml:space="preserve">1 </w:t>
            </w:r>
            <w:r w:rsidRPr="0070742B">
              <w:rPr>
                <w:rFonts w:asciiTheme="minorHAnsi" w:hAnsiTheme="minorHAnsi"/>
                <w:sz w:val="16"/>
                <w:szCs w:val="16"/>
                <w:vertAlign w:val="superscript"/>
              </w:rPr>
              <w:t>2</w:t>
            </w:r>
          </w:p>
        </w:tc>
        <w:tc>
          <w:tcPr>
            <w:tcW w:w="409" w:type="pct"/>
            <w:tcBorders>
              <w:top w:val="single" w:sz="6" w:space="0" w:color="000000"/>
              <w:left w:val="single" w:sz="6" w:space="0" w:color="000000"/>
              <w:bottom w:val="single" w:sz="6" w:space="0" w:color="000000"/>
              <w:right w:val="single" w:sz="6" w:space="0" w:color="000000"/>
            </w:tcBorders>
            <w:hideMark/>
          </w:tcPr>
          <w:p w14:paraId="145DAB17" w14:textId="77777777" w:rsidR="00396A12" w:rsidRPr="0070742B" w:rsidRDefault="00396A12" w:rsidP="00596BE0">
            <w:pPr>
              <w:jc w:val="center"/>
              <w:rPr>
                <w:rFonts w:asciiTheme="minorHAnsi" w:hAnsiTheme="minorHAnsi"/>
                <w:sz w:val="16"/>
                <w:szCs w:val="16"/>
              </w:rPr>
            </w:pPr>
            <w:r w:rsidRPr="0070742B">
              <w:rPr>
                <w:rFonts w:asciiTheme="minorHAnsi" w:hAnsiTheme="minorHAnsi"/>
                <w:sz w:val="16"/>
                <w:szCs w:val="16"/>
              </w:rPr>
              <w:t xml:space="preserve">randomised trials </w:t>
            </w:r>
          </w:p>
        </w:tc>
        <w:tc>
          <w:tcPr>
            <w:tcW w:w="279" w:type="pct"/>
            <w:tcBorders>
              <w:top w:val="single" w:sz="6" w:space="0" w:color="000000"/>
              <w:left w:val="single" w:sz="6" w:space="0" w:color="000000"/>
              <w:bottom w:val="single" w:sz="6" w:space="0" w:color="000000"/>
              <w:right w:val="single" w:sz="6" w:space="0" w:color="000000"/>
            </w:tcBorders>
            <w:hideMark/>
          </w:tcPr>
          <w:p w14:paraId="68795D1B" w14:textId="77777777" w:rsidR="00396A12" w:rsidRPr="0070742B" w:rsidRDefault="00396A12" w:rsidP="00596BE0">
            <w:pPr>
              <w:jc w:val="center"/>
              <w:rPr>
                <w:rFonts w:asciiTheme="minorHAnsi" w:hAnsiTheme="minorHAnsi"/>
                <w:sz w:val="16"/>
                <w:szCs w:val="16"/>
              </w:rPr>
            </w:pPr>
            <w:r w:rsidRPr="0070742B">
              <w:rPr>
                <w:rFonts w:asciiTheme="minorHAnsi" w:hAnsiTheme="minorHAnsi"/>
                <w:sz w:val="16"/>
                <w:szCs w:val="16"/>
              </w:rPr>
              <w:t xml:space="preserve">not serious </w:t>
            </w:r>
          </w:p>
        </w:tc>
        <w:tc>
          <w:tcPr>
            <w:tcW w:w="460" w:type="pct"/>
            <w:tcBorders>
              <w:top w:val="single" w:sz="6" w:space="0" w:color="000000"/>
              <w:left w:val="single" w:sz="6" w:space="0" w:color="000000"/>
              <w:bottom w:val="single" w:sz="6" w:space="0" w:color="000000"/>
              <w:right w:val="single" w:sz="6" w:space="0" w:color="000000"/>
            </w:tcBorders>
            <w:hideMark/>
          </w:tcPr>
          <w:p w14:paraId="12F5C727" w14:textId="77777777" w:rsidR="00396A12" w:rsidRPr="0070742B" w:rsidRDefault="00396A12" w:rsidP="00596BE0">
            <w:pPr>
              <w:jc w:val="center"/>
              <w:rPr>
                <w:rFonts w:asciiTheme="minorHAnsi" w:hAnsiTheme="minorHAnsi"/>
                <w:sz w:val="16"/>
                <w:szCs w:val="16"/>
              </w:rPr>
            </w:pPr>
            <w:r w:rsidRPr="0070742B">
              <w:rPr>
                <w:rFonts w:asciiTheme="minorHAnsi" w:hAnsiTheme="minorHAnsi"/>
                <w:sz w:val="16"/>
                <w:szCs w:val="16"/>
              </w:rPr>
              <w:t xml:space="preserve">not serious </w:t>
            </w:r>
          </w:p>
        </w:tc>
        <w:tc>
          <w:tcPr>
            <w:tcW w:w="422" w:type="pct"/>
            <w:tcBorders>
              <w:top w:val="single" w:sz="6" w:space="0" w:color="000000"/>
              <w:left w:val="single" w:sz="6" w:space="0" w:color="000000"/>
              <w:bottom w:val="single" w:sz="6" w:space="0" w:color="000000"/>
              <w:right w:val="single" w:sz="6" w:space="0" w:color="000000"/>
            </w:tcBorders>
            <w:hideMark/>
          </w:tcPr>
          <w:p w14:paraId="79E5DDAF" w14:textId="77777777" w:rsidR="00396A12" w:rsidRPr="0070742B" w:rsidRDefault="00396A12" w:rsidP="00596BE0">
            <w:pPr>
              <w:jc w:val="center"/>
              <w:rPr>
                <w:rFonts w:asciiTheme="minorHAnsi" w:hAnsiTheme="minorHAnsi"/>
                <w:sz w:val="16"/>
                <w:szCs w:val="16"/>
              </w:rPr>
            </w:pPr>
            <w:r w:rsidRPr="0070742B">
              <w:rPr>
                <w:rFonts w:asciiTheme="minorHAnsi" w:hAnsiTheme="minorHAnsi"/>
                <w:sz w:val="16"/>
                <w:szCs w:val="16"/>
              </w:rPr>
              <w:t xml:space="preserve">not serious </w:t>
            </w:r>
          </w:p>
        </w:tc>
        <w:tc>
          <w:tcPr>
            <w:tcW w:w="409" w:type="pct"/>
            <w:tcBorders>
              <w:top w:val="single" w:sz="6" w:space="0" w:color="000000"/>
              <w:left w:val="single" w:sz="6" w:space="0" w:color="000000"/>
              <w:bottom w:val="single" w:sz="6" w:space="0" w:color="000000"/>
              <w:right w:val="single" w:sz="6" w:space="0" w:color="000000"/>
            </w:tcBorders>
            <w:hideMark/>
          </w:tcPr>
          <w:p w14:paraId="02767D76" w14:textId="77777777" w:rsidR="00396A12" w:rsidRPr="0070742B" w:rsidRDefault="00396A12" w:rsidP="00596BE0">
            <w:pPr>
              <w:jc w:val="center"/>
              <w:rPr>
                <w:rFonts w:asciiTheme="minorHAnsi" w:hAnsiTheme="minorHAnsi"/>
                <w:sz w:val="16"/>
                <w:szCs w:val="16"/>
              </w:rPr>
            </w:pPr>
            <w:r w:rsidRPr="0070742B">
              <w:rPr>
                <w:rFonts w:asciiTheme="minorHAnsi" w:hAnsiTheme="minorHAnsi"/>
                <w:sz w:val="16"/>
                <w:szCs w:val="16"/>
              </w:rPr>
              <w:t xml:space="preserve">serious </w:t>
            </w:r>
            <w:r w:rsidRPr="0070742B">
              <w:rPr>
                <w:rFonts w:asciiTheme="minorHAnsi" w:hAnsiTheme="minorHAnsi"/>
                <w:sz w:val="16"/>
                <w:szCs w:val="16"/>
                <w:vertAlign w:val="superscript"/>
              </w:rPr>
              <w:t>i</w:t>
            </w:r>
          </w:p>
        </w:tc>
        <w:tc>
          <w:tcPr>
            <w:tcW w:w="492" w:type="pct"/>
            <w:tcBorders>
              <w:top w:val="single" w:sz="6" w:space="0" w:color="000000"/>
              <w:left w:val="single" w:sz="6" w:space="0" w:color="000000"/>
              <w:bottom w:val="single" w:sz="6" w:space="0" w:color="000000"/>
              <w:right w:val="single" w:sz="6" w:space="0" w:color="000000"/>
            </w:tcBorders>
            <w:hideMark/>
          </w:tcPr>
          <w:p w14:paraId="16B7C726" w14:textId="77777777" w:rsidR="00396A12" w:rsidRPr="0070742B" w:rsidRDefault="00396A12" w:rsidP="00596BE0">
            <w:pPr>
              <w:jc w:val="center"/>
              <w:rPr>
                <w:rFonts w:asciiTheme="minorHAnsi" w:hAnsiTheme="minorHAnsi"/>
                <w:sz w:val="16"/>
                <w:szCs w:val="16"/>
              </w:rPr>
            </w:pPr>
            <w:r w:rsidRPr="0070742B">
              <w:rPr>
                <w:rFonts w:asciiTheme="minorHAnsi" w:hAnsiTheme="minorHAnsi"/>
                <w:sz w:val="16"/>
                <w:szCs w:val="16"/>
              </w:rPr>
              <w:t xml:space="preserve">publication bias strongly suspected </w:t>
            </w:r>
            <w:proofErr w:type="gramStart"/>
            <w:r w:rsidRPr="0070742B">
              <w:rPr>
                <w:rFonts w:asciiTheme="minorHAnsi" w:hAnsiTheme="minorHAnsi"/>
                <w:sz w:val="16"/>
                <w:szCs w:val="16"/>
                <w:vertAlign w:val="superscript"/>
              </w:rPr>
              <w:t>3</w:t>
            </w:r>
            <w:r w:rsidRPr="0070742B">
              <w:rPr>
                <w:rStyle w:val="comma"/>
                <w:rFonts w:asciiTheme="minorHAnsi" w:hAnsiTheme="minorHAnsi"/>
                <w:sz w:val="16"/>
                <w:szCs w:val="16"/>
                <w:vertAlign w:val="superscript"/>
              </w:rPr>
              <w:t>,</w:t>
            </w:r>
            <w:r w:rsidRPr="0070742B">
              <w:rPr>
                <w:rFonts w:asciiTheme="minorHAnsi" w:hAnsiTheme="minorHAnsi"/>
                <w:sz w:val="16"/>
                <w:szCs w:val="16"/>
                <w:vertAlign w:val="superscript"/>
              </w:rPr>
              <w:t>b</w:t>
            </w:r>
            <w:proofErr w:type="gramEnd"/>
          </w:p>
        </w:tc>
        <w:tc>
          <w:tcPr>
            <w:tcW w:w="447" w:type="pct"/>
            <w:tcBorders>
              <w:top w:val="single" w:sz="6" w:space="0" w:color="000000"/>
              <w:left w:val="single" w:sz="6" w:space="0" w:color="000000"/>
              <w:bottom w:val="single" w:sz="6" w:space="0" w:color="000000"/>
              <w:right w:val="single" w:sz="6" w:space="0" w:color="000000"/>
            </w:tcBorders>
            <w:hideMark/>
          </w:tcPr>
          <w:p w14:paraId="235FC7E3" w14:textId="77777777" w:rsidR="00396A12" w:rsidRPr="0070742B" w:rsidRDefault="00396A12" w:rsidP="00596BE0">
            <w:pPr>
              <w:jc w:val="center"/>
              <w:rPr>
                <w:rFonts w:asciiTheme="minorHAnsi" w:hAnsiTheme="minorHAnsi"/>
                <w:sz w:val="16"/>
                <w:szCs w:val="16"/>
              </w:rPr>
            </w:pPr>
            <w:r w:rsidRPr="0070742B">
              <w:rPr>
                <w:rFonts w:asciiTheme="minorHAnsi" w:hAnsiTheme="minorHAnsi"/>
                <w:sz w:val="16"/>
                <w:szCs w:val="16"/>
              </w:rPr>
              <w:t xml:space="preserve">272/412 (66.0%) </w:t>
            </w:r>
          </w:p>
        </w:tc>
        <w:tc>
          <w:tcPr>
            <w:tcW w:w="331" w:type="pct"/>
            <w:tcBorders>
              <w:top w:val="single" w:sz="6" w:space="0" w:color="000000"/>
              <w:left w:val="single" w:sz="6" w:space="0" w:color="000000"/>
              <w:bottom w:val="single" w:sz="6" w:space="0" w:color="000000"/>
              <w:right w:val="single" w:sz="6" w:space="0" w:color="000000"/>
            </w:tcBorders>
            <w:hideMark/>
          </w:tcPr>
          <w:p w14:paraId="2C841A18" w14:textId="77777777" w:rsidR="00396A12" w:rsidRPr="0070742B" w:rsidRDefault="00396A12" w:rsidP="00596BE0">
            <w:pPr>
              <w:jc w:val="center"/>
              <w:rPr>
                <w:rFonts w:asciiTheme="minorHAnsi" w:hAnsiTheme="minorHAnsi"/>
                <w:sz w:val="16"/>
                <w:szCs w:val="16"/>
              </w:rPr>
            </w:pPr>
            <w:r w:rsidRPr="0070742B">
              <w:rPr>
                <w:rStyle w:val="cell-value"/>
                <w:rFonts w:asciiTheme="minorHAnsi" w:hAnsiTheme="minorHAnsi"/>
                <w:sz w:val="16"/>
                <w:szCs w:val="16"/>
              </w:rPr>
              <w:t xml:space="preserve">91/138 (65.9%) </w:t>
            </w:r>
          </w:p>
        </w:tc>
        <w:tc>
          <w:tcPr>
            <w:tcW w:w="310" w:type="pct"/>
            <w:tcBorders>
              <w:top w:val="single" w:sz="6" w:space="0" w:color="000000"/>
              <w:left w:val="single" w:sz="6" w:space="0" w:color="000000"/>
              <w:bottom w:val="single" w:sz="6" w:space="0" w:color="000000"/>
              <w:right w:val="single" w:sz="6" w:space="0" w:color="000000"/>
            </w:tcBorders>
            <w:hideMark/>
          </w:tcPr>
          <w:p w14:paraId="62E9E142" w14:textId="6E57BEBD" w:rsidR="00396A12" w:rsidRPr="0070742B" w:rsidRDefault="006658DF" w:rsidP="00596BE0">
            <w:pPr>
              <w:jc w:val="center"/>
              <w:rPr>
                <w:rFonts w:asciiTheme="minorHAnsi" w:hAnsiTheme="minorHAnsi"/>
                <w:sz w:val="16"/>
                <w:szCs w:val="16"/>
              </w:rPr>
            </w:pPr>
            <w:r>
              <w:rPr>
                <w:rStyle w:val="block"/>
                <w:rFonts w:asciiTheme="minorHAnsi" w:hAnsiTheme="minorHAnsi"/>
                <w:b/>
                <w:bCs/>
                <w:sz w:val="16"/>
                <w:szCs w:val="16"/>
              </w:rPr>
              <w:t>Risk ratio</w:t>
            </w:r>
            <w:r w:rsidR="00396A12" w:rsidRPr="0070742B">
              <w:rPr>
                <w:rStyle w:val="block"/>
                <w:rFonts w:asciiTheme="minorHAnsi" w:hAnsiTheme="minorHAnsi"/>
                <w:b/>
                <w:bCs/>
                <w:sz w:val="16"/>
                <w:szCs w:val="16"/>
              </w:rPr>
              <w:t xml:space="preserve"> 1.00</w:t>
            </w:r>
            <w:r w:rsidR="00396A12" w:rsidRPr="0070742B">
              <w:rPr>
                <w:rFonts w:asciiTheme="minorHAnsi" w:hAnsiTheme="minorHAnsi"/>
                <w:sz w:val="16"/>
                <w:szCs w:val="16"/>
              </w:rPr>
              <w:br/>
            </w:r>
            <w:r w:rsidR="00396A12" w:rsidRPr="0070742B">
              <w:rPr>
                <w:rStyle w:val="cell"/>
                <w:rFonts w:asciiTheme="minorHAnsi" w:hAnsiTheme="minorHAnsi"/>
                <w:sz w:val="16"/>
                <w:szCs w:val="16"/>
              </w:rPr>
              <w:t>(0.87 to 1.15)</w:t>
            </w:r>
            <w:r w:rsidR="00396A12" w:rsidRPr="0070742B">
              <w:rPr>
                <w:rFonts w:asciiTheme="minorHAnsi" w:hAnsiTheme="minorHAnsi"/>
                <w:sz w:val="16"/>
                <w:szCs w:val="16"/>
              </w:rPr>
              <w:t xml:space="preserve"> </w:t>
            </w:r>
          </w:p>
        </w:tc>
        <w:tc>
          <w:tcPr>
            <w:tcW w:w="354" w:type="pct"/>
            <w:tcBorders>
              <w:top w:val="single" w:sz="6" w:space="0" w:color="000000"/>
              <w:left w:val="single" w:sz="6" w:space="0" w:color="000000"/>
              <w:bottom w:val="single" w:sz="6" w:space="0" w:color="000000"/>
              <w:right w:val="single" w:sz="6" w:space="0" w:color="000000"/>
            </w:tcBorders>
            <w:hideMark/>
          </w:tcPr>
          <w:p w14:paraId="41739950" w14:textId="77777777" w:rsidR="00396A12" w:rsidRPr="0070742B" w:rsidRDefault="00396A12" w:rsidP="00596BE0">
            <w:pPr>
              <w:jc w:val="center"/>
              <w:rPr>
                <w:rFonts w:asciiTheme="minorHAnsi" w:hAnsiTheme="minorHAnsi"/>
                <w:sz w:val="16"/>
                <w:szCs w:val="16"/>
              </w:rPr>
            </w:pPr>
            <w:r w:rsidRPr="0070742B">
              <w:rPr>
                <w:rFonts w:asciiTheme="minorHAnsi" w:hAnsiTheme="minorHAnsi"/>
                <w:b/>
                <w:bCs/>
                <w:sz w:val="16"/>
                <w:szCs w:val="16"/>
              </w:rPr>
              <w:t>0 fewer per 1.000</w:t>
            </w:r>
            <w:r w:rsidRPr="0070742B">
              <w:rPr>
                <w:rFonts w:asciiTheme="minorHAnsi" w:hAnsiTheme="minorHAnsi"/>
                <w:sz w:val="16"/>
                <w:szCs w:val="16"/>
              </w:rPr>
              <w:br/>
              <w:t xml:space="preserve">(from 86 fewer to 99 more) </w:t>
            </w:r>
          </w:p>
        </w:tc>
        <w:tc>
          <w:tcPr>
            <w:tcW w:w="400" w:type="pct"/>
            <w:tcBorders>
              <w:top w:val="single" w:sz="6" w:space="0" w:color="000000"/>
              <w:left w:val="single" w:sz="6" w:space="0" w:color="000000"/>
              <w:bottom w:val="single" w:sz="6" w:space="0" w:color="000000"/>
              <w:right w:val="single" w:sz="6" w:space="0" w:color="000000"/>
            </w:tcBorders>
            <w:hideMark/>
          </w:tcPr>
          <w:p w14:paraId="0ACD60F7" w14:textId="77777777" w:rsidR="00396A12" w:rsidRPr="0070742B" w:rsidRDefault="00396A12" w:rsidP="00596BE0">
            <w:pPr>
              <w:jc w:val="center"/>
              <w:rPr>
                <w:rFonts w:asciiTheme="minorHAnsi" w:hAnsiTheme="minorHAnsi"/>
                <w:sz w:val="16"/>
                <w:szCs w:val="16"/>
              </w:rPr>
            </w:pPr>
            <w:r w:rsidRPr="0070742B">
              <w:rPr>
                <w:rStyle w:val="quality-sign"/>
                <w:rFonts w:ascii="Cambria Math" w:hAnsi="Cambria Math" w:cs="Cambria Math"/>
                <w:sz w:val="16"/>
                <w:szCs w:val="16"/>
              </w:rPr>
              <w:t>⨁⨁</w:t>
            </w:r>
            <w:r w:rsidRPr="0070742B">
              <w:rPr>
                <w:rStyle w:val="quality-sign"/>
                <w:rFonts w:ascii="MS Gothic" w:eastAsia="MS Gothic" w:hAnsi="MS Gothic" w:cs="MS Gothic" w:hint="eastAsia"/>
                <w:sz w:val="16"/>
                <w:szCs w:val="16"/>
              </w:rPr>
              <w:t>◯◯</w:t>
            </w:r>
            <w:r w:rsidRPr="0070742B">
              <w:rPr>
                <w:rFonts w:asciiTheme="minorHAnsi" w:hAnsiTheme="minorHAnsi"/>
                <w:sz w:val="16"/>
                <w:szCs w:val="16"/>
              </w:rPr>
              <w:br/>
            </w:r>
            <w:r w:rsidRPr="0070742B">
              <w:rPr>
                <w:rStyle w:val="quality-text"/>
                <w:rFonts w:asciiTheme="minorHAnsi" w:hAnsiTheme="minorHAnsi"/>
                <w:sz w:val="16"/>
                <w:szCs w:val="16"/>
              </w:rPr>
              <w:t>LOW</w:t>
            </w:r>
            <w:r w:rsidRPr="0070742B">
              <w:rPr>
                <w:rFonts w:asciiTheme="minorHAnsi" w:hAnsiTheme="minorHAnsi"/>
                <w:sz w:val="16"/>
                <w:szCs w:val="16"/>
              </w:rPr>
              <w:t xml:space="preserve"> </w:t>
            </w:r>
          </w:p>
        </w:tc>
        <w:tc>
          <w:tcPr>
            <w:tcW w:w="406" w:type="pct"/>
            <w:tcBorders>
              <w:top w:val="single" w:sz="6" w:space="0" w:color="000000"/>
              <w:left w:val="single" w:sz="6" w:space="0" w:color="000000"/>
              <w:bottom w:val="single" w:sz="6" w:space="0" w:color="000000"/>
              <w:right w:val="single" w:sz="6" w:space="0" w:color="000000"/>
            </w:tcBorders>
            <w:hideMark/>
          </w:tcPr>
          <w:p w14:paraId="040DA17A" w14:textId="77777777" w:rsidR="00396A12" w:rsidRPr="0070742B" w:rsidRDefault="00396A12" w:rsidP="00596BE0">
            <w:pPr>
              <w:jc w:val="center"/>
              <w:rPr>
                <w:rFonts w:asciiTheme="minorHAnsi" w:hAnsiTheme="minorHAnsi"/>
                <w:sz w:val="16"/>
                <w:szCs w:val="16"/>
              </w:rPr>
            </w:pPr>
            <w:r>
              <w:rPr>
                <w:rFonts w:asciiTheme="minorHAnsi" w:hAnsiTheme="minorHAnsi"/>
                <w:sz w:val="16"/>
                <w:szCs w:val="16"/>
              </w:rPr>
              <w:t>Critical</w:t>
            </w:r>
          </w:p>
        </w:tc>
      </w:tr>
      <w:tr w:rsidR="00396A12" w:rsidRPr="0070742B" w14:paraId="6918836A" w14:textId="77777777" w:rsidTr="00596BE0">
        <w:trPr>
          <w:cantSplit/>
        </w:trPr>
        <w:tc>
          <w:tcPr>
            <w:tcW w:w="5000" w:type="pct"/>
            <w:gridSpan w:val="13"/>
            <w:shd w:val="clear" w:color="auto" w:fill="FFFFFF"/>
            <w:vAlign w:val="center"/>
            <w:hideMark/>
          </w:tcPr>
          <w:p w14:paraId="6A5C1181" w14:textId="77777777" w:rsidR="00396A12" w:rsidRPr="0070742B" w:rsidRDefault="00396A12" w:rsidP="00596BE0">
            <w:pPr>
              <w:rPr>
                <w:rFonts w:asciiTheme="minorHAnsi" w:hAnsiTheme="minorHAnsi"/>
                <w:b/>
                <w:bCs/>
                <w:color w:val="000000"/>
                <w:sz w:val="16"/>
                <w:szCs w:val="16"/>
              </w:rPr>
            </w:pPr>
            <w:r w:rsidRPr="0070742B">
              <w:rPr>
                <w:rStyle w:val="label"/>
                <w:rFonts w:asciiTheme="minorHAnsi" w:hAnsiTheme="minorHAnsi"/>
                <w:b/>
                <w:bCs/>
                <w:color w:val="000000"/>
                <w:sz w:val="16"/>
                <w:szCs w:val="16"/>
              </w:rPr>
              <w:lastRenderedPageBreak/>
              <w:t>Treatment-related serious adverse events (SAE) (follow up: mean 52 weeks)</w:t>
            </w:r>
            <w:r w:rsidRPr="0070742B">
              <w:rPr>
                <w:rFonts w:asciiTheme="minorHAnsi" w:hAnsiTheme="minorHAnsi"/>
                <w:b/>
                <w:bCs/>
                <w:color w:val="000000"/>
                <w:sz w:val="16"/>
                <w:szCs w:val="16"/>
                <w:vertAlign w:val="superscript"/>
              </w:rPr>
              <w:t>1a</w:t>
            </w:r>
          </w:p>
        </w:tc>
      </w:tr>
      <w:tr w:rsidR="00396A12" w:rsidRPr="0070742B" w14:paraId="43C26162" w14:textId="77777777" w:rsidTr="00596BE0">
        <w:trPr>
          <w:cantSplit/>
        </w:trPr>
        <w:tc>
          <w:tcPr>
            <w:tcW w:w="282" w:type="pct"/>
            <w:tcBorders>
              <w:top w:val="single" w:sz="6" w:space="0" w:color="000000"/>
              <w:left w:val="single" w:sz="6" w:space="0" w:color="000000"/>
              <w:bottom w:val="single" w:sz="6" w:space="0" w:color="000000"/>
              <w:right w:val="single" w:sz="6" w:space="0" w:color="000000"/>
            </w:tcBorders>
            <w:hideMark/>
          </w:tcPr>
          <w:p w14:paraId="6C765584" w14:textId="77777777" w:rsidR="00396A12" w:rsidRPr="0070742B" w:rsidRDefault="00396A12" w:rsidP="00596BE0">
            <w:pPr>
              <w:jc w:val="center"/>
              <w:rPr>
                <w:rFonts w:asciiTheme="minorHAnsi" w:hAnsiTheme="minorHAnsi"/>
                <w:sz w:val="16"/>
                <w:szCs w:val="16"/>
              </w:rPr>
            </w:pPr>
            <w:r w:rsidRPr="0070742B">
              <w:rPr>
                <w:rFonts w:asciiTheme="minorHAnsi" w:hAnsiTheme="minorHAnsi"/>
                <w:sz w:val="16"/>
                <w:szCs w:val="16"/>
              </w:rPr>
              <w:t xml:space="preserve">1 </w:t>
            </w:r>
            <w:r w:rsidRPr="0070742B">
              <w:rPr>
                <w:rFonts w:asciiTheme="minorHAnsi" w:hAnsiTheme="minorHAnsi"/>
                <w:sz w:val="16"/>
                <w:szCs w:val="16"/>
                <w:vertAlign w:val="superscript"/>
              </w:rPr>
              <w:t>2</w:t>
            </w:r>
          </w:p>
        </w:tc>
        <w:tc>
          <w:tcPr>
            <w:tcW w:w="409" w:type="pct"/>
            <w:tcBorders>
              <w:top w:val="single" w:sz="6" w:space="0" w:color="000000"/>
              <w:left w:val="single" w:sz="6" w:space="0" w:color="000000"/>
              <w:bottom w:val="single" w:sz="6" w:space="0" w:color="000000"/>
              <w:right w:val="single" w:sz="6" w:space="0" w:color="000000"/>
            </w:tcBorders>
            <w:hideMark/>
          </w:tcPr>
          <w:p w14:paraId="12BBAB42" w14:textId="77777777" w:rsidR="00396A12" w:rsidRPr="0070742B" w:rsidRDefault="00396A12" w:rsidP="00596BE0">
            <w:pPr>
              <w:jc w:val="center"/>
              <w:rPr>
                <w:rFonts w:asciiTheme="minorHAnsi" w:hAnsiTheme="minorHAnsi"/>
                <w:sz w:val="16"/>
                <w:szCs w:val="16"/>
              </w:rPr>
            </w:pPr>
            <w:r w:rsidRPr="0070742B">
              <w:rPr>
                <w:rFonts w:asciiTheme="minorHAnsi" w:hAnsiTheme="minorHAnsi"/>
                <w:sz w:val="16"/>
                <w:szCs w:val="16"/>
              </w:rPr>
              <w:t xml:space="preserve">randomised trials </w:t>
            </w:r>
          </w:p>
        </w:tc>
        <w:tc>
          <w:tcPr>
            <w:tcW w:w="279" w:type="pct"/>
            <w:tcBorders>
              <w:top w:val="single" w:sz="6" w:space="0" w:color="000000"/>
              <w:left w:val="single" w:sz="6" w:space="0" w:color="000000"/>
              <w:bottom w:val="single" w:sz="6" w:space="0" w:color="000000"/>
              <w:right w:val="single" w:sz="6" w:space="0" w:color="000000"/>
            </w:tcBorders>
            <w:hideMark/>
          </w:tcPr>
          <w:p w14:paraId="44A5B1A8" w14:textId="77777777" w:rsidR="00396A12" w:rsidRPr="0070742B" w:rsidRDefault="00396A12" w:rsidP="00596BE0">
            <w:pPr>
              <w:jc w:val="center"/>
              <w:rPr>
                <w:rFonts w:asciiTheme="minorHAnsi" w:hAnsiTheme="minorHAnsi"/>
                <w:sz w:val="16"/>
                <w:szCs w:val="16"/>
              </w:rPr>
            </w:pPr>
            <w:r w:rsidRPr="0070742B">
              <w:rPr>
                <w:rFonts w:asciiTheme="minorHAnsi" w:hAnsiTheme="minorHAnsi"/>
                <w:sz w:val="16"/>
                <w:szCs w:val="16"/>
              </w:rPr>
              <w:t xml:space="preserve">not serious </w:t>
            </w:r>
          </w:p>
        </w:tc>
        <w:tc>
          <w:tcPr>
            <w:tcW w:w="460" w:type="pct"/>
            <w:tcBorders>
              <w:top w:val="single" w:sz="6" w:space="0" w:color="000000"/>
              <w:left w:val="single" w:sz="6" w:space="0" w:color="000000"/>
              <w:bottom w:val="single" w:sz="6" w:space="0" w:color="000000"/>
              <w:right w:val="single" w:sz="6" w:space="0" w:color="000000"/>
            </w:tcBorders>
            <w:hideMark/>
          </w:tcPr>
          <w:p w14:paraId="239D5A17" w14:textId="77777777" w:rsidR="00396A12" w:rsidRPr="0070742B" w:rsidRDefault="00396A12" w:rsidP="00596BE0">
            <w:pPr>
              <w:jc w:val="center"/>
              <w:rPr>
                <w:rFonts w:asciiTheme="minorHAnsi" w:hAnsiTheme="minorHAnsi"/>
                <w:sz w:val="16"/>
                <w:szCs w:val="16"/>
              </w:rPr>
            </w:pPr>
            <w:r w:rsidRPr="0070742B">
              <w:rPr>
                <w:rFonts w:asciiTheme="minorHAnsi" w:hAnsiTheme="minorHAnsi"/>
                <w:sz w:val="16"/>
                <w:szCs w:val="16"/>
              </w:rPr>
              <w:t xml:space="preserve">not serious </w:t>
            </w:r>
          </w:p>
        </w:tc>
        <w:tc>
          <w:tcPr>
            <w:tcW w:w="422" w:type="pct"/>
            <w:tcBorders>
              <w:top w:val="single" w:sz="6" w:space="0" w:color="000000"/>
              <w:left w:val="single" w:sz="6" w:space="0" w:color="000000"/>
              <w:bottom w:val="single" w:sz="6" w:space="0" w:color="000000"/>
              <w:right w:val="single" w:sz="6" w:space="0" w:color="000000"/>
            </w:tcBorders>
            <w:hideMark/>
          </w:tcPr>
          <w:p w14:paraId="6695F8F3" w14:textId="77777777" w:rsidR="00396A12" w:rsidRPr="0070742B" w:rsidRDefault="00396A12" w:rsidP="00596BE0">
            <w:pPr>
              <w:jc w:val="center"/>
              <w:rPr>
                <w:rFonts w:asciiTheme="minorHAnsi" w:hAnsiTheme="minorHAnsi"/>
                <w:sz w:val="16"/>
                <w:szCs w:val="16"/>
              </w:rPr>
            </w:pPr>
            <w:r w:rsidRPr="0070742B">
              <w:rPr>
                <w:rFonts w:asciiTheme="minorHAnsi" w:hAnsiTheme="minorHAnsi"/>
                <w:sz w:val="16"/>
                <w:szCs w:val="16"/>
              </w:rPr>
              <w:t xml:space="preserve">not serious </w:t>
            </w:r>
          </w:p>
        </w:tc>
        <w:tc>
          <w:tcPr>
            <w:tcW w:w="409" w:type="pct"/>
            <w:tcBorders>
              <w:top w:val="single" w:sz="6" w:space="0" w:color="000000"/>
              <w:left w:val="single" w:sz="6" w:space="0" w:color="000000"/>
              <w:bottom w:val="single" w:sz="6" w:space="0" w:color="000000"/>
              <w:right w:val="single" w:sz="6" w:space="0" w:color="000000"/>
            </w:tcBorders>
            <w:hideMark/>
          </w:tcPr>
          <w:p w14:paraId="227C5EE4" w14:textId="77777777" w:rsidR="00396A12" w:rsidRPr="0070742B" w:rsidRDefault="00396A12" w:rsidP="00596BE0">
            <w:pPr>
              <w:jc w:val="center"/>
              <w:rPr>
                <w:rFonts w:asciiTheme="minorHAnsi" w:hAnsiTheme="minorHAnsi"/>
                <w:sz w:val="16"/>
                <w:szCs w:val="16"/>
              </w:rPr>
            </w:pPr>
            <w:r w:rsidRPr="0070742B">
              <w:rPr>
                <w:rFonts w:asciiTheme="minorHAnsi" w:hAnsiTheme="minorHAnsi"/>
                <w:sz w:val="16"/>
                <w:szCs w:val="16"/>
              </w:rPr>
              <w:t xml:space="preserve">serious </w:t>
            </w:r>
            <w:r w:rsidRPr="0070742B">
              <w:rPr>
                <w:rFonts w:asciiTheme="minorHAnsi" w:hAnsiTheme="minorHAnsi"/>
                <w:sz w:val="16"/>
                <w:szCs w:val="16"/>
                <w:vertAlign w:val="superscript"/>
              </w:rPr>
              <w:t>i</w:t>
            </w:r>
          </w:p>
        </w:tc>
        <w:tc>
          <w:tcPr>
            <w:tcW w:w="492" w:type="pct"/>
            <w:tcBorders>
              <w:top w:val="single" w:sz="6" w:space="0" w:color="000000"/>
              <w:left w:val="single" w:sz="6" w:space="0" w:color="000000"/>
              <w:bottom w:val="single" w:sz="6" w:space="0" w:color="000000"/>
              <w:right w:val="single" w:sz="6" w:space="0" w:color="000000"/>
            </w:tcBorders>
            <w:hideMark/>
          </w:tcPr>
          <w:p w14:paraId="185117CA" w14:textId="77777777" w:rsidR="00396A12" w:rsidRPr="0070742B" w:rsidRDefault="00396A12" w:rsidP="00596BE0">
            <w:pPr>
              <w:jc w:val="center"/>
              <w:rPr>
                <w:rFonts w:asciiTheme="minorHAnsi" w:hAnsiTheme="minorHAnsi"/>
                <w:sz w:val="16"/>
                <w:szCs w:val="16"/>
              </w:rPr>
            </w:pPr>
            <w:r w:rsidRPr="0070742B">
              <w:rPr>
                <w:rFonts w:asciiTheme="minorHAnsi" w:hAnsiTheme="minorHAnsi"/>
                <w:sz w:val="16"/>
                <w:szCs w:val="16"/>
              </w:rPr>
              <w:t xml:space="preserve">publication bias strongly suspected </w:t>
            </w:r>
            <w:proofErr w:type="gramStart"/>
            <w:r w:rsidRPr="0070742B">
              <w:rPr>
                <w:rFonts w:asciiTheme="minorHAnsi" w:hAnsiTheme="minorHAnsi"/>
                <w:sz w:val="16"/>
                <w:szCs w:val="16"/>
                <w:vertAlign w:val="superscript"/>
              </w:rPr>
              <w:t>3</w:t>
            </w:r>
            <w:r w:rsidRPr="0070742B">
              <w:rPr>
                <w:rStyle w:val="comma"/>
                <w:rFonts w:asciiTheme="minorHAnsi" w:hAnsiTheme="minorHAnsi"/>
                <w:sz w:val="16"/>
                <w:szCs w:val="16"/>
                <w:vertAlign w:val="superscript"/>
              </w:rPr>
              <w:t>,</w:t>
            </w:r>
            <w:r w:rsidRPr="0070742B">
              <w:rPr>
                <w:rFonts w:asciiTheme="minorHAnsi" w:hAnsiTheme="minorHAnsi"/>
                <w:sz w:val="16"/>
                <w:szCs w:val="16"/>
                <w:vertAlign w:val="superscript"/>
              </w:rPr>
              <w:t>b</w:t>
            </w:r>
            <w:proofErr w:type="gramEnd"/>
          </w:p>
        </w:tc>
        <w:tc>
          <w:tcPr>
            <w:tcW w:w="447" w:type="pct"/>
            <w:tcBorders>
              <w:top w:val="single" w:sz="6" w:space="0" w:color="000000"/>
              <w:left w:val="single" w:sz="6" w:space="0" w:color="000000"/>
              <w:bottom w:val="single" w:sz="6" w:space="0" w:color="000000"/>
              <w:right w:val="single" w:sz="6" w:space="0" w:color="000000"/>
            </w:tcBorders>
            <w:hideMark/>
          </w:tcPr>
          <w:p w14:paraId="7A0A5461" w14:textId="77777777" w:rsidR="00396A12" w:rsidRPr="0070742B" w:rsidRDefault="00396A12" w:rsidP="00596BE0">
            <w:pPr>
              <w:jc w:val="center"/>
              <w:rPr>
                <w:rFonts w:asciiTheme="minorHAnsi" w:hAnsiTheme="minorHAnsi"/>
                <w:sz w:val="16"/>
                <w:szCs w:val="16"/>
              </w:rPr>
            </w:pPr>
            <w:r w:rsidRPr="0070742B">
              <w:rPr>
                <w:rFonts w:asciiTheme="minorHAnsi" w:hAnsiTheme="minorHAnsi"/>
                <w:sz w:val="16"/>
                <w:szCs w:val="16"/>
              </w:rPr>
              <w:t xml:space="preserve">48/412 (11.7%) </w:t>
            </w:r>
          </w:p>
        </w:tc>
        <w:tc>
          <w:tcPr>
            <w:tcW w:w="331" w:type="pct"/>
            <w:tcBorders>
              <w:top w:val="single" w:sz="6" w:space="0" w:color="000000"/>
              <w:left w:val="single" w:sz="6" w:space="0" w:color="000000"/>
              <w:bottom w:val="single" w:sz="6" w:space="0" w:color="000000"/>
              <w:right w:val="single" w:sz="6" w:space="0" w:color="000000"/>
            </w:tcBorders>
            <w:hideMark/>
          </w:tcPr>
          <w:p w14:paraId="79540FAF" w14:textId="77777777" w:rsidR="00396A12" w:rsidRPr="0070742B" w:rsidRDefault="00396A12" w:rsidP="00596BE0">
            <w:pPr>
              <w:jc w:val="center"/>
              <w:rPr>
                <w:rFonts w:asciiTheme="minorHAnsi" w:hAnsiTheme="minorHAnsi"/>
                <w:sz w:val="16"/>
                <w:szCs w:val="16"/>
              </w:rPr>
            </w:pPr>
            <w:r w:rsidRPr="0070742B">
              <w:rPr>
                <w:rStyle w:val="cell-value"/>
                <w:rFonts w:asciiTheme="minorHAnsi" w:hAnsiTheme="minorHAnsi"/>
                <w:sz w:val="16"/>
                <w:szCs w:val="16"/>
              </w:rPr>
              <w:t xml:space="preserve">18/138 (13.0%) </w:t>
            </w:r>
          </w:p>
        </w:tc>
        <w:tc>
          <w:tcPr>
            <w:tcW w:w="310" w:type="pct"/>
            <w:tcBorders>
              <w:top w:val="single" w:sz="6" w:space="0" w:color="000000"/>
              <w:left w:val="single" w:sz="6" w:space="0" w:color="000000"/>
              <w:bottom w:val="single" w:sz="6" w:space="0" w:color="000000"/>
              <w:right w:val="single" w:sz="6" w:space="0" w:color="000000"/>
            </w:tcBorders>
            <w:hideMark/>
          </w:tcPr>
          <w:p w14:paraId="34024471" w14:textId="77777777" w:rsidR="006658DF" w:rsidRDefault="006658DF" w:rsidP="00596BE0">
            <w:pPr>
              <w:jc w:val="center"/>
              <w:rPr>
                <w:rStyle w:val="block"/>
                <w:rFonts w:asciiTheme="minorHAnsi" w:hAnsiTheme="minorHAnsi"/>
                <w:b/>
                <w:bCs/>
                <w:sz w:val="16"/>
                <w:szCs w:val="16"/>
              </w:rPr>
            </w:pPr>
            <w:r>
              <w:rPr>
                <w:rStyle w:val="block"/>
                <w:rFonts w:asciiTheme="minorHAnsi" w:hAnsiTheme="minorHAnsi"/>
                <w:b/>
                <w:bCs/>
                <w:sz w:val="16"/>
                <w:szCs w:val="16"/>
              </w:rPr>
              <w:t>Risk ratio</w:t>
            </w:r>
          </w:p>
          <w:p w14:paraId="28EAB5EB" w14:textId="4CE6240F" w:rsidR="00396A12" w:rsidRPr="0070742B" w:rsidRDefault="00396A12" w:rsidP="00596BE0">
            <w:pPr>
              <w:jc w:val="center"/>
              <w:rPr>
                <w:rFonts w:asciiTheme="minorHAnsi" w:hAnsiTheme="minorHAnsi"/>
                <w:sz w:val="16"/>
                <w:szCs w:val="16"/>
              </w:rPr>
            </w:pPr>
            <w:r w:rsidRPr="0070742B">
              <w:rPr>
                <w:rStyle w:val="block"/>
                <w:rFonts w:asciiTheme="minorHAnsi" w:hAnsiTheme="minorHAnsi"/>
                <w:b/>
                <w:bCs/>
                <w:sz w:val="16"/>
                <w:szCs w:val="16"/>
              </w:rPr>
              <w:t>0.90</w:t>
            </w:r>
            <w:r w:rsidRPr="0070742B">
              <w:rPr>
                <w:rFonts w:asciiTheme="minorHAnsi" w:hAnsiTheme="minorHAnsi"/>
                <w:sz w:val="16"/>
                <w:szCs w:val="16"/>
              </w:rPr>
              <w:br/>
            </w:r>
            <w:r w:rsidRPr="0070742B">
              <w:rPr>
                <w:rStyle w:val="cell"/>
                <w:rFonts w:asciiTheme="minorHAnsi" w:hAnsiTheme="minorHAnsi"/>
                <w:sz w:val="16"/>
                <w:szCs w:val="16"/>
              </w:rPr>
              <w:t>(0.53 to 1.50)</w:t>
            </w:r>
            <w:r w:rsidRPr="0070742B">
              <w:rPr>
                <w:rFonts w:asciiTheme="minorHAnsi" w:hAnsiTheme="minorHAnsi"/>
                <w:sz w:val="16"/>
                <w:szCs w:val="16"/>
              </w:rPr>
              <w:t xml:space="preserve"> </w:t>
            </w:r>
          </w:p>
        </w:tc>
        <w:tc>
          <w:tcPr>
            <w:tcW w:w="354" w:type="pct"/>
            <w:tcBorders>
              <w:top w:val="single" w:sz="6" w:space="0" w:color="000000"/>
              <w:left w:val="single" w:sz="6" w:space="0" w:color="000000"/>
              <w:bottom w:val="single" w:sz="6" w:space="0" w:color="000000"/>
              <w:right w:val="single" w:sz="6" w:space="0" w:color="000000"/>
            </w:tcBorders>
            <w:hideMark/>
          </w:tcPr>
          <w:p w14:paraId="4F51D043" w14:textId="77777777" w:rsidR="00396A12" w:rsidRPr="0070742B" w:rsidRDefault="00396A12" w:rsidP="00596BE0">
            <w:pPr>
              <w:jc w:val="center"/>
              <w:rPr>
                <w:rFonts w:asciiTheme="minorHAnsi" w:hAnsiTheme="minorHAnsi"/>
                <w:sz w:val="16"/>
                <w:szCs w:val="16"/>
              </w:rPr>
            </w:pPr>
            <w:r w:rsidRPr="0070742B">
              <w:rPr>
                <w:rFonts w:asciiTheme="minorHAnsi" w:hAnsiTheme="minorHAnsi"/>
                <w:b/>
                <w:bCs/>
                <w:sz w:val="16"/>
                <w:szCs w:val="16"/>
              </w:rPr>
              <w:t>13 fewer per 1.000</w:t>
            </w:r>
            <w:r w:rsidRPr="0070742B">
              <w:rPr>
                <w:rFonts w:asciiTheme="minorHAnsi" w:hAnsiTheme="minorHAnsi"/>
                <w:sz w:val="16"/>
                <w:szCs w:val="16"/>
              </w:rPr>
              <w:br/>
              <w:t xml:space="preserve">(from 61 fewer to 65 more) </w:t>
            </w:r>
          </w:p>
        </w:tc>
        <w:tc>
          <w:tcPr>
            <w:tcW w:w="400" w:type="pct"/>
            <w:tcBorders>
              <w:top w:val="single" w:sz="6" w:space="0" w:color="000000"/>
              <w:left w:val="single" w:sz="6" w:space="0" w:color="000000"/>
              <w:bottom w:val="single" w:sz="6" w:space="0" w:color="000000"/>
              <w:right w:val="single" w:sz="6" w:space="0" w:color="000000"/>
            </w:tcBorders>
            <w:hideMark/>
          </w:tcPr>
          <w:p w14:paraId="10AF76A8" w14:textId="77777777" w:rsidR="00396A12" w:rsidRPr="0070742B" w:rsidRDefault="00396A12" w:rsidP="00596BE0">
            <w:pPr>
              <w:jc w:val="center"/>
              <w:rPr>
                <w:rFonts w:asciiTheme="minorHAnsi" w:hAnsiTheme="minorHAnsi"/>
                <w:sz w:val="16"/>
                <w:szCs w:val="16"/>
              </w:rPr>
            </w:pPr>
            <w:r w:rsidRPr="0070742B">
              <w:rPr>
                <w:rStyle w:val="quality-sign"/>
                <w:rFonts w:ascii="Cambria Math" w:hAnsi="Cambria Math" w:cs="Cambria Math"/>
                <w:sz w:val="16"/>
                <w:szCs w:val="16"/>
              </w:rPr>
              <w:t>⨁⨁</w:t>
            </w:r>
            <w:r w:rsidRPr="0070742B">
              <w:rPr>
                <w:rStyle w:val="quality-sign"/>
                <w:rFonts w:ascii="MS Gothic" w:eastAsia="MS Gothic" w:hAnsi="MS Gothic" w:cs="MS Gothic" w:hint="eastAsia"/>
                <w:sz w:val="16"/>
                <w:szCs w:val="16"/>
              </w:rPr>
              <w:t>◯◯</w:t>
            </w:r>
            <w:r w:rsidRPr="0070742B">
              <w:rPr>
                <w:rFonts w:asciiTheme="minorHAnsi" w:hAnsiTheme="minorHAnsi"/>
                <w:sz w:val="16"/>
                <w:szCs w:val="16"/>
              </w:rPr>
              <w:br/>
            </w:r>
            <w:r w:rsidRPr="0070742B">
              <w:rPr>
                <w:rStyle w:val="quality-text"/>
                <w:rFonts w:asciiTheme="minorHAnsi" w:hAnsiTheme="minorHAnsi"/>
                <w:sz w:val="16"/>
                <w:szCs w:val="16"/>
              </w:rPr>
              <w:t>LOW</w:t>
            </w:r>
            <w:r w:rsidRPr="0070742B">
              <w:rPr>
                <w:rFonts w:asciiTheme="minorHAnsi" w:hAnsiTheme="minorHAnsi"/>
                <w:sz w:val="16"/>
                <w:szCs w:val="16"/>
              </w:rPr>
              <w:t xml:space="preserve"> </w:t>
            </w:r>
          </w:p>
        </w:tc>
        <w:tc>
          <w:tcPr>
            <w:tcW w:w="406" w:type="pct"/>
            <w:tcBorders>
              <w:top w:val="single" w:sz="6" w:space="0" w:color="000000"/>
              <w:left w:val="single" w:sz="6" w:space="0" w:color="000000"/>
              <w:bottom w:val="single" w:sz="6" w:space="0" w:color="000000"/>
              <w:right w:val="single" w:sz="6" w:space="0" w:color="000000"/>
            </w:tcBorders>
            <w:hideMark/>
          </w:tcPr>
          <w:p w14:paraId="3667B61E" w14:textId="77777777" w:rsidR="00396A12" w:rsidRPr="0070742B" w:rsidRDefault="00396A12" w:rsidP="00596BE0">
            <w:pPr>
              <w:jc w:val="center"/>
              <w:rPr>
                <w:rFonts w:asciiTheme="minorHAnsi" w:hAnsiTheme="minorHAnsi"/>
                <w:sz w:val="16"/>
                <w:szCs w:val="16"/>
              </w:rPr>
            </w:pPr>
            <w:r>
              <w:rPr>
                <w:rFonts w:asciiTheme="minorHAnsi" w:hAnsiTheme="minorHAnsi"/>
                <w:sz w:val="16"/>
                <w:szCs w:val="16"/>
              </w:rPr>
              <w:t>Critical</w:t>
            </w:r>
          </w:p>
        </w:tc>
      </w:tr>
      <w:tr w:rsidR="00396A12" w:rsidRPr="0070742B" w14:paraId="1ECC6D6F" w14:textId="77777777" w:rsidTr="00596BE0">
        <w:trPr>
          <w:cantSplit/>
        </w:trPr>
        <w:tc>
          <w:tcPr>
            <w:tcW w:w="5000" w:type="pct"/>
            <w:gridSpan w:val="13"/>
            <w:shd w:val="clear" w:color="auto" w:fill="FFFFFF"/>
            <w:vAlign w:val="center"/>
            <w:hideMark/>
          </w:tcPr>
          <w:p w14:paraId="131EC731" w14:textId="77777777" w:rsidR="00396A12" w:rsidRPr="0070742B" w:rsidRDefault="00396A12" w:rsidP="00596BE0">
            <w:pPr>
              <w:rPr>
                <w:rFonts w:asciiTheme="minorHAnsi" w:hAnsiTheme="minorHAnsi"/>
                <w:b/>
                <w:bCs/>
                <w:color w:val="000000"/>
                <w:sz w:val="16"/>
                <w:szCs w:val="16"/>
              </w:rPr>
            </w:pPr>
            <w:r w:rsidRPr="0070742B">
              <w:rPr>
                <w:rStyle w:val="label"/>
                <w:rFonts w:asciiTheme="minorHAnsi" w:hAnsiTheme="minorHAnsi"/>
                <w:b/>
                <w:bCs/>
                <w:color w:val="000000"/>
                <w:sz w:val="16"/>
                <w:szCs w:val="16"/>
              </w:rPr>
              <w:t>Rescue medication use - not reported</w:t>
            </w:r>
          </w:p>
        </w:tc>
      </w:tr>
      <w:tr w:rsidR="00396A12" w:rsidRPr="0070742B" w14:paraId="1C19CD6A" w14:textId="77777777" w:rsidTr="00596BE0">
        <w:trPr>
          <w:cantSplit/>
        </w:trPr>
        <w:tc>
          <w:tcPr>
            <w:tcW w:w="282" w:type="pct"/>
            <w:tcBorders>
              <w:top w:val="single" w:sz="6" w:space="0" w:color="000000"/>
              <w:left w:val="single" w:sz="6" w:space="0" w:color="000000"/>
              <w:bottom w:val="single" w:sz="6" w:space="0" w:color="000000"/>
              <w:right w:val="single" w:sz="6" w:space="0" w:color="000000"/>
            </w:tcBorders>
            <w:hideMark/>
          </w:tcPr>
          <w:p w14:paraId="238EEB81" w14:textId="77777777" w:rsidR="00396A12" w:rsidRPr="0070742B" w:rsidRDefault="00396A12" w:rsidP="00596BE0">
            <w:pPr>
              <w:jc w:val="center"/>
              <w:rPr>
                <w:rFonts w:asciiTheme="minorHAnsi" w:hAnsiTheme="minorHAnsi"/>
                <w:sz w:val="16"/>
                <w:szCs w:val="16"/>
              </w:rPr>
            </w:pPr>
            <w:r w:rsidRPr="0070742B">
              <w:rPr>
                <w:rStyle w:val="cell"/>
                <w:rFonts w:asciiTheme="minorHAnsi" w:hAnsiTheme="minorHAnsi"/>
                <w:sz w:val="16"/>
                <w:szCs w:val="16"/>
              </w:rPr>
              <w:t>-</w:t>
            </w:r>
            <w:r w:rsidRPr="0070742B">
              <w:rPr>
                <w:rFonts w:asciiTheme="minorHAnsi" w:hAnsiTheme="minorHAnsi"/>
                <w:sz w:val="16"/>
                <w:szCs w:val="16"/>
              </w:rPr>
              <w:t xml:space="preserve"> </w:t>
            </w:r>
          </w:p>
        </w:tc>
        <w:tc>
          <w:tcPr>
            <w:tcW w:w="409" w:type="pct"/>
            <w:tcBorders>
              <w:top w:val="single" w:sz="6" w:space="0" w:color="000000"/>
              <w:left w:val="single" w:sz="6" w:space="0" w:color="000000"/>
              <w:bottom w:val="single" w:sz="6" w:space="0" w:color="000000"/>
              <w:right w:val="single" w:sz="6" w:space="0" w:color="000000"/>
            </w:tcBorders>
            <w:hideMark/>
          </w:tcPr>
          <w:p w14:paraId="3CED85D6" w14:textId="77777777" w:rsidR="00396A12" w:rsidRPr="0070742B" w:rsidRDefault="00396A12" w:rsidP="00596BE0">
            <w:pPr>
              <w:jc w:val="center"/>
              <w:rPr>
                <w:rFonts w:asciiTheme="minorHAnsi" w:hAnsiTheme="minorHAnsi"/>
                <w:sz w:val="16"/>
                <w:szCs w:val="16"/>
              </w:rPr>
            </w:pPr>
            <w:r w:rsidRPr="0070742B">
              <w:rPr>
                <w:rStyle w:val="cell"/>
                <w:rFonts w:asciiTheme="minorHAnsi" w:hAnsiTheme="minorHAnsi"/>
                <w:sz w:val="16"/>
                <w:szCs w:val="16"/>
              </w:rPr>
              <w:t>-</w:t>
            </w:r>
            <w:r w:rsidRPr="0070742B">
              <w:rPr>
                <w:rFonts w:asciiTheme="minorHAnsi" w:hAnsiTheme="minorHAnsi"/>
                <w:sz w:val="16"/>
                <w:szCs w:val="16"/>
              </w:rPr>
              <w:t xml:space="preserve"> </w:t>
            </w:r>
          </w:p>
        </w:tc>
        <w:tc>
          <w:tcPr>
            <w:tcW w:w="279" w:type="pct"/>
            <w:tcBorders>
              <w:top w:val="single" w:sz="6" w:space="0" w:color="000000"/>
              <w:left w:val="single" w:sz="6" w:space="0" w:color="000000"/>
              <w:bottom w:val="single" w:sz="6" w:space="0" w:color="000000"/>
              <w:right w:val="single" w:sz="6" w:space="0" w:color="000000"/>
            </w:tcBorders>
            <w:hideMark/>
          </w:tcPr>
          <w:p w14:paraId="7F3431A3" w14:textId="77777777" w:rsidR="00396A12" w:rsidRPr="0070742B" w:rsidRDefault="00396A12" w:rsidP="00596BE0">
            <w:pPr>
              <w:jc w:val="center"/>
              <w:rPr>
                <w:rFonts w:asciiTheme="minorHAnsi" w:hAnsiTheme="minorHAnsi"/>
                <w:sz w:val="16"/>
                <w:szCs w:val="16"/>
              </w:rPr>
            </w:pPr>
            <w:r w:rsidRPr="0070742B">
              <w:rPr>
                <w:rStyle w:val="cell"/>
                <w:rFonts w:asciiTheme="minorHAnsi" w:hAnsiTheme="minorHAnsi"/>
                <w:sz w:val="16"/>
                <w:szCs w:val="16"/>
              </w:rPr>
              <w:t>-</w:t>
            </w:r>
            <w:r w:rsidRPr="0070742B">
              <w:rPr>
                <w:rFonts w:asciiTheme="minorHAnsi" w:hAnsiTheme="minorHAnsi"/>
                <w:sz w:val="16"/>
                <w:szCs w:val="16"/>
              </w:rPr>
              <w:t xml:space="preserve"> </w:t>
            </w:r>
          </w:p>
        </w:tc>
        <w:tc>
          <w:tcPr>
            <w:tcW w:w="460" w:type="pct"/>
            <w:tcBorders>
              <w:top w:val="single" w:sz="6" w:space="0" w:color="000000"/>
              <w:left w:val="single" w:sz="6" w:space="0" w:color="000000"/>
              <w:bottom w:val="single" w:sz="6" w:space="0" w:color="000000"/>
              <w:right w:val="single" w:sz="6" w:space="0" w:color="000000"/>
            </w:tcBorders>
            <w:hideMark/>
          </w:tcPr>
          <w:p w14:paraId="106144B0" w14:textId="77777777" w:rsidR="00396A12" w:rsidRPr="0070742B" w:rsidRDefault="00396A12" w:rsidP="00596BE0">
            <w:pPr>
              <w:jc w:val="center"/>
              <w:rPr>
                <w:rFonts w:asciiTheme="minorHAnsi" w:hAnsiTheme="minorHAnsi"/>
                <w:sz w:val="16"/>
                <w:szCs w:val="16"/>
              </w:rPr>
            </w:pPr>
            <w:r w:rsidRPr="0070742B">
              <w:rPr>
                <w:rStyle w:val="cell"/>
                <w:rFonts w:asciiTheme="minorHAnsi" w:hAnsiTheme="minorHAnsi"/>
                <w:sz w:val="16"/>
                <w:szCs w:val="16"/>
              </w:rPr>
              <w:t>-</w:t>
            </w:r>
            <w:r w:rsidRPr="0070742B">
              <w:rPr>
                <w:rFonts w:asciiTheme="minorHAnsi" w:hAnsiTheme="minorHAnsi"/>
                <w:sz w:val="16"/>
                <w:szCs w:val="16"/>
              </w:rPr>
              <w:t xml:space="preserve"> </w:t>
            </w:r>
          </w:p>
        </w:tc>
        <w:tc>
          <w:tcPr>
            <w:tcW w:w="422" w:type="pct"/>
            <w:tcBorders>
              <w:top w:val="single" w:sz="6" w:space="0" w:color="000000"/>
              <w:left w:val="single" w:sz="6" w:space="0" w:color="000000"/>
              <w:bottom w:val="single" w:sz="6" w:space="0" w:color="000000"/>
              <w:right w:val="single" w:sz="6" w:space="0" w:color="000000"/>
            </w:tcBorders>
            <w:hideMark/>
          </w:tcPr>
          <w:p w14:paraId="7E94BAD2" w14:textId="77777777" w:rsidR="00396A12" w:rsidRPr="0070742B" w:rsidRDefault="00396A12" w:rsidP="00596BE0">
            <w:pPr>
              <w:jc w:val="center"/>
              <w:rPr>
                <w:rFonts w:asciiTheme="minorHAnsi" w:hAnsiTheme="minorHAnsi"/>
                <w:sz w:val="16"/>
                <w:szCs w:val="16"/>
              </w:rPr>
            </w:pPr>
            <w:r w:rsidRPr="0070742B">
              <w:rPr>
                <w:rStyle w:val="cell"/>
                <w:rFonts w:asciiTheme="minorHAnsi" w:hAnsiTheme="minorHAnsi"/>
                <w:sz w:val="16"/>
                <w:szCs w:val="16"/>
              </w:rPr>
              <w:t>-</w:t>
            </w:r>
            <w:r w:rsidRPr="0070742B">
              <w:rPr>
                <w:rFonts w:asciiTheme="minorHAnsi" w:hAnsiTheme="minorHAnsi"/>
                <w:sz w:val="16"/>
                <w:szCs w:val="16"/>
              </w:rPr>
              <w:t xml:space="preserve"> </w:t>
            </w:r>
          </w:p>
        </w:tc>
        <w:tc>
          <w:tcPr>
            <w:tcW w:w="409" w:type="pct"/>
            <w:tcBorders>
              <w:top w:val="single" w:sz="6" w:space="0" w:color="000000"/>
              <w:left w:val="single" w:sz="6" w:space="0" w:color="000000"/>
              <w:bottom w:val="single" w:sz="6" w:space="0" w:color="000000"/>
              <w:right w:val="single" w:sz="6" w:space="0" w:color="000000"/>
            </w:tcBorders>
            <w:hideMark/>
          </w:tcPr>
          <w:p w14:paraId="2AD014E8" w14:textId="77777777" w:rsidR="00396A12" w:rsidRPr="0070742B" w:rsidRDefault="00396A12" w:rsidP="00596BE0">
            <w:pPr>
              <w:jc w:val="center"/>
              <w:rPr>
                <w:rFonts w:asciiTheme="minorHAnsi" w:hAnsiTheme="minorHAnsi"/>
                <w:sz w:val="16"/>
                <w:szCs w:val="16"/>
              </w:rPr>
            </w:pPr>
            <w:r w:rsidRPr="0070742B">
              <w:rPr>
                <w:rStyle w:val="cell"/>
                <w:rFonts w:asciiTheme="minorHAnsi" w:hAnsiTheme="minorHAnsi"/>
                <w:sz w:val="16"/>
                <w:szCs w:val="16"/>
              </w:rPr>
              <w:t>-</w:t>
            </w:r>
            <w:r w:rsidRPr="0070742B">
              <w:rPr>
                <w:rFonts w:asciiTheme="minorHAnsi" w:hAnsiTheme="minorHAnsi"/>
                <w:sz w:val="16"/>
                <w:szCs w:val="16"/>
              </w:rPr>
              <w:t xml:space="preserve"> </w:t>
            </w:r>
          </w:p>
        </w:tc>
        <w:tc>
          <w:tcPr>
            <w:tcW w:w="492" w:type="pct"/>
            <w:tcBorders>
              <w:top w:val="single" w:sz="6" w:space="0" w:color="000000"/>
              <w:left w:val="single" w:sz="6" w:space="0" w:color="000000"/>
              <w:bottom w:val="single" w:sz="6" w:space="0" w:color="000000"/>
              <w:right w:val="single" w:sz="6" w:space="0" w:color="000000"/>
            </w:tcBorders>
            <w:hideMark/>
          </w:tcPr>
          <w:p w14:paraId="0BBEE39F" w14:textId="77777777" w:rsidR="00396A12" w:rsidRPr="0070742B" w:rsidRDefault="00396A12" w:rsidP="00596BE0">
            <w:pPr>
              <w:jc w:val="center"/>
              <w:rPr>
                <w:rFonts w:asciiTheme="minorHAnsi" w:hAnsiTheme="minorHAnsi"/>
                <w:sz w:val="16"/>
                <w:szCs w:val="16"/>
              </w:rPr>
            </w:pPr>
            <w:r w:rsidRPr="0070742B">
              <w:rPr>
                <w:rStyle w:val="cell"/>
                <w:rFonts w:asciiTheme="minorHAnsi" w:hAnsiTheme="minorHAnsi"/>
                <w:sz w:val="16"/>
                <w:szCs w:val="16"/>
              </w:rPr>
              <w:t>-</w:t>
            </w:r>
            <w:r w:rsidRPr="0070742B">
              <w:rPr>
                <w:rFonts w:asciiTheme="minorHAnsi" w:hAnsiTheme="minorHAnsi"/>
                <w:sz w:val="16"/>
                <w:szCs w:val="16"/>
              </w:rPr>
              <w:t xml:space="preserve"> </w:t>
            </w:r>
          </w:p>
        </w:tc>
        <w:tc>
          <w:tcPr>
            <w:tcW w:w="447" w:type="pct"/>
            <w:tcBorders>
              <w:top w:val="single" w:sz="6" w:space="0" w:color="000000"/>
              <w:left w:val="single" w:sz="6" w:space="0" w:color="000000"/>
              <w:bottom w:val="single" w:sz="6" w:space="0" w:color="000000"/>
              <w:right w:val="single" w:sz="6" w:space="0" w:color="000000"/>
            </w:tcBorders>
            <w:hideMark/>
          </w:tcPr>
          <w:p w14:paraId="352F0E59" w14:textId="77777777" w:rsidR="00396A12" w:rsidRPr="0070742B" w:rsidRDefault="00396A12" w:rsidP="00596BE0">
            <w:pPr>
              <w:jc w:val="center"/>
              <w:rPr>
                <w:rFonts w:asciiTheme="minorHAnsi" w:hAnsiTheme="minorHAnsi"/>
                <w:sz w:val="16"/>
                <w:szCs w:val="16"/>
              </w:rPr>
            </w:pPr>
            <w:r w:rsidRPr="0070742B">
              <w:rPr>
                <w:rStyle w:val="cell"/>
                <w:rFonts w:asciiTheme="minorHAnsi" w:hAnsiTheme="minorHAnsi"/>
                <w:sz w:val="16"/>
                <w:szCs w:val="16"/>
              </w:rPr>
              <w:t>-</w:t>
            </w:r>
            <w:r w:rsidRPr="0070742B">
              <w:rPr>
                <w:rFonts w:asciiTheme="minorHAnsi" w:hAnsiTheme="minorHAnsi"/>
                <w:sz w:val="16"/>
                <w:szCs w:val="16"/>
              </w:rPr>
              <w:t xml:space="preserve"> </w:t>
            </w:r>
          </w:p>
        </w:tc>
        <w:tc>
          <w:tcPr>
            <w:tcW w:w="331" w:type="pct"/>
            <w:tcBorders>
              <w:top w:val="single" w:sz="6" w:space="0" w:color="000000"/>
              <w:left w:val="single" w:sz="6" w:space="0" w:color="000000"/>
              <w:bottom w:val="single" w:sz="6" w:space="0" w:color="000000"/>
              <w:right w:val="single" w:sz="6" w:space="0" w:color="000000"/>
            </w:tcBorders>
            <w:hideMark/>
          </w:tcPr>
          <w:p w14:paraId="69464006" w14:textId="77777777" w:rsidR="00396A12" w:rsidRPr="0070742B" w:rsidRDefault="00396A12" w:rsidP="00596BE0">
            <w:pPr>
              <w:jc w:val="center"/>
              <w:rPr>
                <w:rFonts w:asciiTheme="minorHAnsi" w:hAnsiTheme="minorHAnsi"/>
                <w:sz w:val="16"/>
                <w:szCs w:val="16"/>
              </w:rPr>
            </w:pPr>
            <w:r w:rsidRPr="0070742B">
              <w:rPr>
                <w:rStyle w:val="cell"/>
                <w:rFonts w:asciiTheme="minorHAnsi" w:hAnsiTheme="minorHAnsi"/>
                <w:sz w:val="16"/>
                <w:szCs w:val="16"/>
              </w:rPr>
              <w:t>-</w:t>
            </w:r>
            <w:r w:rsidRPr="0070742B">
              <w:rPr>
                <w:rFonts w:asciiTheme="minorHAnsi" w:hAnsiTheme="minorHAnsi"/>
                <w:sz w:val="16"/>
                <w:szCs w:val="16"/>
              </w:rPr>
              <w:t xml:space="preserve"> </w:t>
            </w:r>
          </w:p>
        </w:tc>
        <w:tc>
          <w:tcPr>
            <w:tcW w:w="310" w:type="pct"/>
            <w:tcBorders>
              <w:top w:val="single" w:sz="6" w:space="0" w:color="000000"/>
              <w:left w:val="single" w:sz="6" w:space="0" w:color="000000"/>
              <w:bottom w:val="single" w:sz="6" w:space="0" w:color="000000"/>
              <w:right w:val="single" w:sz="6" w:space="0" w:color="000000"/>
            </w:tcBorders>
            <w:hideMark/>
          </w:tcPr>
          <w:p w14:paraId="47132243" w14:textId="77777777" w:rsidR="00396A12" w:rsidRPr="0070742B" w:rsidRDefault="00396A12" w:rsidP="00596BE0">
            <w:pPr>
              <w:jc w:val="center"/>
              <w:rPr>
                <w:rFonts w:asciiTheme="minorHAnsi" w:hAnsiTheme="minorHAnsi"/>
                <w:sz w:val="16"/>
                <w:szCs w:val="16"/>
              </w:rPr>
            </w:pPr>
            <w:r w:rsidRPr="0070742B">
              <w:rPr>
                <w:rStyle w:val="cell"/>
                <w:rFonts w:asciiTheme="minorHAnsi" w:hAnsiTheme="minorHAnsi"/>
                <w:sz w:val="16"/>
                <w:szCs w:val="16"/>
              </w:rPr>
              <w:t>-</w:t>
            </w:r>
            <w:r w:rsidRPr="0070742B">
              <w:rPr>
                <w:rFonts w:asciiTheme="minorHAnsi" w:hAnsiTheme="minorHAnsi"/>
                <w:sz w:val="16"/>
                <w:szCs w:val="16"/>
              </w:rPr>
              <w:t xml:space="preserve"> </w:t>
            </w:r>
          </w:p>
        </w:tc>
        <w:tc>
          <w:tcPr>
            <w:tcW w:w="354" w:type="pct"/>
            <w:tcBorders>
              <w:top w:val="single" w:sz="6" w:space="0" w:color="000000"/>
              <w:left w:val="single" w:sz="6" w:space="0" w:color="000000"/>
              <w:bottom w:val="single" w:sz="6" w:space="0" w:color="000000"/>
              <w:right w:val="single" w:sz="6" w:space="0" w:color="000000"/>
            </w:tcBorders>
            <w:hideMark/>
          </w:tcPr>
          <w:p w14:paraId="44163663" w14:textId="77777777" w:rsidR="00396A12" w:rsidRPr="0070742B" w:rsidRDefault="00396A12" w:rsidP="00596BE0">
            <w:pPr>
              <w:jc w:val="center"/>
              <w:rPr>
                <w:rFonts w:asciiTheme="minorHAnsi" w:hAnsiTheme="minorHAnsi"/>
                <w:sz w:val="16"/>
                <w:szCs w:val="16"/>
              </w:rPr>
            </w:pPr>
            <w:r w:rsidRPr="0070742B">
              <w:rPr>
                <w:rStyle w:val="cell"/>
                <w:rFonts w:asciiTheme="minorHAnsi" w:hAnsiTheme="minorHAnsi"/>
                <w:sz w:val="16"/>
                <w:szCs w:val="16"/>
              </w:rPr>
              <w:t>-</w:t>
            </w:r>
            <w:r w:rsidRPr="0070742B">
              <w:rPr>
                <w:rFonts w:asciiTheme="minorHAnsi" w:hAnsiTheme="minorHAnsi"/>
                <w:sz w:val="16"/>
                <w:szCs w:val="16"/>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233149D6" w14:textId="77777777" w:rsidR="00396A12" w:rsidRPr="0070742B" w:rsidRDefault="00396A12" w:rsidP="00596BE0">
            <w:pPr>
              <w:jc w:val="center"/>
              <w:rPr>
                <w:rFonts w:asciiTheme="minorHAnsi" w:hAnsiTheme="minorHAnsi"/>
                <w:sz w:val="16"/>
                <w:szCs w:val="16"/>
              </w:rPr>
            </w:pPr>
            <w:r w:rsidRPr="0070742B">
              <w:rPr>
                <w:rStyle w:val="cell"/>
                <w:rFonts w:asciiTheme="minorHAnsi" w:hAnsiTheme="minorHAnsi"/>
                <w:sz w:val="16"/>
                <w:szCs w:val="16"/>
              </w:rPr>
              <w:t>-</w:t>
            </w:r>
            <w:r w:rsidRPr="0070742B">
              <w:rPr>
                <w:rFonts w:asciiTheme="minorHAnsi" w:hAnsiTheme="minorHAnsi"/>
                <w:sz w:val="16"/>
                <w:szCs w:val="16"/>
              </w:rPr>
              <w:t xml:space="preserve"> </w:t>
            </w:r>
          </w:p>
        </w:tc>
        <w:tc>
          <w:tcPr>
            <w:tcW w:w="406" w:type="pct"/>
            <w:tcBorders>
              <w:top w:val="single" w:sz="6" w:space="0" w:color="000000"/>
              <w:left w:val="single" w:sz="6" w:space="0" w:color="000000"/>
              <w:bottom w:val="single" w:sz="6" w:space="0" w:color="000000"/>
              <w:right w:val="single" w:sz="6" w:space="0" w:color="000000"/>
            </w:tcBorders>
            <w:hideMark/>
          </w:tcPr>
          <w:p w14:paraId="34EA505D" w14:textId="77777777" w:rsidR="00396A12" w:rsidRPr="0070742B" w:rsidRDefault="00396A12" w:rsidP="00596BE0">
            <w:pPr>
              <w:jc w:val="center"/>
              <w:rPr>
                <w:rFonts w:asciiTheme="minorHAnsi" w:hAnsiTheme="minorHAnsi"/>
                <w:sz w:val="16"/>
                <w:szCs w:val="16"/>
              </w:rPr>
            </w:pPr>
          </w:p>
        </w:tc>
      </w:tr>
      <w:tr w:rsidR="00396A12" w:rsidRPr="0070742B" w14:paraId="43561F52" w14:textId="77777777" w:rsidTr="00596BE0">
        <w:trPr>
          <w:cantSplit/>
        </w:trPr>
        <w:tc>
          <w:tcPr>
            <w:tcW w:w="5000" w:type="pct"/>
            <w:gridSpan w:val="13"/>
            <w:shd w:val="clear" w:color="auto" w:fill="FFFFFF"/>
            <w:vAlign w:val="center"/>
            <w:hideMark/>
          </w:tcPr>
          <w:p w14:paraId="24EA15E1" w14:textId="77777777" w:rsidR="00396A12" w:rsidRPr="0070742B" w:rsidRDefault="00396A12" w:rsidP="00596BE0">
            <w:pPr>
              <w:rPr>
                <w:rFonts w:asciiTheme="minorHAnsi" w:hAnsiTheme="minorHAnsi"/>
                <w:b/>
                <w:bCs/>
                <w:color w:val="000000"/>
                <w:sz w:val="16"/>
                <w:szCs w:val="16"/>
              </w:rPr>
            </w:pPr>
            <w:r w:rsidRPr="0070742B">
              <w:rPr>
                <w:rStyle w:val="label"/>
                <w:rFonts w:asciiTheme="minorHAnsi" w:hAnsiTheme="minorHAnsi"/>
                <w:b/>
                <w:bCs/>
                <w:color w:val="000000"/>
                <w:sz w:val="16"/>
                <w:szCs w:val="16"/>
              </w:rPr>
              <w:t>Reduction in corticosteroid use - not reported</w:t>
            </w:r>
          </w:p>
        </w:tc>
      </w:tr>
      <w:tr w:rsidR="00396A12" w:rsidRPr="0070742B" w14:paraId="3893C9E7" w14:textId="77777777" w:rsidTr="00596BE0">
        <w:trPr>
          <w:cantSplit/>
        </w:trPr>
        <w:tc>
          <w:tcPr>
            <w:tcW w:w="282" w:type="pct"/>
            <w:tcBorders>
              <w:top w:val="single" w:sz="6" w:space="0" w:color="000000"/>
              <w:left w:val="single" w:sz="6" w:space="0" w:color="000000"/>
              <w:bottom w:val="single" w:sz="6" w:space="0" w:color="000000"/>
              <w:right w:val="single" w:sz="6" w:space="0" w:color="000000"/>
            </w:tcBorders>
            <w:hideMark/>
          </w:tcPr>
          <w:p w14:paraId="59FC6AAC" w14:textId="77777777" w:rsidR="00396A12" w:rsidRPr="0070742B" w:rsidRDefault="00396A12" w:rsidP="00596BE0">
            <w:pPr>
              <w:jc w:val="center"/>
              <w:rPr>
                <w:rFonts w:asciiTheme="minorHAnsi" w:hAnsiTheme="minorHAnsi"/>
                <w:sz w:val="16"/>
                <w:szCs w:val="16"/>
              </w:rPr>
            </w:pPr>
            <w:r w:rsidRPr="0070742B">
              <w:rPr>
                <w:rStyle w:val="cell"/>
                <w:rFonts w:asciiTheme="minorHAnsi" w:hAnsiTheme="minorHAnsi"/>
                <w:sz w:val="16"/>
                <w:szCs w:val="16"/>
              </w:rPr>
              <w:t>-</w:t>
            </w:r>
            <w:r w:rsidRPr="0070742B">
              <w:rPr>
                <w:rFonts w:asciiTheme="minorHAnsi" w:hAnsiTheme="minorHAnsi"/>
                <w:sz w:val="16"/>
                <w:szCs w:val="16"/>
              </w:rPr>
              <w:t xml:space="preserve"> </w:t>
            </w:r>
          </w:p>
        </w:tc>
        <w:tc>
          <w:tcPr>
            <w:tcW w:w="409" w:type="pct"/>
            <w:tcBorders>
              <w:top w:val="single" w:sz="6" w:space="0" w:color="000000"/>
              <w:left w:val="single" w:sz="6" w:space="0" w:color="000000"/>
              <w:bottom w:val="single" w:sz="6" w:space="0" w:color="000000"/>
              <w:right w:val="single" w:sz="6" w:space="0" w:color="000000"/>
            </w:tcBorders>
            <w:hideMark/>
          </w:tcPr>
          <w:p w14:paraId="4395392D" w14:textId="77777777" w:rsidR="00396A12" w:rsidRPr="0070742B" w:rsidRDefault="00396A12" w:rsidP="00596BE0">
            <w:pPr>
              <w:jc w:val="center"/>
              <w:rPr>
                <w:rFonts w:asciiTheme="minorHAnsi" w:hAnsiTheme="minorHAnsi"/>
                <w:sz w:val="16"/>
                <w:szCs w:val="16"/>
              </w:rPr>
            </w:pPr>
            <w:r w:rsidRPr="0070742B">
              <w:rPr>
                <w:rStyle w:val="cell"/>
                <w:rFonts w:asciiTheme="minorHAnsi" w:hAnsiTheme="minorHAnsi"/>
                <w:sz w:val="16"/>
                <w:szCs w:val="16"/>
              </w:rPr>
              <w:t>-</w:t>
            </w:r>
            <w:r w:rsidRPr="0070742B">
              <w:rPr>
                <w:rFonts w:asciiTheme="minorHAnsi" w:hAnsiTheme="minorHAnsi"/>
                <w:sz w:val="16"/>
                <w:szCs w:val="16"/>
              </w:rPr>
              <w:t xml:space="preserve"> </w:t>
            </w:r>
          </w:p>
        </w:tc>
        <w:tc>
          <w:tcPr>
            <w:tcW w:w="279" w:type="pct"/>
            <w:tcBorders>
              <w:top w:val="single" w:sz="6" w:space="0" w:color="000000"/>
              <w:left w:val="single" w:sz="6" w:space="0" w:color="000000"/>
              <w:bottom w:val="single" w:sz="6" w:space="0" w:color="000000"/>
              <w:right w:val="single" w:sz="6" w:space="0" w:color="000000"/>
            </w:tcBorders>
            <w:hideMark/>
          </w:tcPr>
          <w:p w14:paraId="4EBF5461" w14:textId="77777777" w:rsidR="00396A12" w:rsidRPr="0070742B" w:rsidRDefault="00396A12" w:rsidP="00596BE0">
            <w:pPr>
              <w:jc w:val="center"/>
              <w:rPr>
                <w:rFonts w:asciiTheme="minorHAnsi" w:hAnsiTheme="minorHAnsi"/>
                <w:sz w:val="16"/>
                <w:szCs w:val="16"/>
              </w:rPr>
            </w:pPr>
            <w:r w:rsidRPr="0070742B">
              <w:rPr>
                <w:rStyle w:val="cell"/>
                <w:rFonts w:asciiTheme="minorHAnsi" w:hAnsiTheme="minorHAnsi"/>
                <w:sz w:val="16"/>
                <w:szCs w:val="16"/>
              </w:rPr>
              <w:t>-</w:t>
            </w:r>
            <w:r w:rsidRPr="0070742B">
              <w:rPr>
                <w:rFonts w:asciiTheme="minorHAnsi" w:hAnsiTheme="minorHAnsi"/>
                <w:sz w:val="16"/>
                <w:szCs w:val="16"/>
              </w:rPr>
              <w:t xml:space="preserve"> </w:t>
            </w:r>
          </w:p>
        </w:tc>
        <w:tc>
          <w:tcPr>
            <w:tcW w:w="460" w:type="pct"/>
            <w:tcBorders>
              <w:top w:val="single" w:sz="6" w:space="0" w:color="000000"/>
              <w:left w:val="single" w:sz="6" w:space="0" w:color="000000"/>
              <w:bottom w:val="single" w:sz="6" w:space="0" w:color="000000"/>
              <w:right w:val="single" w:sz="6" w:space="0" w:color="000000"/>
            </w:tcBorders>
            <w:hideMark/>
          </w:tcPr>
          <w:p w14:paraId="1D14EFB2" w14:textId="77777777" w:rsidR="00396A12" w:rsidRPr="0070742B" w:rsidRDefault="00396A12" w:rsidP="00596BE0">
            <w:pPr>
              <w:jc w:val="center"/>
              <w:rPr>
                <w:rFonts w:asciiTheme="minorHAnsi" w:hAnsiTheme="minorHAnsi"/>
                <w:sz w:val="16"/>
                <w:szCs w:val="16"/>
              </w:rPr>
            </w:pPr>
            <w:r w:rsidRPr="0070742B">
              <w:rPr>
                <w:rStyle w:val="cell"/>
                <w:rFonts w:asciiTheme="minorHAnsi" w:hAnsiTheme="minorHAnsi"/>
                <w:sz w:val="16"/>
                <w:szCs w:val="16"/>
              </w:rPr>
              <w:t>-</w:t>
            </w:r>
            <w:r w:rsidRPr="0070742B">
              <w:rPr>
                <w:rFonts w:asciiTheme="minorHAnsi" w:hAnsiTheme="minorHAnsi"/>
                <w:sz w:val="16"/>
                <w:szCs w:val="16"/>
              </w:rPr>
              <w:t xml:space="preserve"> </w:t>
            </w:r>
          </w:p>
        </w:tc>
        <w:tc>
          <w:tcPr>
            <w:tcW w:w="422" w:type="pct"/>
            <w:tcBorders>
              <w:top w:val="single" w:sz="6" w:space="0" w:color="000000"/>
              <w:left w:val="single" w:sz="6" w:space="0" w:color="000000"/>
              <w:bottom w:val="single" w:sz="6" w:space="0" w:color="000000"/>
              <w:right w:val="single" w:sz="6" w:space="0" w:color="000000"/>
            </w:tcBorders>
            <w:hideMark/>
          </w:tcPr>
          <w:p w14:paraId="473C4D11" w14:textId="77777777" w:rsidR="00396A12" w:rsidRPr="0070742B" w:rsidRDefault="00396A12" w:rsidP="00596BE0">
            <w:pPr>
              <w:jc w:val="center"/>
              <w:rPr>
                <w:rFonts w:asciiTheme="minorHAnsi" w:hAnsiTheme="minorHAnsi"/>
                <w:sz w:val="16"/>
                <w:szCs w:val="16"/>
              </w:rPr>
            </w:pPr>
            <w:r w:rsidRPr="0070742B">
              <w:rPr>
                <w:rStyle w:val="cell"/>
                <w:rFonts w:asciiTheme="minorHAnsi" w:hAnsiTheme="minorHAnsi"/>
                <w:sz w:val="16"/>
                <w:szCs w:val="16"/>
              </w:rPr>
              <w:t>-</w:t>
            </w:r>
            <w:r w:rsidRPr="0070742B">
              <w:rPr>
                <w:rFonts w:asciiTheme="minorHAnsi" w:hAnsiTheme="minorHAnsi"/>
                <w:sz w:val="16"/>
                <w:szCs w:val="16"/>
              </w:rPr>
              <w:t xml:space="preserve"> </w:t>
            </w:r>
          </w:p>
        </w:tc>
        <w:tc>
          <w:tcPr>
            <w:tcW w:w="409" w:type="pct"/>
            <w:tcBorders>
              <w:top w:val="single" w:sz="6" w:space="0" w:color="000000"/>
              <w:left w:val="single" w:sz="6" w:space="0" w:color="000000"/>
              <w:bottom w:val="single" w:sz="6" w:space="0" w:color="000000"/>
              <w:right w:val="single" w:sz="6" w:space="0" w:color="000000"/>
            </w:tcBorders>
            <w:hideMark/>
          </w:tcPr>
          <w:p w14:paraId="6F655100" w14:textId="77777777" w:rsidR="00396A12" w:rsidRPr="0070742B" w:rsidRDefault="00396A12" w:rsidP="00596BE0">
            <w:pPr>
              <w:jc w:val="center"/>
              <w:rPr>
                <w:rFonts w:asciiTheme="minorHAnsi" w:hAnsiTheme="minorHAnsi"/>
                <w:sz w:val="16"/>
                <w:szCs w:val="16"/>
              </w:rPr>
            </w:pPr>
            <w:r w:rsidRPr="0070742B">
              <w:rPr>
                <w:rStyle w:val="cell"/>
                <w:rFonts w:asciiTheme="minorHAnsi" w:hAnsiTheme="minorHAnsi"/>
                <w:sz w:val="16"/>
                <w:szCs w:val="16"/>
              </w:rPr>
              <w:t>-</w:t>
            </w:r>
            <w:r w:rsidRPr="0070742B">
              <w:rPr>
                <w:rFonts w:asciiTheme="minorHAnsi" w:hAnsiTheme="minorHAnsi"/>
                <w:sz w:val="16"/>
                <w:szCs w:val="16"/>
              </w:rPr>
              <w:t xml:space="preserve"> </w:t>
            </w:r>
          </w:p>
        </w:tc>
        <w:tc>
          <w:tcPr>
            <w:tcW w:w="492" w:type="pct"/>
            <w:tcBorders>
              <w:top w:val="single" w:sz="6" w:space="0" w:color="000000"/>
              <w:left w:val="single" w:sz="6" w:space="0" w:color="000000"/>
              <w:bottom w:val="single" w:sz="6" w:space="0" w:color="000000"/>
              <w:right w:val="single" w:sz="6" w:space="0" w:color="000000"/>
            </w:tcBorders>
            <w:hideMark/>
          </w:tcPr>
          <w:p w14:paraId="1CE16650" w14:textId="77777777" w:rsidR="00396A12" w:rsidRPr="0070742B" w:rsidRDefault="00396A12" w:rsidP="00596BE0">
            <w:pPr>
              <w:jc w:val="center"/>
              <w:rPr>
                <w:rFonts w:asciiTheme="minorHAnsi" w:hAnsiTheme="minorHAnsi"/>
                <w:sz w:val="16"/>
                <w:szCs w:val="16"/>
              </w:rPr>
            </w:pPr>
            <w:r w:rsidRPr="0070742B">
              <w:rPr>
                <w:rStyle w:val="cell"/>
                <w:rFonts w:asciiTheme="minorHAnsi" w:hAnsiTheme="minorHAnsi"/>
                <w:sz w:val="16"/>
                <w:szCs w:val="16"/>
              </w:rPr>
              <w:t>-</w:t>
            </w:r>
            <w:r w:rsidRPr="0070742B">
              <w:rPr>
                <w:rFonts w:asciiTheme="minorHAnsi" w:hAnsiTheme="minorHAnsi"/>
                <w:sz w:val="16"/>
                <w:szCs w:val="16"/>
              </w:rPr>
              <w:t xml:space="preserve"> </w:t>
            </w:r>
          </w:p>
        </w:tc>
        <w:tc>
          <w:tcPr>
            <w:tcW w:w="447" w:type="pct"/>
            <w:tcBorders>
              <w:top w:val="single" w:sz="6" w:space="0" w:color="000000"/>
              <w:left w:val="single" w:sz="6" w:space="0" w:color="000000"/>
              <w:bottom w:val="single" w:sz="6" w:space="0" w:color="000000"/>
              <w:right w:val="single" w:sz="6" w:space="0" w:color="000000"/>
            </w:tcBorders>
            <w:hideMark/>
          </w:tcPr>
          <w:p w14:paraId="0E1EC18A" w14:textId="77777777" w:rsidR="00396A12" w:rsidRPr="0070742B" w:rsidRDefault="00396A12" w:rsidP="00596BE0">
            <w:pPr>
              <w:jc w:val="center"/>
              <w:rPr>
                <w:rFonts w:asciiTheme="minorHAnsi" w:hAnsiTheme="minorHAnsi"/>
                <w:sz w:val="16"/>
                <w:szCs w:val="16"/>
              </w:rPr>
            </w:pPr>
            <w:r w:rsidRPr="0070742B">
              <w:rPr>
                <w:rStyle w:val="cell"/>
                <w:rFonts w:asciiTheme="minorHAnsi" w:hAnsiTheme="minorHAnsi"/>
                <w:sz w:val="16"/>
                <w:szCs w:val="16"/>
              </w:rPr>
              <w:t>-</w:t>
            </w:r>
            <w:r w:rsidRPr="0070742B">
              <w:rPr>
                <w:rFonts w:asciiTheme="minorHAnsi" w:hAnsiTheme="minorHAnsi"/>
                <w:sz w:val="16"/>
                <w:szCs w:val="16"/>
              </w:rPr>
              <w:t xml:space="preserve"> </w:t>
            </w:r>
          </w:p>
        </w:tc>
        <w:tc>
          <w:tcPr>
            <w:tcW w:w="331" w:type="pct"/>
            <w:tcBorders>
              <w:top w:val="single" w:sz="6" w:space="0" w:color="000000"/>
              <w:left w:val="single" w:sz="6" w:space="0" w:color="000000"/>
              <w:bottom w:val="single" w:sz="6" w:space="0" w:color="000000"/>
              <w:right w:val="single" w:sz="6" w:space="0" w:color="000000"/>
            </w:tcBorders>
            <w:hideMark/>
          </w:tcPr>
          <w:p w14:paraId="4CF380A2" w14:textId="77777777" w:rsidR="00396A12" w:rsidRPr="0070742B" w:rsidRDefault="00396A12" w:rsidP="00596BE0">
            <w:pPr>
              <w:jc w:val="center"/>
              <w:rPr>
                <w:rFonts w:asciiTheme="minorHAnsi" w:hAnsiTheme="minorHAnsi"/>
                <w:sz w:val="16"/>
                <w:szCs w:val="16"/>
              </w:rPr>
            </w:pPr>
            <w:r w:rsidRPr="0070742B">
              <w:rPr>
                <w:rStyle w:val="cell"/>
                <w:rFonts w:asciiTheme="minorHAnsi" w:hAnsiTheme="minorHAnsi"/>
                <w:sz w:val="16"/>
                <w:szCs w:val="16"/>
              </w:rPr>
              <w:t>-</w:t>
            </w:r>
            <w:r w:rsidRPr="0070742B">
              <w:rPr>
                <w:rFonts w:asciiTheme="minorHAnsi" w:hAnsiTheme="minorHAnsi"/>
                <w:sz w:val="16"/>
                <w:szCs w:val="16"/>
              </w:rPr>
              <w:t xml:space="preserve"> </w:t>
            </w:r>
          </w:p>
        </w:tc>
        <w:tc>
          <w:tcPr>
            <w:tcW w:w="310" w:type="pct"/>
            <w:tcBorders>
              <w:top w:val="single" w:sz="6" w:space="0" w:color="000000"/>
              <w:left w:val="single" w:sz="6" w:space="0" w:color="000000"/>
              <w:bottom w:val="single" w:sz="6" w:space="0" w:color="000000"/>
              <w:right w:val="single" w:sz="6" w:space="0" w:color="000000"/>
            </w:tcBorders>
            <w:hideMark/>
          </w:tcPr>
          <w:p w14:paraId="349A94DA" w14:textId="77777777" w:rsidR="00396A12" w:rsidRPr="0070742B" w:rsidRDefault="00396A12" w:rsidP="00596BE0">
            <w:pPr>
              <w:jc w:val="center"/>
              <w:rPr>
                <w:rFonts w:asciiTheme="minorHAnsi" w:hAnsiTheme="minorHAnsi"/>
                <w:sz w:val="16"/>
                <w:szCs w:val="16"/>
              </w:rPr>
            </w:pPr>
            <w:r w:rsidRPr="0070742B">
              <w:rPr>
                <w:rStyle w:val="cell"/>
                <w:rFonts w:asciiTheme="minorHAnsi" w:hAnsiTheme="minorHAnsi"/>
                <w:sz w:val="16"/>
                <w:szCs w:val="16"/>
              </w:rPr>
              <w:t>-</w:t>
            </w:r>
            <w:r w:rsidRPr="0070742B">
              <w:rPr>
                <w:rFonts w:asciiTheme="minorHAnsi" w:hAnsiTheme="minorHAnsi"/>
                <w:sz w:val="16"/>
                <w:szCs w:val="16"/>
              </w:rPr>
              <w:t xml:space="preserve"> </w:t>
            </w:r>
          </w:p>
        </w:tc>
        <w:tc>
          <w:tcPr>
            <w:tcW w:w="354" w:type="pct"/>
            <w:tcBorders>
              <w:top w:val="single" w:sz="6" w:space="0" w:color="000000"/>
              <w:left w:val="single" w:sz="6" w:space="0" w:color="000000"/>
              <w:bottom w:val="single" w:sz="6" w:space="0" w:color="000000"/>
              <w:right w:val="single" w:sz="6" w:space="0" w:color="000000"/>
            </w:tcBorders>
            <w:hideMark/>
          </w:tcPr>
          <w:p w14:paraId="294D4C68" w14:textId="77777777" w:rsidR="00396A12" w:rsidRPr="0070742B" w:rsidRDefault="00396A12" w:rsidP="00596BE0">
            <w:pPr>
              <w:jc w:val="center"/>
              <w:rPr>
                <w:rFonts w:asciiTheme="minorHAnsi" w:hAnsiTheme="minorHAnsi"/>
                <w:sz w:val="16"/>
                <w:szCs w:val="16"/>
              </w:rPr>
            </w:pPr>
            <w:r w:rsidRPr="0070742B">
              <w:rPr>
                <w:rStyle w:val="cell"/>
                <w:rFonts w:asciiTheme="minorHAnsi" w:hAnsiTheme="minorHAnsi"/>
                <w:sz w:val="16"/>
                <w:szCs w:val="16"/>
              </w:rPr>
              <w:t>-</w:t>
            </w:r>
            <w:r w:rsidRPr="0070742B">
              <w:rPr>
                <w:rFonts w:asciiTheme="minorHAnsi" w:hAnsiTheme="minorHAnsi"/>
                <w:sz w:val="16"/>
                <w:szCs w:val="16"/>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15790A20" w14:textId="77777777" w:rsidR="00396A12" w:rsidRPr="0070742B" w:rsidRDefault="00396A12" w:rsidP="00596BE0">
            <w:pPr>
              <w:jc w:val="center"/>
              <w:rPr>
                <w:rFonts w:asciiTheme="minorHAnsi" w:hAnsiTheme="minorHAnsi"/>
                <w:sz w:val="16"/>
                <w:szCs w:val="16"/>
              </w:rPr>
            </w:pPr>
            <w:r w:rsidRPr="0070742B">
              <w:rPr>
                <w:rStyle w:val="cell"/>
                <w:rFonts w:asciiTheme="minorHAnsi" w:hAnsiTheme="minorHAnsi"/>
                <w:sz w:val="16"/>
                <w:szCs w:val="16"/>
              </w:rPr>
              <w:t>-</w:t>
            </w:r>
            <w:r w:rsidRPr="0070742B">
              <w:rPr>
                <w:rFonts w:asciiTheme="minorHAnsi" w:hAnsiTheme="minorHAnsi"/>
                <w:sz w:val="16"/>
                <w:szCs w:val="16"/>
              </w:rPr>
              <w:t xml:space="preserve"> </w:t>
            </w:r>
          </w:p>
        </w:tc>
        <w:tc>
          <w:tcPr>
            <w:tcW w:w="406" w:type="pct"/>
            <w:tcBorders>
              <w:top w:val="single" w:sz="6" w:space="0" w:color="000000"/>
              <w:left w:val="single" w:sz="6" w:space="0" w:color="000000"/>
              <w:bottom w:val="single" w:sz="6" w:space="0" w:color="000000"/>
              <w:right w:val="single" w:sz="6" w:space="0" w:color="000000"/>
            </w:tcBorders>
            <w:hideMark/>
          </w:tcPr>
          <w:p w14:paraId="5F862705" w14:textId="77777777" w:rsidR="00396A12" w:rsidRPr="0070742B" w:rsidRDefault="00396A12" w:rsidP="00596BE0">
            <w:pPr>
              <w:jc w:val="center"/>
              <w:rPr>
                <w:rFonts w:asciiTheme="minorHAnsi" w:hAnsiTheme="minorHAnsi"/>
                <w:sz w:val="16"/>
                <w:szCs w:val="16"/>
              </w:rPr>
            </w:pPr>
          </w:p>
        </w:tc>
      </w:tr>
    </w:tbl>
    <w:p w14:paraId="29DD4478" w14:textId="77777777" w:rsidR="0034427B" w:rsidRDefault="0009627E" w:rsidP="0034427B">
      <w:pPr>
        <w:pStyle w:val="NormalWeb"/>
        <w:spacing w:line="140" w:lineRule="atLeast"/>
        <w:rPr>
          <w:rFonts w:ascii="Calibri" w:hAnsi="Calibri"/>
          <w:color w:val="000000"/>
          <w:sz w:val="20"/>
          <w:szCs w:val="20"/>
          <w:lang w:val="en"/>
        </w:rPr>
      </w:pPr>
      <w:r w:rsidRPr="005464AD">
        <w:rPr>
          <w:rFonts w:ascii="Calibri" w:hAnsi="Calibri"/>
          <w:b/>
          <w:bCs/>
          <w:color w:val="000000"/>
          <w:sz w:val="20"/>
          <w:szCs w:val="20"/>
          <w:lang w:val="en"/>
        </w:rPr>
        <w:t>CI:</w:t>
      </w:r>
      <w:r w:rsidRPr="005464AD">
        <w:rPr>
          <w:rFonts w:ascii="Calibri" w:hAnsi="Calibri"/>
          <w:color w:val="000000"/>
          <w:sz w:val="20"/>
          <w:szCs w:val="20"/>
          <w:lang w:val="en"/>
        </w:rPr>
        <w:t xml:space="preserve"> Confidence interval;</w:t>
      </w:r>
      <w:r w:rsidR="0034427B">
        <w:rPr>
          <w:rFonts w:ascii="Calibri" w:hAnsi="Calibri"/>
          <w:color w:val="000000"/>
          <w:sz w:val="20"/>
          <w:szCs w:val="20"/>
          <w:lang w:val="en"/>
        </w:rPr>
        <w:t xml:space="preserve"> IRR: incidence rate ration</w:t>
      </w:r>
      <w:r w:rsidRPr="005464AD">
        <w:rPr>
          <w:rFonts w:ascii="Calibri" w:hAnsi="Calibri"/>
          <w:color w:val="000000"/>
          <w:sz w:val="20"/>
          <w:szCs w:val="20"/>
          <w:lang w:val="en"/>
        </w:rPr>
        <w:t xml:space="preserve"> </w:t>
      </w:r>
      <w:r w:rsidRPr="005464AD">
        <w:rPr>
          <w:rFonts w:ascii="Calibri" w:hAnsi="Calibri"/>
          <w:b/>
          <w:bCs/>
          <w:color w:val="000000"/>
          <w:sz w:val="20"/>
          <w:szCs w:val="20"/>
          <w:lang w:val="en"/>
        </w:rPr>
        <w:t>MD:</w:t>
      </w:r>
      <w:r w:rsidRPr="005464AD">
        <w:rPr>
          <w:rFonts w:ascii="Calibri" w:hAnsi="Calibri"/>
          <w:color w:val="000000"/>
          <w:sz w:val="20"/>
          <w:szCs w:val="20"/>
          <w:lang w:val="en"/>
        </w:rPr>
        <w:t xml:space="preserve"> Mean difference; </w:t>
      </w:r>
      <w:r w:rsidRPr="005464AD">
        <w:rPr>
          <w:rFonts w:ascii="Calibri" w:hAnsi="Calibri"/>
          <w:b/>
          <w:bCs/>
          <w:color w:val="000000"/>
          <w:sz w:val="20"/>
          <w:szCs w:val="20"/>
          <w:lang w:val="en"/>
        </w:rPr>
        <w:t>RR:</w:t>
      </w:r>
      <w:r w:rsidRPr="005464AD">
        <w:rPr>
          <w:rFonts w:ascii="Calibri" w:hAnsi="Calibri"/>
          <w:color w:val="000000"/>
          <w:sz w:val="20"/>
          <w:szCs w:val="20"/>
          <w:lang w:val="en"/>
        </w:rPr>
        <w:t xml:space="preserve"> Risk ratio</w:t>
      </w:r>
    </w:p>
    <w:p w14:paraId="0CB77F26" w14:textId="3C55279B" w:rsidR="0009627E" w:rsidRPr="0034427B" w:rsidRDefault="0009627E" w:rsidP="0034427B">
      <w:pPr>
        <w:pStyle w:val="NormalWeb"/>
        <w:spacing w:line="140" w:lineRule="atLeast"/>
        <w:rPr>
          <w:rFonts w:ascii="Calibri" w:eastAsiaTheme="minorEastAsia" w:hAnsi="Calibri"/>
          <w:b/>
          <w:color w:val="000000"/>
          <w:sz w:val="20"/>
          <w:szCs w:val="20"/>
          <w:lang w:val="en"/>
        </w:rPr>
      </w:pPr>
      <w:r w:rsidRPr="0034427B">
        <w:rPr>
          <w:b/>
          <w:color w:val="000000"/>
          <w:sz w:val="20"/>
          <w:szCs w:val="20"/>
          <w:lang w:val="en"/>
        </w:rPr>
        <w:t>Explanations</w:t>
      </w:r>
    </w:p>
    <w:p w14:paraId="769590F8" w14:textId="5704F2CC" w:rsidR="0009627E" w:rsidRPr="0070742B" w:rsidRDefault="0009627E" w:rsidP="0009627E">
      <w:pPr>
        <w:pStyle w:val="ListParagraph"/>
        <w:numPr>
          <w:ilvl w:val="0"/>
          <w:numId w:val="2"/>
        </w:numPr>
        <w:spacing w:line="140" w:lineRule="atLeast"/>
        <w:ind w:left="426"/>
        <w:rPr>
          <w:rFonts w:asciiTheme="minorHAnsi" w:hAnsiTheme="minorHAnsi"/>
          <w:color w:val="000000"/>
          <w:sz w:val="20"/>
          <w:szCs w:val="20"/>
          <w:lang w:val="en"/>
        </w:rPr>
      </w:pPr>
      <w:r w:rsidRPr="0070742B">
        <w:rPr>
          <w:rFonts w:asciiTheme="minorHAnsi" w:hAnsiTheme="minorHAnsi"/>
          <w:color w:val="000000"/>
          <w:sz w:val="20"/>
          <w:szCs w:val="20"/>
          <w:lang w:val="en"/>
        </w:rPr>
        <w:t>As there were three intervention arms</w:t>
      </w:r>
      <w:r w:rsidR="00A84926">
        <w:rPr>
          <w:rFonts w:asciiTheme="minorHAnsi" w:hAnsiTheme="minorHAnsi"/>
          <w:color w:val="000000"/>
          <w:sz w:val="20"/>
          <w:szCs w:val="20"/>
          <w:lang w:val="en"/>
        </w:rPr>
        <w:t xml:space="preserve"> and </w:t>
      </w:r>
      <w:r w:rsidRPr="0070742B">
        <w:rPr>
          <w:rFonts w:asciiTheme="minorHAnsi" w:hAnsiTheme="minorHAnsi"/>
          <w:color w:val="000000"/>
          <w:sz w:val="20"/>
          <w:szCs w:val="20"/>
          <w:lang w:val="en"/>
        </w:rPr>
        <w:t xml:space="preserve">one placebo arm, an adjusted standard error (SE) analysis was used for the calculation of the confidence interval (CI) </w:t>
      </w:r>
      <w:r w:rsidR="00D764C2">
        <w:rPr>
          <w:rFonts w:asciiTheme="minorHAnsi" w:hAnsiTheme="minorHAnsi"/>
          <w:color w:val="000000"/>
          <w:sz w:val="20"/>
          <w:szCs w:val="20"/>
          <w:lang w:val="en"/>
        </w:rPr>
        <w:t>for</w:t>
      </w:r>
      <w:r w:rsidRPr="0070742B">
        <w:rPr>
          <w:rFonts w:asciiTheme="minorHAnsi" w:hAnsiTheme="minorHAnsi"/>
          <w:color w:val="000000"/>
          <w:sz w:val="20"/>
          <w:szCs w:val="20"/>
          <w:lang w:val="en"/>
        </w:rPr>
        <w:t xml:space="preserve"> the overall effect (</w:t>
      </w:r>
      <w:r>
        <w:rPr>
          <w:rFonts w:asciiTheme="minorHAnsi" w:hAnsiTheme="minorHAnsi"/>
          <w:color w:val="000000"/>
          <w:sz w:val="20"/>
          <w:szCs w:val="20"/>
          <w:lang w:val="en"/>
        </w:rPr>
        <w:t>1</w:t>
      </w:r>
      <w:r w:rsidRPr="0070742B">
        <w:rPr>
          <w:rFonts w:asciiTheme="minorHAnsi" w:hAnsiTheme="minorHAnsi"/>
          <w:color w:val="000000"/>
          <w:sz w:val="20"/>
          <w:szCs w:val="20"/>
          <w:lang w:val="en"/>
        </w:rPr>
        <w:t xml:space="preserve">). </w:t>
      </w:r>
    </w:p>
    <w:p w14:paraId="62E774D3" w14:textId="74A72073" w:rsidR="0009627E" w:rsidRPr="0070742B" w:rsidRDefault="0009627E" w:rsidP="0009627E">
      <w:pPr>
        <w:pStyle w:val="ListParagraph"/>
        <w:numPr>
          <w:ilvl w:val="0"/>
          <w:numId w:val="2"/>
        </w:numPr>
        <w:spacing w:line="140" w:lineRule="atLeast"/>
        <w:ind w:left="426"/>
        <w:rPr>
          <w:rFonts w:asciiTheme="minorHAnsi" w:hAnsiTheme="minorHAnsi"/>
          <w:color w:val="000000"/>
          <w:sz w:val="20"/>
          <w:szCs w:val="20"/>
          <w:lang w:val="en"/>
        </w:rPr>
      </w:pPr>
      <w:r w:rsidRPr="0070742B">
        <w:rPr>
          <w:rFonts w:asciiTheme="minorHAnsi" w:hAnsiTheme="minorHAnsi"/>
          <w:color w:val="000000"/>
          <w:sz w:val="20"/>
          <w:szCs w:val="20"/>
          <w:lang w:val="en"/>
        </w:rPr>
        <w:t xml:space="preserve">The only study was funded by industry, and showed positive results. No industry-independent observational or randomized studies were identified to contrast the results. Therefore, </w:t>
      </w:r>
      <w:r>
        <w:rPr>
          <w:rFonts w:asciiTheme="minorHAnsi" w:hAnsiTheme="minorHAnsi"/>
          <w:color w:val="000000"/>
          <w:sz w:val="20"/>
          <w:szCs w:val="20"/>
          <w:lang w:val="en"/>
        </w:rPr>
        <w:t>evidence was</w:t>
      </w:r>
      <w:r w:rsidRPr="0070742B">
        <w:rPr>
          <w:rFonts w:asciiTheme="minorHAnsi" w:hAnsiTheme="minorHAnsi"/>
          <w:color w:val="000000"/>
          <w:sz w:val="20"/>
          <w:szCs w:val="20"/>
          <w:lang w:val="en"/>
        </w:rPr>
        <w:t xml:space="preserve"> downgraded for potential publication bias (</w:t>
      </w:r>
      <w:r>
        <w:rPr>
          <w:rFonts w:asciiTheme="minorHAnsi" w:hAnsiTheme="minorHAnsi"/>
          <w:color w:val="000000"/>
          <w:sz w:val="20"/>
          <w:szCs w:val="20"/>
          <w:lang w:val="en"/>
        </w:rPr>
        <w:t>3</w:t>
      </w:r>
      <w:r w:rsidRPr="0070742B">
        <w:rPr>
          <w:rFonts w:asciiTheme="minorHAnsi" w:hAnsiTheme="minorHAnsi"/>
          <w:color w:val="000000"/>
          <w:sz w:val="20"/>
          <w:szCs w:val="20"/>
          <w:lang w:val="en"/>
        </w:rPr>
        <w:t xml:space="preserve">). </w:t>
      </w:r>
    </w:p>
    <w:p w14:paraId="6479B0DF" w14:textId="271EF341" w:rsidR="0009627E" w:rsidRPr="0070742B" w:rsidRDefault="0009627E" w:rsidP="0009627E">
      <w:pPr>
        <w:pStyle w:val="ListParagraph"/>
        <w:numPr>
          <w:ilvl w:val="0"/>
          <w:numId w:val="2"/>
        </w:numPr>
        <w:spacing w:line="140" w:lineRule="atLeast"/>
        <w:ind w:left="426"/>
        <w:rPr>
          <w:rFonts w:asciiTheme="minorHAnsi" w:hAnsiTheme="minorHAnsi"/>
          <w:color w:val="000000"/>
          <w:sz w:val="20"/>
          <w:szCs w:val="20"/>
          <w:lang w:val="en"/>
        </w:rPr>
      </w:pPr>
      <w:r>
        <w:rPr>
          <w:rFonts w:asciiTheme="minorHAnsi" w:hAnsiTheme="minorHAnsi"/>
          <w:color w:val="000000"/>
          <w:sz w:val="20"/>
          <w:szCs w:val="20"/>
          <w:lang w:val="en"/>
        </w:rPr>
        <w:t>Evidence was d</w:t>
      </w:r>
      <w:r w:rsidRPr="0070742B">
        <w:rPr>
          <w:rFonts w:asciiTheme="minorHAnsi" w:hAnsiTheme="minorHAnsi"/>
          <w:color w:val="000000"/>
          <w:sz w:val="20"/>
          <w:szCs w:val="20"/>
          <w:lang w:val="en"/>
        </w:rPr>
        <w:t>owngraded because FEV</w:t>
      </w:r>
      <w:r w:rsidRPr="00252185">
        <w:rPr>
          <w:rFonts w:asciiTheme="minorHAnsi" w:hAnsiTheme="minorHAnsi"/>
          <w:color w:val="000000"/>
          <w:sz w:val="20"/>
          <w:szCs w:val="20"/>
          <w:vertAlign w:val="subscript"/>
          <w:lang w:val="en"/>
        </w:rPr>
        <w:t>1</w:t>
      </w:r>
      <w:r w:rsidRPr="0070742B">
        <w:rPr>
          <w:rFonts w:asciiTheme="minorHAnsi" w:hAnsiTheme="minorHAnsi"/>
          <w:color w:val="000000"/>
          <w:sz w:val="20"/>
          <w:szCs w:val="20"/>
          <w:lang w:val="en"/>
        </w:rPr>
        <w:t xml:space="preserve"> is considered a surrogate outcome </w:t>
      </w:r>
      <w:r>
        <w:rPr>
          <w:rFonts w:asciiTheme="minorHAnsi" w:hAnsiTheme="minorHAnsi"/>
          <w:color w:val="000000"/>
          <w:sz w:val="20"/>
          <w:szCs w:val="20"/>
          <w:lang w:val="en"/>
        </w:rPr>
        <w:t>for</w:t>
      </w:r>
      <w:r w:rsidRPr="0070742B">
        <w:rPr>
          <w:rFonts w:asciiTheme="minorHAnsi" w:hAnsiTheme="minorHAnsi"/>
          <w:color w:val="000000"/>
          <w:sz w:val="20"/>
          <w:szCs w:val="20"/>
          <w:lang w:val="en"/>
        </w:rPr>
        <w:t xml:space="preserve"> asthma control, with a variable correlation with asthma symptoms (</w:t>
      </w:r>
      <w:r>
        <w:rPr>
          <w:rFonts w:asciiTheme="minorHAnsi" w:hAnsiTheme="minorHAnsi"/>
          <w:color w:val="000000"/>
          <w:sz w:val="20"/>
          <w:szCs w:val="20"/>
          <w:lang w:val="en"/>
        </w:rPr>
        <w:t>4</w:t>
      </w:r>
      <w:r w:rsidRPr="0070742B">
        <w:rPr>
          <w:rFonts w:asciiTheme="minorHAnsi" w:hAnsiTheme="minorHAnsi"/>
          <w:color w:val="000000"/>
          <w:sz w:val="20"/>
          <w:szCs w:val="20"/>
          <w:lang w:val="en"/>
        </w:rPr>
        <w:t xml:space="preserve">). </w:t>
      </w:r>
    </w:p>
    <w:p w14:paraId="2B833C45" w14:textId="280115E1" w:rsidR="0009627E" w:rsidRPr="0070742B" w:rsidRDefault="0009627E" w:rsidP="0009627E">
      <w:pPr>
        <w:pStyle w:val="ListParagraph"/>
        <w:numPr>
          <w:ilvl w:val="0"/>
          <w:numId w:val="2"/>
        </w:numPr>
        <w:spacing w:line="140" w:lineRule="atLeast"/>
        <w:ind w:left="426"/>
        <w:rPr>
          <w:rFonts w:asciiTheme="minorHAnsi" w:hAnsiTheme="minorHAnsi"/>
          <w:color w:val="000000"/>
          <w:sz w:val="20"/>
          <w:szCs w:val="20"/>
          <w:lang w:val="en"/>
        </w:rPr>
      </w:pPr>
      <w:r w:rsidRPr="0070742B">
        <w:rPr>
          <w:rFonts w:asciiTheme="minorHAnsi" w:hAnsiTheme="minorHAnsi"/>
          <w:color w:val="000000"/>
          <w:sz w:val="20"/>
          <w:szCs w:val="20"/>
          <w:lang w:val="en"/>
        </w:rPr>
        <w:t>The effect may both be harmful or beneficial. The Minimal Important Difference (MID) is 0.23 L (</w:t>
      </w:r>
      <w:r>
        <w:rPr>
          <w:rFonts w:asciiTheme="minorHAnsi" w:hAnsiTheme="minorHAnsi"/>
          <w:color w:val="000000"/>
          <w:sz w:val="20"/>
          <w:szCs w:val="20"/>
          <w:lang w:val="en"/>
        </w:rPr>
        <w:t>5</w:t>
      </w:r>
      <w:r w:rsidRPr="0070742B">
        <w:rPr>
          <w:rFonts w:asciiTheme="minorHAnsi" w:hAnsiTheme="minorHAnsi"/>
          <w:color w:val="000000"/>
          <w:sz w:val="20"/>
          <w:szCs w:val="20"/>
          <w:lang w:val="en"/>
        </w:rPr>
        <w:t xml:space="preserve">). </w:t>
      </w:r>
    </w:p>
    <w:p w14:paraId="64ABF410" w14:textId="451E5FB3" w:rsidR="0009627E" w:rsidRPr="0070742B" w:rsidRDefault="0009627E" w:rsidP="0009627E">
      <w:pPr>
        <w:pStyle w:val="ListParagraph"/>
        <w:numPr>
          <w:ilvl w:val="0"/>
          <w:numId w:val="2"/>
        </w:numPr>
        <w:spacing w:line="140" w:lineRule="atLeast"/>
        <w:ind w:left="426"/>
        <w:rPr>
          <w:rFonts w:asciiTheme="minorHAnsi" w:hAnsiTheme="minorHAnsi"/>
          <w:color w:val="000000"/>
          <w:sz w:val="20"/>
          <w:szCs w:val="20"/>
          <w:lang w:val="en"/>
        </w:rPr>
      </w:pPr>
      <w:r w:rsidRPr="0070742B">
        <w:rPr>
          <w:rFonts w:asciiTheme="minorHAnsi" w:hAnsiTheme="minorHAnsi"/>
          <w:color w:val="000000"/>
          <w:sz w:val="20"/>
          <w:szCs w:val="20"/>
          <w:lang w:val="en"/>
        </w:rPr>
        <w:t>The MID is 0.5 points (</w:t>
      </w:r>
      <w:r>
        <w:rPr>
          <w:rFonts w:asciiTheme="minorHAnsi" w:hAnsiTheme="minorHAnsi"/>
          <w:color w:val="000000"/>
          <w:sz w:val="20"/>
          <w:szCs w:val="20"/>
          <w:lang w:val="en"/>
        </w:rPr>
        <w:t>6</w:t>
      </w:r>
      <w:r w:rsidRPr="0070742B">
        <w:rPr>
          <w:rFonts w:asciiTheme="minorHAnsi" w:hAnsiTheme="minorHAnsi"/>
          <w:color w:val="000000"/>
          <w:sz w:val="20"/>
          <w:szCs w:val="20"/>
          <w:lang w:val="en"/>
        </w:rPr>
        <w:t xml:space="preserve">). </w:t>
      </w:r>
    </w:p>
    <w:p w14:paraId="33BEF137" w14:textId="40E637DE" w:rsidR="0009627E" w:rsidRPr="0070742B" w:rsidRDefault="0009627E" w:rsidP="0009627E">
      <w:pPr>
        <w:pStyle w:val="ListParagraph"/>
        <w:numPr>
          <w:ilvl w:val="0"/>
          <w:numId w:val="2"/>
        </w:numPr>
        <w:spacing w:line="140" w:lineRule="atLeast"/>
        <w:ind w:left="426"/>
        <w:rPr>
          <w:rFonts w:asciiTheme="minorHAnsi" w:hAnsiTheme="minorHAnsi"/>
          <w:color w:val="000000"/>
          <w:sz w:val="20"/>
          <w:szCs w:val="20"/>
          <w:lang w:val="en"/>
        </w:rPr>
      </w:pPr>
      <w:r w:rsidRPr="0070742B">
        <w:rPr>
          <w:rFonts w:asciiTheme="minorHAnsi" w:hAnsiTheme="minorHAnsi"/>
          <w:color w:val="000000"/>
          <w:sz w:val="20"/>
          <w:szCs w:val="20"/>
          <w:lang w:val="en"/>
        </w:rPr>
        <w:t>The effect may both be harmful or beneficial. The MID is 0.5 points (</w:t>
      </w:r>
      <w:r>
        <w:rPr>
          <w:rFonts w:asciiTheme="minorHAnsi" w:hAnsiTheme="minorHAnsi"/>
          <w:color w:val="000000"/>
          <w:sz w:val="20"/>
          <w:szCs w:val="20"/>
          <w:lang w:val="en"/>
        </w:rPr>
        <w:t>6</w:t>
      </w:r>
      <w:r w:rsidRPr="0070742B">
        <w:rPr>
          <w:rFonts w:asciiTheme="minorHAnsi" w:hAnsiTheme="minorHAnsi"/>
          <w:color w:val="000000"/>
          <w:sz w:val="20"/>
          <w:szCs w:val="20"/>
          <w:lang w:val="en"/>
        </w:rPr>
        <w:t xml:space="preserve">). </w:t>
      </w:r>
    </w:p>
    <w:p w14:paraId="3F3897EF" w14:textId="39556073" w:rsidR="0009627E" w:rsidRPr="0070742B" w:rsidRDefault="0009627E" w:rsidP="0009627E">
      <w:pPr>
        <w:pStyle w:val="ListParagraph"/>
        <w:numPr>
          <w:ilvl w:val="0"/>
          <w:numId w:val="2"/>
        </w:numPr>
        <w:spacing w:line="140" w:lineRule="atLeast"/>
        <w:ind w:left="426"/>
        <w:rPr>
          <w:rFonts w:asciiTheme="minorHAnsi" w:hAnsiTheme="minorHAnsi"/>
          <w:color w:val="000000"/>
          <w:sz w:val="20"/>
          <w:szCs w:val="20"/>
          <w:lang w:val="en"/>
        </w:rPr>
      </w:pPr>
      <w:r>
        <w:rPr>
          <w:rFonts w:asciiTheme="minorHAnsi" w:hAnsiTheme="minorHAnsi"/>
          <w:color w:val="000000"/>
          <w:sz w:val="20"/>
          <w:szCs w:val="20"/>
          <w:lang w:val="en"/>
        </w:rPr>
        <w:t>Evidence was d</w:t>
      </w:r>
      <w:r w:rsidRPr="0070742B">
        <w:rPr>
          <w:rFonts w:asciiTheme="minorHAnsi" w:hAnsiTheme="minorHAnsi"/>
          <w:color w:val="000000"/>
          <w:sz w:val="20"/>
          <w:szCs w:val="20"/>
          <w:lang w:val="en"/>
        </w:rPr>
        <w:t>owngraded because F</w:t>
      </w:r>
      <w:r>
        <w:rPr>
          <w:rFonts w:asciiTheme="minorHAnsi" w:hAnsiTheme="minorHAnsi"/>
          <w:color w:val="000000"/>
          <w:sz w:val="20"/>
          <w:szCs w:val="20"/>
          <w:lang w:val="en"/>
        </w:rPr>
        <w:t>e</w:t>
      </w:r>
      <w:r w:rsidRPr="0070742B">
        <w:rPr>
          <w:rFonts w:asciiTheme="minorHAnsi" w:hAnsiTheme="minorHAnsi"/>
          <w:color w:val="000000"/>
          <w:sz w:val="20"/>
          <w:szCs w:val="20"/>
          <w:lang w:val="en"/>
        </w:rPr>
        <w:t xml:space="preserve">NO is considered a surrogate outcome of </w:t>
      </w:r>
      <w:r>
        <w:rPr>
          <w:rFonts w:asciiTheme="minorHAnsi" w:hAnsiTheme="minorHAnsi"/>
          <w:color w:val="000000"/>
          <w:sz w:val="20"/>
          <w:szCs w:val="20"/>
          <w:lang w:val="en"/>
        </w:rPr>
        <w:t>T2</w:t>
      </w:r>
      <w:r w:rsidRPr="0070742B">
        <w:rPr>
          <w:rFonts w:asciiTheme="minorHAnsi" w:hAnsiTheme="minorHAnsi"/>
          <w:color w:val="000000"/>
          <w:sz w:val="20"/>
          <w:szCs w:val="20"/>
          <w:lang w:val="en"/>
        </w:rPr>
        <w:t xml:space="preserve"> inflammation, with a variable correlation with asthma symptoms. </w:t>
      </w:r>
    </w:p>
    <w:p w14:paraId="79297434" w14:textId="19DBCBC5" w:rsidR="0009627E" w:rsidRPr="0070742B" w:rsidRDefault="0009627E" w:rsidP="0009627E">
      <w:pPr>
        <w:pStyle w:val="ListParagraph"/>
        <w:numPr>
          <w:ilvl w:val="0"/>
          <w:numId w:val="2"/>
        </w:numPr>
        <w:spacing w:line="140" w:lineRule="atLeast"/>
        <w:ind w:left="426"/>
        <w:rPr>
          <w:rFonts w:asciiTheme="minorHAnsi" w:hAnsiTheme="minorHAnsi"/>
          <w:color w:val="000000"/>
          <w:sz w:val="20"/>
          <w:szCs w:val="20"/>
          <w:lang w:val="en"/>
        </w:rPr>
      </w:pPr>
      <w:r w:rsidRPr="0070742B">
        <w:rPr>
          <w:rFonts w:asciiTheme="minorHAnsi" w:hAnsiTheme="minorHAnsi"/>
          <w:color w:val="000000"/>
          <w:sz w:val="20"/>
          <w:szCs w:val="20"/>
          <w:lang w:val="en"/>
        </w:rPr>
        <w:t>The effect may both be harmful or beneficial. The MID of FeNO change from baseline is more than 10ppb (</w:t>
      </w:r>
      <w:r>
        <w:rPr>
          <w:rFonts w:asciiTheme="minorHAnsi" w:hAnsiTheme="minorHAnsi"/>
          <w:color w:val="000000"/>
          <w:sz w:val="20"/>
          <w:szCs w:val="20"/>
          <w:lang w:val="en"/>
        </w:rPr>
        <w:t>8</w:t>
      </w:r>
      <w:r w:rsidRPr="0070742B">
        <w:rPr>
          <w:rFonts w:asciiTheme="minorHAnsi" w:hAnsiTheme="minorHAnsi"/>
          <w:color w:val="000000"/>
          <w:sz w:val="20"/>
          <w:szCs w:val="20"/>
          <w:lang w:val="en"/>
        </w:rPr>
        <w:t xml:space="preserve">). </w:t>
      </w:r>
    </w:p>
    <w:p w14:paraId="465BDA90" w14:textId="77777777" w:rsidR="0009627E" w:rsidRPr="0070742B" w:rsidRDefault="0009627E" w:rsidP="0009627E">
      <w:pPr>
        <w:pStyle w:val="ListParagraph"/>
        <w:numPr>
          <w:ilvl w:val="0"/>
          <w:numId w:val="2"/>
        </w:numPr>
        <w:spacing w:line="140" w:lineRule="atLeast"/>
        <w:ind w:left="426"/>
        <w:rPr>
          <w:rFonts w:asciiTheme="minorHAnsi" w:hAnsiTheme="minorHAnsi"/>
          <w:color w:val="000000"/>
          <w:sz w:val="20"/>
          <w:szCs w:val="20"/>
          <w:lang w:val="en"/>
        </w:rPr>
      </w:pPr>
      <w:r w:rsidRPr="0070742B">
        <w:rPr>
          <w:rFonts w:asciiTheme="minorHAnsi" w:hAnsiTheme="minorHAnsi"/>
          <w:color w:val="000000"/>
          <w:sz w:val="20"/>
          <w:szCs w:val="20"/>
          <w:lang w:val="en"/>
        </w:rPr>
        <w:t xml:space="preserve">The effect may both be harmful or beneficial. </w:t>
      </w:r>
    </w:p>
    <w:p w14:paraId="4CDCA0E6" w14:textId="77777777" w:rsidR="0009627E" w:rsidRPr="0070742B" w:rsidRDefault="0009627E" w:rsidP="0009627E">
      <w:pPr>
        <w:pStyle w:val="Heading4"/>
        <w:spacing w:line="140" w:lineRule="atLeast"/>
        <w:rPr>
          <w:rFonts w:eastAsia="Times New Roman"/>
          <w:color w:val="000000"/>
          <w:sz w:val="20"/>
          <w:szCs w:val="20"/>
          <w:lang w:val="en"/>
        </w:rPr>
      </w:pPr>
      <w:r w:rsidRPr="0070742B">
        <w:rPr>
          <w:rFonts w:eastAsia="Times New Roman"/>
          <w:color w:val="000000"/>
          <w:sz w:val="20"/>
          <w:szCs w:val="20"/>
          <w:lang w:val="en"/>
        </w:rPr>
        <w:t>References</w:t>
      </w:r>
    </w:p>
    <w:p w14:paraId="4715888C" w14:textId="77777777" w:rsidR="0009627E" w:rsidRPr="0070742B" w:rsidRDefault="0009627E" w:rsidP="0009627E">
      <w:pPr>
        <w:pStyle w:val="ListParagraph"/>
        <w:numPr>
          <w:ilvl w:val="1"/>
          <w:numId w:val="1"/>
        </w:numPr>
        <w:tabs>
          <w:tab w:val="clear" w:pos="1440"/>
          <w:tab w:val="num" w:pos="426"/>
        </w:tabs>
        <w:spacing w:line="140" w:lineRule="atLeast"/>
        <w:ind w:left="426"/>
        <w:rPr>
          <w:rFonts w:asciiTheme="minorHAnsi" w:hAnsiTheme="minorHAnsi"/>
          <w:color w:val="000000"/>
          <w:sz w:val="20"/>
          <w:szCs w:val="20"/>
          <w:lang w:val="en"/>
        </w:rPr>
      </w:pPr>
      <w:r w:rsidRPr="0070742B">
        <w:rPr>
          <w:rFonts w:asciiTheme="minorHAnsi" w:hAnsiTheme="minorHAnsi"/>
          <w:color w:val="000000"/>
          <w:sz w:val="20"/>
          <w:szCs w:val="20"/>
          <w:lang w:val="en"/>
        </w:rPr>
        <w:t xml:space="preserve">Rücker, G, Cates, CJ, Schwarzer, G. Methods for including information from multi-arm trials in pairwise meta-analysis. Research Synthesis Methods; 2017. </w:t>
      </w:r>
    </w:p>
    <w:p w14:paraId="20243967" w14:textId="1B894882" w:rsidR="0009627E" w:rsidRPr="0070742B" w:rsidRDefault="0009627E" w:rsidP="0009627E">
      <w:pPr>
        <w:pStyle w:val="ListParagraph"/>
        <w:numPr>
          <w:ilvl w:val="1"/>
          <w:numId w:val="1"/>
        </w:numPr>
        <w:tabs>
          <w:tab w:val="clear" w:pos="1440"/>
          <w:tab w:val="num" w:pos="426"/>
        </w:tabs>
        <w:spacing w:line="140" w:lineRule="atLeast"/>
        <w:ind w:left="426"/>
        <w:rPr>
          <w:rFonts w:asciiTheme="minorHAnsi" w:hAnsiTheme="minorHAnsi"/>
          <w:color w:val="000000"/>
          <w:sz w:val="20"/>
          <w:szCs w:val="20"/>
          <w:lang w:val="en"/>
        </w:rPr>
      </w:pPr>
      <w:r w:rsidRPr="0070742B">
        <w:rPr>
          <w:rFonts w:asciiTheme="minorHAnsi" w:hAnsiTheme="minorHAnsi"/>
          <w:color w:val="000000"/>
          <w:sz w:val="20"/>
          <w:szCs w:val="20"/>
          <w:lang w:val="en"/>
        </w:rPr>
        <w:t xml:space="preserve">Corren, J, Parnes, JR, Wang, L, </w:t>
      </w:r>
      <w:r w:rsidR="0034427B">
        <w:rPr>
          <w:rFonts w:asciiTheme="minorHAnsi" w:hAnsiTheme="minorHAnsi"/>
          <w:color w:val="000000"/>
          <w:sz w:val="20"/>
          <w:szCs w:val="20"/>
          <w:lang w:val="en"/>
        </w:rPr>
        <w:t>et al</w:t>
      </w:r>
      <w:r w:rsidRPr="0070742B">
        <w:rPr>
          <w:rFonts w:asciiTheme="minorHAnsi" w:hAnsiTheme="minorHAnsi"/>
          <w:color w:val="000000"/>
          <w:sz w:val="20"/>
          <w:szCs w:val="20"/>
          <w:lang w:val="en"/>
        </w:rPr>
        <w:t xml:space="preserve">. Tezepelumab in Adults with Uncontrolled Asthma. New England Journal of Medicine; 2017. </w:t>
      </w:r>
    </w:p>
    <w:p w14:paraId="28BAF664" w14:textId="6EC43CEC" w:rsidR="0009627E" w:rsidRPr="0070742B" w:rsidRDefault="0009627E" w:rsidP="0009627E">
      <w:pPr>
        <w:pStyle w:val="ListParagraph"/>
        <w:numPr>
          <w:ilvl w:val="1"/>
          <w:numId w:val="1"/>
        </w:numPr>
        <w:tabs>
          <w:tab w:val="clear" w:pos="1440"/>
          <w:tab w:val="num" w:pos="426"/>
        </w:tabs>
        <w:spacing w:line="140" w:lineRule="atLeast"/>
        <w:ind w:left="426"/>
        <w:rPr>
          <w:rFonts w:asciiTheme="minorHAnsi" w:hAnsiTheme="minorHAnsi"/>
          <w:color w:val="000000"/>
          <w:sz w:val="20"/>
          <w:szCs w:val="20"/>
          <w:lang w:val="en"/>
        </w:rPr>
      </w:pPr>
      <w:r w:rsidRPr="0070742B">
        <w:rPr>
          <w:rFonts w:asciiTheme="minorHAnsi" w:hAnsiTheme="minorHAnsi"/>
          <w:color w:val="000000"/>
          <w:sz w:val="20"/>
          <w:szCs w:val="20"/>
          <w:lang w:val="en"/>
        </w:rPr>
        <w:t xml:space="preserve">Lundh, A, Lexchin, J, Mintzes, B, Schroll, JB, Bero, L. Industry sponsorship and research outcome. Cochrane Database Syst Rev; 2017. </w:t>
      </w:r>
    </w:p>
    <w:p w14:paraId="278B293B" w14:textId="256B78AD" w:rsidR="0009627E" w:rsidRPr="0070742B" w:rsidRDefault="0009627E" w:rsidP="0009627E">
      <w:pPr>
        <w:pStyle w:val="ListParagraph"/>
        <w:numPr>
          <w:ilvl w:val="1"/>
          <w:numId w:val="1"/>
        </w:numPr>
        <w:tabs>
          <w:tab w:val="clear" w:pos="1440"/>
          <w:tab w:val="num" w:pos="426"/>
        </w:tabs>
        <w:spacing w:line="140" w:lineRule="atLeast"/>
        <w:ind w:left="426"/>
        <w:rPr>
          <w:rFonts w:asciiTheme="minorHAnsi" w:hAnsiTheme="minorHAnsi"/>
          <w:color w:val="000000"/>
          <w:sz w:val="20"/>
          <w:szCs w:val="20"/>
          <w:lang w:val="en"/>
        </w:rPr>
      </w:pPr>
      <w:r w:rsidRPr="0070742B">
        <w:rPr>
          <w:rFonts w:asciiTheme="minorHAnsi" w:hAnsiTheme="minorHAnsi"/>
          <w:color w:val="000000"/>
          <w:sz w:val="20"/>
          <w:szCs w:val="20"/>
          <w:lang w:val="en"/>
        </w:rPr>
        <w:t>Aburuz</w:t>
      </w:r>
      <w:r w:rsidR="0034427B">
        <w:rPr>
          <w:rFonts w:asciiTheme="minorHAnsi" w:hAnsiTheme="minorHAnsi"/>
          <w:color w:val="000000"/>
          <w:sz w:val="20"/>
          <w:szCs w:val="20"/>
          <w:lang w:val="en"/>
        </w:rPr>
        <w:t xml:space="preserve"> et al</w:t>
      </w:r>
      <w:r w:rsidRPr="0070742B">
        <w:rPr>
          <w:rFonts w:asciiTheme="minorHAnsi" w:hAnsiTheme="minorHAnsi"/>
          <w:color w:val="000000"/>
          <w:sz w:val="20"/>
          <w:szCs w:val="20"/>
          <w:lang w:val="en"/>
        </w:rPr>
        <w:t xml:space="preserve">. Relationship between lung fuction and asthma symptoms in patients with difficult to control asthma. 2005. </w:t>
      </w:r>
    </w:p>
    <w:p w14:paraId="20B97A2D" w14:textId="77777777" w:rsidR="0009627E" w:rsidRPr="0070742B" w:rsidRDefault="0009627E" w:rsidP="0009627E">
      <w:pPr>
        <w:pStyle w:val="ListParagraph"/>
        <w:numPr>
          <w:ilvl w:val="1"/>
          <w:numId w:val="1"/>
        </w:numPr>
        <w:tabs>
          <w:tab w:val="clear" w:pos="1440"/>
          <w:tab w:val="num" w:pos="426"/>
        </w:tabs>
        <w:spacing w:line="140" w:lineRule="atLeast"/>
        <w:ind w:left="426"/>
        <w:rPr>
          <w:rFonts w:asciiTheme="minorHAnsi" w:hAnsiTheme="minorHAnsi"/>
          <w:color w:val="000000"/>
          <w:sz w:val="20"/>
          <w:szCs w:val="20"/>
          <w:lang w:val="en"/>
        </w:rPr>
      </w:pPr>
      <w:r w:rsidRPr="0070742B">
        <w:rPr>
          <w:rFonts w:asciiTheme="minorHAnsi" w:hAnsiTheme="minorHAnsi"/>
          <w:color w:val="000000"/>
          <w:sz w:val="20"/>
          <w:szCs w:val="20"/>
          <w:lang w:val="en"/>
        </w:rPr>
        <w:t xml:space="preserve">Santanello, NC. What are minimal important changes for asthma measures in a clinical </w:t>
      </w:r>
      <w:proofErr w:type="gramStart"/>
      <w:r w:rsidRPr="0070742B">
        <w:rPr>
          <w:rFonts w:asciiTheme="minorHAnsi" w:hAnsiTheme="minorHAnsi"/>
          <w:color w:val="000000"/>
          <w:sz w:val="20"/>
          <w:szCs w:val="20"/>
          <w:lang w:val="en"/>
        </w:rPr>
        <w:t>trial?.</w:t>
      </w:r>
      <w:proofErr w:type="gramEnd"/>
      <w:r w:rsidRPr="0070742B">
        <w:rPr>
          <w:rFonts w:asciiTheme="minorHAnsi" w:hAnsiTheme="minorHAnsi"/>
          <w:color w:val="000000"/>
          <w:sz w:val="20"/>
          <w:szCs w:val="20"/>
          <w:lang w:val="en"/>
        </w:rPr>
        <w:t xml:space="preserve"> European Respiratory Journal; 1999. </w:t>
      </w:r>
    </w:p>
    <w:p w14:paraId="0690DD9A" w14:textId="77777777" w:rsidR="0009627E" w:rsidRPr="0070742B" w:rsidRDefault="0009627E" w:rsidP="0009627E">
      <w:pPr>
        <w:pStyle w:val="ListParagraph"/>
        <w:numPr>
          <w:ilvl w:val="1"/>
          <w:numId w:val="1"/>
        </w:numPr>
        <w:tabs>
          <w:tab w:val="clear" w:pos="1440"/>
          <w:tab w:val="num" w:pos="426"/>
        </w:tabs>
        <w:spacing w:line="140" w:lineRule="atLeast"/>
        <w:ind w:left="426"/>
        <w:rPr>
          <w:rFonts w:asciiTheme="minorHAnsi" w:hAnsiTheme="minorHAnsi"/>
          <w:color w:val="000000"/>
          <w:sz w:val="20"/>
          <w:szCs w:val="20"/>
          <w:lang w:val="en"/>
        </w:rPr>
      </w:pPr>
      <w:r w:rsidRPr="0070742B">
        <w:rPr>
          <w:rFonts w:asciiTheme="minorHAnsi" w:hAnsiTheme="minorHAnsi"/>
          <w:color w:val="000000"/>
          <w:sz w:val="20"/>
          <w:szCs w:val="20"/>
          <w:lang w:val="en"/>
        </w:rPr>
        <w:t xml:space="preserve">Juniper, EF, Svensson, K, Mork, AC, Stahl, E. Measurement properties and interpretation of three shortened versions of the asthma control </w:t>
      </w:r>
      <w:proofErr w:type="gramStart"/>
      <w:r w:rsidRPr="0070742B">
        <w:rPr>
          <w:rFonts w:asciiTheme="minorHAnsi" w:hAnsiTheme="minorHAnsi"/>
          <w:color w:val="000000"/>
          <w:sz w:val="20"/>
          <w:szCs w:val="20"/>
          <w:lang w:val="en"/>
        </w:rPr>
        <w:t>questionnaire..</w:t>
      </w:r>
      <w:proofErr w:type="gramEnd"/>
      <w:r w:rsidRPr="0070742B">
        <w:rPr>
          <w:rFonts w:asciiTheme="minorHAnsi" w:hAnsiTheme="minorHAnsi"/>
          <w:color w:val="000000"/>
          <w:sz w:val="20"/>
          <w:szCs w:val="20"/>
          <w:lang w:val="en"/>
        </w:rPr>
        <w:t xml:space="preserve"> Respiratory Medicine; 2005. </w:t>
      </w:r>
    </w:p>
    <w:p w14:paraId="7E921AD5" w14:textId="2701571F" w:rsidR="0009627E" w:rsidRDefault="0009627E" w:rsidP="0009627E">
      <w:pPr>
        <w:pStyle w:val="ListParagraph"/>
        <w:numPr>
          <w:ilvl w:val="1"/>
          <w:numId w:val="1"/>
        </w:numPr>
        <w:tabs>
          <w:tab w:val="clear" w:pos="1440"/>
          <w:tab w:val="num" w:pos="426"/>
        </w:tabs>
        <w:spacing w:line="140" w:lineRule="atLeast"/>
        <w:ind w:left="426"/>
        <w:rPr>
          <w:rFonts w:asciiTheme="minorHAnsi" w:hAnsiTheme="minorHAnsi"/>
          <w:color w:val="000000"/>
          <w:sz w:val="20"/>
          <w:szCs w:val="20"/>
          <w:lang w:val="en"/>
        </w:rPr>
      </w:pPr>
      <w:r w:rsidRPr="0070742B">
        <w:rPr>
          <w:rFonts w:asciiTheme="minorHAnsi" w:hAnsiTheme="minorHAnsi"/>
          <w:color w:val="000000"/>
          <w:sz w:val="20"/>
          <w:szCs w:val="20"/>
          <w:lang w:val="en"/>
        </w:rPr>
        <w:lastRenderedPageBreak/>
        <w:t xml:space="preserve">Juniper, EF, Svensson, K, Mörk, AC, Ståhl, E. Modification of the asthma quality of life questionnaire (standardised) for patients 12 years and older. Health and Quality of Life Outcomes; 2005. </w:t>
      </w:r>
    </w:p>
    <w:p w14:paraId="4F87B27C" w14:textId="6966B938" w:rsidR="00BE2074" w:rsidRDefault="0009627E" w:rsidP="0009627E">
      <w:pPr>
        <w:pStyle w:val="ListParagraph"/>
        <w:numPr>
          <w:ilvl w:val="1"/>
          <w:numId w:val="1"/>
        </w:numPr>
        <w:tabs>
          <w:tab w:val="clear" w:pos="1440"/>
          <w:tab w:val="num" w:pos="426"/>
        </w:tabs>
        <w:spacing w:line="140" w:lineRule="atLeast"/>
        <w:ind w:left="426"/>
        <w:rPr>
          <w:rFonts w:asciiTheme="minorHAnsi" w:hAnsiTheme="minorHAnsi"/>
          <w:color w:val="000000"/>
          <w:sz w:val="20"/>
          <w:szCs w:val="20"/>
          <w:lang w:val="en"/>
        </w:rPr>
      </w:pPr>
      <w:r w:rsidRPr="0009627E">
        <w:rPr>
          <w:rFonts w:asciiTheme="minorHAnsi" w:hAnsiTheme="minorHAnsi"/>
          <w:color w:val="000000"/>
          <w:sz w:val="20"/>
          <w:szCs w:val="20"/>
          <w:lang w:val="en"/>
        </w:rPr>
        <w:t xml:space="preserve">Dweik, Raed A., Boggs, Peter B., </w:t>
      </w:r>
      <w:r w:rsidR="0034427B">
        <w:rPr>
          <w:rFonts w:asciiTheme="minorHAnsi" w:hAnsiTheme="minorHAnsi"/>
          <w:color w:val="000000"/>
          <w:sz w:val="20"/>
          <w:szCs w:val="20"/>
          <w:lang w:val="en"/>
        </w:rPr>
        <w:t>et al</w:t>
      </w:r>
      <w:r w:rsidRPr="0009627E">
        <w:rPr>
          <w:rFonts w:asciiTheme="minorHAnsi" w:hAnsiTheme="minorHAnsi"/>
          <w:color w:val="000000"/>
          <w:sz w:val="20"/>
          <w:szCs w:val="20"/>
          <w:lang w:val="en"/>
        </w:rPr>
        <w:t>, American Thoracic Society Committee on Interpretation of Exhaled Nitric Oxide Levels for Clinical, Applications. An official ATS clinical practice guideline: interpretation of exhaled nitric oxide levels (FENO) for clinical applications. Am J Respir Crit Care Med; 2011.</w:t>
      </w:r>
    </w:p>
    <w:p w14:paraId="24DC86F7" w14:textId="1BC1A09D" w:rsidR="007666F1" w:rsidRDefault="007666F1" w:rsidP="007666F1">
      <w:pPr>
        <w:spacing w:line="140" w:lineRule="atLeast"/>
        <w:rPr>
          <w:rFonts w:asciiTheme="minorHAnsi" w:hAnsiTheme="minorHAnsi"/>
          <w:color w:val="000000"/>
          <w:sz w:val="20"/>
          <w:szCs w:val="20"/>
          <w:lang w:val="en"/>
        </w:rPr>
      </w:pPr>
    </w:p>
    <w:tbl>
      <w:tblPr>
        <w:tblStyle w:val="TableGrid"/>
        <w:tblW w:w="0" w:type="auto"/>
        <w:tblLook w:val="04A0" w:firstRow="1" w:lastRow="0" w:firstColumn="1" w:lastColumn="0" w:noHBand="0" w:noVBand="1"/>
      </w:tblPr>
      <w:tblGrid>
        <w:gridCol w:w="1625"/>
        <w:gridCol w:w="1979"/>
        <w:gridCol w:w="2167"/>
        <w:gridCol w:w="3239"/>
      </w:tblGrid>
      <w:tr w:rsidR="007666F1" w:rsidRPr="009417F8" w14:paraId="5A165835" w14:textId="77777777" w:rsidTr="005F390C">
        <w:tc>
          <w:tcPr>
            <w:tcW w:w="9010" w:type="dxa"/>
            <w:gridSpan w:val="4"/>
            <w:shd w:val="clear" w:color="auto" w:fill="FFC000"/>
          </w:tcPr>
          <w:p w14:paraId="7A02D79B" w14:textId="459C9E99" w:rsidR="007666F1" w:rsidRPr="009417F8" w:rsidRDefault="007666F1" w:rsidP="005F390C">
            <w:pPr>
              <w:rPr>
                <w:sz w:val="20"/>
                <w:szCs w:val="20"/>
              </w:rPr>
            </w:pPr>
            <w:r w:rsidRPr="009417F8">
              <w:rPr>
                <w:sz w:val="20"/>
                <w:szCs w:val="20"/>
              </w:rPr>
              <w:t xml:space="preserve">Table </w:t>
            </w:r>
            <w:r>
              <w:rPr>
                <w:sz w:val="20"/>
                <w:szCs w:val="20"/>
              </w:rPr>
              <w:t>S5</w:t>
            </w:r>
            <w:r w:rsidR="007A1037">
              <w:rPr>
                <w:sz w:val="20"/>
                <w:szCs w:val="20"/>
              </w:rPr>
              <w:t>6</w:t>
            </w:r>
            <w:r w:rsidRPr="009417F8">
              <w:rPr>
                <w:sz w:val="20"/>
                <w:szCs w:val="20"/>
              </w:rPr>
              <w:t>: Previous targeted interventions in asthma, currently discontinued</w:t>
            </w:r>
          </w:p>
        </w:tc>
      </w:tr>
      <w:tr w:rsidR="007666F1" w:rsidRPr="009417F8" w14:paraId="41E47327" w14:textId="77777777" w:rsidTr="005F390C">
        <w:tc>
          <w:tcPr>
            <w:tcW w:w="1625" w:type="dxa"/>
          </w:tcPr>
          <w:p w14:paraId="2642CFAF" w14:textId="77777777" w:rsidR="007666F1" w:rsidRPr="009417F8" w:rsidRDefault="007666F1" w:rsidP="005F390C">
            <w:pPr>
              <w:rPr>
                <w:sz w:val="20"/>
                <w:szCs w:val="20"/>
              </w:rPr>
            </w:pPr>
            <w:r w:rsidRPr="009417F8">
              <w:rPr>
                <w:sz w:val="20"/>
                <w:szCs w:val="20"/>
              </w:rPr>
              <w:t>Biological/small molecule</w:t>
            </w:r>
          </w:p>
        </w:tc>
        <w:tc>
          <w:tcPr>
            <w:tcW w:w="1979" w:type="dxa"/>
          </w:tcPr>
          <w:p w14:paraId="6C262BA9" w14:textId="77777777" w:rsidR="007666F1" w:rsidRPr="009417F8" w:rsidRDefault="007666F1" w:rsidP="005F390C">
            <w:pPr>
              <w:rPr>
                <w:sz w:val="20"/>
                <w:szCs w:val="20"/>
              </w:rPr>
            </w:pPr>
            <w:r w:rsidRPr="009417F8">
              <w:rPr>
                <w:sz w:val="20"/>
                <w:szCs w:val="20"/>
              </w:rPr>
              <w:t>Target/mechanism of action/characteristics</w:t>
            </w:r>
          </w:p>
        </w:tc>
        <w:tc>
          <w:tcPr>
            <w:tcW w:w="2167" w:type="dxa"/>
          </w:tcPr>
          <w:p w14:paraId="0F65F05A" w14:textId="77777777" w:rsidR="007666F1" w:rsidRPr="009417F8" w:rsidRDefault="007666F1" w:rsidP="005F390C">
            <w:pPr>
              <w:rPr>
                <w:sz w:val="20"/>
                <w:szCs w:val="20"/>
              </w:rPr>
            </w:pPr>
            <w:r w:rsidRPr="009417F8">
              <w:rPr>
                <w:sz w:val="20"/>
                <w:szCs w:val="20"/>
              </w:rPr>
              <w:t>Outcomes</w:t>
            </w:r>
          </w:p>
        </w:tc>
        <w:tc>
          <w:tcPr>
            <w:tcW w:w="3239" w:type="dxa"/>
          </w:tcPr>
          <w:p w14:paraId="54C26D35" w14:textId="77777777" w:rsidR="007666F1" w:rsidRPr="009417F8" w:rsidRDefault="007666F1" w:rsidP="005F390C">
            <w:pPr>
              <w:rPr>
                <w:sz w:val="20"/>
                <w:szCs w:val="20"/>
              </w:rPr>
            </w:pPr>
            <w:r w:rsidRPr="009417F8">
              <w:rPr>
                <w:sz w:val="20"/>
                <w:szCs w:val="20"/>
              </w:rPr>
              <w:t>References</w:t>
            </w:r>
          </w:p>
        </w:tc>
      </w:tr>
      <w:tr w:rsidR="007666F1" w:rsidRPr="009417F8" w14:paraId="6C787B11" w14:textId="77777777" w:rsidTr="005F390C">
        <w:tc>
          <w:tcPr>
            <w:tcW w:w="1625" w:type="dxa"/>
          </w:tcPr>
          <w:p w14:paraId="74228465" w14:textId="77777777" w:rsidR="007666F1" w:rsidRPr="009417F8" w:rsidRDefault="007666F1" w:rsidP="005F390C">
            <w:pPr>
              <w:rPr>
                <w:sz w:val="20"/>
                <w:szCs w:val="20"/>
              </w:rPr>
            </w:pPr>
            <w:r w:rsidRPr="009417F8">
              <w:rPr>
                <w:sz w:val="20"/>
                <w:szCs w:val="20"/>
              </w:rPr>
              <w:t>Pascolizumab</w:t>
            </w:r>
          </w:p>
        </w:tc>
        <w:tc>
          <w:tcPr>
            <w:tcW w:w="1979" w:type="dxa"/>
          </w:tcPr>
          <w:p w14:paraId="6B3DFFBD" w14:textId="77777777" w:rsidR="007666F1" w:rsidRPr="009417F8" w:rsidRDefault="007666F1" w:rsidP="005F390C">
            <w:pPr>
              <w:rPr>
                <w:sz w:val="20"/>
                <w:szCs w:val="20"/>
              </w:rPr>
            </w:pPr>
            <w:r w:rsidRPr="009417F8">
              <w:rPr>
                <w:sz w:val="20"/>
                <w:szCs w:val="20"/>
              </w:rPr>
              <w:t>Humanised Mab selective blocking the interaction of IL-4 with its receptor</w:t>
            </w:r>
          </w:p>
        </w:tc>
        <w:tc>
          <w:tcPr>
            <w:tcW w:w="2167" w:type="dxa"/>
          </w:tcPr>
          <w:p w14:paraId="4488E8FA" w14:textId="77777777" w:rsidR="007666F1" w:rsidRPr="009417F8" w:rsidRDefault="007666F1" w:rsidP="005F390C">
            <w:pPr>
              <w:rPr>
                <w:sz w:val="20"/>
                <w:szCs w:val="20"/>
              </w:rPr>
            </w:pPr>
            <w:r w:rsidRPr="009417F8">
              <w:rPr>
                <w:sz w:val="20"/>
                <w:szCs w:val="20"/>
              </w:rPr>
              <w:t>Preclinical efficacy; clinical development programmed discontinued to lack of efficacy</w:t>
            </w:r>
          </w:p>
        </w:tc>
        <w:tc>
          <w:tcPr>
            <w:tcW w:w="3239" w:type="dxa"/>
          </w:tcPr>
          <w:p w14:paraId="535E8746" w14:textId="77777777" w:rsidR="007666F1" w:rsidRPr="009417F8" w:rsidRDefault="007666F1" w:rsidP="005F390C">
            <w:pPr>
              <w:rPr>
                <w:sz w:val="20"/>
                <w:szCs w:val="20"/>
              </w:rPr>
            </w:pPr>
            <w:r w:rsidRPr="009417F8">
              <w:rPr>
                <w:sz w:val="20"/>
                <w:szCs w:val="20"/>
              </w:rPr>
              <w:t>Hart TK et al. Clin. Exp. Immunol. 2003; 130, 93–100.</w:t>
            </w:r>
          </w:p>
        </w:tc>
      </w:tr>
      <w:tr w:rsidR="007666F1" w:rsidRPr="009417F8" w14:paraId="20646D32" w14:textId="77777777" w:rsidTr="005F390C">
        <w:tc>
          <w:tcPr>
            <w:tcW w:w="1625" w:type="dxa"/>
          </w:tcPr>
          <w:p w14:paraId="651637EE" w14:textId="77777777" w:rsidR="007666F1" w:rsidRPr="009417F8" w:rsidRDefault="007666F1" w:rsidP="005F390C">
            <w:pPr>
              <w:rPr>
                <w:sz w:val="20"/>
                <w:szCs w:val="20"/>
              </w:rPr>
            </w:pPr>
            <w:r w:rsidRPr="009417F8">
              <w:rPr>
                <w:sz w:val="20"/>
                <w:szCs w:val="20"/>
              </w:rPr>
              <w:t>Pitrakinra</w:t>
            </w:r>
          </w:p>
        </w:tc>
        <w:tc>
          <w:tcPr>
            <w:tcW w:w="1979" w:type="dxa"/>
          </w:tcPr>
          <w:p w14:paraId="206C8FF0" w14:textId="77777777" w:rsidR="007666F1" w:rsidRPr="009417F8" w:rsidRDefault="007666F1" w:rsidP="005F390C">
            <w:pPr>
              <w:rPr>
                <w:sz w:val="20"/>
                <w:szCs w:val="20"/>
              </w:rPr>
            </w:pPr>
            <w:r w:rsidRPr="009417F8">
              <w:rPr>
                <w:sz w:val="20"/>
                <w:szCs w:val="20"/>
              </w:rPr>
              <w:t>IL-4 variant inhibiting the binding of interleukin 4 and interleukin 13 to IL-4R alpha receptor complexes</w:t>
            </w:r>
          </w:p>
        </w:tc>
        <w:tc>
          <w:tcPr>
            <w:tcW w:w="2167" w:type="dxa"/>
          </w:tcPr>
          <w:p w14:paraId="7FDAA1EE" w14:textId="77777777" w:rsidR="007666F1" w:rsidRPr="009417F8" w:rsidRDefault="007666F1" w:rsidP="005F390C">
            <w:pPr>
              <w:rPr>
                <w:sz w:val="20"/>
                <w:szCs w:val="20"/>
              </w:rPr>
            </w:pPr>
            <w:r w:rsidRPr="009417F8">
              <w:rPr>
                <w:sz w:val="20"/>
                <w:szCs w:val="20"/>
              </w:rPr>
              <w:t>Modest efficacy in phase IIa trial</w:t>
            </w:r>
          </w:p>
        </w:tc>
        <w:tc>
          <w:tcPr>
            <w:tcW w:w="3239" w:type="dxa"/>
          </w:tcPr>
          <w:p w14:paraId="01832D10" w14:textId="77777777" w:rsidR="007666F1" w:rsidRPr="009417F8" w:rsidRDefault="007666F1" w:rsidP="005F390C">
            <w:pPr>
              <w:rPr>
                <w:sz w:val="20"/>
                <w:szCs w:val="20"/>
              </w:rPr>
            </w:pPr>
            <w:r w:rsidRPr="009417F8">
              <w:rPr>
                <w:sz w:val="20"/>
                <w:szCs w:val="20"/>
              </w:rPr>
              <w:t>Wenzel S et al. Lancet. 2007; 370(9596):1422-31.</w:t>
            </w:r>
          </w:p>
        </w:tc>
      </w:tr>
      <w:tr w:rsidR="007666F1" w:rsidRPr="009417F8" w14:paraId="4CCFA1F2" w14:textId="77777777" w:rsidTr="005F390C">
        <w:tc>
          <w:tcPr>
            <w:tcW w:w="1625" w:type="dxa"/>
          </w:tcPr>
          <w:p w14:paraId="47BDDB5A" w14:textId="77777777" w:rsidR="007666F1" w:rsidRPr="009417F8" w:rsidRDefault="007666F1" w:rsidP="005F390C">
            <w:pPr>
              <w:rPr>
                <w:sz w:val="20"/>
                <w:szCs w:val="20"/>
              </w:rPr>
            </w:pPr>
            <w:r w:rsidRPr="009417F8">
              <w:rPr>
                <w:sz w:val="20"/>
                <w:szCs w:val="20"/>
              </w:rPr>
              <w:t>AMG317</w:t>
            </w:r>
          </w:p>
        </w:tc>
        <w:tc>
          <w:tcPr>
            <w:tcW w:w="1979" w:type="dxa"/>
          </w:tcPr>
          <w:p w14:paraId="5994D5E9" w14:textId="77777777" w:rsidR="007666F1" w:rsidRPr="009417F8" w:rsidRDefault="007666F1" w:rsidP="005F390C">
            <w:pPr>
              <w:rPr>
                <w:sz w:val="20"/>
                <w:szCs w:val="20"/>
              </w:rPr>
            </w:pPr>
            <w:r w:rsidRPr="009417F8">
              <w:rPr>
                <w:sz w:val="20"/>
                <w:szCs w:val="20"/>
              </w:rPr>
              <w:t>Fully human Mab to IL-4Ralpha that blocks both IL-4 and IL-13 pathways</w:t>
            </w:r>
          </w:p>
        </w:tc>
        <w:tc>
          <w:tcPr>
            <w:tcW w:w="2167" w:type="dxa"/>
          </w:tcPr>
          <w:p w14:paraId="3DDF3572" w14:textId="77777777" w:rsidR="007666F1" w:rsidRPr="009417F8" w:rsidRDefault="007666F1" w:rsidP="005F390C">
            <w:pPr>
              <w:rPr>
                <w:sz w:val="20"/>
                <w:szCs w:val="20"/>
              </w:rPr>
            </w:pPr>
            <w:r w:rsidRPr="009417F8">
              <w:rPr>
                <w:sz w:val="20"/>
                <w:szCs w:val="20"/>
              </w:rPr>
              <w:t>No clinical efficacy</w:t>
            </w:r>
          </w:p>
        </w:tc>
        <w:tc>
          <w:tcPr>
            <w:tcW w:w="3239" w:type="dxa"/>
          </w:tcPr>
          <w:p w14:paraId="37121C2C" w14:textId="77777777" w:rsidR="007666F1" w:rsidRPr="009417F8" w:rsidRDefault="007666F1" w:rsidP="005F390C">
            <w:pPr>
              <w:rPr>
                <w:sz w:val="20"/>
                <w:szCs w:val="20"/>
              </w:rPr>
            </w:pPr>
            <w:r w:rsidRPr="009417F8">
              <w:rPr>
                <w:sz w:val="20"/>
                <w:szCs w:val="20"/>
              </w:rPr>
              <w:t>Corren J et al. Am J Respir Crit Care Med. 2010;181(8):788–796</w:t>
            </w:r>
          </w:p>
        </w:tc>
      </w:tr>
      <w:tr w:rsidR="007666F1" w:rsidRPr="009417F8" w14:paraId="17B84460" w14:textId="77777777" w:rsidTr="005F390C">
        <w:tc>
          <w:tcPr>
            <w:tcW w:w="1625" w:type="dxa"/>
          </w:tcPr>
          <w:p w14:paraId="54849236" w14:textId="77777777" w:rsidR="007666F1" w:rsidRPr="009417F8" w:rsidRDefault="007666F1" w:rsidP="005F390C">
            <w:pPr>
              <w:rPr>
                <w:sz w:val="20"/>
                <w:szCs w:val="20"/>
              </w:rPr>
            </w:pPr>
            <w:r w:rsidRPr="009417F8">
              <w:rPr>
                <w:sz w:val="20"/>
                <w:szCs w:val="20"/>
              </w:rPr>
              <w:t>Lebrikizumab</w:t>
            </w:r>
          </w:p>
        </w:tc>
        <w:tc>
          <w:tcPr>
            <w:tcW w:w="1979" w:type="dxa"/>
          </w:tcPr>
          <w:p w14:paraId="7CE9FE86" w14:textId="77777777" w:rsidR="007666F1" w:rsidRPr="009417F8" w:rsidRDefault="007666F1" w:rsidP="005F390C">
            <w:pPr>
              <w:rPr>
                <w:sz w:val="20"/>
                <w:szCs w:val="20"/>
              </w:rPr>
            </w:pPr>
            <w:r w:rsidRPr="009417F8">
              <w:rPr>
                <w:sz w:val="20"/>
                <w:szCs w:val="20"/>
              </w:rPr>
              <w:t>Anti-IL-13 humanised Mab; binds to and blocks the activity of IL-13</w:t>
            </w:r>
          </w:p>
        </w:tc>
        <w:tc>
          <w:tcPr>
            <w:tcW w:w="2167" w:type="dxa"/>
          </w:tcPr>
          <w:p w14:paraId="37D663E0" w14:textId="77777777" w:rsidR="007666F1" w:rsidRPr="009417F8" w:rsidRDefault="007666F1" w:rsidP="005F390C">
            <w:pPr>
              <w:rPr>
                <w:sz w:val="20"/>
                <w:szCs w:val="20"/>
              </w:rPr>
            </w:pPr>
            <w:r w:rsidRPr="009417F8">
              <w:rPr>
                <w:sz w:val="20"/>
                <w:szCs w:val="20"/>
              </w:rPr>
              <w:t>In phase II trials reduced exacerbation rate in periostin-high patients</w:t>
            </w:r>
          </w:p>
          <w:p w14:paraId="36C25255" w14:textId="77777777" w:rsidR="007666F1" w:rsidRPr="009417F8" w:rsidRDefault="007666F1" w:rsidP="005F390C">
            <w:pPr>
              <w:rPr>
                <w:sz w:val="20"/>
                <w:szCs w:val="20"/>
              </w:rPr>
            </w:pPr>
            <w:r w:rsidRPr="009417F8">
              <w:rPr>
                <w:sz w:val="20"/>
                <w:szCs w:val="20"/>
              </w:rPr>
              <w:t>Failed to reduce exacerbations in phase III trials</w:t>
            </w:r>
          </w:p>
        </w:tc>
        <w:tc>
          <w:tcPr>
            <w:tcW w:w="3239" w:type="dxa"/>
          </w:tcPr>
          <w:p w14:paraId="57DD4511" w14:textId="77777777" w:rsidR="007666F1" w:rsidRPr="009417F8" w:rsidRDefault="007666F1" w:rsidP="005F390C">
            <w:pPr>
              <w:rPr>
                <w:sz w:val="20"/>
                <w:szCs w:val="20"/>
              </w:rPr>
            </w:pPr>
            <w:r w:rsidRPr="009417F8">
              <w:rPr>
                <w:sz w:val="20"/>
                <w:szCs w:val="20"/>
              </w:rPr>
              <w:t>Corren J et al. N Engl J Med. 2011; 365(12):1088-98</w:t>
            </w:r>
          </w:p>
          <w:p w14:paraId="5EAF943C" w14:textId="77777777" w:rsidR="007666F1" w:rsidRPr="009417F8" w:rsidRDefault="007666F1" w:rsidP="005F390C">
            <w:pPr>
              <w:rPr>
                <w:sz w:val="20"/>
                <w:szCs w:val="20"/>
              </w:rPr>
            </w:pPr>
            <w:r w:rsidRPr="009417F8">
              <w:rPr>
                <w:sz w:val="20"/>
                <w:szCs w:val="20"/>
              </w:rPr>
              <w:t>Hanania N et al. Thorax. 2015; 70(8):748-56</w:t>
            </w:r>
          </w:p>
          <w:p w14:paraId="10D6B3B1" w14:textId="77777777" w:rsidR="007666F1" w:rsidRPr="009417F8" w:rsidRDefault="007666F1" w:rsidP="005F390C">
            <w:pPr>
              <w:rPr>
                <w:sz w:val="20"/>
                <w:szCs w:val="20"/>
              </w:rPr>
            </w:pPr>
            <w:r w:rsidRPr="009417F8">
              <w:rPr>
                <w:sz w:val="20"/>
                <w:szCs w:val="20"/>
              </w:rPr>
              <w:t>Hanania N et al.</w:t>
            </w:r>
            <w:r w:rsidRPr="009417F8">
              <w:t xml:space="preserve"> </w:t>
            </w:r>
            <w:r w:rsidRPr="009417F8">
              <w:rPr>
                <w:sz w:val="20"/>
                <w:szCs w:val="20"/>
              </w:rPr>
              <w:t>Lancet Respir Med. 2016; 4(10):781-796</w:t>
            </w:r>
          </w:p>
        </w:tc>
      </w:tr>
      <w:tr w:rsidR="007666F1" w:rsidRPr="009417F8" w14:paraId="4E007CA3" w14:textId="77777777" w:rsidTr="005F390C">
        <w:tc>
          <w:tcPr>
            <w:tcW w:w="1625" w:type="dxa"/>
          </w:tcPr>
          <w:p w14:paraId="1323DDC3" w14:textId="77777777" w:rsidR="007666F1" w:rsidRPr="009417F8" w:rsidRDefault="007666F1" w:rsidP="005F390C">
            <w:pPr>
              <w:rPr>
                <w:sz w:val="20"/>
                <w:szCs w:val="20"/>
              </w:rPr>
            </w:pPr>
            <w:r w:rsidRPr="009417F8">
              <w:rPr>
                <w:sz w:val="20"/>
                <w:szCs w:val="20"/>
              </w:rPr>
              <w:t>Tralokinumab</w:t>
            </w:r>
          </w:p>
        </w:tc>
        <w:tc>
          <w:tcPr>
            <w:tcW w:w="1979" w:type="dxa"/>
          </w:tcPr>
          <w:p w14:paraId="61FF2EDF" w14:textId="77777777" w:rsidR="007666F1" w:rsidRPr="009417F8" w:rsidRDefault="007666F1" w:rsidP="005F390C">
            <w:pPr>
              <w:rPr>
                <w:sz w:val="20"/>
                <w:szCs w:val="20"/>
              </w:rPr>
            </w:pPr>
            <w:r w:rsidRPr="009417F8">
              <w:rPr>
                <w:sz w:val="20"/>
                <w:szCs w:val="20"/>
              </w:rPr>
              <w:t>Human IL-13-neutralising immunoglobulin G4 Mab</w:t>
            </w:r>
          </w:p>
        </w:tc>
        <w:tc>
          <w:tcPr>
            <w:tcW w:w="2167" w:type="dxa"/>
          </w:tcPr>
          <w:p w14:paraId="15B60139" w14:textId="77777777" w:rsidR="007666F1" w:rsidRPr="009417F8" w:rsidRDefault="007666F1" w:rsidP="005F390C">
            <w:pPr>
              <w:rPr>
                <w:sz w:val="20"/>
                <w:szCs w:val="20"/>
              </w:rPr>
            </w:pPr>
            <w:r w:rsidRPr="009417F8">
              <w:rPr>
                <w:sz w:val="20"/>
                <w:szCs w:val="20"/>
              </w:rPr>
              <w:t>Failed in both in phase II and phase III trials (asthma control, exacerbation rate, OCS sparing effect)</w:t>
            </w:r>
          </w:p>
        </w:tc>
        <w:tc>
          <w:tcPr>
            <w:tcW w:w="3239" w:type="dxa"/>
          </w:tcPr>
          <w:p w14:paraId="0259A3E1" w14:textId="77777777" w:rsidR="007666F1" w:rsidRPr="009417F8" w:rsidRDefault="007666F1" w:rsidP="005F390C">
            <w:pPr>
              <w:rPr>
                <w:sz w:val="20"/>
                <w:szCs w:val="20"/>
              </w:rPr>
            </w:pPr>
            <w:r w:rsidRPr="009417F8">
              <w:rPr>
                <w:sz w:val="20"/>
                <w:szCs w:val="20"/>
              </w:rPr>
              <w:t>Piper E et al. Respir. J. 2013; 41, 330–338</w:t>
            </w:r>
          </w:p>
          <w:p w14:paraId="43F09CBF" w14:textId="77777777" w:rsidR="007666F1" w:rsidRPr="009417F8" w:rsidRDefault="007666F1" w:rsidP="005F390C">
            <w:pPr>
              <w:rPr>
                <w:sz w:val="20"/>
                <w:szCs w:val="20"/>
              </w:rPr>
            </w:pPr>
            <w:r w:rsidRPr="009417F8">
              <w:rPr>
                <w:sz w:val="20"/>
                <w:szCs w:val="20"/>
              </w:rPr>
              <w:t>Brightling C et al. Lancet Respir. Med. 2015; 3, 692–701</w:t>
            </w:r>
          </w:p>
          <w:p w14:paraId="00BA131A" w14:textId="77777777" w:rsidR="007666F1" w:rsidRPr="009417F8" w:rsidRDefault="007666F1" w:rsidP="005F390C">
            <w:pPr>
              <w:rPr>
                <w:sz w:val="20"/>
                <w:szCs w:val="20"/>
              </w:rPr>
            </w:pPr>
            <w:r w:rsidRPr="009417F8">
              <w:rPr>
                <w:sz w:val="20"/>
                <w:szCs w:val="20"/>
              </w:rPr>
              <w:t>Panettieri R et al. Lancet Respir. Med. 2018; 6, 511–525.</w:t>
            </w:r>
          </w:p>
          <w:p w14:paraId="7D7B6A0A" w14:textId="77777777" w:rsidR="007666F1" w:rsidRPr="009417F8" w:rsidRDefault="007666F1" w:rsidP="005F390C">
            <w:pPr>
              <w:rPr>
                <w:sz w:val="20"/>
                <w:szCs w:val="20"/>
              </w:rPr>
            </w:pPr>
            <w:r w:rsidRPr="009417F8">
              <w:rPr>
                <w:sz w:val="20"/>
                <w:szCs w:val="20"/>
              </w:rPr>
              <w:t>Russel J et al. Lancet Respir. Med. 2018; 6, 499–510</w:t>
            </w:r>
          </w:p>
          <w:p w14:paraId="029FF82D" w14:textId="77777777" w:rsidR="007666F1" w:rsidRPr="009417F8" w:rsidRDefault="007666F1" w:rsidP="005F390C">
            <w:pPr>
              <w:rPr>
                <w:sz w:val="20"/>
                <w:szCs w:val="20"/>
              </w:rPr>
            </w:pPr>
            <w:r w:rsidRPr="009417F8">
              <w:rPr>
                <w:sz w:val="20"/>
                <w:szCs w:val="20"/>
              </w:rPr>
              <w:t>Busse WW et al. Eur Respir J. 2019; 53(2)</w:t>
            </w:r>
          </w:p>
        </w:tc>
      </w:tr>
      <w:tr w:rsidR="007666F1" w:rsidRPr="009417F8" w14:paraId="67B2B00F" w14:textId="77777777" w:rsidTr="005F390C">
        <w:tc>
          <w:tcPr>
            <w:tcW w:w="1625" w:type="dxa"/>
          </w:tcPr>
          <w:p w14:paraId="03BA4C18" w14:textId="77777777" w:rsidR="007666F1" w:rsidRPr="009417F8" w:rsidRDefault="007666F1" w:rsidP="005F390C">
            <w:pPr>
              <w:rPr>
                <w:sz w:val="20"/>
                <w:szCs w:val="20"/>
              </w:rPr>
            </w:pPr>
            <w:r w:rsidRPr="009417F8">
              <w:rPr>
                <w:sz w:val="20"/>
                <w:szCs w:val="20"/>
              </w:rPr>
              <w:t xml:space="preserve">Quilizumab </w:t>
            </w:r>
          </w:p>
        </w:tc>
        <w:tc>
          <w:tcPr>
            <w:tcW w:w="1979" w:type="dxa"/>
          </w:tcPr>
          <w:p w14:paraId="1D05D4CA" w14:textId="77777777" w:rsidR="007666F1" w:rsidRPr="009417F8" w:rsidRDefault="007666F1" w:rsidP="005F390C">
            <w:pPr>
              <w:rPr>
                <w:sz w:val="20"/>
                <w:szCs w:val="20"/>
              </w:rPr>
            </w:pPr>
            <w:r w:rsidRPr="009417F8">
              <w:rPr>
                <w:sz w:val="20"/>
                <w:szCs w:val="20"/>
              </w:rPr>
              <w:t>Humanised IgG1 Mab targeting the M1-prime segment of membrane-expressed IgE, leading to depletion of IgE-switched and memory B cells</w:t>
            </w:r>
          </w:p>
        </w:tc>
        <w:tc>
          <w:tcPr>
            <w:tcW w:w="2167" w:type="dxa"/>
          </w:tcPr>
          <w:p w14:paraId="03C11956" w14:textId="77777777" w:rsidR="007666F1" w:rsidRPr="009417F8" w:rsidRDefault="007666F1" w:rsidP="005F390C">
            <w:pPr>
              <w:rPr>
                <w:sz w:val="20"/>
                <w:szCs w:val="20"/>
              </w:rPr>
            </w:pPr>
            <w:r w:rsidRPr="009417F8">
              <w:rPr>
                <w:sz w:val="20"/>
                <w:szCs w:val="20"/>
              </w:rPr>
              <w:t>No impact on asthma exacerbations, lung function, or patient-reported symptom measures in phase II trial; biomarker subgroups (periostin, blood eosinophils, serum IgE, and exhaled nitric oxide) without meaningful efficacy benefits</w:t>
            </w:r>
          </w:p>
        </w:tc>
        <w:tc>
          <w:tcPr>
            <w:tcW w:w="3239" w:type="dxa"/>
          </w:tcPr>
          <w:p w14:paraId="21F5A474" w14:textId="77777777" w:rsidR="007666F1" w:rsidRPr="009417F8" w:rsidRDefault="007666F1" w:rsidP="005F390C">
            <w:pPr>
              <w:rPr>
                <w:sz w:val="20"/>
                <w:szCs w:val="20"/>
              </w:rPr>
            </w:pPr>
            <w:r w:rsidRPr="009417F8">
              <w:rPr>
                <w:sz w:val="20"/>
                <w:szCs w:val="20"/>
              </w:rPr>
              <w:t xml:space="preserve">Harris JM et al. Respir Res. </w:t>
            </w:r>
            <w:proofErr w:type="gramStart"/>
            <w:r w:rsidRPr="009417F8">
              <w:rPr>
                <w:sz w:val="20"/>
                <w:szCs w:val="20"/>
              </w:rPr>
              <w:t>2016;17:29</w:t>
            </w:r>
            <w:proofErr w:type="gramEnd"/>
            <w:r w:rsidRPr="009417F8">
              <w:rPr>
                <w:sz w:val="20"/>
                <w:szCs w:val="20"/>
              </w:rPr>
              <w:t>.</w:t>
            </w:r>
          </w:p>
        </w:tc>
      </w:tr>
      <w:tr w:rsidR="007666F1" w:rsidRPr="009417F8" w14:paraId="562485F5" w14:textId="77777777" w:rsidTr="005F390C">
        <w:tc>
          <w:tcPr>
            <w:tcW w:w="1625" w:type="dxa"/>
          </w:tcPr>
          <w:p w14:paraId="4D1918F3" w14:textId="77777777" w:rsidR="007666F1" w:rsidRPr="009417F8" w:rsidRDefault="007666F1" w:rsidP="005F390C">
            <w:pPr>
              <w:rPr>
                <w:sz w:val="20"/>
                <w:szCs w:val="20"/>
              </w:rPr>
            </w:pPr>
            <w:r>
              <w:rPr>
                <w:sz w:val="20"/>
                <w:szCs w:val="20"/>
              </w:rPr>
              <w:t>Ligelizumab</w:t>
            </w:r>
          </w:p>
        </w:tc>
        <w:tc>
          <w:tcPr>
            <w:tcW w:w="1979" w:type="dxa"/>
          </w:tcPr>
          <w:p w14:paraId="56DEF286" w14:textId="77777777" w:rsidR="007666F1" w:rsidRPr="009417F8" w:rsidRDefault="007666F1" w:rsidP="005F390C">
            <w:pPr>
              <w:rPr>
                <w:sz w:val="20"/>
                <w:szCs w:val="20"/>
              </w:rPr>
            </w:pPr>
            <w:r>
              <w:rPr>
                <w:sz w:val="20"/>
                <w:szCs w:val="20"/>
              </w:rPr>
              <w:t>Mab</w:t>
            </w:r>
            <w:r w:rsidRPr="00BE02C7">
              <w:rPr>
                <w:sz w:val="20"/>
                <w:szCs w:val="20"/>
              </w:rPr>
              <w:t xml:space="preserve"> with greater affinity for IgE than omalizumab</w:t>
            </w:r>
          </w:p>
        </w:tc>
        <w:tc>
          <w:tcPr>
            <w:tcW w:w="2167" w:type="dxa"/>
          </w:tcPr>
          <w:p w14:paraId="420AED20" w14:textId="77777777" w:rsidR="007666F1" w:rsidRPr="009417F8" w:rsidRDefault="007666F1" w:rsidP="005F390C">
            <w:pPr>
              <w:rPr>
                <w:sz w:val="20"/>
                <w:szCs w:val="20"/>
              </w:rPr>
            </w:pPr>
            <w:r>
              <w:rPr>
                <w:sz w:val="20"/>
                <w:szCs w:val="20"/>
              </w:rPr>
              <w:t>F</w:t>
            </w:r>
            <w:r w:rsidRPr="00051D3D">
              <w:rPr>
                <w:sz w:val="20"/>
                <w:szCs w:val="20"/>
              </w:rPr>
              <w:t>ailed to demonstrate superiority over placebo or omalizumab in treating asthma patients not adequately controlled with high-</w:t>
            </w:r>
            <w:r w:rsidRPr="00051D3D">
              <w:rPr>
                <w:sz w:val="20"/>
                <w:szCs w:val="20"/>
              </w:rPr>
              <w:lastRenderedPageBreak/>
              <w:t>dose inhaled corticosteroids (ICS) plus long-acting beta2-agonists (LABA) after 16 weeks of treatment</w:t>
            </w:r>
          </w:p>
        </w:tc>
        <w:tc>
          <w:tcPr>
            <w:tcW w:w="3239" w:type="dxa"/>
          </w:tcPr>
          <w:p w14:paraId="3837B46D" w14:textId="77777777" w:rsidR="007666F1" w:rsidRDefault="0000755C" w:rsidP="005F390C">
            <w:pPr>
              <w:rPr>
                <w:sz w:val="20"/>
                <w:szCs w:val="20"/>
              </w:rPr>
            </w:pPr>
            <w:hyperlink r:id="rId5" w:history="1">
              <w:r w:rsidR="007666F1" w:rsidRPr="00DE63E3">
                <w:rPr>
                  <w:rStyle w:val="Hyperlink"/>
                  <w:sz w:val="20"/>
                  <w:szCs w:val="20"/>
                </w:rPr>
                <w:t>https://www.novctrd.com/CtrdWeb/</w:t>
              </w:r>
            </w:hyperlink>
          </w:p>
          <w:p w14:paraId="4C117E3B" w14:textId="77777777" w:rsidR="007666F1" w:rsidRPr="009417F8" w:rsidRDefault="007666F1" w:rsidP="005F390C">
            <w:pPr>
              <w:rPr>
                <w:sz w:val="20"/>
                <w:szCs w:val="20"/>
              </w:rPr>
            </w:pPr>
            <w:r w:rsidRPr="00051D3D">
              <w:rPr>
                <w:sz w:val="20"/>
                <w:szCs w:val="20"/>
              </w:rPr>
              <w:t>displaypdf.nov?trialresultid=15687</w:t>
            </w:r>
          </w:p>
        </w:tc>
      </w:tr>
      <w:tr w:rsidR="007666F1" w:rsidRPr="009417F8" w14:paraId="2A950279" w14:textId="77777777" w:rsidTr="005F390C">
        <w:tc>
          <w:tcPr>
            <w:tcW w:w="1625" w:type="dxa"/>
          </w:tcPr>
          <w:p w14:paraId="5233F0C1" w14:textId="77777777" w:rsidR="007666F1" w:rsidRPr="009417F8" w:rsidRDefault="007666F1" w:rsidP="005F390C">
            <w:pPr>
              <w:rPr>
                <w:sz w:val="20"/>
                <w:szCs w:val="20"/>
              </w:rPr>
            </w:pPr>
            <w:r w:rsidRPr="009417F8">
              <w:rPr>
                <w:sz w:val="20"/>
                <w:szCs w:val="20"/>
              </w:rPr>
              <w:t>Brodalumab</w:t>
            </w:r>
          </w:p>
        </w:tc>
        <w:tc>
          <w:tcPr>
            <w:tcW w:w="1979" w:type="dxa"/>
          </w:tcPr>
          <w:p w14:paraId="2DA7F368" w14:textId="77777777" w:rsidR="007666F1" w:rsidRPr="009417F8" w:rsidRDefault="007666F1" w:rsidP="005F390C">
            <w:pPr>
              <w:rPr>
                <w:sz w:val="20"/>
                <w:szCs w:val="20"/>
              </w:rPr>
            </w:pPr>
            <w:r w:rsidRPr="009417F8">
              <w:rPr>
                <w:sz w:val="20"/>
                <w:szCs w:val="20"/>
              </w:rPr>
              <w:t>Human Mab anti-IL-17 receptor alpha</w:t>
            </w:r>
          </w:p>
        </w:tc>
        <w:tc>
          <w:tcPr>
            <w:tcW w:w="2167" w:type="dxa"/>
          </w:tcPr>
          <w:p w14:paraId="1F31A7B6" w14:textId="77777777" w:rsidR="007666F1" w:rsidRPr="009417F8" w:rsidRDefault="007666F1" w:rsidP="005F390C">
            <w:pPr>
              <w:rPr>
                <w:sz w:val="20"/>
                <w:szCs w:val="20"/>
              </w:rPr>
            </w:pPr>
            <w:r w:rsidRPr="009417F8">
              <w:rPr>
                <w:sz w:val="20"/>
                <w:szCs w:val="20"/>
              </w:rPr>
              <w:t>No treatment effect</w:t>
            </w:r>
          </w:p>
        </w:tc>
        <w:tc>
          <w:tcPr>
            <w:tcW w:w="3239" w:type="dxa"/>
          </w:tcPr>
          <w:p w14:paraId="4EFBBD2B" w14:textId="77777777" w:rsidR="007666F1" w:rsidRPr="009417F8" w:rsidRDefault="007666F1" w:rsidP="005F390C">
            <w:pPr>
              <w:rPr>
                <w:sz w:val="20"/>
                <w:szCs w:val="20"/>
              </w:rPr>
            </w:pPr>
            <w:r w:rsidRPr="009417F8">
              <w:rPr>
                <w:sz w:val="20"/>
                <w:szCs w:val="20"/>
              </w:rPr>
              <w:t>Busse WW et al. Am J Respir Crit Care Med. 2013; 188(11):1294–1302</w:t>
            </w:r>
          </w:p>
        </w:tc>
      </w:tr>
      <w:tr w:rsidR="007666F1" w:rsidRPr="009417F8" w14:paraId="2DB2ADB3" w14:textId="77777777" w:rsidTr="005F390C">
        <w:tc>
          <w:tcPr>
            <w:tcW w:w="1625" w:type="dxa"/>
          </w:tcPr>
          <w:p w14:paraId="318CAC5B" w14:textId="77777777" w:rsidR="007666F1" w:rsidRPr="009417F8" w:rsidRDefault="007666F1" w:rsidP="005F390C">
            <w:pPr>
              <w:rPr>
                <w:sz w:val="20"/>
                <w:szCs w:val="20"/>
              </w:rPr>
            </w:pPr>
            <w:r w:rsidRPr="009417F8">
              <w:rPr>
                <w:sz w:val="20"/>
                <w:szCs w:val="20"/>
              </w:rPr>
              <w:t>Golimumab</w:t>
            </w:r>
          </w:p>
        </w:tc>
        <w:tc>
          <w:tcPr>
            <w:tcW w:w="1979" w:type="dxa"/>
          </w:tcPr>
          <w:p w14:paraId="7CBCF513" w14:textId="77777777" w:rsidR="007666F1" w:rsidRPr="009417F8" w:rsidRDefault="007666F1" w:rsidP="005F390C">
            <w:pPr>
              <w:rPr>
                <w:sz w:val="20"/>
                <w:szCs w:val="20"/>
              </w:rPr>
            </w:pPr>
            <w:r w:rsidRPr="009417F8">
              <w:rPr>
                <w:sz w:val="20"/>
                <w:szCs w:val="20"/>
              </w:rPr>
              <w:t>Human Mab against TNF-alpha</w:t>
            </w:r>
          </w:p>
        </w:tc>
        <w:tc>
          <w:tcPr>
            <w:tcW w:w="2167" w:type="dxa"/>
          </w:tcPr>
          <w:p w14:paraId="7812C7D2" w14:textId="77777777" w:rsidR="007666F1" w:rsidRPr="009417F8" w:rsidRDefault="007666F1" w:rsidP="005F390C">
            <w:pPr>
              <w:rPr>
                <w:sz w:val="20"/>
                <w:szCs w:val="20"/>
              </w:rPr>
            </w:pPr>
            <w:r w:rsidRPr="009417F8">
              <w:rPr>
                <w:sz w:val="20"/>
                <w:szCs w:val="20"/>
              </w:rPr>
              <w:t>Unfavourable risk-benefit profile led to early discontinuation of the study</w:t>
            </w:r>
          </w:p>
        </w:tc>
        <w:tc>
          <w:tcPr>
            <w:tcW w:w="3239" w:type="dxa"/>
          </w:tcPr>
          <w:p w14:paraId="0388AF1D" w14:textId="77777777" w:rsidR="007666F1" w:rsidRPr="009417F8" w:rsidRDefault="007666F1" w:rsidP="005F390C">
            <w:pPr>
              <w:rPr>
                <w:sz w:val="20"/>
                <w:szCs w:val="20"/>
              </w:rPr>
            </w:pPr>
            <w:r w:rsidRPr="009417F8">
              <w:rPr>
                <w:sz w:val="20"/>
                <w:szCs w:val="20"/>
              </w:rPr>
              <w:t>Wenzel SE, et al. Am J Respir Crit Care Med. 2009; 179(7):549–558</w:t>
            </w:r>
          </w:p>
        </w:tc>
      </w:tr>
      <w:tr w:rsidR="007666F1" w:rsidRPr="009417F8" w14:paraId="1DD49873" w14:textId="77777777" w:rsidTr="005F390C">
        <w:tc>
          <w:tcPr>
            <w:tcW w:w="1625" w:type="dxa"/>
          </w:tcPr>
          <w:p w14:paraId="3ABE6E6A" w14:textId="77777777" w:rsidR="007666F1" w:rsidRPr="009417F8" w:rsidRDefault="007666F1" w:rsidP="005F390C">
            <w:pPr>
              <w:rPr>
                <w:sz w:val="20"/>
                <w:szCs w:val="20"/>
              </w:rPr>
            </w:pPr>
            <w:r w:rsidRPr="009417F8">
              <w:rPr>
                <w:sz w:val="20"/>
                <w:szCs w:val="20"/>
              </w:rPr>
              <w:t>Etanercept</w:t>
            </w:r>
          </w:p>
        </w:tc>
        <w:tc>
          <w:tcPr>
            <w:tcW w:w="1979" w:type="dxa"/>
          </w:tcPr>
          <w:p w14:paraId="369EAFCD" w14:textId="77777777" w:rsidR="007666F1" w:rsidRPr="009417F8" w:rsidRDefault="007666F1" w:rsidP="005F390C">
            <w:pPr>
              <w:rPr>
                <w:sz w:val="20"/>
                <w:szCs w:val="20"/>
              </w:rPr>
            </w:pPr>
            <w:r w:rsidRPr="009417F8">
              <w:rPr>
                <w:sz w:val="20"/>
                <w:szCs w:val="20"/>
              </w:rPr>
              <w:t>Fully soluble, human dimeric fusion protein, functions as a TNF inhibitor by competitively binding to TNF and preventing its activation of the inflammatory cascade</w:t>
            </w:r>
          </w:p>
        </w:tc>
        <w:tc>
          <w:tcPr>
            <w:tcW w:w="2167" w:type="dxa"/>
          </w:tcPr>
          <w:p w14:paraId="00CB1668" w14:textId="77777777" w:rsidR="007666F1" w:rsidRPr="009417F8" w:rsidRDefault="007666F1" w:rsidP="005F390C">
            <w:pPr>
              <w:rPr>
                <w:sz w:val="20"/>
                <w:szCs w:val="20"/>
              </w:rPr>
            </w:pPr>
            <w:r w:rsidRPr="009417F8">
              <w:rPr>
                <w:sz w:val="20"/>
                <w:szCs w:val="20"/>
              </w:rPr>
              <w:t>No clinical efficacy</w:t>
            </w:r>
          </w:p>
        </w:tc>
        <w:tc>
          <w:tcPr>
            <w:tcW w:w="3239" w:type="dxa"/>
          </w:tcPr>
          <w:p w14:paraId="0A273979" w14:textId="77777777" w:rsidR="007666F1" w:rsidRPr="009417F8" w:rsidRDefault="007666F1" w:rsidP="005F390C">
            <w:pPr>
              <w:rPr>
                <w:sz w:val="20"/>
                <w:szCs w:val="20"/>
              </w:rPr>
            </w:pPr>
            <w:r w:rsidRPr="009417F8">
              <w:rPr>
                <w:sz w:val="20"/>
                <w:szCs w:val="20"/>
              </w:rPr>
              <w:t>Holgate ST et al. Eur Respir J. 2011;37(6):1352–1359</w:t>
            </w:r>
          </w:p>
        </w:tc>
      </w:tr>
      <w:tr w:rsidR="007666F1" w:rsidRPr="009417F8" w14:paraId="38D96049" w14:textId="77777777" w:rsidTr="005F390C">
        <w:tc>
          <w:tcPr>
            <w:tcW w:w="1625" w:type="dxa"/>
          </w:tcPr>
          <w:p w14:paraId="7FE9294F" w14:textId="77777777" w:rsidR="007666F1" w:rsidRPr="009417F8" w:rsidRDefault="007666F1" w:rsidP="005F390C">
            <w:pPr>
              <w:rPr>
                <w:sz w:val="20"/>
                <w:szCs w:val="20"/>
              </w:rPr>
            </w:pPr>
            <w:r w:rsidRPr="009417F8">
              <w:rPr>
                <w:sz w:val="20"/>
                <w:szCs w:val="20"/>
              </w:rPr>
              <w:t>Etokimab</w:t>
            </w:r>
            <w:r>
              <w:rPr>
                <w:sz w:val="20"/>
                <w:szCs w:val="20"/>
              </w:rPr>
              <w:t xml:space="preserve"> (ANB020)</w:t>
            </w:r>
          </w:p>
        </w:tc>
        <w:tc>
          <w:tcPr>
            <w:tcW w:w="1979" w:type="dxa"/>
          </w:tcPr>
          <w:p w14:paraId="2EE2C6BB" w14:textId="77777777" w:rsidR="007666F1" w:rsidRPr="009417F8" w:rsidRDefault="007666F1" w:rsidP="005F390C">
            <w:pPr>
              <w:rPr>
                <w:sz w:val="20"/>
                <w:szCs w:val="20"/>
              </w:rPr>
            </w:pPr>
            <w:r w:rsidRPr="009417F8">
              <w:rPr>
                <w:sz w:val="20"/>
                <w:szCs w:val="20"/>
              </w:rPr>
              <w:t>Mab inhibiting the activity of IL-33</w:t>
            </w:r>
          </w:p>
        </w:tc>
        <w:tc>
          <w:tcPr>
            <w:tcW w:w="2167" w:type="dxa"/>
          </w:tcPr>
          <w:p w14:paraId="4CEEBBF0" w14:textId="77777777" w:rsidR="007666F1" w:rsidRPr="009417F8" w:rsidRDefault="007666F1" w:rsidP="005F390C">
            <w:pPr>
              <w:rPr>
                <w:sz w:val="20"/>
                <w:szCs w:val="20"/>
              </w:rPr>
            </w:pPr>
            <w:r w:rsidRPr="009417F8">
              <w:rPr>
                <w:sz w:val="20"/>
                <w:szCs w:val="20"/>
              </w:rPr>
              <w:t>Positive results in phase IIa study (25 severe adult eosinophilic asthma patients)</w:t>
            </w:r>
          </w:p>
          <w:p w14:paraId="7DACD561" w14:textId="77777777" w:rsidR="007666F1" w:rsidRPr="009417F8" w:rsidRDefault="007666F1" w:rsidP="005F390C">
            <w:pPr>
              <w:rPr>
                <w:sz w:val="20"/>
                <w:szCs w:val="20"/>
              </w:rPr>
            </w:pPr>
            <w:r w:rsidRPr="009417F8">
              <w:rPr>
                <w:sz w:val="20"/>
                <w:szCs w:val="20"/>
              </w:rPr>
              <w:t>Phase 2b trial in eosinophilic asthma, a multi-dose, randomized, double-blinded, placebo-controlled trial in 300-400 patients was postponed until results from the ECLIPSE trial (CRSwNP) are analysed</w:t>
            </w:r>
          </w:p>
        </w:tc>
        <w:tc>
          <w:tcPr>
            <w:tcW w:w="3239" w:type="dxa"/>
          </w:tcPr>
          <w:p w14:paraId="6A82D95B" w14:textId="77777777" w:rsidR="007666F1" w:rsidRPr="009417F8" w:rsidRDefault="007666F1" w:rsidP="005F390C">
            <w:pPr>
              <w:rPr>
                <w:sz w:val="20"/>
                <w:szCs w:val="20"/>
              </w:rPr>
            </w:pPr>
            <w:r w:rsidRPr="009417F8">
              <w:rPr>
                <w:sz w:val="20"/>
                <w:szCs w:val="20"/>
              </w:rPr>
              <w:t>Londei et al., 2019 June. Presented at the 2019 European Academy of Allergy and Clinical Immunology (EAACI) Congress</w:t>
            </w:r>
          </w:p>
        </w:tc>
      </w:tr>
    </w:tbl>
    <w:p w14:paraId="6E3B74F5" w14:textId="77777777" w:rsidR="007666F1" w:rsidRPr="007666F1" w:rsidRDefault="007666F1" w:rsidP="007666F1">
      <w:pPr>
        <w:spacing w:line="140" w:lineRule="atLeast"/>
        <w:rPr>
          <w:rFonts w:asciiTheme="minorHAnsi" w:hAnsiTheme="minorHAnsi"/>
          <w:color w:val="000000"/>
          <w:sz w:val="20"/>
          <w:szCs w:val="20"/>
          <w:lang w:val="en"/>
        </w:rPr>
      </w:pPr>
    </w:p>
    <w:sectPr w:rsidR="007666F1" w:rsidRPr="007666F1" w:rsidSect="00885D9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dvTT336784a7">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ヒラギノ角ゴシック W3">
    <w:altName w:val="Yu Gothic"/>
    <w:panose1 w:val="020B0300000000000000"/>
    <w:charset w:val="80"/>
    <w:family w:val="swiss"/>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6289"/>
    <w:multiLevelType w:val="hybridMultilevel"/>
    <w:tmpl w:val="6C22DCC6"/>
    <w:lvl w:ilvl="0" w:tplc="0C0A000F">
      <w:start w:val="1"/>
      <w:numFmt w:val="decimal"/>
      <w:lvlText w:val="%1."/>
      <w:lvlJc w:val="left"/>
      <w:pPr>
        <w:ind w:left="928" w:hanging="360"/>
      </w:pPr>
    </w:lvl>
    <w:lvl w:ilvl="1" w:tplc="04030019">
      <w:start w:val="1"/>
      <w:numFmt w:val="lowerLetter"/>
      <w:lvlText w:val="%2."/>
      <w:lvlJc w:val="left"/>
      <w:pPr>
        <w:ind w:left="1648" w:hanging="360"/>
      </w:pPr>
    </w:lvl>
    <w:lvl w:ilvl="2" w:tplc="0403001B">
      <w:start w:val="1"/>
      <w:numFmt w:val="lowerRoman"/>
      <w:lvlText w:val="%3."/>
      <w:lvlJc w:val="right"/>
      <w:pPr>
        <w:ind w:left="2368" w:hanging="180"/>
      </w:pPr>
    </w:lvl>
    <w:lvl w:ilvl="3" w:tplc="0403000F">
      <w:start w:val="1"/>
      <w:numFmt w:val="decimal"/>
      <w:lvlText w:val="%4."/>
      <w:lvlJc w:val="left"/>
      <w:pPr>
        <w:ind w:left="3088" w:hanging="360"/>
      </w:pPr>
    </w:lvl>
    <w:lvl w:ilvl="4" w:tplc="04030019">
      <w:start w:val="1"/>
      <w:numFmt w:val="lowerLetter"/>
      <w:lvlText w:val="%5."/>
      <w:lvlJc w:val="left"/>
      <w:pPr>
        <w:ind w:left="3808" w:hanging="360"/>
      </w:pPr>
    </w:lvl>
    <w:lvl w:ilvl="5" w:tplc="0403001B">
      <w:start w:val="1"/>
      <w:numFmt w:val="lowerRoman"/>
      <w:lvlText w:val="%6."/>
      <w:lvlJc w:val="right"/>
      <w:pPr>
        <w:ind w:left="4528" w:hanging="180"/>
      </w:pPr>
    </w:lvl>
    <w:lvl w:ilvl="6" w:tplc="0403000F">
      <w:start w:val="1"/>
      <w:numFmt w:val="decimal"/>
      <w:lvlText w:val="%7."/>
      <w:lvlJc w:val="left"/>
      <w:pPr>
        <w:ind w:left="5248" w:hanging="360"/>
      </w:pPr>
    </w:lvl>
    <w:lvl w:ilvl="7" w:tplc="04030019">
      <w:start w:val="1"/>
      <w:numFmt w:val="lowerLetter"/>
      <w:lvlText w:val="%8."/>
      <w:lvlJc w:val="left"/>
      <w:pPr>
        <w:ind w:left="5968" w:hanging="360"/>
      </w:pPr>
    </w:lvl>
    <w:lvl w:ilvl="8" w:tplc="0403001B">
      <w:start w:val="1"/>
      <w:numFmt w:val="lowerRoman"/>
      <w:lvlText w:val="%9."/>
      <w:lvlJc w:val="right"/>
      <w:pPr>
        <w:ind w:left="6688" w:hanging="180"/>
      </w:pPr>
    </w:lvl>
  </w:abstractNum>
  <w:abstractNum w:abstractNumId="1" w15:restartNumberingAfterBreak="0">
    <w:nsid w:val="0DB62FD2"/>
    <w:multiLevelType w:val="hybridMultilevel"/>
    <w:tmpl w:val="8758B138"/>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141D44EC"/>
    <w:multiLevelType w:val="hybridMultilevel"/>
    <w:tmpl w:val="D2DA7110"/>
    <w:lvl w:ilvl="0" w:tplc="04030019">
      <w:start w:val="1"/>
      <w:numFmt w:val="lowerLetter"/>
      <w:lvlText w:val="%1."/>
      <w:lvlJc w:val="left"/>
      <w:pPr>
        <w:ind w:left="720" w:hanging="360"/>
      </w:pPr>
    </w:lvl>
    <w:lvl w:ilvl="1" w:tplc="12EC2E54">
      <w:start w:val="1"/>
      <w:numFmt w:val="decimal"/>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3" w15:restartNumberingAfterBreak="0">
    <w:nsid w:val="2B4940B3"/>
    <w:multiLevelType w:val="hybridMultilevel"/>
    <w:tmpl w:val="6C22DCC6"/>
    <w:lvl w:ilvl="0" w:tplc="0C0A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4" w15:restartNumberingAfterBreak="0">
    <w:nsid w:val="2DAB4583"/>
    <w:multiLevelType w:val="hybridMultilevel"/>
    <w:tmpl w:val="6C22DCC6"/>
    <w:lvl w:ilvl="0" w:tplc="0C0A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5" w15:restartNumberingAfterBreak="0">
    <w:nsid w:val="38E273F1"/>
    <w:multiLevelType w:val="hybridMultilevel"/>
    <w:tmpl w:val="6C22DCC6"/>
    <w:lvl w:ilvl="0" w:tplc="0C0A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6" w15:restartNumberingAfterBreak="0">
    <w:nsid w:val="4D450B0C"/>
    <w:multiLevelType w:val="hybridMultilevel"/>
    <w:tmpl w:val="EBFEF226"/>
    <w:lvl w:ilvl="0" w:tplc="CD002CFC">
      <w:numFmt w:val="bullet"/>
      <w:lvlText w:val="-"/>
      <w:lvlJc w:val="left"/>
      <w:pPr>
        <w:tabs>
          <w:tab w:val="num" w:pos="360"/>
        </w:tabs>
        <w:ind w:left="360" w:hanging="360"/>
      </w:pPr>
      <w:rPr>
        <w:rFonts w:ascii="Verdana" w:eastAsia="Times New Roman" w:hAnsi="Verdana"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7" w15:restartNumberingAfterBreak="0">
    <w:nsid w:val="555F6525"/>
    <w:multiLevelType w:val="hybridMultilevel"/>
    <w:tmpl w:val="BD46AC3C"/>
    <w:lvl w:ilvl="0" w:tplc="04030019">
      <w:start w:val="1"/>
      <w:numFmt w:val="lowerLetter"/>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8" w15:restartNumberingAfterBreak="0">
    <w:nsid w:val="5AA8244F"/>
    <w:multiLevelType w:val="hybridMultilevel"/>
    <w:tmpl w:val="6C22DCC6"/>
    <w:lvl w:ilvl="0" w:tplc="0C0A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9" w15:restartNumberingAfterBreak="0">
    <w:nsid w:val="64EF672F"/>
    <w:multiLevelType w:val="hybridMultilevel"/>
    <w:tmpl w:val="6C22DCC6"/>
    <w:lvl w:ilvl="0" w:tplc="0C0A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0" w15:restartNumberingAfterBreak="0">
    <w:nsid w:val="6BD234BB"/>
    <w:multiLevelType w:val="hybridMultilevel"/>
    <w:tmpl w:val="D37272E6"/>
    <w:lvl w:ilvl="0" w:tplc="04090019">
      <w:start w:val="1"/>
      <w:numFmt w:val="lowerLetter"/>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1" w15:restartNumberingAfterBreak="0">
    <w:nsid w:val="73F83CA7"/>
    <w:multiLevelType w:val="hybridMultilevel"/>
    <w:tmpl w:val="6C22DCC6"/>
    <w:lvl w:ilvl="0" w:tplc="0C0A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2" w15:restartNumberingAfterBreak="0">
    <w:nsid w:val="76C5400F"/>
    <w:multiLevelType w:val="hybridMultilevel"/>
    <w:tmpl w:val="6C22DCC6"/>
    <w:lvl w:ilvl="0" w:tplc="0C0A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3" w15:restartNumberingAfterBreak="0">
    <w:nsid w:val="78CA36E0"/>
    <w:multiLevelType w:val="hybridMultilevel"/>
    <w:tmpl w:val="6C22DCC6"/>
    <w:lvl w:ilvl="0" w:tplc="0C0A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0"/>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num>
  <w:num w:numId="13">
    <w:abstractNumId w:val="13"/>
  </w:num>
  <w:num w:numId="14">
    <w:abstractNumId w:val="12"/>
  </w:num>
  <w:num w:numId="15">
    <w:abstractNumId w:val="11"/>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C5A"/>
    <w:rsid w:val="0000755C"/>
    <w:rsid w:val="0009627E"/>
    <w:rsid w:val="000B1027"/>
    <w:rsid w:val="000D1EEE"/>
    <w:rsid w:val="000E2A22"/>
    <w:rsid w:val="00111973"/>
    <w:rsid w:val="00114022"/>
    <w:rsid w:val="00143376"/>
    <w:rsid w:val="001474B0"/>
    <w:rsid w:val="0017630A"/>
    <w:rsid w:val="001935A7"/>
    <w:rsid w:val="001B2A1F"/>
    <w:rsid w:val="001B479E"/>
    <w:rsid w:val="001D4FAF"/>
    <w:rsid w:val="002311F8"/>
    <w:rsid w:val="00252185"/>
    <w:rsid w:val="00256864"/>
    <w:rsid w:val="00274AF9"/>
    <w:rsid w:val="002A55D2"/>
    <w:rsid w:val="002C76E7"/>
    <w:rsid w:val="002D2E59"/>
    <w:rsid w:val="002D374A"/>
    <w:rsid w:val="002D745B"/>
    <w:rsid w:val="002E154F"/>
    <w:rsid w:val="0033289E"/>
    <w:rsid w:val="0034427B"/>
    <w:rsid w:val="00383491"/>
    <w:rsid w:val="00396A12"/>
    <w:rsid w:val="00440977"/>
    <w:rsid w:val="0049305A"/>
    <w:rsid w:val="004C505F"/>
    <w:rsid w:val="00554CE7"/>
    <w:rsid w:val="00596BE0"/>
    <w:rsid w:val="005C0D59"/>
    <w:rsid w:val="005C1453"/>
    <w:rsid w:val="005C2138"/>
    <w:rsid w:val="005E1D37"/>
    <w:rsid w:val="005F390C"/>
    <w:rsid w:val="006144E8"/>
    <w:rsid w:val="00651E50"/>
    <w:rsid w:val="006658DF"/>
    <w:rsid w:val="0069363F"/>
    <w:rsid w:val="006B3C10"/>
    <w:rsid w:val="006D2694"/>
    <w:rsid w:val="00700318"/>
    <w:rsid w:val="00761F32"/>
    <w:rsid w:val="007666F1"/>
    <w:rsid w:val="007708F3"/>
    <w:rsid w:val="00785188"/>
    <w:rsid w:val="007A0C05"/>
    <w:rsid w:val="007A1037"/>
    <w:rsid w:val="007B41A0"/>
    <w:rsid w:val="007E0994"/>
    <w:rsid w:val="00805F7C"/>
    <w:rsid w:val="00816775"/>
    <w:rsid w:val="00827A2F"/>
    <w:rsid w:val="00827B3F"/>
    <w:rsid w:val="00831D87"/>
    <w:rsid w:val="00875189"/>
    <w:rsid w:val="008838EB"/>
    <w:rsid w:val="00885D90"/>
    <w:rsid w:val="00892339"/>
    <w:rsid w:val="008B1EA4"/>
    <w:rsid w:val="0090666E"/>
    <w:rsid w:val="00982C89"/>
    <w:rsid w:val="009D67D9"/>
    <w:rsid w:val="00A44FD1"/>
    <w:rsid w:val="00A7447B"/>
    <w:rsid w:val="00A84926"/>
    <w:rsid w:val="00AD5B79"/>
    <w:rsid w:val="00B07FB1"/>
    <w:rsid w:val="00B647EA"/>
    <w:rsid w:val="00B93F8C"/>
    <w:rsid w:val="00BA7D15"/>
    <w:rsid w:val="00BC0EB8"/>
    <w:rsid w:val="00BE2074"/>
    <w:rsid w:val="00C2174D"/>
    <w:rsid w:val="00C2295A"/>
    <w:rsid w:val="00C718C3"/>
    <w:rsid w:val="00C961DD"/>
    <w:rsid w:val="00CB18CE"/>
    <w:rsid w:val="00D03AA9"/>
    <w:rsid w:val="00D103AD"/>
    <w:rsid w:val="00D3318E"/>
    <w:rsid w:val="00D5426A"/>
    <w:rsid w:val="00D64229"/>
    <w:rsid w:val="00D73528"/>
    <w:rsid w:val="00D764C2"/>
    <w:rsid w:val="00DB51A1"/>
    <w:rsid w:val="00E05821"/>
    <w:rsid w:val="00E177F8"/>
    <w:rsid w:val="00E210BC"/>
    <w:rsid w:val="00E350F6"/>
    <w:rsid w:val="00E93B63"/>
    <w:rsid w:val="00EB3ABA"/>
    <w:rsid w:val="00EB7D5D"/>
    <w:rsid w:val="00ED574D"/>
    <w:rsid w:val="00EE33FF"/>
    <w:rsid w:val="00F07060"/>
    <w:rsid w:val="00F1154A"/>
    <w:rsid w:val="00F51241"/>
    <w:rsid w:val="00F53366"/>
    <w:rsid w:val="00F71C5A"/>
    <w:rsid w:val="00F81373"/>
    <w:rsid w:val="00FA6274"/>
    <w:rsid w:val="00FB5797"/>
    <w:rsid w:val="00FD3FC4"/>
    <w:rsid w:val="00FD7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E7F99"/>
  <w15:chartTrackingRefBased/>
  <w15:docId w15:val="{99C5140A-EFAC-5A48-8853-6FF2C0E2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5A7"/>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DB51A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semiHidden/>
    <w:unhideWhenUsed/>
    <w:qFormat/>
    <w:rsid w:val="0009627E"/>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09627E"/>
    <w:rPr>
      <w:rFonts w:eastAsiaTheme="minorEastAsia"/>
      <w:b/>
      <w:bCs/>
      <w:sz w:val="28"/>
      <w:szCs w:val="28"/>
      <w:lang w:val="ca-ES"/>
    </w:rPr>
  </w:style>
  <w:style w:type="paragraph" w:styleId="ListParagraph">
    <w:name w:val="List Paragraph"/>
    <w:basedOn w:val="Normal"/>
    <w:uiPriority w:val="34"/>
    <w:qFormat/>
    <w:rsid w:val="0009627E"/>
    <w:pPr>
      <w:ind w:left="720"/>
      <w:contextualSpacing/>
    </w:pPr>
  </w:style>
  <w:style w:type="paragraph" w:styleId="NormalWeb">
    <w:name w:val="Normal (Web)"/>
    <w:basedOn w:val="Normal"/>
    <w:uiPriority w:val="99"/>
    <w:rsid w:val="0009627E"/>
    <w:pPr>
      <w:spacing w:before="100" w:beforeAutospacing="1" w:after="100" w:afterAutospacing="1"/>
    </w:pPr>
    <w:rPr>
      <w:lang w:eastAsia="ca-ES"/>
    </w:rPr>
  </w:style>
  <w:style w:type="character" w:customStyle="1" w:styleId="label">
    <w:name w:val="label"/>
    <w:uiPriority w:val="99"/>
    <w:rsid w:val="0009627E"/>
  </w:style>
  <w:style w:type="character" w:customStyle="1" w:styleId="comma">
    <w:name w:val="comma"/>
    <w:rsid w:val="0009627E"/>
  </w:style>
  <w:style w:type="character" w:customStyle="1" w:styleId="cell-value">
    <w:name w:val="cell-value"/>
    <w:rsid w:val="0009627E"/>
  </w:style>
  <w:style w:type="character" w:customStyle="1" w:styleId="cell">
    <w:name w:val="cell"/>
    <w:rsid w:val="0009627E"/>
  </w:style>
  <w:style w:type="character" w:customStyle="1" w:styleId="block">
    <w:name w:val="block"/>
    <w:rsid w:val="0009627E"/>
  </w:style>
  <w:style w:type="character" w:customStyle="1" w:styleId="quality-sign">
    <w:name w:val="quality-sign"/>
    <w:uiPriority w:val="99"/>
    <w:rsid w:val="0009627E"/>
  </w:style>
  <w:style w:type="character" w:customStyle="1" w:styleId="quality-text">
    <w:name w:val="quality-text"/>
    <w:rsid w:val="0009627E"/>
  </w:style>
  <w:style w:type="table" w:styleId="TableGrid">
    <w:name w:val="Table Grid"/>
    <w:basedOn w:val="TableNormal"/>
    <w:uiPriority w:val="39"/>
    <w:rsid w:val="00D10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ol1">
    <w:name w:val="Títol1"/>
    <w:basedOn w:val="Normal"/>
    <w:uiPriority w:val="99"/>
    <w:rsid w:val="006B3C10"/>
    <w:pPr>
      <w:spacing w:before="100" w:beforeAutospacing="1" w:after="100" w:afterAutospacing="1"/>
    </w:pPr>
    <w:rPr>
      <w:rFonts w:eastAsia="MS Mincho"/>
      <w:lang w:eastAsia="ca-ES"/>
    </w:rPr>
  </w:style>
  <w:style w:type="character" w:styleId="CommentReference">
    <w:name w:val="annotation reference"/>
    <w:basedOn w:val="DefaultParagraphFont"/>
    <w:uiPriority w:val="99"/>
    <w:semiHidden/>
    <w:rsid w:val="00596BE0"/>
    <w:rPr>
      <w:rFonts w:cs="Times New Roman"/>
      <w:sz w:val="18"/>
    </w:rPr>
  </w:style>
  <w:style w:type="paragraph" w:styleId="CommentText">
    <w:name w:val="annotation text"/>
    <w:basedOn w:val="Normal"/>
    <w:link w:val="CommentTextChar"/>
    <w:uiPriority w:val="99"/>
    <w:semiHidden/>
    <w:rsid w:val="00596BE0"/>
    <w:rPr>
      <w:szCs w:val="20"/>
      <w:lang w:val="es-ES" w:eastAsia="es-ES"/>
    </w:rPr>
  </w:style>
  <w:style w:type="character" w:customStyle="1" w:styleId="CommentTextChar">
    <w:name w:val="Comment Text Char"/>
    <w:basedOn w:val="DefaultParagraphFont"/>
    <w:link w:val="CommentText"/>
    <w:uiPriority w:val="99"/>
    <w:semiHidden/>
    <w:rsid w:val="00596BE0"/>
    <w:rPr>
      <w:rFonts w:ascii="Calibri" w:eastAsia="Calibri" w:hAnsi="Calibri" w:cs="Times New Roman"/>
      <w:szCs w:val="20"/>
      <w:lang w:val="es-ES" w:eastAsia="es-ES"/>
    </w:rPr>
  </w:style>
  <w:style w:type="character" w:customStyle="1" w:styleId="short-name">
    <w:name w:val="short-name"/>
    <w:basedOn w:val="DefaultParagraphFont"/>
    <w:rsid w:val="00596BE0"/>
    <w:rPr>
      <w:rFonts w:cs="Times New Roman"/>
    </w:rPr>
  </w:style>
  <w:style w:type="paragraph" w:styleId="BalloonText">
    <w:name w:val="Balloon Text"/>
    <w:basedOn w:val="Normal"/>
    <w:link w:val="BalloonTextChar"/>
    <w:uiPriority w:val="99"/>
    <w:semiHidden/>
    <w:unhideWhenUsed/>
    <w:rsid w:val="00596BE0"/>
    <w:rPr>
      <w:sz w:val="18"/>
      <w:szCs w:val="18"/>
    </w:rPr>
  </w:style>
  <w:style w:type="character" w:customStyle="1" w:styleId="BalloonTextChar">
    <w:name w:val="Balloon Text Char"/>
    <w:basedOn w:val="DefaultParagraphFont"/>
    <w:link w:val="BalloonText"/>
    <w:uiPriority w:val="99"/>
    <w:semiHidden/>
    <w:rsid w:val="00596BE0"/>
    <w:rPr>
      <w:rFonts w:ascii="Times New Roman" w:eastAsia="Calibri" w:hAnsi="Times New Roman" w:cs="Times New Roman"/>
      <w:sz w:val="18"/>
      <w:szCs w:val="18"/>
      <w:lang w:val="ca-ES"/>
    </w:rPr>
  </w:style>
  <w:style w:type="paragraph" w:customStyle="1" w:styleId="Default">
    <w:name w:val="Default"/>
    <w:rsid w:val="00596BE0"/>
    <w:pPr>
      <w:widowControl w:val="0"/>
      <w:autoSpaceDE w:val="0"/>
      <w:autoSpaceDN w:val="0"/>
      <w:adjustRightInd w:val="0"/>
    </w:pPr>
    <w:rPr>
      <w:rFonts w:ascii="Garamond" w:eastAsia="MS Mincho" w:hAnsi="Garamond" w:cs="Garamond"/>
      <w:color w:val="000000"/>
      <w:lang w:val="en-US" w:eastAsia="en-GB"/>
    </w:rPr>
  </w:style>
  <w:style w:type="character" w:customStyle="1" w:styleId="Heading2Char">
    <w:name w:val="Heading 2 Char"/>
    <w:basedOn w:val="DefaultParagraphFont"/>
    <w:link w:val="Heading2"/>
    <w:uiPriority w:val="9"/>
    <w:rsid w:val="00DB51A1"/>
    <w:rPr>
      <w:rFonts w:asciiTheme="majorHAnsi" w:eastAsiaTheme="majorEastAsia" w:hAnsiTheme="majorHAnsi" w:cstheme="majorBidi"/>
      <w:color w:val="2F5496" w:themeColor="accent1" w:themeShade="BF"/>
      <w:sz w:val="26"/>
      <w:szCs w:val="26"/>
    </w:rPr>
  </w:style>
  <w:style w:type="paragraph" w:customStyle="1" w:styleId="Title1">
    <w:name w:val="Title1"/>
    <w:basedOn w:val="Normal"/>
    <w:uiPriority w:val="99"/>
    <w:rsid w:val="00DB51A1"/>
    <w:pPr>
      <w:spacing w:before="100" w:beforeAutospacing="1" w:after="100" w:afterAutospacing="1"/>
    </w:pPr>
    <w:rPr>
      <w:rFonts w:eastAsiaTheme="minorEastAsia"/>
      <w:lang w:eastAsia="en-GB"/>
    </w:rPr>
  </w:style>
  <w:style w:type="character" w:styleId="Hyperlink">
    <w:name w:val="Hyperlink"/>
    <w:basedOn w:val="DefaultParagraphFont"/>
    <w:uiPriority w:val="99"/>
    <w:unhideWhenUsed/>
    <w:rsid w:val="007666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20269">
      <w:bodyDiv w:val="1"/>
      <w:marLeft w:val="0"/>
      <w:marRight w:val="0"/>
      <w:marTop w:val="0"/>
      <w:marBottom w:val="0"/>
      <w:divBdr>
        <w:top w:val="none" w:sz="0" w:space="0" w:color="auto"/>
        <w:left w:val="none" w:sz="0" w:space="0" w:color="auto"/>
        <w:bottom w:val="none" w:sz="0" w:space="0" w:color="auto"/>
        <w:right w:val="none" w:sz="0" w:space="0" w:color="auto"/>
      </w:divBdr>
    </w:div>
    <w:div w:id="366100800">
      <w:bodyDiv w:val="1"/>
      <w:marLeft w:val="0"/>
      <w:marRight w:val="0"/>
      <w:marTop w:val="0"/>
      <w:marBottom w:val="0"/>
      <w:divBdr>
        <w:top w:val="none" w:sz="0" w:space="0" w:color="auto"/>
        <w:left w:val="none" w:sz="0" w:space="0" w:color="auto"/>
        <w:bottom w:val="none" w:sz="0" w:space="0" w:color="auto"/>
        <w:right w:val="none" w:sz="0" w:space="0" w:color="auto"/>
      </w:divBdr>
    </w:div>
    <w:div w:id="759303019">
      <w:bodyDiv w:val="1"/>
      <w:marLeft w:val="0"/>
      <w:marRight w:val="0"/>
      <w:marTop w:val="0"/>
      <w:marBottom w:val="0"/>
      <w:divBdr>
        <w:top w:val="none" w:sz="0" w:space="0" w:color="auto"/>
        <w:left w:val="none" w:sz="0" w:space="0" w:color="auto"/>
        <w:bottom w:val="none" w:sz="0" w:space="0" w:color="auto"/>
        <w:right w:val="none" w:sz="0" w:space="0" w:color="auto"/>
      </w:divBdr>
    </w:div>
    <w:div w:id="776340031">
      <w:bodyDiv w:val="1"/>
      <w:marLeft w:val="0"/>
      <w:marRight w:val="0"/>
      <w:marTop w:val="0"/>
      <w:marBottom w:val="0"/>
      <w:divBdr>
        <w:top w:val="none" w:sz="0" w:space="0" w:color="auto"/>
        <w:left w:val="none" w:sz="0" w:space="0" w:color="auto"/>
        <w:bottom w:val="none" w:sz="0" w:space="0" w:color="auto"/>
        <w:right w:val="none" w:sz="0" w:space="0" w:color="auto"/>
      </w:divBdr>
    </w:div>
    <w:div w:id="777289220">
      <w:bodyDiv w:val="1"/>
      <w:marLeft w:val="0"/>
      <w:marRight w:val="0"/>
      <w:marTop w:val="0"/>
      <w:marBottom w:val="0"/>
      <w:divBdr>
        <w:top w:val="none" w:sz="0" w:space="0" w:color="auto"/>
        <w:left w:val="none" w:sz="0" w:space="0" w:color="auto"/>
        <w:bottom w:val="none" w:sz="0" w:space="0" w:color="auto"/>
        <w:right w:val="none" w:sz="0" w:space="0" w:color="auto"/>
      </w:divBdr>
    </w:div>
    <w:div w:id="850992933">
      <w:bodyDiv w:val="1"/>
      <w:marLeft w:val="0"/>
      <w:marRight w:val="0"/>
      <w:marTop w:val="0"/>
      <w:marBottom w:val="0"/>
      <w:divBdr>
        <w:top w:val="none" w:sz="0" w:space="0" w:color="auto"/>
        <w:left w:val="none" w:sz="0" w:space="0" w:color="auto"/>
        <w:bottom w:val="none" w:sz="0" w:space="0" w:color="auto"/>
        <w:right w:val="none" w:sz="0" w:space="0" w:color="auto"/>
      </w:divBdr>
    </w:div>
    <w:div w:id="907569458">
      <w:bodyDiv w:val="1"/>
      <w:marLeft w:val="0"/>
      <w:marRight w:val="0"/>
      <w:marTop w:val="0"/>
      <w:marBottom w:val="0"/>
      <w:divBdr>
        <w:top w:val="none" w:sz="0" w:space="0" w:color="auto"/>
        <w:left w:val="none" w:sz="0" w:space="0" w:color="auto"/>
        <w:bottom w:val="none" w:sz="0" w:space="0" w:color="auto"/>
        <w:right w:val="none" w:sz="0" w:space="0" w:color="auto"/>
      </w:divBdr>
    </w:div>
    <w:div w:id="1012609493">
      <w:bodyDiv w:val="1"/>
      <w:marLeft w:val="0"/>
      <w:marRight w:val="0"/>
      <w:marTop w:val="0"/>
      <w:marBottom w:val="0"/>
      <w:divBdr>
        <w:top w:val="none" w:sz="0" w:space="0" w:color="auto"/>
        <w:left w:val="none" w:sz="0" w:space="0" w:color="auto"/>
        <w:bottom w:val="none" w:sz="0" w:space="0" w:color="auto"/>
        <w:right w:val="none" w:sz="0" w:space="0" w:color="auto"/>
      </w:divBdr>
    </w:div>
    <w:div w:id="1225020283">
      <w:bodyDiv w:val="1"/>
      <w:marLeft w:val="0"/>
      <w:marRight w:val="0"/>
      <w:marTop w:val="0"/>
      <w:marBottom w:val="0"/>
      <w:divBdr>
        <w:top w:val="none" w:sz="0" w:space="0" w:color="auto"/>
        <w:left w:val="none" w:sz="0" w:space="0" w:color="auto"/>
        <w:bottom w:val="none" w:sz="0" w:space="0" w:color="auto"/>
        <w:right w:val="none" w:sz="0" w:space="0" w:color="auto"/>
      </w:divBdr>
    </w:div>
    <w:div w:id="1402019167">
      <w:bodyDiv w:val="1"/>
      <w:marLeft w:val="0"/>
      <w:marRight w:val="0"/>
      <w:marTop w:val="0"/>
      <w:marBottom w:val="0"/>
      <w:divBdr>
        <w:top w:val="none" w:sz="0" w:space="0" w:color="auto"/>
        <w:left w:val="none" w:sz="0" w:space="0" w:color="auto"/>
        <w:bottom w:val="none" w:sz="0" w:space="0" w:color="auto"/>
        <w:right w:val="none" w:sz="0" w:space="0" w:color="auto"/>
      </w:divBdr>
    </w:div>
    <w:div w:id="1607155965">
      <w:bodyDiv w:val="1"/>
      <w:marLeft w:val="0"/>
      <w:marRight w:val="0"/>
      <w:marTop w:val="0"/>
      <w:marBottom w:val="0"/>
      <w:divBdr>
        <w:top w:val="none" w:sz="0" w:space="0" w:color="auto"/>
        <w:left w:val="none" w:sz="0" w:space="0" w:color="auto"/>
        <w:bottom w:val="none" w:sz="0" w:space="0" w:color="auto"/>
        <w:right w:val="none" w:sz="0" w:space="0" w:color="auto"/>
      </w:divBdr>
    </w:div>
    <w:div w:id="1622300610">
      <w:bodyDiv w:val="1"/>
      <w:marLeft w:val="0"/>
      <w:marRight w:val="0"/>
      <w:marTop w:val="0"/>
      <w:marBottom w:val="0"/>
      <w:divBdr>
        <w:top w:val="none" w:sz="0" w:space="0" w:color="auto"/>
        <w:left w:val="none" w:sz="0" w:space="0" w:color="auto"/>
        <w:bottom w:val="none" w:sz="0" w:space="0" w:color="auto"/>
        <w:right w:val="none" w:sz="0" w:space="0" w:color="auto"/>
      </w:divBdr>
    </w:div>
    <w:div w:id="1623418847">
      <w:bodyDiv w:val="1"/>
      <w:marLeft w:val="0"/>
      <w:marRight w:val="0"/>
      <w:marTop w:val="0"/>
      <w:marBottom w:val="0"/>
      <w:divBdr>
        <w:top w:val="none" w:sz="0" w:space="0" w:color="auto"/>
        <w:left w:val="none" w:sz="0" w:space="0" w:color="auto"/>
        <w:bottom w:val="none" w:sz="0" w:space="0" w:color="auto"/>
        <w:right w:val="none" w:sz="0" w:space="0" w:color="auto"/>
      </w:divBdr>
    </w:div>
    <w:div w:id="1728601685">
      <w:bodyDiv w:val="1"/>
      <w:marLeft w:val="0"/>
      <w:marRight w:val="0"/>
      <w:marTop w:val="0"/>
      <w:marBottom w:val="0"/>
      <w:divBdr>
        <w:top w:val="none" w:sz="0" w:space="0" w:color="auto"/>
        <w:left w:val="none" w:sz="0" w:space="0" w:color="auto"/>
        <w:bottom w:val="none" w:sz="0" w:space="0" w:color="auto"/>
        <w:right w:val="none" w:sz="0" w:space="0" w:color="auto"/>
      </w:divBdr>
    </w:div>
    <w:div w:id="1766608977">
      <w:bodyDiv w:val="1"/>
      <w:marLeft w:val="0"/>
      <w:marRight w:val="0"/>
      <w:marTop w:val="0"/>
      <w:marBottom w:val="0"/>
      <w:divBdr>
        <w:top w:val="none" w:sz="0" w:space="0" w:color="auto"/>
        <w:left w:val="none" w:sz="0" w:space="0" w:color="auto"/>
        <w:bottom w:val="none" w:sz="0" w:space="0" w:color="auto"/>
        <w:right w:val="none" w:sz="0" w:space="0" w:color="auto"/>
      </w:divBdr>
    </w:div>
    <w:div w:id="1782454099">
      <w:bodyDiv w:val="1"/>
      <w:marLeft w:val="0"/>
      <w:marRight w:val="0"/>
      <w:marTop w:val="0"/>
      <w:marBottom w:val="0"/>
      <w:divBdr>
        <w:top w:val="none" w:sz="0" w:space="0" w:color="auto"/>
        <w:left w:val="none" w:sz="0" w:space="0" w:color="auto"/>
        <w:bottom w:val="none" w:sz="0" w:space="0" w:color="auto"/>
        <w:right w:val="none" w:sz="0" w:space="0" w:color="auto"/>
      </w:divBdr>
    </w:div>
    <w:div w:id="1808401673">
      <w:bodyDiv w:val="1"/>
      <w:marLeft w:val="0"/>
      <w:marRight w:val="0"/>
      <w:marTop w:val="0"/>
      <w:marBottom w:val="0"/>
      <w:divBdr>
        <w:top w:val="none" w:sz="0" w:space="0" w:color="auto"/>
        <w:left w:val="none" w:sz="0" w:space="0" w:color="auto"/>
        <w:bottom w:val="none" w:sz="0" w:space="0" w:color="auto"/>
        <w:right w:val="none" w:sz="0" w:space="0" w:color="auto"/>
      </w:divBdr>
    </w:div>
    <w:div w:id="1886679492">
      <w:bodyDiv w:val="1"/>
      <w:marLeft w:val="0"/>
      <w:marRight w:val="0"/>
      <w:marTop w:val="0"/>
      <w:marBottom w:val="0"/>
      <w:divBdr>
        <w:top w:val="none" w:sz="0" w:space="0" w:color="auto"/>
        <w:left w:val="none" w:sz="0" w:space="0" w:color="auto"/>
        <w:bottom w:val="none" w:sz="0" w:space="0" w:color="auto"/>
        <w:right w:val="none" w:sz="0" w:space="0" w:color="auto"/>
      </w:divBdr>
    </w:div>
    <w:div w:id="1974166987">
      <w:bodyDiv w:val="1"/>
      <w:marLeft w:val="0"/>
      <w:marRight w:val="0"/>
      <w:marTop w:val="0"/>
      <w:marBottom w:val="0"/>
      <w:divBdr>
        <w:top w:val="none" w:sz="0" w:space="0" w:color="auto"/>
        <w:left w:val="none" w:sz="0" w:space="0" w:color="auto"/>
        <w:bottom w:val="none" w:sz="0" w:space="0" w:color="auto"/>
        <w:right w:val="none" w:sz="0" w:space="0" w:color="auto"/>
      </w:divBdr>
    </w:div>
    <w:div w:id="2092047292">
      <w:bodyDiv w:val="1"/>
      <w:marLeft w:val="0"/>
      <w:marRight w:val="0"/>
      <w:marTop w:val="0"/>
      <w:marBottom w:val="0"/>
      <w:divBdr>
        <w:top w:val="none" w:sz="0" w:space="0" w:color="auto"/>
        <w:left w:val="none" w:sz="0" w:space="0" w:color="auto"/>
        <w:bottom w:val="none" w:sz="0" w:space="0" w:color="auto"/>
        <w:right w:val="none" w:sz="0" w:space="0" w:color="auto"/>
      </w:divBdr>
    </w:div>
    <w:div w:id="210549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ovctrd.com/CtrdWe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68</Pages>
  <Words>19939</Words>
  <Characters>113655</Characters>
  <Application>Microsoft Office Word</Application>
  <DocSecurity>0</DocSecurity>
  <Lines>947</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2020-05-12T04:13:00Z</cp:lastPrinted>
  <dcterms:created xsi:type="dcterms:W3CDTF">2020-05-14T04:11:00Z</dcterms:created>
  <dcterms:modified xsi:type="dcterms:W3CDTF">2020-05-14T04:14:00Z</dcterms:modified>
</cp:coreProperties>
</file>