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DCC" w:rsidRDefault="00A53DCC" w:rsidP="00B21C9E">
      <w:pPr>
        <w:spacing w:after="200" w:line="240" w:lineRule="auto"/>
        <w:contextualSpacing/>
        <w:rPr>
          <w:rFonts w:ascii="Times New Roman" w:hAnsi="Times New Roman" w:cs="Times New Roman"/>
          <w:b/>
          <w:i/>
          <w:sz w:val="28"/>
          <w:szCs w:val="24"/>
          <w:lang w:val="en-GB"/>
        </w:rPr>
      </w:pPr>
      <w:r w:rsidRPr="00A53DCC">
        <w:rPr>
          <w:rFonts w:ascii="Times New Roman" w:hAnsi="Times New Roman" w:cs="Times New Roman"/>
          <w:b/>
          <w:i/>
          <w:sz w:val="28"/>
          <w:szCs w:val="24"/>
          <w:lang w:val="en-GB"/>
        </w:rPr>
        <w:t xml:space="preserve">Materials and Methods </w:t>
      </w:r>
    </w:p>
    <w:p w:rsidR="00A53DCC" w:rsidRPr="00A53DCC" w:rsidRDefault="00A53DCC" w:rsidP="00B21C9E">
      <w:pPr>
        <w:spacing w:after="200" w:line="240" w:lineRule="auto"/>
        <w:contextualSpacing/>
        <w:rPr>
          <w:rFonts w:ascii="Times New Roman" w:hAnsi="Times New Roman" w:cs="Times New Roman"/>
          <w:b/>
          <w:i/>
          <w:sz w:val="28"/>
          <w:szCs w:val="24"/>
          <w:lang w:val="en-GB"/>
        </w:rPr>
      </w:pPr>
    </w:p>
    <w:p w:rsidR="00FC0809" w:rsidRDefault="00FC0809" w:rsidP="00B21C9E">
      <w:pPr>
        <w:spacing w:after="200" w:line="240" w:lineRule="auto"/>
        <w:contextualSpacing/>
        <w:rPr>
          <w:rFonts w:ascii="Times New Roman" w:hAnsi="Times New Roman" w:cs="Times New Roman"/>
          <w:b/>
          <w:i/>
          <w:sz w:val="24"/>
          <w:szCs w:val="24"/>
          <w:lang w:val="en-GB"/>
        </w:rPr>
      </w:pPr>
      <w:r w:rsidRPr="002B18EB">
        <w:rPr>
          <w:rFonts w:ascii="Times New Roman" w:hAnsi="Times New Roman" w:cs="Times New Roman"/>
          <w:b/>
          <w:i/>
          <w:sz w:val="24"/>
          <w:szCs w:val="24"/>
          <w:lang w:val="en-GB"/>
        </w:rPr>
        <w:t>Cued Fear Conditioning</w:t>
      </w:r>
    </w:p>
    <w:p w:rsidR="00FC0809" w:rsidRDefault="00FC0809" w:rsidP="00B21C9E">
      <w:pPr>
        <w:spacing w:after="200" w:line="240" w:lineRule="auto"/>
        <w:contextualSpacing/>
        <w:rPr>
          <w:rFonts w:ascii="Times New Roman" w:hAnsi="Times New Roman" w:cs="Times New Roman"/>
          <w:b/>
          <w:i/>
          <w:sz w:val="24"/>
          <w:szCs w:val="24"/>
          <w:lang w:val="en-GB"/>
        </w:rPr>
      </w:pPr>
    </w:p>
    <w:p w:rsidR="00FC0809" w:rsidRPr="002B18EB" w:rsidRDefault="00FC0809" w:rsidP="00FC0809">
      <w:pPr>
        <w:spacing w:after="200" w:line="360" w:lineRule="auto"/>
        <w:contextualSpacing/>
        <w:jc w:val="both"/>
        <w:rPr>
          <w:rFonts w:ascii="Times New Roman" w:hAnsi="Times New Roman" w:cs="Times New Roman"/>
          <w:sz w:val="24"/>
          <w:szCs w:val="24"/>
          <w:lang w:val="en-GB"/>
        </w:rPr>
      </w:pPr>
      <w:r w:rsidRPr="002B18EB">
        <w:rPr>
          <w:rFonts w:ascii="Times New Roman" w:hAnsi="Times New Roman" w:cs="Times New Roman"/>
          <w:sz w:val="24"/>
          <w:szCs w:val="24"/>
          <w:lang w:val="en-GB"/>
        </w:rPr>
        <w:t xml:space="preserve">Conditioning (context A) was conducted in conditioning chambers with transparent front wall with metal side walls </w:t>
      </w:r>
      <w:r w:rsidRPr="002B18EB">
        <w:rPr>
          <w:rFonts w:ascii="Times New Roman" w:hAnsi="Times New Roman" w:cs="Times New Roman"/>
          <w:b/>
          <w:sz w:val="24"/>
          <w:szCs w:val="24"/>
          <w:lang w:val="en-GB"/>
        </w:rPr>
        <w:t>(see images Figure 1A)</w:t>
      </w:r>
      <w:r w:rsidRPr="002B18EB">
        <w:rPr>
          <w:rFonts w:ascii="Times New Roman" w:hAnsi="Times New Roman" w:cs="Times New Roman"/>
          <w:sz w:val="24"/>
          <w:szCs w:val="24"/>
          <w:lang w:val="en-GB"/>
        </w:rPr>
        <w:t xml:space="preserve">. The floor consisted of metal rods evenly distributed. For conditioning, ‘context A’ the chamber was cleaned with 17.5% water/19.5% ethanol/ 1% vanilla-extract solution. After 120s acclimation to the context, mice received three pairing of tone and shock. Conditioning stimulus (CS, 80dB, 3kHz tone) consisted of a tone played for 30s which was accompanied by 2s of a mild foot shock (US, unconditioned stimulus, 0.6mA) presented at the final 2s of tone presentation. Each CS-US pairing was accompanied by 60s no stimulus interval. After the final interval an additional 60s remained in the conditioning trial. After conditioning, mice were returned to their home cage in the animal holding room. Following a 6h delay mice were subjected to a retention/extinction trial. Mice were placed in a novel context (Context B) which consisted of the original conditioning chamber with a Plexiglas black triangle and a plastic white flooring. Before retention/extinction trial the novel context was cleaned with 50% ethanol/50% water solution. After an initial 120s acclimation period, mice were subjected to 40 presentations of the CS alone. Each CS lasted for 30s and were separated by a 5s no-stimulus interval. After a 30min period post retention/extinction trail mice were subjected to a context recall session. For this the mice were place in the original conditioning context (Context A) for 5min. During this trial the mice were exposed to no CS to verify the absence of contextual conditioning. Freezing was assessed by automated video freezing </w:t>
      </w:r>
      <w:r w:rsidR="00B479C0">
        <w:rPr>
          <w:rFonts w:ascii="Times New Roman" w:hAnsi="Times New Roman" w:cs="Times New Roman"/>
          <w:sz w:val="24"/>
          <w:szCs w:val="24"/>
          <w:lang w:val="en-GB"/>
        </w:rPr>
        <w:t>tracking software (Video Freeze</w:t>
      </w:r>
      <w:r w:rsidR="00B479C0" w:rsidRPr="00B479C0">
        <w:rPr>
          <w:rFonts w:ascii="Times New Roman" w:hAnsi="Times New Roman" w:cs="Times New Roman"/>
          <w:sz w:val="24"/>
          <w:szCs w:val="24"/>
          <w:vertAlign w:val="superscript"/>
          <w:lang w:val="en-GB"/>
        </w:rPr>
        <w:t>®</w:t>
      </w:r>
      <w:r w:rsidRPr="002B18EB">
        <w:rPr>
          <w:rFonts w:ascii="Times New Roman" w:hAnsi="Times New Roman" w:cs="Times New Roman"/>
          <w:sz w:val="24"/>
          <w:szCs w:val="24"/>
          <w:lang w:val="en-GB"/>
        </w:rPr>
        <w:t xml:space="preserve">, Med Associates </w:t>
      </w:r>
      <w:proofErr w:type="spellStart"/>
      <w:r w:rsidRPr="002B18EB">
        <w:rPr>
          <w:rFonts w:ascii="Times New Roman" w:hAnsi="Times New Roman" w:cs="Times New Roman"/>
          <w:sz w:val="24"/>
          <w:szCs w:val="24"/>
          <w:lang w:val="en-GB"/>
        </w:rPr>
        <w:t>Inc</w:t>
      </w:r>
      <w:proofErr w:type="spellEnd"/>
      <w:r w:rsidRPr="002B18EB">
        <w:rPr>
          <w:rFonts w:ascii="Times New Roman" w:hAnsi="Times New Roman" w:cs="Times New Roman"/>
          <w:sz w:val="24"/>
          <w:szCs w:val="24"/>
          <w:lang w:val="en-GB"/>
        </w:rPr>
        <w:t>). Percentage freezing during tone presentation was determined.</w:t>
      </w:r>
      <w:r w:rsidR="00B479C0">
        <w:rPr>
          <w:rFonts w:ascii="Times New Roman" w:hAnsi="Times New Roman" w:cs="Times New Roman"/>
          <w:sz w:val="24"/>
          <w:szCs w:val="24"/>
          <w:lang w:val="en-GB"/>
        </w:rPr>
        <w:t xml:space="preserve"> </w:t>
      </w:r>
      <w:r w:rsidR="00B479C0" w:rsidRPr="00B479C0">
        <w:rPr>
          <w:rFonts w:ascii="Times New Roman" w:hAnsi="Times New Roman" w:cs="Times New Roman"/>
          <w:color w:val="FF0000"/>
          <w:sz w:val="24"/>
          <w:szCs w:val="24"/>
          <w:lang w:val="en-GB"/>
        </w:rPr>
        <w:t>For determination of percentage freezing using the Video Freeze</w:t>
      </w:r>
      <w:r w:rsidR="00B479C0" w:rsidRPr="00B479C0">
        <w:rPr>
          <w:rFonts w:ascii="Times New Roman" w:hAnsi="Times New Roman" w:cs="Times New Roman"/>
          <w:color w:val="FF0000"/>
          <w:sz w:val="24"/>
          <w:szCs w:val="24"/>
          <w:vertAlign w:val="superscript"/>
          <w:lang w:val="en-GB"/>
        </w:rPr>
        <w:t>®</w:t>
      </w:r>
      <w:r w:rsidR="00B479C0" w:rsidRPr="00B479C0">
        <w:rPr>
          <w:rFonts w:ascii="Times New Roman" w:hAnsi="Times New Roman" w:cs="Times New Roman"/>
          <w:color w:val="FF0000"/>
          <w:sz w:val="24"/>
          <w:szCs w:val="24"/>
          <w:lang w:val="en-GB"/>
        </w:rPr>
        <w:t xml:space="preserve"> software a motion threshold index (au) of 18 was used and min freeze duration (f) of 30. </w:t>
      </w:r>
      <w:r w:rsidRPr="00B479C0">
        <w:rPr>
          <w:rFonts w:ascii="Times New Roman" w:hAnsi="Times New Roman" w:cs="Times New Roman"/>
          <w:color w:val="FF0000"/>
          <w:sz w:val="24"/>
          <w:szCs w:val="24"/>
          <w:lang w:val="en-GB"/>
        </w:rPr>
        <w:t xml:space="preserve"> </w:t>
      </w:r>
      <w:r w:rsidRPr="002B18EB">
        <w:rPr>
          <w:rFonts w:ascii="Times New Roman" w:hAnsi="Times New Roman" w:cs="Times New Roman"/>
          <w:sz w:val="24"/>
          <w:szCs w:val="24"/>
          <w:lang w:val="en-GB"/>
        </w:rPr>
        <w:t xml:space="preserve">Freezing during extinction was averaged into 5-trail blocks for analysis. Trial block 1 which consisted of the first 5 CS tones was used to depict memory retention. Prior to this a one day cued fear conditioning paradigm was piloted in CON mice with either 2 or 3 CS-US pairings </w:t>
      </w:r>
      <w:r w:rsidRPr="002B18EB">
        <w:rPr>
          <w:rFonts w:ascii="Times New Roman" w:hAnsi="Times New Roman" w:cs="Times New Roman"/>
          <w:b/>
          <w:sz w:val="24"/>
          <w:szCs w:val="24"/>
          <w:lang w:val="en-GB"/>
        </w:rPr>
        <w:t>(supplemental figure 1)</w:t>
      </w:r>
      <w:r w:rsidRPr="002B18EB">
        <w:rPr>
          <w:rFonts w:ascii="Times New Roman" w:hAnsi="Times New Roman" w:cs="Times New Roman"/>
          <w:sz w:val="24"/>
          <w:szCs w:val="24"/>
          <w:lang w:val="en-GB"/>
        </w:rPr>
        <w:t xml:space="preserve">. </w:t>
      </w:r>
    </w:p>
    <w:p w:rsidR="00FC0809" w:rsidRDefault="00FC0809" w:rsidP="00B21C9E">
      <w:pPr>
        <w:spacing w:after="200" w:line="240" w:lineRule="auto"/>
        <w:contextualSpacing/>
        <w:rPr>
          <w:rFonts w:ascii="Times New Roman" w:hAnsi="Times New Roman" w:cs="Times New Roman"/>
          <w:b/>
          <w:i/>
          <w:sz w:val="24"/>
          <w:szCs w:val="24"/>
          <w:lang w:val="en-GB"/>
        </w:rPr>
      </w:pPr>
    </w:p>
    <w:p w:rsidR="00EC3BAD" w:rsidRPr="002B18EB" w:rsidRDefault="00EC3BAD" w:rsidP="00EC3BAD">
      <w:pPr>
        <w:spacing w:after="200" w:line="360" w:lineRule="auto"/>
        <w:contextualSpacing/>
        <w:rPr>
          <w:rFonts w:ascii="Times New Roman" w:hAnsi="Times New Roman" w:cs="Times New Roman"/>
          <w:b/>
          <w:i/>
          <w:sz w:val="24"/>
          <w:szCs w:val="24"/>
          <w:lang w:val="en-GB"/>
        </w:rPr>
      </w:pPr>
      <w:r w:rsidRPr="002B18EB">
        <w:rPr>
          <w:rFonts w:ascii="Times New Roman" w:hAnsi="Times New Roman" w:cs="Times New Roman"/>
          <w:b/>
          <w:i/>
          <w:sz w:val="24"/>
          <w:szCs w:val="24"/>
          <w:lang w:val="en-GB"/>
        </w:rPr>
        <w:t>mRNA Sequencing</w:t>
      </w:r>
    </w:p>
    <w:p w:rsidR="00EC3BAD" w:rsidRDefault="00EC3BAD" w:rsidP="00EC3BAD">
      <w:pPr>
        <w:spacing w:after="200" w:line="360" w:lineRule="auto"/>
        <w:contextualSpacing/>
        <w:jc w:val="both"/>
        <w:rPr>
          <w:rFonts w:ascii="Times New Roman" w:hAnsi="Times New Roman" w:cs="Times New Roman"/>
          <w:b/>
          <w:i/>
          <w:sz w:val="24"/>
          <w:szCs w:val="24"/>
          <w:lang w:val="en-GB"/>
        </w:rPr>
      </w:pPr>
      <w:r w:rsidRPr="002B18EB">
        <w:rPr>
          <w:rFonts w:ascii="Times New Roman" w:hAnsi="Times New Roman" w:cs="Times New Roman"/>
          <w:sz w:val="24"/>
          <w:szCs w:val="24"/>
          <w:lang w:val="en-GB"/>
        </w:rPr>
        <w:t xml:space="preserve">The library preparation was done using </w:t>
      </w:r>
      <w:proofErr w:type="spellStart"/>
      <w:r w:rsidRPr="002B18EB">
        <w:rPr>
          <w:rFonts w:ascii="Times New Roman" w:hAnsi="Times New Roman" w:cs="Times New Roman"/>
          <w:sz w:val="24"/>
          <w:szCs w:val="24"/>
          <w:lang w:val="en-GB"/>
        </w:rPr>
        <w:t>TruSeq</w:t>
      </w:r>
      <w:proofErr w:type="spellEnd"/>
      <w:r w:rsidRPr="002B18EB">
        <w:rPr>
          <w:rFonts w:ascii="Times New Roman" w:hAnsi="Times New Roman" w:cs="Times New Roman"/>
          <w:sz w:val="24"/>
          <w:szCs w:val="24"/>
          <w:lang w:val="en-GB"/>
        </w:rPr>
        <w:t xml:space="preserve">® Standard mRNA Sample preparation kit (Illumina </w:t>
      </w:r>
      <w:proofErr w:type="spellStart"/>
      <w:r w:rsidRPr="002B18EB">
        <w:rPr>
          <w:rFonts w:ascii="Times New Roman" w:hAnsi="Times New Roman" w:cs="Times New Roman"/>
          <w:sz w:val="24"/>
          <w:szCs w:val="24"/>
          <w:lang w:val="en-GB"/>
        </w:rPr>
        <w:t>inc</w:t>
      </w:r>
      <w:proofErr w:type="spellEnd"/>
      <w:r w:rsidRPr="002B18EB">
        <w:rPr>
          <w:rFonts w:ascii="Times New Roman" w:hAnsi="Times New Roman" w:cs="Times New Roman"/>
          <w:sz w:val="24"/>
          <w:szCs w:val="24"/>
          <w:lang w:val="en-GB"/>
        </w:rPr>
        <w:t xml:space="preserve">). The starting material (100ng) of total RNA was mRNA enriched using the </w:t>
      </w:r>
      <w:proofErr w:type="spellStart"/>
      <w:r w:rsidRPr="002B18EB">
        <w:rPr>
          <w:rFonts w:ascii="Times New Roman" w:hAnsi="Times New Roman" w:cs="Times New Roman"/>
          <w:sz w:val="24"/>
          <w:szCs w:val="24"/>
          <w:lang w:val="en-GB"/>
        </w:rPr>
        <w:t>oligodT</w:t>
      </w:r>
      <w:proofErr w:type="spellEnd"/>
      <w:r w:rsidRPr="002B18EB">
        <w:rPr>
          <w:rFonts w:ascii="Times New Roman" w:hAnsi="Times New Roman" w:cs="Times New Roman"/>
          <w:sz w:val="24"/>
          <w:szCs w:val="24"/>
          <w:lang w:val="en-GB"/>
        </w:rPr>
        <w:t xml:space="preserve"> bead system. The isolated mRNA was subsequently fragmented using enzymatic </w:t>
      </w:r>
      <w:r w:rsidRPr="002B18EB">
        <w:rPr>
          <w:rFonts w:ascii="Times New Roman" w:hAnsi="Times New Roman" w:cs="Times New Roman"/>
          <w:sz w:val="24"/>
          <w:szCs w:val="24"/>
          <w:lang w:val="en-GB"/>
        </w:rPr>
        <w:lastRenderedPageBreak/>
        <w:t>fragmentation. Then first strand synthesis and second strand synthesis were performed and the double stranded cDNA was purified (</w:t>
      </w:r>
      <w:proofErr w:type="spellStart"/>
      <w:r w:rsidRPr="002B18EB">
        <w:rPr>
          <w:rFonts w:ascii="Times New Roman" w:hAnsi="Times New Roman" w:cs="Times New Roman"/>
          <w:sz w:val="24"/>
          <w:szCs w:val="24"/>
          <w:lang w:val="en-GB"/>
        </w:rPr>
        <w:t>AMPure</w:t>
      </w:r>
      <w:proofErr w:type="spellEnd"/>
      <w:r w:rsidRPr="002B18EB">
        <w:rPr>
          <w:rFonts w:ascii="Times New Roman" w:hAnsi="Times New Roman" w:cs="Times New Roman"/>
          <w:sz w:val="24"/>
          <w:szCs w:val="24"/>
          <w:lang w:val="en-GB"/>
        </w:rPr>
        <w:t xml:space="preserve"> XP). The mRNA stranded libraries were pre-amplified with PCR and purified (</w:t>
      </w:r>
      <w:proofErr w:type="spellStart"/>
      <w:r w:rsidRPr="002B18EB">
        <w:rPr>
          <w:rFonts w:ascii="Times New Roman" w:hAnsi="Times New Roman" w:cs="Times New Roman"/>
          <w:sz w:val="24"/>
          <w:szCs w:val="24"/>
          <w:lang w:val="en-GB"/>
        </w:rPr>
        <w:t>AMPure</w:t>
      </w:r>
      <w:proofErr w:type="spellEnd"/>
      <w:r w:rsidRPr="002B18EB">
        <w:rPr>
          <w:rFonts w:ascii="Times New Roman" w:hAnsi="Times New Roman" w:cs="Times New Roman"/>
          <w:sz w:val="24"/>
          <w:szCs w:val="24"/>
          <w:lang w:val="en-GB"/>
        </w:rPr>
        <w:t xml:space="preserve"> XP).  Libraries size distribution was validated and quality inspected on a </w:t>
      </w:r>
      <w:proofErr w:type="spellStart"/>
      <w:r w:rsidRPr="002B18EB">
        <w:rPr>
          <w:rFonts w:ascii="Times New Roman" w:hAnsi="Times New Roman" w:cs="Times New Roman"/>
          <w:sz w:val="24"/>
          <w:szCs w:val="24"/>
          <w:lang w:val="en-GB"/>
        </w:rPr>
        <w:t>Bioanalyzer</w:t>
      </w:r>
      <w:proofErr w:type="spellEnd"/>
      <w:r w:rsidRPr="002B18EB">
        <w:rPr>
          <w:rFonts w:ascii="Times New Roman" w:hAnsi="Times New Roman" w:cs="Times New Roman"/>
          <w:sz w:val="24"/>
          <w:szCs w:val="24"/>
          <w:lang w:val="en-GB"/>
        </w:rPr>
        <w:t xml:space="preserve"> high sensitive DNA chip (</w:t>
      </w:r>
      <w:proofErr w:type="spellStart"/>
      <w:r w:rsidRPr="002B18EB">
        <w:rPr>
          <w:rFonts w:ascii="Times New Roman" w:hAnsi="Times New Roman" w:cs="Times New Roman"/>
          <w:sz w:val="24"/>
          <w:szCs w:val="24"/>
          <w:lang w:val="en-GB"/>
        </w:rPr>
        <w:t>Aligent</w:t>
      </w:r>
      <w:proofErr w:type="spellEnd"/>
      <w:r w:rsidRPr="002B18EB">
        <w:rPr>
          <w:rFonts w:ascii="Times New Roman" w:hAnsi="Times New Roman" w:cs="Times New Roman"/>
          <w:sz w:val="24"/>
          <w:szCs w:val="24"/>
          <w:lang w:val="en-GB"/>
        </w:rPr>
        <w:t xml:space="preserve"> Technologies). High quality libraries were quantified using qPCR, the concentration normalized and the samples pool(s) were re-quantified with qPCR and optimal concentration of the library pool used to generate the clusters on the surface of a </w:t>
      </w:r>
      <w:proofErr w:type="spellStart"/>
      <w:r w:rsidRPr="002B18EB">
        <w:rPr>
          <w:rFonts w:ascii="Times New Roman" w:hAnsi="Times New Roman" w:cs="Times New Roman"/>
          <w:sz w:val="24"/>
          <w:szCs w:val="24"/>
          <w:lang w:val="en-GB"/>
        </w:rPr>
        <w:t>flowcell</w:t>
      </w:r>
      <w:proofErr w:type="spellEnd"/>
      <w:r w:rsidRPr="002B18EB">
        <w:rPr>
          <w:rFonts w:ascii="Times New Roman" w:hAnsi="Times New Roman" w:cs="Times New Roman"/>
          <w:sz w:val="24"/>
          <w:szCs w:val="24"/>
          <w:lang w:val="en-GB"/>
        </w:rPr>
        <w:t xml:space="preserve"> before sequencing on Nextseq500. High Output sequencing kit (51 cycles according to the manufactures instructions (Illumina Inc.). Data analysis pipeline is based on the </w:t>
      </w:r>
      <w:r w:rsidRPr="002B18EB">
        <w:rPr>
          <w:rFonts w:ascii="Times New Roman" w:hAnsi="Times New Roman" w:cs="Times New Roman"/>
          <w:i/>
          <w:sz w:val="24"/>
          <w:szCs w:val="24"/>
          <w:lang w:val="en-GB"/>
        </w:rPr>
        <w:t>Tuxedo</w:t>
      </w:r>
      <w:r w:rsidRPr="002B18EB">
        <w:rPr>
          <w:rFonts w:ascii="Times New Roman" w:hAnsi="Times New Roman" w:cs="Times New Roman"/>
          <w:sz w:val="24"/>
          <w:szCs w:val="24"/>
          <w:lang w:val="en-GB"/>
        </w:rPr>
        <w:t xml:space="preserve"> software package, which is a combination of open-source software and implemented peer-reviewed statistical methods.</w:t>
      </w:r>
    </w:p>
    <w:p w:rsidR="00FC0809" w:rsidRDefault="00FC0809" w:rsidP="00B21C9E">
      <w:pPr>
        <w:spacing w:after="200" w:line="240" w:lineRule="auto"/>
        <w:contextualSpacing/>
        <w:rPr>
          <w:rFonts w:ascii="Times New Roman" w:hAnsi="Times New Roman" w:cs="Times New Roman"/>
          <w:b/>
          <w:i/>
          <w:sz w:val="24"/>
          <w:szCs w:val="24"/>
          <w:lang w:val="en-GB"/>
        </w:rPr>
      </w:pPr>
    </w:p>
    <w:p w:rsidR="00B21C9E" w:rsidRPr="002B18EB" w:rsidRDefault="00B21C9E" w:rsidP="00B21C9E">
      <w:pPr>
        <w:spacing w:after="200" w:line="240" w:lineRule="auto"/>
        <w:contextualSpacing/>
        <w:rPr>
          <w:rFonts w:ascii="Times New Roman" w:hAnsi="Times New Roman" w:cs="Times New Roman"/>
          <w:b/>
          <w:i/>
          <w:sz w:val="24"/>
          <w:szCs w:val="24"/>
          <w:lang w:val="en-GB"/>
        </w:rPr>
      </w:pPr>
      <w:r w:rsidRPr="002B18EB">
        <w:rPr>
          <w:rFonts w:ascii="Times New Roman" w:hAnsi="Times New Roman" w:cs="Times New Roman"/>
          <w:b/>
          <w:i/>
          <w:sz w:val="24"/>
          <w:szCs w:val="24"/>
          <w:lang w:val="en-GB"/>
        </w:rPr>
        <w:t xml:space="preserve">microRNA Sequencing </w:t>
      </w:r>
    </w:p>
    <w:p w:rsidR="00B21C9E" w:rsidRPr="002B18EB" w:rsidRDefault="00B21C9E" w:rsidP="00B21C9E">
      <w:pPr>
        <w:spacing w:after="200" w:line="240" w:lineRule="auto"/>
        <w:contextualSpacing/>
        <w:rPr>
          <w:rFonts w:ascii="Times New Roman" w:hAnsi="Times New Roman" w:cs="Times New Roman"/>
          <w:b/>
          <w:sz w:val="24"/>
          <w:szCs w:val="24"/>
          <w:lang w:val="en-GB"/>
        </w:rPr>
      </w:pPr>
    </w:p>
    <w:p w:rsidR="00B21C9E" w:rsidRPr="002B18EB" w:rsidRDefault="00B21C9E" w:rsidP="00B21C9E">
      <w:pPr>
        <w:spacing w:after="200" w:line="360" w:lineRule="auto"/>
        <w:contextualSpacing/>
        <w:jc w:val="both"/>
        <w:rPr>
          <w:rFonts w:ascii="Times New Roman" w:hAnsi="Times New Roman" w:cs="Times New Roman"/>
          <w:sz w:val="24"/>
          <w:szCs w:val="24"/>
          <w:lang w:val="en-GB"/>
        </w:rPr>
      </w:pPr>
      <w:r w:rsidRPr="002B18EB">
        <w:rPr>
          <w:rFonts w:ascii="Times New Roman" w:hAnsi="Times New Roman" w:cs="Times New Roman"/>
          <w:sz w:val="24"/>
          <w:szCs w:val="24"/>
          <w:lang w:val="en-GB"/>
        </w:rPr>
        <w:t xml:space="preserve">Initial library preparation is done using the </w:t>
      </w:r>
      <w:proofErr w:type="spellStart"/>
      <w:r w:rsidRPr="002B18EB">
        <w:rPr>
          <w:rFonts w:ascii="Times New Roman" w:hAnsi="Times New Roman" w:cs="Times New Roman"/>
          <w:sz w:val="24"/>
          <w:szCs w:val="24"/>
          <w:lang w:val="en-GB"/>
        </w:rPr>
        <w:t>NEBNext</w:t>
      </w:r>
      <w:proofErr w:type="spellEnd"/>
      <w:r w:rsidRPr="002B18EB">
        <w:rPr>
          <w:rFonts w:ascii="Times New Roman" w:hAnsi="Times New Roman" w:cs="Times New Roman"/>
          <w:sz w:val="24"/>
          <w:szCs w:val="24"/>
          <w:lang w:val="en-GB"/>
        </w:rPr>
        <w:t xml:space="preserve"> Small RNA Library preparation kit (New England </w:t>
      </w:r>
      <w:proofErr w:type="spellStart"/>
      <w:r w:rsidRPr="002B18EB">
        <w:rPr>
          <w:rFonts w:ascii="Times New Roman" w:hAnsi="Times New Roman" w:cs="Times New Roman"/>
          <w:sz w:val="24"/>
          <w:szCs w:val="24"/>
          <w:lang w:val="en-GB"/>
        </w:rPr>
        <w:t>Biolabs</w:t>
      </w:r>
      <w:proofErr w:type="spellEnd"/>
      <w:r w:rsidRPr="002B18EB">
        <w:rPr>
          <w:rFonts w:ascii="Times New Roman" w:hAnsi="Times New Roman" w:cs="Times New Roman"/>
          <w:sz w:val="24"/>
          <w:szCs w:val="24"/>
          <w:lang w:val="en-GB"/>
        </w:rPr>
        <w:t xml:space="preserve">). A total of 100ng of total RNA was converted into microRNA NGS libraries. Adapters were added to the RNA. Then RNA was converted to cDNA. The cDNA was amplified using PCR (12 cycles) and during the PCR indices were added. After PCR the were purified and library preparation QC was performed using either </w:t>
      </w:r>
      <w:proofErr w:type="spellStart"/>
      <w:r w:rsidRPr="002B18EB">
        <w:rPr>
          <w:rFonts w:ascii="Times New Roman" w:hAnsi="Times New Roman" w:cs="Times New Roman"/>
          <w:sz w:val="24"/>
          <w:szCs w:val="24"/>
          <w:lang w:val="en-GB"/>
        </w:rPr>
        <w:t>Bioanalyzer</w:t>
      </w:r>
      <w:proofErr w:type="spellEnd"/>
      <w:r w:rsidRPr="002B18EB">
        <w:rPr>
          <w:rFonts w:ascii="Times New Roman" w:hAnsi="Times New Roman" w:cs="Times New Roman"/>
          <w:sz w:val="24"/>
          <w:szCs w:val="24"/>
          <w:lang w:val="en-GB"/>
        </w:rPr>
        <w:t xml:space="preserve"> 2100 (Agilent) or </w:t>
      </w:r>
      <w:proofErr w:type="spellStart"/>
      <w:r w:rsidRPr="002B18EB">
        <w:rPr>
          <w:rFonts w:ascii="Times New Roman" w:hAnsi="Times New Roman" w:cs="Times New Roman"/>
          <w:sz w:val="24"/>
          <w:szCs w:val="24"/>
          <w:lang w:val="en-GB"/>
        </w:rPr>
        <w:t>TapeStation</w:t>
      </w:r>
      <w:proofErr w:type="spellEnd"/>
      <w:r w:rsidRPr="002B18EB">
        <w:rPr>
          <w:rFonts w:ascii="Times New Roman" w:hAnsi="Times New Roman" w:cs="Times New Roman"/>
          <w:sz w:val="24"/>
          <w:szCs w:val="24"/>
          <w:lang w:val="en-GB"/>
        </w:rPr>
        <w:t xml:space="preserve"> 4200 (</w:t>
      </w:r>
      <w:proofErr w:type="spellStart"/>
      <w:r w:rsidRPr="002B18EB">
        <w:rPr>
          <w:rFonts w:ascii="Times New Roman" w:hAnsi="Times New Roman" w:cs="Times New Roman"/>
          <w:sz w:val="24"/>
          <w:szCs w:val="24"/>
          <w:lang w:val="en-GB"/>
        </w:rPr>
        <w:t>Aligent</w:t>
      </w:r>
      <w:proofErr w:type="spellEnd"/>
      <w:r w:rsidRPr="002B18EB">
        <w:rPr>
          <w:rFonts w:ascii="Times New Roman" w:hAnsi="Times New Roman" w:cs="Times New Roman"/>
          <w:sz w:val="24"/>
          <w:szCs w:val="24"/>
          <w:lang w:val="en-GB"/>
        </w:rPr>
        <w:t xml:space="preserve">). Based on quality of the insert and then size selection measurements the libraries were pooled in equimolar ratios. The pool was then size selected using the Lab Chip </w:t>
      </w:r>
      <w:proofErr w:type="spellStart"/>
      <w:r w:rsidRPr="002B18EB">
        <w:rPr>
          <w:rFonts w:ascii="Times New Roman" w:hAnsi="Times New Roman" w:cs="Times New Roman"/>
          <w:sz w:val="24"/>
          <w:szCs w:val="24"/>
          <w:lang w:val="en-GB"/>
        </w:rPr>
        <w:t>Xt</w:t>
      </w:r>
      <w:proofErr w:type="spellEnd"/>
      <w:r w:rsidRPr="002B18EB">
        <w:rPr>
          <w:rFonts w:ascii="Times New Roman" w:hAnsi="Times New Roman" w:cs="Times New Roman"/>
          <w:sz w:val="24"/>
          <w:szCs w:val="24"/>
          <w:lang w:val="en-GB"/>
        </w:rPr>
        <w:t xml:space="preserve"> (PerkinElmer) aiming to select the fraction with the size corresponding to microRNA libraries (~145 </w:t>
      </w:r>
      <w:proofErr w:type="spellStart"/>
      <w:r w:rsidRPr="002B18EB">
        <w:rPr>
          <w:rFonts w:ascii="Times New Roman" w:hAnsi="Times New Roman" w:cs="Times New Roman"/>
          <w:sz w:val="24"/>
          <w:szCs w:val="24"/>
          <w:lang w:val="en-GB"/>
        </w:rPr>
        <w:t>nt</w:t>
      </w:r>
      <w:proofErr w:type="spellEnd"/>
      <w:r w:rsidRPr="002B18EB">
        <w:rPr>
          <w:rFonts w:ascii="Times New Roman" w:hAnsi="Times New Roman" w:cs="Times New Roman"/>
          <w:sz w:val="24"/>
          <w:szCs w:val="24"/>
          <w:lang w:val="en-GB"/>
        </w:rPr>
        <w:t xml:space="preserve">). The library pool(s) were quantified using the qPCR KAPA Library Quantification Kit (KAPA Biosystems). The library pools were then sequenced on a </w:t>
      </w:r>
      <w:proofErr w:type="spellStart"/>
      <w:r w:rsidRPr="002B18EB">
        <w:rPr>
          <w:rFonts w:ascii="Times New Roman" w:hAnsi="Times New Roman" w:cs="Times New Roman"/>
          <w:sz w:val="24"/>
          <w:szCs w:val="24"/>
          <w:lang w:val="en-GB"/>
        </w:rPr>
        <w:t>NextSeq</w:t>
      </w:r>
      <w:proofErr w:type="spellEnd"/>
      <w:r w:rsidRPr="002B18EB">
        <w:rPr>
          <w:rFonts w:ascii="Times New Roman" w:hAnsi="Times New Roman" w:cs="Times New Roman"/>
          <w:sz w:val="24"/>
          <w:szCs w:val="24"/>
          <w:lang w:val="en-GB"/>
        </w:rPr>
        <w:t xml:space="preserve"> 500 sequencing instrument according to the manufacturer instructions. Raw data was multiplexed and FASTQ files for each sample was generated using the bcl2fastq software (Illumina </w:t>
      </w:r>
      <w:proofErr w:type="spellStart"/>
      <w:r w:rsidRPr="002B18EB">
        <w:rPr>
          <w:rFonts w:ascii="Times New Roman" w:hAnsi="Times New Roman" w:cs="Times New Roman"/>
          <w:sz w:val="24"/>
          <w:szCs w:val="24"/>
          <w:lang w:val="en-GB"/>
        </w:rPr>
        <w:t>inc.</w:t>
      </w:r>
      <w:proofErr w:type="spellEnd"/>
      <w:r w:rsidRPr="002B18EB">
        <w:rPr>
          <w:rFonts w:ascii="Times New Roman" w:hAnsi="Times New Roman" w:cs="Times New Roman"/>
          <w:sz w:val="24"/>
          <w:szCs w:val="24"/>
          <w:lang w:val="en-GB"/>
        </w:rPr>
        <w:t>). FASTQ data were checked using the Fast QC tool (</w:t>
      </w:r>
      <w:hyperlink r:id="rId6" w:history="1">
        <w:r w:rsidRPr="002B18EB">
          <w:rPr>
            <w:rStyle w:val="Hyperlink"/>
            <w:rFonts w:ascii="Times New Roman" w:hAnsi="Times New Roman" w:cs="Times New Roman"/>
            <w:sz w:val="24"/>
            <w:szCs w:val="24"/>
            <w:lang w:val="en-GB"/>
          </w:rPr>
          <w:t>http://www.bioinformatics.babraham.ac.uk/projects/fastqc/</w:t>
        </w:r>
      </w:hyperlink>
      <w:r w:rsidRPr="002B18EB">
        <w:rPr>
          <w:rFonts w:ascii="Times New Roman" w:hAnsi="Times New Roman" w:cs="Times New Roman"/>
          <w:sz w:val="24"/>
          <w:szCs w:val="24"/>
          <w:lang w:val="en-GB"/>
        </w:rPr>
        <w:t xml:space="preserve">). All miRNA counts analysed were mapped to </w:t>
      </w:r>
      <w:proofErr w:type="spellStart"/>
      <w:r w:rsidRPr="002B18EB">
        <w:rPr>
          <w:rFonts w:ascii="Times New Roman" w:hAnsi="Times New Roman" w:cs="Times New Roman"/>
          <w:sz w:val="24"/>
          <w:szCs w:val="24"/>
          <w:lang w:val="en-GB"/>
        </w:rPr>
        <w:t>miRBase</w:t>
      </w:r>
      <w:proofErr w:type="spellEnd"/>
      <w:r w:rsidRPr="002B18EB">
        <w:rPr>
          <w:rFonts w:ascii="Times New Roman" w:hAnsi="Times New Roman" w:cs="Times New Roman"/>
          <w:sz w:val="24"/>
          <w:szCs w:val="24"/>
          <w:lang w:val="en-GB"/>
        </w:rPr>
        <w:t xml:space="preserve"> 20. Annotation of all obtained sequences was performed using the reference annotation </w:t>
      </w:r>
      <w:r w:rsidRPr="002B18EB">
        <w:rPr>
          <w:rFonts w:ascii="Times New Roman" w:hAnsi="Times New Roman" w:cs="Times New Roman"/>
          <w:i/>
          <w:sz w:val="24"/>
          <w:szCs w:val="24"/>
          <w:lang w:val="en-GB"/>
        </w:rPr>
        <w:t xml:space="preserve">Mus </w:t>
      </w:r>
      <w:proofErr w:type="spellStart"/>
      <w:r w:rsidRPr="002B18EB">
        <w:rPr>
          <w:rFonts w:ascii="Times New Roman" w:hAnsi="Times New Roman" w:cs="Times New Roman"/>
          <w:i/>
          <w:sz w:val="24"/>
          <w:szCs w:val="24"/>
          <w:lang w:val="en-GB"/>
        </w:rPr>
        <w:t>musculus</w:t>
      </w:r>
      <w:proofErr w:type="spellEnd"/>
      <w:r w:rsidRPr="002B18EB">
        <w:rPr>
          <w:rFonts w:ascii="Times New Roman" w:hAnsi="Times New Roman" w:cs="Times New Roman"/>
          <w:sz w:val="24"/>
          <w:szCs w:val="24"/>
          <w:lang w:val="en-GB"/>
        </w:rPr>
        <w:t xml:space="preserve"> as organism and </w:t>
      </w:r>
      <w:proofErr w:type="spellStart"/>
      <w:r w:rsidRPr="002B18EB">
        <w:rPr>
          <w:rFonts w:ascii="Times New Roman" w:hAnsi="Times New Roman" w:cs="Times New Roman"/>
          <w:sz w:val="24"/>
          <w:szCs w:val="24"/>
          <w:lang w:val="en-GB"/>
        </w:rPr>
        <w:t>miRbase</w:t>
      </w:r>
      <w:proofErr w:type="spellEnd"/>
      <w:r w:rsidRPr="002B18EB">
        <w:rPr>
          <w:rFonts w:ascii="Times New Roman" w:hAnsi="Times New Roman" w:cs="Times New Roman"/>
          <w:sz w:val="24"/>
          <w:szCs w:val="24"/>
          <w:lang w:val="en-GB"/>
        </w:rPr>
        <w:t xml:space="preserve"> 20 (</w:t>
      </w:r>
      <w:hyperlink r:id="rId7" w:history="1">
        <w:r w:rsidRPr="002B18EB">
          <w:rPr>
            <w:rStyle w:val="Hyperlink"/>
            <w:rFonts w:ascii="Times New Roman" w:hAnsi="Times New Roman" w:cs="Times New Roman"/>
            <w:sz w:val="24"/>
            <w:szCs w:val="24"/>
            <w:lang w:val="en-GB"/>
          </w:rPr>
          <w:t>http://wwww.mirbase.org</w:t>
        </w:r>
      </w:hyperlink>
      <w:r w:rsidRPr="002B18EB">
        <w:rPr>
          <w:rFonts w:ascii="Times New Roman" w:hAnsi="Times New Roman" w:cs="Times New Roman"/>
          <w:sz w:val="24"/>
          <w:szCs w:val="24"/>
          <w:lang w:val="en-GB"/>
        </w:rPr>
        <w:t xml:space="preserve">). Average number of reads at around 10.5 million was obtained per sample. Number of read lengths included 51 </w:t>
      </w:r>
      <w:proofErr w:type="spellStart"/>
      <w:r w:rsidRPr="002B18EB">
        <w:rPr>
          <w:rFonts w:ascii="Times New Roman" w:hAnsi="Times New Roman" w:cs="Times New Roman"/>
          <w:sz w:val="24"/>
          <w:szCs w:val="24"/>
          <w:lang w:val="en-GB"/>
        </w:rPr>
        <w:t>nt</w:t>
      </w:r>
      <w:proofErr w:type="spellEnd"/>
      <w:r w:rsidRPr="002B18EB">
        <w:rPr>
          <w:rFonts w:ascii="Times New Roman" w:hAnsi="Times New Roman" w:cs="Times New Roman"/>
          <w:sz w:val="24"/>
          <w:szCs w:val="24"/>
          <w:lang w:val="en-GB"/>
        </w:rPr>
        <w:t xml:space="preserve"> single-end reads. Mapping was within the normal range with distribution similar across experimental groups. Expression level of individual microRNA identified is expressed as Tags Per Million (TPM). TPM is a unit used to measure expression in NGS </w:t>
      </w:r>
      <w:r w:rsidRPr="002B18EB">
        <w:rPr>
          <w:rFonts w:ascii="Times New Roman" w:hAnsi="Times New Roman" w:cs="Times New Roman"/>
          <w:sz w:val="24"/>
          <w:szCs w:val="24"/>
          <w:lang w:val="en-GB"/>
        </w:rPr>
        <w:lastRenderedPageBreak/>
        <w:t xml:space="preserve">experiments. The number of reads for a particular microRNA is divided by the total number of mapped reads and multiplied by 1 million. </w:t>
      </w:r>
    </w:p>
    <w:p w:rsidR="00B21C9E" w:rsidRPr="002B18EB" w:rsidRDefault="00B21C9E" w:rsidP="00B21C9E">
      <w:pPr>
        <w:spacing w:after="200" w:line="360" w:lineRule="auto"/>
        <w:contextualSpacing/>
        <w:jc w:val="both"/>
        <w:rPr>
          <w:rFonts w:ascii="Times New Roman" w:hAnsi="Times New Roman" w:cs="Times New Roman"/>
          <w:sz w:val="24"/>
          <w:szCs w:val="24"/>
          <w:lang w:val="en-GB"/>
        </w:rPr>
      </w:pPr>
    </w:p>
    <w:p w:rsidR="00B21C9E" w:rsidRPr="002B18EB" w:rsidRDefault="00B21C9E" w:rsidP="00B21C9E">
      <w:pPr>
        <w:spacing w:after="200" w:line="360" w:lineRule="auto"/>
        <w:contextualSpacing/>
        <w:jc w:val="both"/>
        <w:rPr>
          <w:rFonts w:ascii="Times New Roman" w:hAnsi="Times New Roman" w:cs="Times New Roman"/>
          <w:sz w:val="24"/>
          <w:szCs w:val="24"/>
          <w:lang w:val="en-GB"/>
        </w:rPr>
      </w:pPr>
    </w:p>
    <w:p w:rsidR="00B21C9E" w:rsidRPr="002B18EB" w:rsidRDefault="00B21C9E" w:rsidP="00B21C9E">
      <w:pPr>
        <w:spacing w:line="360" w:lineRule="auto"/>
        <w:rPr>
          <w:rFonts w:ascii="Times New Roman" w:hAnsi="Times New Roman" w:cs="Times New Roman"/>
          <w:b/>
          <w:i/>
          <w:sz w:val="24"/>
          <w:lang w:val="en-GB"/>
        </w:rPr>
      </w:pPr>
      <w:r w:rsidRPr="002B18EB">
        <w:rPr>
          <w:rFonts w:ascii="Times New Roman" w:hAnsi="Times New Roman" w:cs="Times New Roman"/>
          <w:b/>
          <w:i/>
          <w:sz w:val="24"/>
          <w:lang w:val="en-GB"/>
        </w:rPr>
        <w:t>mRNA target predictions of microRNAs</w:t>
      </w:r>
    </w:p>
    <w:p w:rsidR="00B21C9E" w:rsidRPr="002B18EB" w:rsidRDefault="00B21C9E" w:rsidP="00B21C9E">
      <w:pPr>
        <w:spacing w:line="360" w:lineRule="auto"/>
        <w:jc w:val="both"/>
        <w:rPr>
          <w:rFonts w:ascii="Times New Roman" w:hAnsi="Times New Roman" w:cs="Times New Roman"/>
          <w:sz w:val="24"/>
          <w:szCs w:val="24"/>
          <w:lang w:val="en-GB"/>
        </w:rPr>
      </w:pPr>
      <w:r w:rsidRPr="002B18EB">
        <w:rPr>
          <w:rFonts w:ascii="Times New Roman" w:hAnsi="Times New Roman" w:cs="Times New Roman"/>
          <w:sz w:val="24"/>
          <w:szCs w:val="24"/>
          <w:lang w:val="en-GB"/>
        </w:rPr>
        <w:t xml:space="preserve">The </w:t>
      </w:r>
      <w:proofErr w:type="spellStart"/>
      <w:r w:rsidRPr="002B18EB">
        <w:rPr>
          <w:rFonts w:ascii="Times New Roman" w:hAnsi="Times New Roman" w:cs="Times New Roman"/>
          <w:sz w:val="24"/>
          <w:szCs w:val="24"/>
          <w:lang w:val="en-GB"/>
        </w:rPr>
        <w:t>miRwalk</w:t>
      </w:r>
      <w:proofErr w:type="spellEnd"/>
      <w:r w:rsidRPr="002B18EB">
        <w:rPr>
          <w:rFonts w:ascii="Times New Roman" w:hAnsi="Times New Roman" w:cs="Times New Roman"/>
          <w:sz w:val="24"/>
          <w:szCs w:val="24"/>
          <w:lang w:val="en-GB"/>
        </w:rPr>
        <w:t xml:space="preserve"> (</w:t>
      </w:r>
      <w:hyperlink r:id="rId8" w:history="1">
        <w:r w:rsidRPr="002B18EB">
          <w:rPr>
            <w:rStyle w:val="Hyperlink"/>
            <w:rFonts w:ascii="Times New Roman" w:hAnsi="Times New Roman" w:cs="Times New Roman"/>
            <w:sz w:val="24"/>
            <w:szCs w:val="24"/>
            <w:lang w:val="en-GB"/>
          </w:rPr>
          <w:t>http://zmf.umm.uni-heidelberg.de/apps/zmf/mirwalk2/</w:t>
        </w:r>
      </w:hyperlink>
      <w:r w:rsidRPr="002B18EB">
        <w:rPr>
          <w:rFonts w:ascii="Times New Roman" w:hAnsi="Times New Roman" w:cs="Times New Roman"/>
          <w:sz w:val="24"/>
          <w:szCs w:val="24"/>
          <w:lang w:val="en-GB"/>
        </w:rPr>
        <w:t xml:space="preserve">) prediction database was used to identify predicted and validated targets for the miRNAs we found significantly dysregulated due to absence of any bacterial exposure (CON-n vs. GF-n) and after fear retention (CON-n vs. CON-fc and GF-n vs. GF-fc). Using </w:t>
      </w:r>
      <w:proofErr w:type="spellStart"/>
      <w:r w:rsidRPr="002B18EB">
        <w:rPr>
          <w:rFonts w:ascii="Times New Roman" w:hAnsi="Times New Roman" w:cs="Times New Roman"/>
          <w:sz w:val="24"/>
          <w:szCs w:val="24"/>
          <w:lang w:val="en-GB"/>
        </w:rPr>
        <w:t>miRwalk</w:t>
      </w:r>
      <w:proofErr w:type="spellEnd"/>
      <w:r w:rsidRPr="002B18EB">
        <w:rPr>
          <w:rFonts w:ascii="Times New Roman" w:hAnsi="Times New Roman" w:cs="Times New Roman"/>
          <w:sz w:val="24"/>
          <w:szCs w:val="24"/>
          <w:lang w:val="en-GB"/>
        </w:rPr>
        <w:t xml:space="preserve"> we</w:t>
      </w:r>
      <w:r w:rsidRPr="002B18EB">
        <w:rPr>
          <w:rStyle w:val="CommentReference"/>
          <w:rFonts w:ascii="Times New Roman" w:hAnsi="Times New Roman" w:cs="Times New Roman"/>
          <w:sz w:val="24"/>
          <w:szCs w:val="24"/>
          <w:lang w:val="en-GB"/>
        </w:rPr>
        <w:t xml:space="preserve"> </w:t>
      </w:r>
      <w:r w:rsidRPr="002B18EB">
        <w:rPr>
          <w:rFonts w:ascii="Times New Roman" w:hAnsi="Times New Roman" w:cs="Times New Roman"/>
          <w:sz w:val="24"/>
          <w:szCs w:val="24"/>
          <w:lang w:val="en-GB"/>
        </w:rPr>
        <w:t xml:space="preserve">listed all predicted and validated mRNA targets for all differentially regulated miRNA in the amygdala. We selected for </w:t>
      </w:r>
      <w:proofErr w:type="spellStart"/>
      <w:r w:rsidRPr="002B18EB">
        <w:rPr>
          <w:rFonts w:ascii="Times New Roman" w:hAnsi="Times New Roman" w:cs="Times New Roman"/>
          <w:sz w:val="24"/>
          <w:szCs w:val="24"/>
          <w:lang w:val="en-GB"/>
        </w:rPr>
        <w:t>miRwalk</w:t>
      </w:r>
      <w:proofErr w:type="spellEnd"/>
      <w:r w:rsidRPr="002B18EB">
        <w:rPr>
          <w:rFonts w:ascii="Times New Roman" w:hAnsi="Times New Roman" w:cs="Times New Roman"/>
          <w:sz w:val="24"/>
          <w:szCs w:val="24"/>
          <w:lang w:val="en-GB"/>
        </w:rPr>
        <w:t xml:space="preserve"> to include predicted mRNA targets from 4 different prediction databases which included </w:t>
      </w:r>
      <w:proofErr w:type="spellStart"/>
      <w:r w:rsidRPr="002B18EB">
        <w:rPr>
          <w:rFonts w:ascii="Times New Roman" w:hAnsi="Times New Roman" w:cs="Times New Roman"/>
          <w:sz w:val="24"/>
          <w:szCs w:val="24"/>
          <w:lang w:val="en-GB"/>
        </w:rPr>
        <w:t>TargetSacn</w:t>
      </w:r>
      <w:proofErr w:type="spellEnd"/>
      <w:r w:rsidRPr="002B18EB">
        <w:rPr>
          <w:rFonts w:ascii="Times New Roman" w:hAnsi="Times New Roman" w:cs="Times New Roman"/>
          <w:sz w:val="24"/>
          <w:szCs w:val="24"/>
          <w:lang w:val="en-GB"/>
        </w:rPr>
        <w:t xml:space="preserve">, </w:t>
      </w:r>
      <w:proofErr w:type="spellStart"/>
      <w:r w:rsidRPr="002B18EB">
        <w:rPr>
          <w:rFonts w:ascii="Times New Roman" w:hAnsi="Times New Roman" w:cs="Times New Roman"/>
          <w:sz w:val="24"/>
          <w:szCs w:val="24"/>
          <w:lang w:val="en-GB"/>
        </w:rPr>
        <w:t>miRanda</w:t>
      </w:r>
      <w:proofErr w:type="spellEnd"/>
      <w:r w:rsidRPr="002B18EB">
        <w:rPr>
          <w:rFonts w:ascii="Times New Roman" w:hAnsi="Times New Roman" w:cs="Times New Roman"/>
          <w:sz w:val="24"/>
          <w:szCs w:val="24"/>
          <w:lang w:val="en-GB"/>
        </w:rPr>
        <w:t xml:space="preserve">, </w:t>
      </w:r>
      <w:proofErr w:type="spellStart"/>
      <w:r w:rsidRPr="002B18EB">
        <w:rPr>
          <w:rFonts w:ascii="Times New Roman" w:hAnsi="Times New Roman" w:cs="Times New Roman"/>
          <w:sz w:val="24"/>
          <w:szCs w:val="24"/>
          <w:lang w:val="en-GB"/>
        </w:rPr>
        <w:t>miRDB</w:t>
      </w:r>
      <w:proofErr w:type="spellEnd"/>
      <w:r w:rsidRPr="002B18EB">
        <w:rPr>
          <w:rFonts w:ascii="Times New Roman" w:hAnsi="Times New Roman" w:cs="Times New Roman"/>
          <w:sz w:val="24"/>
          <w:szCs w:val="24"/>
          <w:lang w:val="en-GB"/>
        </w:rPr>
        <w:t xml:space="preserve"> and </w:t>
      </w:r>
      <w:proofErr w:type="spellStart"/>
      <w:r w:rsidRPr="002B18EB">
        <w:rPr>
          <w:rFonts w:ascii="Times New Roman" w:hAnsi="Times New Roman" w:cs="Times New Roman"/>
          <w:sz w:val="24"/>
          <w:szCs w:val="24"/>
          <w:lang w:val="en-GB"/>
        </w:rPr>
        <w:t>miRwalk</w:t>
      </w:r>
      <w:proofErr w:type="spellEnd"/>
      <w:r w:rsidRPr="002B18EB">
        <w:rPr>
          <w:rFonts w:ascii="Times New Roman" w:hAnsi="Times New Roman" w:cs="Times New Roman"/>
          <w:sz w:val="24"/>
          <w:szCs w:val="24"/>
          <w:lang w:val="en-GB"/>
        </w:rPr>
        <w:t xml:space="preserve">. Criteria for prediction included a minimal seed length of 7 base pairs and a </w:t>
      </w:r>
      <w:proofErr w:type="spellStart"/>
      <w:r w:rsidRPr="002B18EB">
        <w:rPr>
          <w:rFonts w:ascii="Times New Roman" w:hAnsi="Times New Roman" w:cs="Times New Roman"/>
          <w:sz w:val="24"/>
          <w:szCs w:val="24"/>
          <w:lang w:val="en-GB"/>
        </w:rPr>
        <w:t>Padj</w:t>
      </w:r>
      <w:proofErr w:type="spellEnd"/>
      <w:r w:rsidRPr="002B18EB">
        <w:rPr>
          <w:rFonts w:ascii="Times New Roman" w:hAnsi="Times New Roman" w:cs="Times New Roman"/>
          <w:sz w:val="24"/>
          <w:szCs w:val="24"/>
          <w:lang w:val="en-GB"/>
        </w:rPr>
        <w:t>-value &lt;0.05 was used as a cut off. For further analysis, we only chose predicted targets that occurred in 3 or more prediction algorithms.</w:t>
      </w:r>
    </w:p>
    <w:p w:rsidR="00B21C9E" w:rsidRDefault="00B21C9E" w:rsidP="00B21C9E">
      <w:pPr>
        <w:spacing w:line="360" w:lineRule="auto"/>
        <w:jc w:val="both"/>
        <w:rPr>
          <w:rFonts w:ascii="Times New Roman" w:hAnsi="Times New Roman" w:cs="Times New Roman"/>
          <w:sz w:val="24"/>
          <w:szCs w:val="24"/>
          <w:lang w:val="en-GB"/>
        </w:rPr>
      </w:pPr>
    </w:p>
    <w:p w:rsidR="00B21C9E" w:rsidRPr="002B18EB" w:rsidRDefault="00B21C9E" w:rsidP="00B21C9E">
      <w:pPr>
        <w:spacing w:line="360" w:lineRule="auto"/>
        <w:jc w:val="both"/>
        <w:rPr>
          <w:rFonts w:ascii="Times New Roman" w:hAnsi="Times New Roman" w:cs="Times New Roman"/>
          <w:b/>
          <w:i/>
          <w:sz w:val="24"/>
          <w:szCs w:val="24"/>
          <w:lang w:val="en-GB"/>
        </w:rPr>
      </w:pPr>
      <w:bookmarkStart w:id="0" w:name="_GoBack"/>
      <w:bookmarkEnd w:id="0"/>
      <w:r w:rsidRPr="002B18EB">
        <w:rPr>
          <w:rFonts w:ascii="Times New Roman" w:hAnsi="Times New Roman" w:cs="Times New Roman"/>
          <w:b/>
          <w:i/>
          <w:sz w:val="24"/>
          <w:szCs w:val="24"/>
          <w:lang w:val="en-GB"/>
        </w:rPr>
        <w:t>Functional Classification of predicted miRNA targets</w:t>
      </w:r>
    </w:p>
    <w:p w:rsidR="00B21C9E" w:rsidRDefault="00B21C9E" w:rsidP="00B21C9E">
      <w:pPr>
        <w:spacing w:line="360" w:lineRule="auto"/>
        <w:jc w:val="both"/>
        <w:rPr>
          <w:rFonts w:ascii="Times New Roman" w:hAnsi="Times New Roman" w:cs="Times New Roman"/>
          <w:sz w:val="24"/>
          <w:szCs w:val="24"/>
          <w:lang w:val="en-GB"/>
        </w:rPr>
      </w:pPr>
      <w:r w:rsidRPr="002B18EB">
        <w:rPr>
          <w:rFonts w:ascii="Times New Roman" w:hAnsi="Times New Roman" w:cs="Times New Roman"/>
          <w:sz w:val="24"/>
          <w:szCs w:val="24"/>
          <w:lang w:val="en-GB"/>
        </w:rPr>
        <w:t xml:space="preserve">Predicted mRNA targets of differentially regulated miRNAs in GF-n mice compared to CON-n were analysed for enrichment of GO-Terms using the DAVID </w:t>
      </w:r>
      <w:proofErr w:type="spellStart"/>
      <w:r w:rsidRPr="002B18EB">
        <w:rPr>
          <w:rFonts w:ascii="Times New Roman" w:hAnsi="Times New Roman" w:cs="Times New Roman"/>
          <w:sz w:val="24"/>
          <w:szCs w:val="24"/>
          <w:lang w:val="en-GB"/>
        </w:rPr>
        <w:t>Bioinformatic</w:t>
      </w:r>
      <w:proofErr w:type="spellEnd"/>
      <w:r w:rsidRPr="002B18EB">
        <w:rPr>
          <w:rFonts w:ascii="Times New Roman" w:hAnsi="Times New Roman" w:cs="Times New Roman"/>
          <w:sz w:val="24"/>
          <w:szCs w:val="24"/>
          <w:lang w:val="en-GB"/>
        </w:rPr>
        <w:t xml:space="preserve"> Resources (v6.8). Lists of predicted targets were generated for any miRNA that fell under the selection criteria and they were used to determine functionally enriched pathways that these miRNAs are predicted to be implicated in. A </w:t>
      </w:r>
      <w:proofErr w:type="spellStart"/>
      <w:r w:rsidRPr="002B18EB">
        <w:rPr>
          <w:rFonts w:ascii="Times New Roman" w:hAnsi="Times New Roman" w:cs="Times New Roman"/>
          <w:sz w:val="24"/>
          <w:szCs w:val="24"/>
          <w:lang w:val="en-GB"/>
        </w:rPr>
        <w:t>Padj</w:t>
      </w:r>
      <w:proofErr w:type="spellEnd"/>
      <w:r w:rsidRPr="002B18EB">
        <w:rPr>
          <w:rFonts w:ascii="Times New Roman" w:hAnsi="Times New Roman" w:cs="Times New Roman"/>
          <w:sz w:val="24"/>
          <w:szCs w:val="24"/>
          <w:lang w:val="en-GB"/>
        </w:rPr>
        <w:t>-value &lt;0.05 was used as a cut off.</w:t>
      </w:r>
    </w:p>
    <w:p w:rsidR="00B21C9E" w:rsidRPr="002B18EB" w:rsidRDefault="00B21C9E" w:rsidP="00B21C9E">
      <w:pPr>
        <w:spacing w:line="360" w:lineRule="auto"/>
        <w:jc w:val="both"/>
        <w:rPr>
          <w:rFonts w:ascii="Times New Roman" w:hAnsi="Times New Roman" w:cs="Times New Roman"/>
          <w:sz w:val="24"/>
          <w:szCs w:val="24"/>
          <w:lang w:val="en-GB"/>
        </w:rPr>
      </w:pPr>
    </w:p>
    <w:p w:rsidR="00B21C9E" w:rsidRPr="002B18EB" w:rsidRDefault="00B21C9E" w:rsidP="00B21C9E">
      <w:pPr>
        <w:rPr>
          <w:rFonts w:ascii="Times New Roman" w:hAnsi="Times New Roman" w:cs="Times New Roman"/>
          <w:i/>
          <w:sz w:val="24"/>
          <w:szCs w:val="24"/>
          <w:lang w:val="en-GB"/>
        </w:rPr>
      </w:pPr>
      <w:r w:rsidRPr="002B18EB">
        <w:rPr>
          <w:rFonts w:ascii="Times New Roman" w:hAnsi="Times New Roman" w:cs="Times New Roman"/>
          <w:b/>
          <w:i/>
          <w:sz w:val="24"/>
          <w:szCs w:val="24"/>
          <w:lang w:val="en-GB"/>
        </w:rPr>
        <w:t>miRNA/mRNA interaction analysis.</w:t>
      </w:r>
    </w:p>
    <w:p w:rsidR="00B21C9E" w:rsidRDefault="00B21C9E" w:rsidP="00B21C9E">
      <w:pPr>
        <w:spacing w:line="360" w:lineRule="auto"/>
        <w:jc w:val="both"/>
        <w:rPr>
          <w:rFonts w:ascii="Times New Roman" w:hAnsi="Times New Roman" w:cs="Times New Roman"/>
          <w:sz w:val="24"/>
          <w:szCs w:val="24"/>
          <w:lang w:val="en-GB"/>
        </w:rPr>
      </w:pPr>
      <w:r w:rsidRPr="002B18EB">
        <w:rPr>
          <w:rFonts w:ascii="Times New Roman" w:hAnsi="Times New Roman" w:cs="Times New Roman"/>
          <w:sz w:val="24"/>
          <w:szCs w:val="24"/>
          <w:lang w:val="en-GB"/>
        </w:rPr>
        <w:t xml:space="preserve">To find the correlation between different expression of miRNAs and their target mRNAs, a series of </w:t>
      </w:r>
      <w:proofErr w:type="spellStart"/>
      <w:r w:rsidRPr="002B18EB">
        <w:rPr>
          <w:rFonts w:ascii="Times New Roman" w:hAnsi="Times New Roman" w:cs="Times New Roman"/>
          <w:sz w:val="24"/>
          <w:szCs w:val="24"/>
          <w:lang w:val="en-GB"/>
        </w:rPr>
        <w:t>bioinformatic</w:t>
      </w:r>
      <w:proofErr w:type="spellEnd"/>
      <w:r w:rsidRPr="002B18EB">
        <w:rPr>
          <w:rFonts w:ascii="Times New Roman" w:hAnsi="Times New Roman" w:cs="Times New Roman"/>
          <w:sz w:val="24"/>
          <w:szCs w:val="24"/>
          <w:lang w:val="en-GB"/>
        </w:rPr>
        <w:t xml:space="preserve"> analysis were performed. miRNAs are usually negatively correlated with their targeted mRNAs, except in some cases where translation might be enhanced</w:t>
      </w:r>
      <w:r w:rsidR="00726363">
        <w:rPr>
          <w:rFonts w:ascii="Times New Roman" w:hAnsi="Times New Roman" w:cs="Times New Roman"/>
          <w:sz w:val="24"/>
          <w:szCs w:val="24"/>
          <w:lang w:val="en-GB"/>
        </w:rPr>
        <w:t xml:space="preserve"> </w:t>
      </w:r>
      <w:r w:rsidR="00726363">
        <w:rPr>
          <w:rFonts w:ascii="Times New Roman" w:hAnsi="Times New Roman" w:cs="Times New Roman"/>
          <w:sz w:val="24"/>
          <w:szCs w:val="24"/>
          <w:lang w:val="en-GB"/>
        </w:rPr>
        <w:fldChar w:fldCharType="begin"/>
      </w:r>
      <w:r w:rsidR="00726363">
        <w:rPr>
          <w:rFonts w:ascii="Times New Roman" w:hAnsi="Times New Roman" w:cs="Times New Roman"/>
          <w:sz w:val="24"/>
          <w:szCs w:val="24"/>
          <w:lang w:val="en-GB"/>
        </w:rPr>
        <w:instrText xml:space="preserve"> ADDIN EN.CITE &lt;EndNote&gt;&lt;Cite&gt;&lt;Author&gt;Vasudevan&lt;/Author&gt;&lt;Year&gt;2007&lt;/Year&gt;&lt;RecNum&gt;98&lt;/RecNum&gt;&lt;DisplayText&gt;(1)&lt;/DisplayText&gt;&lt;record&gt;&lt;rec-number&gt;98&lt;/rec-number&gt;&lt;foreign-keys&gt;&lt;key app="EN" db-id="0vep55xwirra99e29v3vxevwrf5vs5eadrex" timestamp="1483973014"&gt;98&lt;/key&gt;&lt;/foreign-keys&gt;&lt;ref-type name="Journal Article"&gt;17&lt;/ref-type&gt;&lt;contributors&gt;&lt;authors&gt;&lt;author&gt;Vasudevan, Shobha&lt;/author&gt;&lt;author&gt;Tong, Yingchun&lt;/author&gt;&lt;author&gt;Steitz, Joan A&lt;/author&gt;&lt;/authors&gt;&lt;/contributors&gt;&lt;titles&gt;&lt;title&gt;Switching from repression to activation: microRNAs can up-regulate translation&lt;/title&gt;&lt;secondary-title&gt;Science&lt;/secondary-title&gt;&lt;/titles&gt;&lt;periodical&gt;&lt;full-title&gt;Science&lt;/full-title&gt;&lt;/periodical&gt;&lt;pages&gt;1931-1934&lt;/pages&gt;&lt;volume&gt;318&lt;/volume&gt;&lt;number&gt;5858&lt;/number&gt;&lt;dates&gt;&lt;year&gt;2007&lt;/year&gt;&lt;/dates&gt;&lt;isbn&gt;0036-8075&lt;/isbn&gt;&lt;urls&gt;&lt;/urls&gt;&lt;/record&gt;&lt;/Cite&gt;&lt;/EndNote&gt;</w:instrText>
      </w:r>
      <w:r w:rsidR="00726363">
        <w:rPr>
          <w:rFonts w:ascii="Times New Roman" w:hAnsi="Times New Roman" w:cs="Times New Roman"/>
          <w:sz w:val="24"/>
          <w:szCs w:val="24"/>
          <w:lang w:val="en-GB"/>
        </w:rPr>
        <w:fldChar w:fldCharType="separate"/>
      </w:r>
      <w:r w:rsidR="00726363">
        <w:rPr>
          <w:rFonts w:ascii="Times New Roman" w:hAnsi="Times New Roman" w:cs="Times New Roman"/>
          <w:noProof/>
          <w:sz w:val="24"/>
          <w:szCs w:val="24"/>
          <w:lang w:val="en-GB"/>
        </w:rPr>
        <w:t>(1)</w:t>
      </w:r>
      <w:r w:rsidR="00726363">
        <w:rPr>
          <w:rFonts w:ascii="Times New Roman" w:hAnsi="Times New Roman" w:cs="Times New Roman"/>
          <w:sz w:val="24"/>
          <w:szCs w:val="24"/>
          <w:lang w:val="en-GB"/>
        </w:rPr>
        <w:fldChar w:fldCharType="end"/>
      </w:r>
      <w:r w:rsidRPr="002B18EB">
        <w:rPr>
          <w:rFonts w:ascii="Times New Roman" w:hAnsi="Times New Roman" w:cs="Times New Roman"/>
          <w:sz w:val="24"/>
          <w:szCs w:val="24"/>
          <w:lang w:val="en-GB"/>
        </w:rPr>
        <w:t xml:space="preserve">. In order to identify potential miRNA-regulated target gene in our 3 main experimental group comparisons (CON-n vs. GF-n, CON-n vs. CON-fc and GF-n vs. GF-fc), the datasets of differentially expressed miRNAs and transcripts were integrated. We set the following criteria for potential predicted targets. The target mRNAs and miRNAs should be simultaneously and </w:t>
      </w:r>
      <w:r w:rsidRPr="002B18EB">
        <w:rPr>
          <w:rFonts w:ascii="Times New Roman" w:hAnsi="Times New Roman" w:cs="Times New Roman"/>
          <w:sz w:val="24"/>
          <w:szCs w:val="24"/>
          <w:lang w:val="en-GB"/>
        </w:rPr>
        <w:lastRenderedPageBreak/>
        <w:t>reversely changed in our group comparisons. The target mRNAs should be predicted by miRNA at least from 3 different prediction software. The compliment miRNA target predicted were compared with those DEGs (differentially regulated genes) from our mRNA sequencing to detect overlap. Additionally, within our CON-n vs. GF-n group we listed all the predicted mRNA targets of differentially regulated miRNAs from our sequencing and performed Gene ontology (GO) enrichment analysis. We listed all significant (</w:t>
      </w:r>
      <w:proofErr w:type="spellStart"/>
      <w:r w:rsidRPr="002B18EB">
        <w:rPr>
          <w:rFonts w:ascii="Times New Roman" w:hAnsi="Times New Roman" w:cs="Times New Roman"/>
          <w:sz w:val="24"/>
          <w:szCs w:val="24"/>
          <w:lang w:val="en-GB"/>
        </w:rPr>
        <w:t>Padj</w:t>
      </w:r>
      <w:proofErr w:type="spellEnd"/>
      <w:r w:rsidRPr="002B18EB">
        <w:rPr>
          <w:rFonts w:ascii="Times New Roman" w:hAnsi="Times New Roman" w:cs="Times New Roman"/>
          <w:sz w:val="24"/>
          <w:szCs w:val="24"/>
          <w:lang w:val="en-GB"/>
        </w:rPr>
        <w:t xml:space="preserve">&lt;0.05) GO terms for each miRNA and overlapped those terms with significant GO terms from mRNA sequencing. mRNA degradation via miRNA interaction is not a common feature and therefore identifying enrichment of biological processes regulated by these miRNAs that are present at the mRNA level in our GF-n mice may better indicate interaction at miRNA/mRNA level. </w:t>
      </w:r>
    </w:p>
    <w:p w:rsidR="00B21C9E" w:rsidRDefault="00B21C9E">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B21C9E" w:rsidRPr="00B21C9E" w:rsidRDefault="00B21C9E" w:rsidP="00B21C9E">
      <w:pPr>
        <w:spacing w:line="360" w:lineRule="auto"/>
        <w:jc w:val="both"/>
        <w:rPr>
          <w:rFonts w:ascii="Times New Roman" w:hAnsi="Times New Roman" w:cs="Times New Roman"/>
          <w:sz w:val="24"/>
          <w:szCs w:val="24"/>
          <w:lang w:val="en-GB"/>
        </w:rPr>
      </w:pPr>
      <w:r w:rsidRPr="002B18EB">
        <w:rPr>
          <w:rFonts w:ascii="Times New Roman" w:hAnsi="Times New Roman" w:cs="Times New Roman"/>
          <w:b/>
          <w:i/>
          <w:sz w:val="24"/>
          <w:szCs w:val="24"/>
          <w:lang w:val="en-GB"/>
        </w:rPr>
        <w:lastRenderedPageBreak/>
        <w:t>Statistics</w:t>
      </w:r>
    </w:p>
    <w:p w:rsidR="00B21C9E" w:rsidRPr="002B18EB" w:rsidRDefault="00B21C9E" w:rsidP="00B21C9E">
      <w:pPr>
        <w:spacing w:after="200" w:line="240" w:lineRule="auto"/>
        <w:contextualSpacing/>
        <w:rPr>
          <w:rFonts w:ascii="Times New Roman" w:hAnsi="Times New Roman" w:cs="Times New Roman"/>
          <w:b/>
          <w:i/>
          <w:sz w:val="24"/>
          <w:szCs w:val="24"/>
          <w:lang w:val="en-GB"/>
        </w:rPr>
      </w:pPr>
    </w:p>
    <w:p w:rsidR="00B21C9E" w:rsidRDefault="00B21C9E" w:rsidP="00B21C9E">
      <w:pPr>
        <w:spacing w:after="200" w:line="360" w:lineRule="auto"/>
        <w:contextualSpacing/>
        <w:jc w:val="both"/>
        <w:rPr>
          <w:rFonts w:ascii="Times New Roman" w:hAnsi="Times New Roman" w:cs="Times New Roman"/>
          <w:sz w:val="24"/>
          <w:szCs w:val="24"/>
          <w:lang w:val="en-GB"/>
        </w:rPr>
      </w:pPr>
      <w:r w:rsidRPr="002B18EB">
        <w:rPr>
          <w:rFonts w:ascii="Times New Roman" w:hAnsi="Times New Roman" w:cs="Times New Roman"/>
          <w:i/>
          <w:sz w:val="24"/>
          <w:szCs w:val="24"/>
          <w:lang w:val="en-GB"/>
        </w:rPr>
        <w:t>miRNA sequencing</w:t>
      </w:r>
      <w:r w:rsidRPr="002B18EB">
        <w:rPr>
          <w:rFonts w:ascii="Times New Roman" w:hAnsi="Times New Roman" w:cs="Times New Roman"/>
          <w:sz w:val="24"/>
          <w:szCs w:val="24"/>
          <w:lang w:val="en-GB"/>
        </w:rPr>
        <w:t xml:space="preserve">. For statistical analysis trimmed mean of M-values normalization method (TMM normalization) is used instead of TPM. TMM normalization compensates for sample specific effect caused by the variation in library size/sequencing depth between samples. Additionally, TMM will compensate for potential under- and over-sampling effects by trimming and applying scaling factors that minimize log fold changes between samples across the majority of the microRNAs. Differential expression analysis is done using TMM in the </w:t>
      </w:r>
      <w:proofErr w:type="spellStart"/>
      <w:r w:rsidRPr="002B18EB">
        <w:rPr>
          <w:rFonts w:ascii="Times New Roman" w:hAnsi="Times New Roman" w:cs="Times New Roman"/>
          <w:sz w:val="24"/>
          <w:szCs w:val="24"/>
          <w:lang w:val="en-GB"/>
        </w:rPr>
        <w:t>EdgeR</w:t>
      </w:r>
      <w:proofErr w:type="spellEnd"/>
      <w:r w:rsidRPr="002B18EB">
        <w:rPr>
          <w:rFonts w:ascii="Times New Roman" w:hAnsi="Times New Roman" w:cs="Times New Roman"/>
          <w:sz w:val="24"/>
          <w:szCs w:val="24"/>
          <w:lang w:val="en-GB"/>
        </w:rPr>
        <w:t xml:space="preserve"> statistical software package (Bioconductor, </w:t>
      </w:r>
      <w:hyperlink r:id="rId9" w:history="1">
        <w:r w:rsidRPr="002B18EB">
          <w:rPr>
            <w:rStyle w:val="Hyperlink"/>
            <w:rFonts w:ascii="Times New Roman" w:hAnsi="Times New Roman" w:cs="Times New Roman"/>
            <w:sz w:val="24"/>
            <w:szCs w:val="24"/>
            <w:lang w:val="en-GB"/>
          </w:rPr>
          <w:t>http://www.bioconductor.org/</w:t>
        </w:r>
      </w:hyperlink>
      <w:r w:rsidRPr="002B18EB">
        <w:rPr>
          <w:rFonts w:ascii="Times New Roman" w:hAnsi="Times New Roman" w:cs="Times New Roman"/>
          <w:sz w:val="24"/>
          <w:szCs w:val="24"/>
          <w:lang w:val="en-GB"/>
        </w:rPr>
        <w:t xml:space="preserve">). Differential expression analysis on TMMs investigates the relative changes in expression (i.e. counts) between different samples and with TMM normalization the statistical tests will be less skewed and false positive rate is reduced. Uncorrected </w:t>
      </w:r>
      <w:r w:rsidRPr="002B18EB">
        <w:rPr>
          <w:rFonts w:ascii="Times New Roman" w:hAnsi="Times New Roman" w:cs="Times New Roman"/>
          <w:i/>
          <w:sz w:val="24"/>
          <w:szCs w:val="24"/>
          <w:lang w:val="en-GB"/>
        </w:rPr>
        <w:t>p</w:t>
      </w:r>
      <w:r w:rsidRPr="002B18EB">
        <w:rPr>
          <w:rFonts w:ascii="Times New Roman" w:hAnsi="Times New Roman" w:cs="Times New Roman"/>
          <w:sz w:val="24"/>
          <w:szCs w:val="24"/>
          <w:lang w:val="en-GB"/>
        </w:rPr>
        <w:t xml:space="preserve"> value is set at &lt;0.05 for statistical significance. Correction for multiple comparisons was carried out using the </w:t>
      </w:r>
      <w:proofErr w:type="spellStart"/>
      <w:r w:rsidRPr="002B18EB">
        <w:rPr>
          <w:rFonts w:ascii="Times New Roman" w:hAnsi="Times New Roman" w:cs="Times New Roman"/>
          <w:sz w:val="24"/>
          <w:szCs w:val="24"/>
          <w:lang w:val="en-GB"/>
        </w:rPr>
        <w:t>Benjamini</w:t>
      </w:r>
      <w:proofErr w:type="spellEnd"/>
      <w:r w:rsidRPr="002B18EB">
        <w:rPr>
          <w:rFonts w:ascii="Times New Roman" w:hAnsi="Times New Roman" w:cs="Times New Roman"/>
          <w:sz w:val="24"/>
          <w:szCs w:val="24"/>
          <w:lang w:val="en-GB"/>
        </w:rPr>
        <w:t xml:space="preserve"> and Hochberg method and is represented as FDR. Only CON-fc displayed significant miRNAs after correction for multiple comparisons. </w:t>
      </w:r>
    </w:p>
    <w:p w:rsidR="00A53DCC" w:rsidRPr="00A53DCC" w:rsidRDefault="00A53DCC" w:rsidP="00B21C9E">
      <w:pPr>
        <w:spacing w:after="200" w:line="360" w:lineRule="auto"/>
        <w:contextualSpacing/>
        <w:jc w:val="both"/>
        <w:rPr>
          <w:rFonts w:ascii="Times New Roman" w:hAnsi="Times New Roman" w:cs="Times New Roman"/>
          <w:b/>
          <w:sz w:val="28"/>
          <w:szCs w:val="24"/>
          <w:lang w:val="en-GB"/>
        </w:rPr>
      </w:pPr>
    </w:p>
    <w:p w:rsidR="004B7C74" w:rsidRPr="00A53DCC" w:rsidRDefault="00A53DCC">
      <w:pPr>
        <w:rPr>
          <w:rFonts w:ascii="Times New Roman" w:hAnsi="Times New Roman" w:cs="Times New Roman"/>
          <w:b/>
          <w:sz w:val="28"/>
          <w:szCs w:val="24"/>
        </w:rPr>
      </w:pPr>
      <w:r w:rsidRPr="00A53DCC">
        <w:rPr>
          <w:rFonts w:ascii="Times New Roman" w:hAnsi="Times New Roman" w:cs="Times New Roman"/>
          <w:b/>
          <w:sz w:val="28"/>
          <w:szCs w:val="24"/>
        </w:rPr>
        <w:t>Results</w:t>
      </w:r>
    </w:p>
    <w:p w:rsidR="00A53DCC" w:rsidRPr="002B18EB" w:rsidRDefault="00A53DCC" w:rsidP="00A53DCC">
      <w:pPr>
        <w:rPr>
          <w:rFonts w:ascii="Times New Roman" w:hAnsi="Times New Roman" w:cs="Times New Roman"/>
          <w:b/>
          <w:i/>
          <w:sz w:val="24"/>
          <w:szCs w:val="24"/>
          <w:lang w:val="en-GB"/>
        </w:rPr>
      </w:pPr>
      <w:r w:rsidRPr="002B18EB">
        <w:rPr>
          <w:rFonts w:ascii="Times New Roman" w:hAnsi="Times New Roman" w:cs="Times New Roman"/>
          <w:b/>
          <w:i/>
          <w:sz w:val="24"/>
          <w:szCs w:val="24"/>
          <w:lang w:val="en-GB"/>
        </w:rPr>
        <w:t>Overall Quality of mRNA and miRNA sequencing dataset</w:t>
      </w:r>
    </w:p>
    <w:p w:rsidR="00A53DCC" w:rsidRPr="002B18EB" w:rsidRDefault="00A53DCC" w:rsidP="00A53DCC">
      <w:pPr>
        <w:spacing w:line="360" w:lineRule="auto"/>
        <w:jc w:val="both"/>
        <w:rPr>
          <w:rFonts w:ascii="Times New Roman" w:hAnsi="Times New Roman" w:cs="Times New Roman"/>
          <w:sz w:val="24"/>
          <w:szCs w:val="24"/>
          <w:lang w:val="en-GB"/>
        </w:rPr>
      </w:pPr>
      <w:r w:rsidRPr="002B18EB">
        <w:rPr>
          <w:rFonts w:ascii="Times New Roman" w:hAnsi="Times New Roman" w:cs="Times New Roman"/>
          <w:sz w:val="24"/>
          <w:szCs w:val="24"/>
          <w:lang w:val="en-GB"/>
        </w:rPr>
        <w:t xml:space="preserve">Illumina next generation sequencing was conducted to identify dysregulated mRNA and miRNAs in the amygdala of GF mice and whether the behavioural changes in relation to fear conditioning could be regulated at the transcriptional and post-transcriptional level. Mice that displayed no freezing during acquisition and subsequent retention test were excluded from all analysis. Failure to freeze during all test was only noted in two GF mice (GF-fc) and therefore, excluded from sequencing. RNA analysis was conducted on single 1mm thick tissue punches. RNA extraction revealed low concentrations </w:t>
      </w:r>
      <w:r>
        <w:rPr>
          <w:rFonts w:ascii="Times New Roman" w:hAnsi="Times New Roman" w:cs="Times New Roman"/>
          <w:sz w:val="24"/>
          <w:szCs w:val="24"/>
          <w:lang w:val="en-GB"/>
        </w:rPr>
        <w:t xml:space="preserve">yield from the punches </w:t>
      </w:r>
      <w:r w:rsidRPr="002B18EB">
        <w:rPr>
          <w:rFonts w:ascii="Times New Roman" w:hAnsi="Times New Roman" w:cs="Times New Roman"/>
          <w:sz w:val="24"/>
          <w:szCs w:val="24"/>
          <w:lang w:val="en-GB"/>
        </w:rPr>
        <w:t>(10-20ng/</w:t>
      </w:r>
      <w:proofErr w:type="spellStart"/>
      <w:r w:rsidRPr="002B18EB">
        <w:rPr>
          <w:rFonts w:ascii="Times New Roman" w:hAnsi="Times New Roman" w:cs="Times New Roman"/>
          <w:sz w:val="24"/>
          <w:szCs w:val="24"/>
          <w:lang w:val="en-GB"/>
        </w:rPr>
        <w:t>ul</w:t>
      </w:r>
      <w:proofErr w:type="spellEnd"/>
      <w:r w:rsidRPr="002B18EB">
        <w:rPr>
          <w:rFonts w:ascii="Times New Roman" w:hAnsi="Times New Roman" w:cs="Times New Roman"/>
          <w:sz w:val="24"/>
          <w:szCs w:val="24"/>
          <w:lang w:val="en-GB"/>
        </w:rPr>
        <w:t xml:space="preserve">, total volume of 30ul). Quality control analysis by </w:t>
      </w:r>
      <w:proofErr w:type="spellStart"/>
      <w:r w:rsidRPr="002B18EB">
        <w:rPr>
          <w:rFonts w:ascii="Times New Roman" w:hAnsi="Times New Roman" w:cs="Times New Roman"/>
          <w:sz w:val="24"/>
          <w:szCs w:val="24"/>
          <w:lang w:val="en-GB"/>
        </w:rPr>
        <w:t>Exiqon</w:t>
      </w:r>
      <w:proofErr w:type="spellEnd"/>
      <w:r w:rsidRPr="002B18EB">
        <w:rPr>
          <w:rFonts w:ascii="Times New Roman" w:hAnsi="Times New Roman" w:cs="Times New Roman"/>
          <w:sz w:val="24"/>
          <w:szCs w:val="24"/>
          <w:lang w:val="en-GB"/>
        </w:rPr>
        <w:t xml:space="preserve"> confirmed this</w:t>
      </w:r>
      <w:r>
        <w:rPr>
          <w:rFonts w:ascii="Times New Roman" w:hAnsi="Times New Roman" w:cs="Times New Roman"/>
          <w:sz w:val="24"/>
          <w:szCs w:val="24"/>
          <w:lang w:val="en-GB"/>
        </w:rPr>
        <w:t>-</w:t>
      </w:r>
      <w:r w:rsidRPr="002B18EB">
        <w:rPr>
          <w:rFonts w:ascii="Times New Roman" w:hAnsi="Times New Roman" w:cs="Times New Roman"/>
          <w:sz w:val="24"/>
          <w:szCs w:val="24"/>
          <w:lang w:val="en-GB"/>
        </w:rPr>
        <w:t xml:space="preserve">which resulted in failure to determination RNA integrity values (RIN) values for many samples. However, </w:t>
      </w:r>
      <w:r>
        <w:rPr>
          <w:rFonts w:ascii="Times New Roman" w:hAnsi="Times New Roman" w:cs="Times New Roman"/>
          <w:sz w:val="24"/>
          <w:szCs w:val="24"/>
          <w:lang w:val="en-GB"/>
        </w:rPr>
        <w:t xml:space="preserve">the </w:t>
      </w:r>
      <w:r w:rsidRPr="002B18EB">
        <w:rPr>
          <w:rFonts w:ascii="Times New Roman" w:hAnsi="Times New Roman" w:cs="Times New Roman"/>
          <w:sz w:val="24"/>
          <w:szCs w:val="24"/>
          <w:lang w:val="en-GB"/>
        </w:rPr>
        <w:t xml:space="preserve">260/280 ratio were close to the acceptable range and therefore all samples passed quality control analysis. </w:t>
      </w:r>
      <w:proofErr w:type="spellStart"/>
      <w:r w:rsidRPr="002B18EB">
        <w:rPr>
          <w:rFonts w:ascii="Times New Roman" w:hAnsi="Times New Roman" w:cs="Times New Roman"/>
          <w:sz w:val="24"/>
          <w:szCs w:val="24"/>
          <w:lang w:val="en-GB"/>
        </w:rPr>
        <w:t>Exiqon</w:t>
      </w:r>
      <w:proofErr w:type="spellEnd"/>
      <w:r w:rsidRPr="002B18EB">
        <w:rPr>
          <w:rFonts w:ascii="Times New Roman" w:hAnsi="Times New Roman" w:cs="Times New Roman"/>
          <w:sz w:val="24"/>
          <w:szCs w:val="24"/>
          <w:lang w:val="en-GB"/>
        </w:rPr>
        <w:t xml:space="preserve"> reported that the majority of samples showed overall good data quality with the vast majority of the data obtained presenting high Q-score (quality score) of 30 (prediction of the probability of an incorrect base-call). All significant miRNA discussed is based on uncorrected </w:t>
      </w:r>
      <w:r w:rsidRPr="002B18EB">
        <w:rPr>
          <w:rFonts w:ascii="Times New Roman" w:hAnsi="Times New Roman" w:cs="Times New Roman"/>
          <w:i/>
          <w:sz w:val="24"/>
          <w:szCs w:val="24"/>
          <w:lang w:val="en-GB"/>
        </w:rPr>
        <w:t>p</w:t>
      </w:r>
      <w:r w:rsidRPr="002B18EB">
        <w:rPr>
          <w:rFonts w:ascii="Times New Roman" w:hAnsi="Times New Roman" w:cs="Times New Roman"/>
          <w:sz w:val="24"/>
          <w:szCs w:val="24"/>
          <w:lang w:val="en-GB"/>
        </w:rPr>
        <w:t xml:space="preserve"> value of &lt;0.05 not </w:t>
      </w:r>
      <w:proofErr w:type="spellStart"/>
      <w:r w:rsidRPr="002B18EB">
        <w:rPr>
          <w:rFonts w:ascii="Times New Roman" w:hAnsi="Times New Roman" w:cs="Times New Roman"/>
          <w:sz w:val="24"/>
          <w:szCs w:val="24"/>
          <w:lang w:val="en-GB"/>
        </w:rPr>
        <w:t>Padj</w:t>
      </w:r>
      <w:proofErr w:type="spellEnd"/>
      <w:r w:rsidRPr="002B18EB">
        <w:rPr>
          <w:rFonts w:ascii="Times New Roman" w:hAnsi="Times New Roman" w:cs="Times New Roman"/>
          <w:sz w:val="24"/>
          <w:szCs w:val="24"/>
          <w:lang w:val="en-GB"/>
        </w:rPr>
        <w:t>.</w:t>
      </w:r>
    </w:p>
    <w:p w:rsidR="00726363" w:rsidRDefault="00726363"/>
    <w:p w:rsidR="00726363" w:rsidRDefault="00726363"/>
    <w:p w:rsidR="00726363" w:rsidRPr="00726363" w:rsidRDefault="00726363" w:rsidP="00726363">
      <w:pPr>
        <w:pStyle w:val="EndNoteBibliography"/>
      </w:pPr>
      <w:r>
        <w:fldChar w:fldCharType="begin"/>
      </w:r>
      <w:r>
        <w:instrText xml:space="preserve"> ADDIN EN.REFLIST </w:instrText>
      </w:r>
      <w:r>
        <w:fldChar w:fldCharType="separate"/>
      </w:r>
      <w:r w:rsidRPr="00726363">
        <w:t>1.</w:t>
      </w:r>
      <w:r w:rsidRPr="00726363">
        <w:tab/>
        <w:t>Vasudevan S, Tong Y, Steitz JA. Switching from repression to activation: microRNAs can up-regulate translation. Science. 2007;318(5858):1931-4.</w:t>
      </w:r>
    </w:p>
    <w:p w:rsidR="00A53DCC" w:rsidRDefault="00726363">
      <w:r>
        <w:fldChar w:fldCharType="end"/>
      </w:r>
    </w:p>
    <w:sectPr w:rsidR="00A53DCC" w:rsidSect="008366ED">
      <w:headerReference w:type="default" r:id="rId10"/>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74C" w:rsidRDefault="007F774C" w:rsidP="0004027D">
      <w:pPr>
        <w:spacing w:after="0" w:line="240" w:lineRule="auto"/>
      </w:pPr>
      <w:r>
        <w:separator/>
      </w:r>
    </w:p>
  </w:endnote>
  <w:endnote w:type="continuationSeparator" w:id="0">
    <w:p w:rsidR="007F774C" w:rsidRDefault="007F774C" w:rsidP="00040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74C" w:rsidRDefault="007F774C" w:rsidP="0004027D">
      <w:pPr>
        <w:spacing w:after="0" w:line="240" w:lineRule="auto"/>
      </w:pPr>
      <w:r>
        <w:separator/>
      </w:r>
    </w:p>
  </w:footnote>
  <w:footnote w:type="continuationSeparator" w:id="0">
    <w:p w:rsidR="007F774C" w:rsidRDefault="007F774C" w:rsidP="00040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27D" w:rsidRDefault="0004027D">
    <w:pPr>
      <w:pStyle w:val="Header"/>
    </w:pPr>
    <w:r>
      <w:t>Hoban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ep55xwirra99e29v3vxevwrf5vs5eadrex&quot;&gt;PHD library&lt;record-ids&gt;&lt;item&gt;98&lt;/item&gt;&lt;/record-ids&gt;&lt;/item&gt;&lt;/Libraries&gt;"/>
  </w:docVars>
  <w:rsids>
    <w:rsidRoot w:val="00B21C9E"/>
    <w:rsid w:val="0004027D"/>
    <w:rsid w:val="000A5E93"/>
    <w:rsid w:val="00172254"/>
    <w:rsid w:val="00357C46"/>
    <w:rsid w:val="004B7C74"/>
    <w:rsid w:val="00726363"/>
    <w:rsid w:val="007F774C"/>
    <w:rsid w:val="008366ED"/>
    <w:rsid w:val="00A521D6"/>
    <w:rsid w:val="00A53DCC"/>
    <w:rsid w:val="00B21C9E"/>
    <w:rsid w:val="00B479C0"/>
    <w:rsid w:val="00EC3BAD"/>
    <w:rsid w:val="00FC08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E6B9"/>
  <w15:chartTrackingRefBased/>
  <w15:docId w15:val="{6BABBB18-0B6F-4302-9936-7F10AC61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C9E"/>
    <w:rPr>
      <w:color w:val="0563C1" w:themeColor="hyperlink"/>
      <w:u w:val="single"/>
    </w:rPr>
  </w:style>
  <w:style w:type="character" w:styleId="CommentReference">
    <w:name w:val="annotation reference"/>
    <w:basedOn w:val="DefaultParagraphFont"/>
    <w:uiPriority w:val="99"/>
    <w:semiHidden/>
    <w:unhideWhenUsed/>
    <w:rsid w:val="00B21C9E"/>
    <w:rPr>
      <w:sz w:val="16"/>
      <w:szCs w:val="16"/>
    </w:rPr>
  </w:style>
  <w:style w:type="paragraph" w:styleId="Header">
    <w:name w:val="header"/>
    <w:basedOn w:val="Normal"/>
    <w:link w:val="HeaderChar"/>
    <w:uiPriority w:val="99"/>
    <w:unhideWhenUsed/>
    <w:rsid w:val="00040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27D"/>
  </w:style>
  <w:style w:type="paragraph" w:styleId="Footer">
    <w:name w:val="footer"/>
    <w:basedOn w:val="Normal"/>
    <w:link w:val="FooterChar"/>
    <w:uiPriority w:val="99"/>
    <w:unhideWhenUsed/>
    <w:rsid w:val="00040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27D"/>
  </w:style>
  <w:style w:type="paragraph" w:customStyle="1" w:styleId="EndNoteBibliographyTitle">
    <w:name w:val="EndNote Bibliography Title"/>
    <w:basedOn w:val="Normal"/>
    <w:link w:val="EndNoteBibliographyTitleChar"/>
    <w:rsid w:val="0072636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26363"/>
    <w:rPr>
      <w:rFonts w:ascii="Calibri" w:hAnsi="Calibri"/>
      <w:noProof/>
      <w:lang w:val="en-US"/>
    </w:rPr>
  </w:style>
  <w:style w:type="paragraph" w:customStyle="1" w:styleId="EndNoteBibliography">
    <w:name w:val="EndNote Bibliography"/>
    <w:basedOn w:val="Normal"/>
    <w:link w:val="EndNoteBibliographyChar"/>
    <w:rsid w:val="0072636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26363"/>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mf.umm.uni-heidelberg.de/apps/zmf/mirwalk2/" TargetMode="External"/><Relationship Id="rId3" Type="http://schemas.openxmlformats.org/officeDocument/2006/relationships/webSettings" Target="webSettings.xml"/><Relationship Id="rId7" Type="http://schemas.openxmlformats.org/officeDocument/2006/relationships/hyperlink" Target="http://wwww.mirbas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oinformatics.babraham.ac.uk/projects/fastq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bioconduct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c:creator>
  <cp:keywords/>
  <dc:description/>
  <cp:lastModifiedBy>Hoban, Alan</cp:lastModifiedBy>
  <cp:revision>7</cp:revision>
  <dcterms:created xsi:type="dcterms:W3CDTF">2016-10-20T21:02:00Z</dcterms:created>
  <dcterms:modified xsi:type="dcterms:W3CDTF">2017-02-20T11:38:00Z</dcterms:modified>
</cp:coreProperties>
</file>