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7C18" w:rsidRPr="00547D5F" w:rsidRDefault="00A77C18" w:rsidP="00A77C18">
      <w:pPr>
        <w:spacing w:line="480" w:lineRule="auto"/>
        <w:rPr>
          <w:b/>
          <w:lang w:val="en-GB"/>
        </w:rPr>
      </w:pPr>
      <w:bookmarkStart w:id="0" w:name="_GoBack"/>
      <w:bookmarkEnd w:id="0"/>
      <w:r w:rsidRPr="00547D5F">
        <w:rPr>
          <w:b/>
          <w:lang w:val="en-GB"/>
        </w:rPr>
        <w:t>SUPPLEMENTAL FIGURES</w:t>
      </w:r>
    </w:p>
    <w:p w:rsidR="00A77C18" w:rsidRPr="00547D5F" w:rsidRDefault="00A77C18" w:rsidP="00A77C18">
      <w:pPr>
        <w:spacing w:line="480" w:lineRule="auto"/>
        <w:rPr>
          <w:bCs/>
          <w:lang w:val="en-GB"/>
        </w:rPr>
      </w:pPr>
      <w:r w:rsidRPr="00547D5F">
        <w:rPr>
          <w:b/>
          <w:lang w:val="en-GB"/>
        </w:rPr>
        <w:t xml:space="preserve">Figure S1. </w:t>
      </w:r>
      <w:r w:rsidRPr="00547D5F">
        <w:rPr>
          <w:bCs/>
          <w:lang w:val="en-GB"/>
        </w:rPr>
        <w:t xml:space="preserve">Improvements in rectal bleeding with </w:t>
      </w:r>
      <w:proofErr w:type="spellStart"/>
      <w:r w:rsidRPr="00547D5F">
        <w:rPr>
          <w:bCs/>
          <w:lang w:val="en-GB"/>
        </w:rPr>
        <w:t>upadacitinib</w:t>
      </w:r>
      <w:proofErr w:type="spellEnd"/>
    </w:p>
    <w:p w:rsidR="00A77C18" w:rsidRPr="00547D5F" w:rsidRDefault="00A77C18" w:rsidP="00A77C18">
      <w:pPr>
        <w:spacing w:line="480" w:lineRule="auto"/>
        <w:rPr>
          <w:b/>
          <w:lang w:val="en-GB"/>
        </w:rPr>
      </w:pPr>
      <w:r w:rsidRPr="00547D5F">
        <w:rPr>
          <w:noProof/>
          <w:lang w:eastAsia="en-IN"/>
        </w:rPr>
        <w:drawing>
          <wp:inline distT="0" distB="0" distL="0" distR="0" wp14:anchorId="316720E0" wp14:editId="5C64EF30">
            <wp:extent cx="5943600" cy="707072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07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C18" w:rsidRPr="00547D5F" w:rsidRDefault="00A77C18" w:rsidP="00A77C18">
      <w:pPr>
        <w:spacing w:line="480" w:lineRule="auto"/>
        <w:rPr>
          <w:bCs/>
          <w:sz w:val="28"/>
          <w:szCs w:val="28"/>
          <w:lang w:val="en-GB"/>
        </w:rPr>
      </w:pPr>
    </w:p>
    <w:p w:rsidR="00A77C18" w:rsidRPr="00547D5F" w:rsidRDefault="00A77C18" w:rsidP="00A77C18">
      <w:pPr>
        <w:spacing w:line="480" w:lineRule="auto"/>
        <w:rPr>
          <w:bCs/>
          <w:lang w:val="en-GB"/>
        </w:rPr>
      </w:pPr>
      <w:r w:rsidRPr="00547D5F">
        <w:rPr>
          <w:bCs/>
          <w:lang w:val="en-GB"/>
        </w:rPr>
        <w:t xml:space="preserve">A. Percentage of patients reporting a Mayo rectal bleeding </w:t>
      </w:r>
      <w:proofErr w:type="spellStart"/>
      <w:r w:rsidRPr="00547D5F">
        <w:rPr>
          <w:bCs/>
          <w:lang w:val="en-GB"/>
        </w:rPr>
        <w:t>subscore</w:t>
      </w:r>
      <w:proofErr w:type="spellEnd"/>
      <w:r w:rsidRPr="00547D5F">
        <w:rPr>
          <w:bCs/>
          <w:lang w:val="en-GB"/>
        </w:rPr>
        <w:t xml:space="preserve"> of 0 from Weeks 2</w:t>
      </w:r>
      <w:r w:rsidRPr="00547D5F">
        <w:rPr>
          <w:rFonts w:cs="Calibri"/>
          <w:bCs/>
          <w:lang w:val="en-GB"/>
        </w:rPr>
        <w:t>–</w:t>
      </w:r>
      <w:r w:rsidRPr="00547D5F">
        <w:rPr>
          <w:bCs/>
          <w:lang w:val="en-GB"/>
        </w:rPr>
        <w:t>8.</w:t>
      </w:r>
    </w:p>
    <w:p w:rsidR="00A77C18" w:rsidRPr="00547D5F" w:rsidRDefault="00A77C18" w:rsidP="00A77C18">
      <w:pPr>
        <w:spacing w:line="480" w:lineRule="auto"/>
        <w:rPr>
          <w:bCs/>
          <w:lang w:val="en-GB"/>
        </w:rPr>
      </w:pPr>
      <w:r w:rsidRPr="00547D5F">
        <w:rPr>
          <w:bCs/>
          <w:lang w:val="en-GB"/>
        </w:rPr>
        <w:t xml:space="preserve"> B. Reduction in mean Mayo rectal bleeding </w:t>
      </w:r>
      <w:proofErr w:type="spellStart"/>
      <w:r w:rsidRPr="00547D5F">
        <w:rPr>
          <w:bCs/>
          <w:lang w:val="en-GB"/>
        </w:rPr>
        <w:t>subscore</w:t>
      </w:r>
      <w:proofErr w:type="spellEnd"/>
      <w:r w:rsidRPr="00547D5F">
        <w:rPr>
          <w:bCs/>
          <w:lang w:val="en-GB"/>
        </w:rPr>
        <w:t xml:space="preserve"> from Weeks 2 to</w:t>
      </w:r>
      <w:r w:rsidRPr="00547D5F">
        <w:rPr>
          <w:rFonts w:cs="Calibri"/>
          <w:bCs/>
          <w:lang w:val="en-GB"/>
        </w:rPr>
        <w:t xml:space="preserve"> </w:t>
      </w:r>
      <w:r w:rsidRPr="00547D5F">
        <w:rPr>
          <w:bCs/>
          <w:lang w:val="en-GB"/>
        </w:rPr>
        <w:t xml:space="preserve">8. </w:t>
      </w:r>
    </w:p>
    <w:p w:rsidR="00A77C18" w:rsidRPr="00547D5F" w:rsidRDefault="00A77C18" w:rsidP="00A77C18">
      <w:pPr>
        <w:spacing w:line="480" w:lineRule="auto"/>
        <w:rPr>
          <w:bCs/>
          <w:lang w:val="en-GB"/>
        </w:rPr>
      </w:pPr>
      <w:r w:rsidRPr="00547D5F">
        <w:rPr>
          <w:bCs/>
          <w:lang w:val="en-GB"/>
        </w:rPr>
        <w:t>*</w:t>
      </w:r>
      <w:r w:rsidRPr="00547D5F">
        <w:rPr>
          <w:bCs/>
          <w:i/>
          <w:iCs/>
          <w:lang w:val="en-GB"/>
        </w:rPr>
        <w:t xml:space="preserve">P </w:t>
      </w:r>
      <w:r w:rsidRPr="00547D5F">
        <w:rPr>
          <w:rFonts w:cs="Calibri"/>
          <w:bCs/>
          <w:lang w:val="en-GB"/>
        </w:rPr>
        <w:t>≤</w:t>
      </w:r>
      <w:r w:rsidRPr="00547D5F">
        <w:rPr>
          <w:bCs/>
          <w:lang w:val="en-GB"/>
        </w:rPr>
        <w:t>0.05, **</w:t>
      </w:r>
      <w:r w:rsidRPr="00547D5F">
        <w:rPr>
          <w:bCs/>
          <w:i/>
          <w:iCs/>
          <w:lang w:val="en-GB"/>
        </w:rPr>
        <w:t xml:space="preserve">P </w:t>
      </w:r>
      <w:r w:rsidRPr="00547D5F">
        <w:rPr>
          <w:rFonts w:cs="Calibri"/>
          <w:bCs/>
          <w:lang w:val="en-GB"/>
        </w:rPr>
        <w:t>≤</w:t>
      </w:r>
      <w:r w:rsidRPr="00547D5F">
        <w:rPr>
          <w:bCs/>
          <w:lang w:val="en-GB"/>
        </w:rPr>
        <w:t>0.01, ***</w:t>
      </w:r>
      <w:r w:rsidRPr="00547D5F">
        <w:rPr>
          <w:bCs/>
          <w:i/>
          <w:iCs/>
          <w:lang w:val="en-GB"/>
        </w:rPr>
        <w:t xml:space="preserve">P </w:t>
      </w:r>
      <w:r w:rsidRPr="00547D5F">
        <w:rPr>
          <w:rFonts w:cs="Calibri"/>
          <w:bCs/>
          <w:lang w:val="en-GB"/>
        </w:rPr>
        <w:t>≤</w:t>
      </w:r>
      <w:r w:rsidRPr="00547D5F">
        <w:rPr>
          <w:bCs/>
          <w:lang w:val="en-GB"/>
        </w:rPr>
        <w:t>0.001 compared with placebo. Panel A is analysed NRI. Panel B is analysed LOCF. ITT population.</w:t>
      </w:r>
    </w:p>
    <w:p w:rsidR="00A77C18" w:rsidRPr="00547D5F" w:rsidRDefault="00A77C18" w:rsidP="00A77C18">
      <w:pPr>
        <w:spacing w:line="480" w:lineRule="auto"/>
        <w:rPr>
          <w:b/>
          <w:lang w:val="en-GB"/>
        </w:rPr>
      </w:pPr>
      <w:r w:rsidRPr="00547D5F">
        <w:rPr>
          <w:bCs/>
          <w:lang w:val="en-GB"/>
        </w:rPr>
        <w:t>ITT, intent-to-treat; LOCF, last observation carried forward; NRI, non-responder imputation.</w:t>
      </w:r>
    </w:p>
    <w:p w:rsidR="00A77C18" w:rsidRPr="00547D5F" w:rsidRDefault="00A77C18" w:rsidP="00A77C18">
      <w:pPr>
        <w:spacing w:line="480" w:lineRule="auto"/>
        <w:rPr>
          <w:b/>
          <w:lang w:val="en-GB"/>
        </w:rPr>
      </w:pPr>
    </w:p>
    <w:p w:rsidR="00A77C18" w:rsidRPr="00547D5F" w:rsidRDefault="00A77C18" w:rsidP="00A77C18">
      <w:pPr>
        <w:spacing w:line="480" w:lineRule="auto"/>
        <w:rPr>
          <w:bCs/>
          <w:lang w:val="en-GB"/>
        </w:rPr>
      </w:pPr>
      <w:r w:rsidRPr="00547D5F">
        <w:rPr>
          <w:b/>
          <w:lang w:val="en-GB"/>
        </w:rPr>
        <w:br w:type="page"/>
      </w:r>
      <w:r w:rsidRPr="00547D5F">
        <w:rPr>
          <w:b/>
          <w:lang w:val="en-GB"/>
        </w:rPr>
        <w:lastRenderedPageBreak/>
        <w:t>Figure S2.</w:t>
      </w:r>
      <w:r w:rsidRPr="00547D5F">
        <w:rPr>
          <w:bCs/>
          <w:lang w:val="en-GB"/>
        </w:rPr>
        <w:t xml:space="preserve"> Improvements in stool frequency changes with </w:t>
      </w:r>
      <w:proofErr w:type="spellStart"/>
      <w:r w:rsidRPr="00547D5F">
        <w:rPr>
          <w:bCs/>
          <w:lang w:val="en-GB"/>
        </w:rPr>
        <w:t>upadacitinib</w:t>
      </w:r>
      <w:proofErr w:type="spellEnd"/>
      <w:r w:rsidRPr="00547D5F">
        <w:rPr>
          <w:bCs/>
          <w:lang w:val="en-GB"/>
        </w:rPr>
        <w:t xml:space="preserve"> </w:t>
      </w:r>
    </w:p>
    <w:p w:rsidR="00A77C18" w:rsidRPr="00547D5F" w:rsidRDefault="00A77C18" w:rsidP="00A77C18">
      <w:pPr>
        <w:spacing w:line="480" w:lineRule="auto"/>
        <w:rPr>
          <w:lang w:val="en-GB"/>
        </w:rPr>
      </w:pPr>
      <w:r w:rsidRPr="00547D5F">
        <w:rPr>
          <w:noProof/>
          <w:lang w:eastAsia="en-IN"/>
        </w:rPr>
        <w:drawing>
          <wp:inline distT="0" distB="0" distL="0" distR="0" wp14:anchorId="2738FF06" wp14:editId="509C42F3">
            <wp:extent cx="5943600" cy="7119620"/>
            <wp:effectExtent l="0" t="0" r="0" b="508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119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C18" w:rsidRPr="00547D5F" w:rsidRDefault="00A77C18" w:rsidP="00A77C18">
      <w:pPr>
        <w:spacing w:line="480" w:lineRule="auto"/>
        <w:rPr>
          <w:sz w:val="28"/>
          <w:szCs w:val="28"/>
          <w:lang w:val="en-GB"/>
        </w:rPr>
      </w:pPr>
      <w:r w:rsidRPr="00547D5F">
        <w:rPr>
          <w:lang w:val="en-GB"/>
        </w:rPr>
        <w:br w:type="page"/>
      </w:r>
    </w:p>
    <w:p w:rsidR="00A77C18" w:rsidRPr="00547D5F" w:rsidRDefault="00A77C18" w:rsidP="00A77C18">
      <w:pPr>
        <w:spacing w:line="480" w:lineRule="auto"/>
        <w:rPr>
          <w:b/>
          <w:lang w:val="en-GB"/>
        </w:rPr>
      </w:pPr>
    </w:p>
    <w:p w:rsidR="00A77C18" w:rsidRPr="00547D5F" w:rsidRDefault="00A77C18" w:rsidP="00A77C18">
      <w:pPr>
        <w:spacing w:line="480" w:lineRule="auto"/>
        <w:rPr>
          <w:bCs/>
          <w:lang w:val="en-GB"/>
        </w:rPr>
      </w:pPr>
      <w:r w:rsidRPr="00547D5F">
        <w:rPr>
          <w:bCs/>
          <w:lang w:val="en-GB"/>
        </w:rPr>
        <w:t xml:space="preserve">A. Percentage of patients reporting a Mayo stool frequency </w:t>
      </w:r>
      <w:proofErr w:type="spellStart"/>
      <w:r w:rsidRPr="00547D5F">
        <w:rPr>
          <w:bCs/>
          <w:lang w:val="en-GB"/>
        </w:rPr>
        <w:t>subscore</w:t>
      </w:r>
      <w:proofErr w:type="spellEnd"/>
      <w:r w:rsidRPr="00547D5F">
        <w:rPr>
          <w:bCs/>
          <w:lang w:val="en-GB"/>
        </w:rPr>
        <w:t xml:space="preserve"> of </w:t>
      </w:r>
      <w:r w:rsidRPr="00547D5F">
        <w:rPr>
          <w:rFonts w:cs="Calibri"/>
          <w:bCs/>
          <w:lang w:val="en-GB"/>
        </w:rPr>
        <w:t>≤</w:t>
      </w:r>
      <w:r w:rsidRPr="00547D5F">
        <w:rPr>
          <w:bCs/>
          <w:lang w:val="en-GB"/>
        </w:rPr>
        <w:t>1 from Weeks 2</w:t>
      </w:r>
      <w:r w:rsidRPr="00547D5F">
        <w:rPr>
          <w:rFonts w:cs="Calibri"/>
          <w:bCs/>
          <w:lang w:val="en-GB"/>
        </w:rPr>
        <w:t>–</w:t>
      </w:r>
      <w:r w:rsidRPr="00547D5F">
        <w:rPr>
          <w:bCs/>
          <w:lang w:val="en-GB"/>
        </w:rPr>
        <w:t xml:space="preserve">8. </w:t>
      </w:r>
    </w:p>
    <w:p w:rsidR="00A77C18" w:rsidRPr="00547D5F" w:rsidRDefault="00A77C18" w:rsidP="00A77C18">
      <w:pPr>
        <w:spacing w:line="480" w:lineRule="auto"/>
        <w:rPr>
          <w:bCs/>
          <w:lang w:val="en-GB"/>
        </w:rPr>
      </w:pPr>
      <w:r w:rsidRPr="00547D5F">
        <w:rPr>
          <w:bCs/>
          <w:lang w:val="en-GB"/>
        </w:rPr>
        <w:t xml:space="preserve">B. Reduction in mean Mayo stool frequency </w:t>
      </w:r>
      <w:proofErr w:type="spellStart"/>
      <w:r w:rsidRPr="00547D5F">
        <w:rPr>
          <w:bCs/>
          <w:lang w:val="en-GB"/>
        </w:rPr>
        <w:t>subscore</w:t>
      </w:r>
      <w:proofErr w:type="spellEnd"/>
      <w:r w:rsidRPr="00547D5F">
        <w:rPr>
          <w:bCs/>
          <w:lang w:val="en-GB"/>
        </w:rPr>
        <w:t xml:space="preserve"> from Weeks 2</w:t>
      </w:r>
      <w:r w:rsidRPr="00547D5F">
        <w:rPr>
          <w:rFonts w:cs="Calibri"/>
          <w:bCs/>
          <w:lang w:val="en-GB"/>
        </w:rPr>
        <w:t xml:space="preserve"> to </w:t>
      </w:r>
      <w:r w:rsidRPr="00547D5F">
        <w:rPr>
          <w:bCs/>
          <w:lang w:val="en-GB"/>
        </w:rPr>
        <w:t>8.</w:t>
      </w:r>
    </w:p>
    <w:p w:rsidR="00A77C18" w:rsidRPr="00547D5F" w:rsidRDefault="00A77C18" w:rsidP="00A77C18">
      <w:pPr>
        <w:spacing w:line="480" w:lineRule="auto"/>
        <w:rPr>
          <w:bCs/>
          <w:lang w:val="en-GB"/>
        </w:rPr>
      </w:pPr>
      <w:r w:rsidRPr="00547D5F">
        <w:rPr>
          <w:bCs/>
          <w:lang w:val="en-GB"/>
        </w:rPr>
        <w:t>*</w:t>
      </w:r>
      <w:r w:rsidRPr="00547D5F">
        <w:rPr>
          <w:bCs/>
          <w:i/>
          <w:iCs/>
          <w:lang w:val="en-GB"/>
        </w:rPr>
        <w:t xml:space="preserve">P </w:t>
      </w:r>
      <w:r w:rsidRPr="00547D5F">
        <w:rPr>
          <w:rFonts w:cs="Calibri"/>
          <w:bCs/>
          <w:lang w:val="en-GB"/>
        </w:rPr>
        <w:t>≤</w:t>
      </w:r>
      <w:r w:rsidRPr="00547D5F">
        <w:rPr>
          <w:bCs/>
          <w:lang w:val="en-GB"/>
        </w:rPr>
        <w:t>0.05, **</w:t>
      </w:r>
      <w:r w:rsidRPr="00547D5F">
        <w:rPr>
          <w:bCs/>
          <w:i/>
          <w:iCs/>
          <w:lang w:val="en-GB"/>
        </w:rPr>
        <w:t xml:space="preserve">P </w:t>
      </w:r>
      <w:r w:rsidRPr="00547D5F">
        <w:rPr>
          <w:rFonts w:cs="Calibri"/>
          <w:bCs/>
          <w:lang w:val="en-GB"/>
        </w:rPr>
        <w:t>≤</w:t>
      </w:r>
      <w:r w:rsidRPr="00547D5F">
        <w:rPr>
          <w:bCs/>
          <w:lang w:val="en-GB"/>
        </w:rPr>
        <w:t>0.01, ***</w:t>
      </w:r>
      <w:r w:rsidRPr="00547D5F">
        <w:rPr>
          <w:bCs/>
          <w:i/>
          <w:iCs/>
          <w:lang w:val="en-GB"/>
        </w:rPr>
        <w:t xml:space="preserve">P </w:t>
      </w:r>
      <w:r w:rsidRPr="00547D5F">
        <w:rPr>
          <w:rFonts w:cs="Calibri"/>
          <w:bCs/>
          <w:lang w:val="en-GB"/>
        </w:rPr>
        <w:t>≤</w:t>
      </w:r>
      <w:r w:rsidRPr="00547D5F">
        <w:rPr>
          <w:bCs/>
          <w:lang w:val="en-GB"/>
        </w:rPr>
        <w:t xml:space="preserve">0.001 compared with placebo. Panel A is analysed NRI. Panel B is analysed LOCF. ITT population. </w:t>
      </w:r>
    </w:p>
    <w:p w:rsidR="00A77C18" w:rsidRPr="00547D5F" w:rsidRDefault="00A77C18" w:rsidP="00A77C18">
      <w:pPr>
        <w:spacing w:line="480" w:lineRule="auto"/>
        <w:rPr>
          <w:b/>
          <w:lang w:val="en-GB"/>
        </w:rPr>
      </w:pPr>
      <w:r w:rsidRPr="00547D5F">
        <w:rPr>
          <w:bCs/>
          <w:lang w:val="en-GB"/>
        </w:rPr>
        <w:t>ITT, intent-to-treat; LOCF, last observation carried forward; NRI, non-responder imputation.</w:t>
      </w:r>
    </w:p>
    <w:p w:rsidR="00A77C18" w:rsidRPr="00547D5F" w:rsidRDefault="00A77C18" w:rsidP="00A77C18">
      <w:pPr>
        <w:spacing w:line="480" w:lineRule="auto"/>
        <w:rPr>
          <w:b/>
          <w:lang w:val="en-GB"/>
        </w:rPr>
      </w:pPr>
      <w:r w:rsidRPr="00547D5F">
        <w:rPr>
          <w:b/>
          <w:lang w:val="en-GB"/>
        </w:rPr>
        <w:br w:type="page"/>
      </w:r>
      <w:r w:rsidRPr="00547D5F">
        <w:rPr>
          <w:b/>
          <w:lang w:val="en-GB"/>
        </w:rPr>
        <w:lastRenderedPageBreak/>
        <w:t>Figure S3</w:t>
      </w:r>
      <w:r w:rsidRPr="00547D5F">
        <w:rPr>
          <w:lang w:val="en-GB"/>
        </w:rPr>
        <w:t xml:space="preserve">. Percentage of patients with an IBDQ remission and response over time with </w:t>
      </w:r>
      <w:proofErr w:type="spellStart"/>
      <w:r w:rsidRPr="00547D5F">
        <w:rPr>
          <w:lang w:val="en-GB"/>
        </w:rPr>
        <w:t>upadacitinib</w:t>
      </w:r>
      <w:proofErr w:type="spellEnd"/>
      <w:r w:rsidRPr="00547D5F">
        <w:rPr>
          <w:lang w:val="en-GB"/>
        </w:rPr>
        <w:t xml:space="preserve"> </w:t>
      </w:r>
    </w:p>
    <w:p w:rsidR="00A77C18" w:rsidRPr="00547D5F" w:rsidRDefault="00A77C18" w:rsidP="00A77C18">
      <w:pPr>
        <w:spacing w:line="480" w:lineRule="auto"/>
        <w:rPr>
          <w:sz w:val="28"/>
          <w:szCs w:val="28"/>
          <w:lang w:val="en-GB"/>
        </w:rPr>
      </w:pPr>
      <w:r w:rsidRPr="00547D5F">
        <w:rPr>
          <w:noProof/>
          <w:lang w:eastAsia="en-IN"/>
        </w:rPr>
        <w:drawing>
          <wp:inline distT="0" distB="0" distL="0" distR="0" wp14:anchorId="15C13FD8" wp14:editId="31BAF399">
            <wp:extent cx="5943600" cy="7135495"/>
            <wp:effectExtent l="0" t="0" r="0" b="825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135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47D5F">
        <w:rPr>
          <w:sz w:val="28"/>
          <w:szCs w:val="28"/>
          <w:lang w:val="en-GB"/>
        </w:rPr>
        <w:br w:type="page"/>
      </w:r>
    </w:p>
    <w:p w:rsidR="00A77C18" w:rsidRPr="00547D5F" w:rsidRDefault="00A77C18" w:rsidP="00A77C18">
      <w:pPr>
        <w:spacing w:line="480" w:lineRule="auto"/>
        <w:rPr>
          <w:bCs/>
          <w:lang w:val="en-GB"/>
        </w:rPr>
      </w:pPr>
      <w:r w:rsidRPr="00547D5F">
        <w:rPr>
          <w:bCs/>
          <w:lang w:val="en-GB"/>
        </w:rPr>
        <w:lastRenderedPageBreak/>
        <w:t xml:space="preserve">Percentage of patients with </w:t>
      </w:r>
      <w:r w:rsidRPr="00547D5F">
        <w:rPr>
          <w:lang w:val="en-GB"/>
        </w:rPr>
        <w:t xml:space="preserve">an IBDQ remission (A) and response (B) </w:t>
      </w:r>
      <w:r w:rsidRPr="00547D5F">
        <w:rPr>
          <w:bCs/>
          <w:lang w:val="en-GB"/>
        </w:rPr>
        <w:t>Weeks 2</w:t>
      </w:r>
      <w:r w:rsidRPr="00547D5F">
        <w:rPr>
          <w:rFonts w:cs="Calibri"/>
          <w:bCs/>
          <w:lang w:val="en-GB"/>
        </w:rPr>
        <w:t>–</w:t>
      </w:r>
      <w:r w:rsidRPr="00547D5F">
        <w:rPr>
          <w:bCs/>
          <w:lang w:val="en-GB"/>
        </w:rPr>
        <w:t xml:space="preserve">8. </w:t>
      </w:r>
    </w:p>
    <w:p w:rsidR="00A77C18" w:rsidRPr="00547D5F" w:rsidRDefault="00A77C18" w:rsidP="00A77C18">
      <w:pPr>
        <w:spacing w:line="480" w:lineRule="auto"/>
        <w:rPr>
          <w:lang w:val="en-GB"/>
        </w:rPr>
      </w:pPr>
      <w:r w:rsidRPr="00547D5F">
        <w:rPr>
          <w:bCs/>
          <w:lang w:val="en-GB"/>
        </w:rPr>
        <w:t>*</w:t>
      </w:r>
      <w:r w:rsidRPr="00547D5F">
        <w:rPr>
          <w:bCs/>
          <w:i/>
          <w:iCs/>
          <w:lang w:val="en-GB"/>
        </w:rPr>
        <w:t xml:space="preserve">P </w:t>
      </w:r>
      <w:r w:rsidRPr="00547D5F">
        <w:rPr>
          <w:rFonts w:cs="Calibri"/>
          <w:bCs/>
          <w:lang w:val="en-GB"/>
        </w:rPr>
        <w:t>≤</w:t>
      </w:r>
      <w:r w:rsidRPr="00547D5F">
        <w:rPr>
          <w:bCs/>
          <w:lang w:val="en-GB"/>
        </w:rPr>
        <w:t>0.05, **</w:t>
      </w:r>
      <w:r w:rsidRPr="00547D5F">
        <w:rPr>
          <w:bCs/>
          <w:i/>
          <w:iCs/>
          <w:lang w:val="en-GB"/>
        </w:rPr>
        <w:t xml:space="preserve">P </w:t>
      </w:r>
      <w:r w:rsidRPr="00547D5F">
        <w:rPr>
          <w:rFonts w:cs="Calibri"/>
          <w:bCs/>
          <w:lang w:val="en-GB"/>
        </w:rPr>
        <w:t>≤</w:t>
      </w:r>
      <w:r w:rsidRPr="00547D5F">
        <w:rPr>
          <w:bCs/>
          <w:lang w:val="en-GB"/>
        </w:rPr>
        <w:t>0.01, ***</w:t>
      </w:r>
      <w:r w:rsidRPr="00547D5F">
        <w:rPr>
          <w:bCs/>
          <w:i/>
          <w:iCs/>
          <w:lang w:val="en-GB"/>
        </w:rPr>
        <w:t xml:space="preserve">P </w:t>
      </w:r>
      <w:r w:rsidRPr="00547D5F">
        <w:rPr>
          <w:rFonts w:cs="Calibri"/>
          <w:bCs/>
          <w:lang w:val="en-GB"/>
        </w:rPr>
        <w:t>≤</w:t>
      </w:r>
      <w:r w:rsidRPr="00547D5F">
        <w:rPr>
          <w:bCs/>
          <w:lang w:val="en-GB"/>
        </w:rPr>
        <w:t>0.001</w:t>
      </w:r>
      <w:r w:rsidRPr="00547D5F">
        <w:rPr>
          <w:lang w:val="en-GB"/>
        </w:rPr>
        <w:t>.</w:t>
      </w:r>
    </w:p>
    <w:p w:rsidR="00A77C18" w:rsidRPr="00547D5F" w:rsidRDefault="00A77C18" w:rsidP="00A77C18">
      <w:pPr>
        <w:spacing w:line="480" w:lineRule="auto"/>
        <w:rPr>
          <w:lang w:val="en-GB"/>
        </w:rPr>
      </w:pPr>
      <w:r w:rsidRPr="00547D5F">
        <w:rPr>
          <w:lang w:val="en-GB"/>
        </w:rPr>
        <w:t>IBDQ remission was defined as IBDQ score ≥170 points. IBDQ response was defined as an increase of ≥16 points from baseline. Missing data were reported with NRI. ITT population.</w:t>
      </w:r>
    </w:p>
    <w:p w:rsidR="00A77C18" w:rsidRPr="00547D5F" w:rsidRDefault="00A77C18" w:rsidP="00A77C18">
      <w:pPr>
        <w:spacing w:line="480" w:lineRule="auto"/>
        <w:rPr>
          <w:lang w:val="en-GB"/>
        </w:rPr>
      </w:pPr>
      <w:r w:rsidRPr="00547D5F">
        <w:rPr>
          <w:lang w:val="en-GB"/>
        </w:rPr>
        <w:t>IBDQ, Inflammatory Bowel Disease Questionnaire; ITT, intent-to-treat; NRI, non-responder imputation</w:t>
      </w:r>
      <w:bookmarkStart w:id="1" w:name="_Hlk13563693"/>
      <w:r w:rsidRPr="00547D5F">
        <w:rPr>
          <w:lang w:val="en-GB"/>
        </w:rPr>
        <w:t>.</w:t>
      </w:r>
    </w:p>
    <w:bookmarkEnd w:id="1"/>
    <w:p w:rsidR="00A77C18" w:rsidRPr="00547D5F" w:rsidRDefault="00A77C18" w:rsidP="00A77C18">
      <w:pPr>
        <w:spacing w:line="480" w:lineRule="auto"/>
        <w:rPr>
          <w:b/>
          <w:lang w:val="en-GB"/>
        </w:rPr>
      </w:pPr>
    </w:p>
    <w:p w:rsidR="00A77C18" w:rsidRPr="00547D5F" w:rsidRDefault="00A77C18" w:rsidP="00A77C18">
      <w:pPr>
        <w:spacing w:line="480" w:lineRule="auto"/>
        <w:rPr>
          <w:b/>
          <w:lang w:val="en-GB"/>
        </w:rPr>
      </w:pPr>
    </w:p>
    <w:p w:rsidR="00A77C18" w:rsidRPr="00547D5F" w:rsidRDefault="00A77C18" w:rsidP="00A77C18">
      <w:pPr>
        <w:spacing w:line="480" w:lineRule="auto"/>
        <w:rPr>
          <w:b/>
          <w:lang w:val="en-GB"/>
        </w:rPr>
      </w:pPr>
    </w:p>
    <w:p w:rsidR="00A77C18" w:rsidRPr="00547D5F" w:rsidRDefault="00A77C18" w:rsidP="00A77C18">
      <w:pPr>
        <w:spacing w:line="480" w:lineRule="auto"/>
        <w:rPr>
          <w:lang w:val="en-GB"/>
        </w:rPr>
      </w:pPr>
    </w:p>
    <w:p w:rsidR="00A77C18" w:rsidRPr="00547D5F" w:rsidRDefault="00A77C18" w:rsidP="00A77C18">
      <w:pPr>
        <w:spacing w:line="480" w:lineRule="auto"/>
        <w:rPr>
          <w:bCs/>
          <w:lang w:val="en-GB"/>
        </w:rPr>
      </w:pPr>
    </w:p>
    <w:p w:rsidR="00A77C18" w:rsidRPr="00547D5F" w:rsidRDefault="00A77C18" w:rsidP="00A77C18"/>
    <w:p w:rsidR="00A77C18" w:rsidRPr="00547D5F" w:rsidRDefault="00A77C18" w:rsidP="00A77C18"/>
    <w:p w:rsidR="00E62169" w:rsidRDefault="00E62169"/>
    <w:sectPr w:rsidR="00E62169" w:rsidSect="00547D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3FCF"/>
    <w:rsid w:val="00143FCF"/>
    <w:rsid w:val="00A77C18"/>
    <w:rsid w:val="00BB7C30"/>
    <w:rsid w:val="00E62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7C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MArticleTitle">
    <w:name w:val="†FM_Article_Title"/>
    <w:basedOn w:val="Normal"/>
    <w:qFormat/>
    <w:rsid w:val="00BB7C30"/>
    <w:pPr>
      <w:spacing w:line="480" w:lineRule="auto"/>
      <w:jc w:val="both"/>
    </w:pPr>
    <w:rPr>
      <w:rFonts w:asciiTheme="minorBidi" w:hAnsiTheme="minorBidi"/>
      <w:b/>
      <w:bCs/>
      <w:sz w:val="24"/>
      <w:szCs w:val="24"/>
    </w:rPr>
  </w:style>
  <w:style w:type="paragraph" w:styleId="Caption">
    <w:name w:val="caption"/>
    <w:basedOn w:val="Normal"/>
    <w:next w:val="Normal"/>
    <w:autoRedefine/>
    <w:uiPriority w:val="35"/>
    <w:unhideWhenUsed/>
    <w:qFormat/>
    <w:rsid w:val="00BB7C30"/>
    <w:pPr>
      <w:spacing w:line="240" w:lineRule="auto"/>
    </w:pPr>
    <w:rPr>
      <w:rFonts w:ascii="Arial" w:eastAsia="Arial" w:hAnsi="Arial" w:cs="Calibri"/>
      <w:iCs/>
      <w:color w:val="000000" w:themeColor="text1"/>
      <w:sz w:val="18"/>
      <w:szCs w:val="18"/>
      <w:lang w:val="en-GB" w:bidi="he-IL"/>
    </w:rPr>
  </w:style>
  <w:style w:type="paragraph" w:styleId="ListParagraph">
    <w:name w:val="List Paragraph"/>
    <w:basedOn w:val="Normal"/>
    <w:uiPriority w:val="34"/>
    <w:qFormat/>
    <w:rsid w:val="00BB7C30"/>
    <w:pPr>
      <w:bidi/>
      <w:spacing w:after="160" w:line="259" w:lineRule="auto"/>
      <w:ind w:left="720"/>
      <w:contextualSpacing/>
    </w:pPr>
    <w:rPr>
      <w:lang w:val="en-US" w:bidi="he-I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7C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7C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7C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MArticleTitle">
    <w:name w:val="†FM_Article_Title"/>
    <w:basedOn w:val="Normal"/>
    <w:qFormat/>
    <w:rsid w:val="00BB7C30"/>
    <w:pPr>
      <w:spacing w:line="480" w:lineRule="auto"/>
      <w:jc w:val="both"/>
    </w:pPr>
    <w:rPr>
      <w:rFonts w:asciiTheme="minorBidi" w:hAnsiTheme="minorBidi"/>
      <w:b/>
      <w:bCs/>
      <w:sz w:val="24"/>
      <w:szCs w:val="24"/>
    </w:rPr>
  </w:style>
  <w:style w:type="paragraph" w:styleId="Caption">
    <w:name w:val="caption"/>
    <w:basedOn w:val="Normal"/>
    <w:next w:val="Normal"/>
    <w:autoRedefine/>
    <w:uiPriority w:val="35"/>
    <w:unhideWhenUsed/>
    <w:qFormat/>
    <w:rsid w:val="00BB7C30"/>
    <w:pPr>
      <w:spacing w:line="240" w:lineRule="auto"/>
    </w:pPr>
    <w:rPr>
      <w:rFonts w:ascii="Arial" w:eastAsia="Arial" w:hAnsi="Arial" w:cs="Calibri"/>
      <w:iCs/>
      <w:color w:val="000000" w:themeColor="text1"/>
      <w:sz w:val="18"/>
      <w:szCs w:val="18"/>
      <w:lang w:val="en-GB" w:bidi="he-IL"/>
    </w:rPr>
  </w:style>
  <w:style w:type="paragraph" w:styleId="ListParagraph">
    <w:name w:val="List Paragraph"/>
    <w:basedOn w:val="Normal"/>
    <w:uiPriority w:val="34"/>
    <w:qFormat/>
    <w:rsid w:val="00BB7C30"/>
    <w:pPr>
      <w:bidi/>
      <w:spacing w:after="160" w:line="259" w:lineRule="auto"/>
      <w:ind w:left="720"/>
      <w:contextualSpacing/>
    </w:pPr>
    <w:rPr>
      <w:lang w:val="en-US" w:bidi="he-I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7C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7C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211</Words>
  <Characters>1208</Characters>
  <Application>Microsoft Office Word</Application>
  <DocSecurity>0</DocSecurity>
  <Lines>10</Lines>
  <Paragraphs>2</Paragraphs>
  <ScaleCrop>false</ScaleCrop>
  <Company/>
  <LinksUpToDate>false</LinksUpToDate>
  <CharactersWithSpaces>1417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Harikrishnan k</dc:creator>
  <cp:keywords/>
  <dc:description/>
  <cp:lastModifiedBy>Harikrishnan k</cp:lastModifiedBy>
  <cp:revision>2</cp:revision>
  <dcterms:created xsi:type="dcterms:W3CDTF">2021-06-08T11:57:00Z</dcterms:created>
  <dcterms:modified xsi:type="dcterms:W3CDTF">2021-06-08T11:57:00Z</dcterms:modified>
</cp:coreProperties>
</file>