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1DCD5" w14:textId="77777777" w:rsidR="003247A3" w:rsidRPr="00F30F6D" w:rsidRDefault="003247A3" w:rsidP="00F30F6D">
      <w:pPr>
        <w:pStyle w:val="Heading1"/>
      </w:pPr>
      <w:bookmarkStart w:id="0" w:name="_Hlk159943487"/>
      <w:bookmarkStart w:id="1" w:name="_Hlk159943463"/>
      <w:r w:rsidRPr="00F30F6D">
        <w:t>The Oxygen Reduction Reaction</w:t>
      </w:r>
    </w:p>
    <w:p w14:paraId="7D71C645" w14:textId="5BCA47D6" w:rsidR="003247A3" w:rsidRDefault="003247A3" w:rsidP="00EF6319">
      <w:pPr>
        <w:jc w:val="both"/>
      </w:pPr>
      <w:r>
        <w:t xml:space="preserve">To understand the sensing approach taken in this work, it is first necessary to explain the Oxygen Reduction Reaction (ORR). </w:t>
      </w:r>
      <w:r w:rsidR="00D075F0">
        <w:t>Eq.</w:t>
      </w:r>
      <w:r>
        <w:t xml:space="preserve">1 </w:t>
      </w:r>
      <w:r w:rsidR="00D075F0">
        <w:t xml:space="preserve">in the main text </w:t>
      </w:r>
      <w:r>
        <w:t xml:space="preserve">shows the summarised one-step pathway for reduction of oxygen. This is just one pathway for the ORR however, which has been studied extensively with respect to fuel cell technology. The </w:t>
      </w:r>
      <w:r w:rsidR="00F30F6D">
        <w:t>p</w:t>
      </w:r>
      <w:r>
        <w:t xml:space="preserve">roton </w:t>
      </w:r>
      <w:r w:rsidR="00F30F6D">
        <w:t>e</w:t>
      </w:r>
      <w:r>
        <w:t xml:space="preserve">xchange </w:t>
      </w:r>
      <w:r w:rsidR="00F30F6D">
        <w:t>m</w:t>
      </w:r>
      <w:r>
        <w:t>embrane fuel cell uses hydrogen as a fuel but is limited by the large overpotential associated with oxygen reduction.</w:t>
      </w:r>
      <w:r w:rsidR="00712CB5">
        <w:fldChar w:fldCharType="begin" w:fldLock="1"/>
      </w:r>
      <w:r w:rsidR="00712CB5">
        <w:instrText>ADDIN CSL_CITATION {"citationItems":[{"id":"ITEM-1","itemData":{"DOI":"10.1002/anie.201205902","ISSN":"1433-7851","author":[{"dropping-particle":"","family":"Quaino","given":"P","non-dropping-particle":"","parse-names":false,"suffix":""},{"dropping-particle":"","family":"Luque","given":"N B","non-dropping-particle":"","parse-names":false,"suffix":""},{"dropping-particle":"","family":"Nazmutdinov","given":"R","non-dropping-particle":"","parse-names":false,"suffix":""},{"dropping-particle":"","family":"Santos","given":"E","non-dropping-particle":"","parse-names":false,"suffix":""},{"dropping-particle":"","family":"Schmickler","given":"Wolfgang","non-dropping-particle":"","parse-names":false,"suffix":""}],"container-title":"Angewandte Chemie International Edition","id":"ITEM-1","issue":"52","issued":{"date-parts":[["2012"]]},"page":"12997-13000","publisher":"Wiley","title":"Why is Gold such a Good Catalyst for Oxygen Reduction in Alkaline Media?","type":"article-journal","volume":"51"},"uris":["http://www.mendeley.com/documents/?uuid=c6e4d9e1-fa39-4e63-800d-1b2fff4c75b2"]}],"mendeley":{"formattedCitation":"[1]","plainTextFormattedCitation":"[1]","previouslyFormattedCitation":"[1]"},"properties":{"noteIndex":0},"schema":"https://github.com/citation-style-language/schema/raw/master/csl-citation.json"}</w:instrText>
      </w:r>
      <w:r w:rsidR="00712CB5">
        <w:fldChar w:fldCharType="separate"/>
      </w:r>
      <w:r w:rsidR="00712CB5" w:rsidRPr="00712CB5">
        <w:rPr>
          <w:noProof/>
        </w:rPr>
        <w:t>[1]</w:t>
      </w:r>
      <w:r w:rsidR="00712CB5">
        <w:fldChar w:fldCharType="end"/>
      </w:r>
      <w:r>
        <w:t xml:space="preserve"> The one step pathway involves four electrons per molecule of oxygen, resulting in a high current flow. The alternative to this is the two-step pathway, wherein hydrogen peroxide is produced as an intermediate and is subsequently reduced to water. This pathway is shown by </w:t>
      </w:r>
      <w:r w:rsidR="00D075F0">
        <w:t>SEq. 1</w:t>
      </w:r>
      <w:r w:rsidR="00F30F6D">
        <w:t xml:space="preserve"> </w:t>
      </w:r>
      <w:r>
        <w:t xml:space="preserve">and </w:t>
      </w:r>
      <w:r w:rsidR="00D075F0">
        <w:t>SEq.2</w:t>
      </w:r>
      <w:r w:rsidR="00712CB5">
        <w:t xml:space="preserve">: </w:t>
      </w:r>
      <w:r w:rsidR="00712CB5">
        <w:fldChar w:fldCharType="begin" w:fldLock="1"/>
      </w:r>
      <w:r w:rsidR="00712CB5">
        <w:instrText>ADDIN CSL_CITATION {"citationItems":[{"id":"ITEM-1","itemData":{"DOI":"https://doi.org/10.1016/j.elecom.2016.10.012","ISSN":"1388-2481","abstract":"The kinetics of the oxidation and reduction of hydrogen peroxide (HPOOR, HPORR) at a Pt electrode in 0.1M HClO4+2mM H2O2 are investigated by Differential Electrochemical Mass Spectrometry (DEMS) in a flow cell. The O2 mass signal was recorded during cyclic voltammetry, and its potential dependence follows the shape of the cyclic voltammogram. Partial currents for HPOOR and HPORR are estimated based on the O2 mass signal and the total Faradaic current. The onset overpotential for HPORR at the Pt electrode is above 0.6V. It is limited by the thermodynamics of OHad desorption, as is also the case with ORR. The onset overpotential for HPOOR is below 0.1V, due to the faster consumption of H2O2 through HPORR at these potentials and the small bulk H2O2 concentration used.","author":[{"dropping-particle":"","family":"Zheng","given":"Yongli","non-dropping-particle":"","parse-names":false,"suffix":""},{"dropping-particle":"","family":"Chen","given":"Wei","non-dropping-particle":"","parse-names":false,"suffix":""},{"dropping-particle":"","family":"Zuo","given":"Xia-Qing","non-dropping-particle":"","parse-names":false,"suffix":""},{"dropping-particle":"","family":"Cai","given":"Jun","non-dropping-particle":"","parse-names":false,"suffix":""},{"dropping-particle":"","family":"Chen","given":"Yan-Xia","non-dropping-particle":"","parse-names":false,"suffix":""}],"container-title":"Electrochemistry Communications","id":"ITEM-1","issued":{"date-parts":[["2016"]]},"page":"38-41","title":"The kinetics of the oxidation and reduction of H2O2 at a Pt electrode: A differential electrochemical mass spectrometric study","type":"article-journal","volume":"73"},"uris":["http://www.mendeley.com/documents/?uuid=cd1ea8d3-04a3-4940-91a6-5e34b488e0b1"]},{"id":"ITEM-2","itemData":{"DOI":"https://doi.org/10.1016/j.elecom.2013.12.005","ISSN":"1388-2481","abstract":"The redox reaction of hydrogen peroxide (O2+2H++2e</w:instrText>
      </w:r>
      <w:r w:rsidR="00712CB5">
        <w:rPr>
          <w:rFonts w:ascii="Cambria Math" w:hAnsi="Cambria Math" w:cs="Cambria Math"/>
        </w:rPr>
        <w:instrText>⇄</w:instrText>
      </w:r>
      <w:r w:rsidR="00712CB5">
        <w:instrText>H2O2) at an Au(100) electrode/0.1M HClO4 interface and the kinetic H</w:instrText>
      </w:r>
      <w:r w:rsidR="00712CB5">
        <w:rPr>
          <w:rFonts w:ascii="Calibri" w:hAnsi="Calibri" w:cs="Calibri"/>
        </w:rPr>
        <w:instrText>–</w:instrText>
      </w:r>
      <w:r w:rsidR="00712CB5">
        <w:instrText>D isotope effect for O2 reduction have been investigated. It was found that i) the kinetics for electrochemical oxidation of H2O2 to O2 are very fast, occurring at a potential very close to its equilibrium potential (EO2/H2O2eq); ii) the kinetics for O2 reduction to H2O2 are much slower than those for H2O2 oxidation, with a H</w:instrText>
      </w:r>
      <w:r w:rsidR="00712CB5">
        <w:rPr>
          <w:rFonts w:ascii="Calibri" w:hAnsi="Calibri" w:cs="Calibri"/>
        </w:rPr>
        <w:instrText>–</w:instrText>
      </w:r>
      <w:r w:rsidR="00712CB5">
        <w:instrText>D kinetic isotope effect of above two; and iii) the onset overpotential of H2O2+2H++2e</w:instrText>
      </w:r>
      <w:r w:rsidR="00712CB5">
        <w:rPr>
          <w:rFonts w:ascii="Calibri" w:hAnsi="Calibri" w:cs="Calibri"/>
        </w:rPr>
        <w:instrText>→</w:instrText>
      </w:r>
      <w:r w:rsidR="00712CB5">
        <w:instrText>2H2O is ca. 1.4V. Mechanistic insight and the origin for the high overpotential at the onset for O2 reduction at Au(100) are discussed.","author":[{"dropping-particle":"","family":"Zheng","given":"Yong Li","non-dropping-particle":"","parse-names":false,"suffix":""},{"dropping-particle":"","family":"Mei","given":"Dong","non-dropping-particle":"","parse-names":false,"suffix":""},{"dropping-particle":"","family":"Chen","given":"Yan-Xia","non-dropping-particle":"","parse-names":false,"suffix":""},{"dropping-particle":"","family":"Ye","given":"Shen","non-dropping-particle":"","parse-names":false,"suffix":""}],"container-title":"Electrochemistry Communications","id":"ITEM-2","issued":{"date-parts":[["2014"]]},"page":"19-21","title":"The redox reaction of hydrogen peroxide at an Au(100) electrode: Implications for oxygen reduction kinetics","type":"article-journal","volume":"39"},"uris":["http://www.mendeley.com/documents/?uuid=89a60628-cc16-45a2-b3e9-3d1c2799c5b5"]}],"mendeley":{"formattedCitation":"[2], [3]","plainTextFormattedCitation":"[2], [3]","previouslyFormattedCitation":"[2], [3]"},"properties":{"noteIndex":0},"schema":"https://github.com/citation-style-language/schema/raw/master/csl-citation.json"}</w:instrText>
      </w:r>
      <w:r w:rsidR="00712CB5">
        <w:fldChar w:fldCharType="separate"/>
      </w:r>
      <w:r w:rsidR="00712CB5" w:rsidRPr="00712CB5">
        <w:rPr>
          <w:noProof/>
        </w:rPr>
        <w:t>[2], [3]</w:t>
      </w:r>
      <w:r w:rsidR="00712CB5">
        <w:fldChar w:fldCharType="end"/>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138"/>
      </w:tblGrid>
      <w:tr w:rsidR="00D0560D" w:rsidRPr="00815834" w14:paraId="6BC85A8A" w14:textId="77777777" w:rsidTr="00EF6319">
        <w:trPr>
          <w:trHeight w:val="281"/>
          <w:jc w:val="right"/>
        </w:trPr>
        <w:tc>
          <w:tcPr>
            <w:tcW w:w="3402" w:type="dxa"/>
          </w:tcPr>
          <w:p w14:paraId="10D03EAE" w14:textId="77777777" w:rsidR="00D0560D" w:rsidRPr="00815834" w:rsidRDefault="00000000" w:rsidP="00EF6319">
            <w:pPr>
              <w:spacing w:line="480" w:lineRule="auto"/>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m:t>
                </m:r>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2e</m:t>
                    </m:r>
                  </m:e>
                  <m:sup>
                    <m:r>
                      <w:rPr>
                        <w:rFonts w:ascii="Cambria Math" w:hAnsi="Cambria Math"/>
                      </w:rPr>
                      <m:t>-</m:t>
                    </m:r>
                  </m:sup>
                </m:sSup>
                <m:r>
                  <w:rPr>
                    <w:rFonts w:ascii="Cambria Math" w:hAnsi="Cambria Math"/>
                  </w:rPr>
                  <m:t xml:space="preserve"> ⇌ </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oMath>
            </m:oMathPara>
          </w:p>
        </w:tc>
        <w:tc>
          <w:tcPr>
            <w:tcW w:w="3138" w:type="dxa"/>
          </w:tcPr>
          <w:p w14:paraId="20014532" w14:textId="77777777" w:rsidR="00D0560D" w:rsidRPr="00815834" w:rsidRDefault="00CD0964" w:rsidP="00F30F6D">
            <w:pPr>
              <w:pStyle w:val="Caption"/>
            </w:pPr>
            <w:r>
              <w:t>SEq. 1</w:t>
            </w:r>
          </w:p>
        </w:tc>
      </w:tr>
      <w:tr w:rsidR="00D0560D" w:rsidRPr="00815834" w14:paraId="1E6D795C" w14:textId="77777777" w:rsidTr="00EF6319">
        <w:trPr>
          <w:trHeight w:val="281"/>
          <w:jc w:val="right"/>
        </w:trPr>
        <w:tc>
          <w:tcPr>
            <w:tcW w:w="3402" w:type="dxa"/>
          </w:tcPr>
          <w:p w14:paraId="00465600" w14:textId="77777777" w:rsidR="00D0560D" w:rsidRPr="00815834" w:rsidRDefault="00000000" w:rsidP="00EF6319">
            <w:pPr>
              <w:spacing w:line="480" w:lineRule="auto"/>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m:t>
                </m:r>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2e</m:t>
                    </m:r>
                  </m:e>
                  <m:sup>
                    <m:r>
                      <w:rPr>
                        <w:rFonts w:ascii="Cambria Math" w:hAnsi="Cambria Math"/>
                      </w:rPr>
                      <m:t>-</m:t>
                    </m:r>
                  </m:sup>
                </m:sSup>
                <m:r>
                  <w:rPr>
                    <w:rFonts w:ascii="Cambria Math" w:eastAsiaTheme="minorEastAsia" w:hAnsi="Cambria Math"/>
                  </w:rPr>
                  <m:t xml:space="preserve"> ⇌ </m:t>
                </m:r>
                <m:sSub>
                  <m:sSubPr>
                    <m:ctrlPr>
                      <w:rPr>
                        <w:rFonts w:ascii="Cambria Math" w:eastAsiaTheme="minorEastAsia" w:hAnsi="Cambria Math"/>
                        <w:i/>
                      </w:rPr>
                    </m:ctrlPr>
                  </m:sSubPr>
                  <m:e>
                    <m:r>
                      <w:rPr>
                        <w:rFonts w:ascii="Cambria Math" w:eastAsiaTheme="minorEastAsia" w:hAnsi="Cambria Math"/>
                      </w:rPr>
                      <m:t>2H</m:t>
                    </m:r>
                  </m:e>
                  <m:sub>
                    <m:r>
                      <w:rPr>
                        <w:rFonts w:ascii="Cambria Math" w:eastAsiaTheme="minorEastAsia" w:hAnsi="Cambria Math"/>
                      </w:rPr>
                      <m:t>2</m:t>
                    </m:r>
                  </m:sub>
                </m:sSub>
                <m:r>
                  <w:rPr>
                    <w:rFonts w:ascii="Cambria Math" w:eastAsiaTheme="minorEastAsia" w:hAnsi="Cambria Math"/>
                  </w:rPr>
                  <m:t>O</m:t>
                </m:r>
              </m:oMath>
            </m:oMathPara>
          </w:p>
        </w:tc>
        <w:tc>
          <w:tcPr>
            <w:tcW w:w="3138" w:type="dxa"/>
          </w:tcPr>
          <w:p w14:paraId="255DE6D6" w14:textId="77777777" w:rsidR="00D0560D" w:rsidRPr="00815834" w:rsidRDefault="00CD0964" w:rsidP="00F30F6D">
            <w:pPr>
              <w:pStyle w:val="Caption"/>
            </w:pPr>
            <w:r>
              <w:t>SEq. 2</w:t>
            </w:r>
          </w:p>
        </w:tc>
      </w:tr>
    </w:tbl>
    <w:p w14:paraId="68D58993" w14:textId="085A097D" w:rsidR="00D075F0" w:rsidRDefault="003247A3" w:rsidP="00D075F0">
      <w:pPr>
        <w:jc w:val="both"/>
      </w:pPr>
      <w:r>
        <w:t xml:space="preserve">In this work, the production of hydrogen peroxide is vital to the sensor performance, </w:t>
      </w:r>
      <w:r w:rsidR="00F30F6D">
        <w:t>for which</w:t>
      </w:r>
      <w:r>
        <w:t xml:space="preserve"> materials and conditions that promote the two-step pathway are required. </w:t>
      </w:r>
      <w:r w:rsidR="00D075F0">
        <w:t xml:space="preserve">Two common materials employed for probing the ORR are gold and platinum. The consensus in the literature is that gold electrodes facilitate the two-step pathway, while platinum electrodes facilitate the one-step pathway. </w:t>
      </w:r>
      <w:proofErr w:type="spellStart"/>
      <w:r w:rsidR="00D075F0">
        <w:t>Sarapuu</w:t>
      </w:r>
      <w:proofErr w:type="spellEnd"/>
      <w:r w:rsidR="00D075F0">
        <w:t xml:space="preserve"> et al have shown that the reaction pathway for gold, for both bulk and ultra-thin film electrodes favour</w:t>
      </w:r>
      <w:r w:rsidR="00F30F6D">
        <w:t>s</w:t>
      </w:r>
      <w:r w:rsidR="00D075F0">
        <w:t xml:space="preserve"> the two step pathway.</w:t>
      </w:r>
      <w:r w:rsidR="00712CB5">
        <w:fldChar w:fldCharType="begin" w:fldLock="1"/>
      </w:r>
      <w:r w:rsidR="00712CB5">
        <w:instrText>ADDIN CSL_CITATION {"citationItems":[{"id":"ITEM-1","itemData":{"DOI":"10.1016/s1388-2481(01)00198-9","ISSN":"1388-2481","author":[{"dropping-particle":"","family":"Sarapuu","given":"Ave","non-dropping-particle":"","parse-names":false,"suffix":""},{"dropping-particle":"","family":"Tammeveski","given":"Kaido","non-dropping-particle":"","parse-names":false,"suffix":""},{"dropping-particle":"","family":"Tenno","given":"Toomas T","non-dropping-particle":"","parse-names":false,"suffix":""},{"dropping-particle":"","family":"Sammelselg","given":"Väino","non-dropping-particle":"","parse-names":false,"suffix":""},{"dropping-particle":"","family":"Kontturi","given":"Kyösti","non-dropping-particle":"","parse-names":false,"suffix":""},{"dropping-particle":"","family":"Schiffrin","given":"David J","non-dropping-particle":"","parse-names":false,"suffix":""}],"container-title":"Electrochemistry Communications","id":"ITEM-1","issue":"8","issued":{"date-parts":[["2001"]]},"page":"446-450","publisher":"Elsevier BV","title":"Electrochemical reduction of oxygen on thin-film Au electrodes in acid solution","type":"article-journal","volume":"3"},"uris":["http://www.mendeley.com/documents/?uuid=e06fe351-06e9-4af7-a109-94ee25982fd1"]}],"mendeley":{"formattedCitation":"[4]","plainTextFormattedCitation":"[4]","previouslyFormattedCitation":"[4]"},"properties":{"noteIndex":0},"schema":"https://github.com/citation-style-language/schema/raw/master/csl-citation.json"}</w:instrText>
      </w:r>
      <w:r w:rsidR="00712CB5">
        <w:fldChar w:fldCharType="separate"/>
      </w:r>
      <w:r w:rsidR="00712CB5" w:rsidRPr="00712CB5">
        <w:rPr>
          <w:noProof/>
        </w:rPr>
        <w:t>[4]</w:t>
      </w:r>
      <w:r w:rsidR="00712CB5">
        <w:fldChar w:fldCharType="end"/>
      </w:r>
      <w:r w:rsidR="00D075F0">
        <w:t xml:space="preserve"> Similarly Tammeveski et al have shown that bulk and ultra-thin film platinum electrodes favour the one-step pathway.</w:t>
      </w:r>
      <w:r w:rsidR="00712CB5">
        <w:fldChar w:fldCharType="begin" w:fldLock="1"/>
      </w:r>
      <w:r w:rsidR="00712CB5">
        <w:instrText>ADDIN CSL_CITATION {"citationItems":[{"id":"ITEM-1","itemData":{"DOI":"10.1016/s0013-4686(96)00325-8","ISSN":"0013-4686","author":[{"dropping-particle":"","family":"Tammeveski","given":"K","non-dropping-particle":"","parse-names":false,"suffix":""},{"dropping-particle":"","family":"Tenno","given":"T","non-dropping-particle":"","parse-names":false,"suffix":""},{"dropping-particle":"","family":"Claret","given":"J","non-dropping-particle":"","parse-names":false,"suffix":""},{"dropping-particle":"","family":"Ferrater","given":"C","non-dropping-particle":"","parse-names":false,"suffix":""}],"container-title":"Electrochimica Acta","id":"ITEM-1","issue":"5","issued":{"date-parts":[["1997"]]},"page":"893-897","publisher":"Elsevier BV","title":"Electrochemical reduction of oxygen on thin-film Pt electrodes in 0.1 M KOH","type":"article-journal","volume":"42"},"uris":["http://www.mendeley.com/documents/?uuid=b82d79e8-7736-4550-bd06-34f683b3ffaa"]}],"mendeley":{"formattedCitation":"[5]","plainTextFormattedCitation":"[5]","previouslyFormattedCitation":"[5]"},"properties":{"noteIndex":0},"schema":"https://github.com/citation-style-language/schema/raw/master/csl-citation.json"}</w:instrText>
      </w:r>
      <w:r w:rsidR="00712CB5">
        <w:fldChar w:fldCharType="separate"/>
      </w:r>
      <w:r w:rsidR="00712CB5" w:rsidRPr="00712CB5">
        <w:rPr>
          <w:noProof/>
        </w:rPr>
        <w:t>[5]</w:t>
      </w:r>
      <w:r w:rsidR="00712CB5">
        <w:fldChar w:fldCharType="end"/>
      </w:r>
      <w:r w:rsidR="00D075F0">
        <w:t xml:space="preserve"> To understand why this is the case, a more detailed explanation of the oxygen reduction reaction is required. The mechanism for the two step reaction is typically referred to as the </w:t>
      </w:r>
      <w:proofErr w:type="spellStart"/>
      <w:r w:rsidR="00D075F0">
        <w:t>peroxo</w:t>
      </w:r>
      <w:proofErr w:type="spellEnd"/>
      <w:r w:rsidR="00D075F0">
        <w:t xml:space="preserve"> mechanism, while the one step reaction is referred to as the metal oxide mechanism.</w:t>
      </w:r>
      <w:r w:rsidR="00712CB5">
        <w:fldChar w:fldCharType="begin" w:fldLock="1"/>
      </w:r>
      <w:r w:rsidR="00712CB5">
        <w:instrText>ADDIN CSL_CITATION {"citationItems":[{"id":"ITEM-1","itemData":{"DOI":"10.1021/ac901291v","ISSN":"0003-2700","author":[{"dropping-particle":"","family":"Sánchez-Sánchez","given":"Carlos M","non-dropping-particle":"","parse-names":false,"suffix":""},{"dropping-particle":"","family":"Bard","given":"Allen J","non-dropping-particle":"","parse-names":false,"suffix":""}],"container-title":"Analytical Chemistry","id":"ITEM-1","issue":"19","issued":{"date-parts":[["2009"]]},"page":"8094-8100","publisher":"American Chemical Society (ACS)","title":"Hydrogen Peroxide Production in the Oxygen Reduction Reaction at Different Electrocatalysts as Quantified by Scanning Electrochemical Microscopy","type":"article-journal","volume":"81"},"uris":["http://www.mendeley.com/documents/?uuid=4d74e8de-81ba-4b60-992e-1992b67fa835"]}],"mendeley":{"formattedCitation":"[6]","plainTextFormattedCitation":"[6]","previouslyFormattedCitation":"[6]"},"properties":{"noteIndex":0},"schema":"https://github.com/citation-style-language/schema/raw/master/csl-citation.json"}</w:instrText>
      </w:r>
      <w:r w:rsidR="00712CB5">
        <w:fldChar w:fldCharType="separate"/>
      </w:r>
      <w:r w:rsidR="00712CB5" w:rsidRPr="00712CB5">
        <w:rPr>
          <w:noProof/>
        </w:rPr>
        <w:t>[6]</w:t>
      </w:r>
      <w:r w:rsidR="00712CB5">
        <w:fldChar w:fldCharType="end"/>
      </w:r>
      <w:r w:rsidR="00D075F0">
        <w:t xml:space="preserve"> The </w:t>
      </w:r>
      <w:proofErr w:type="spellStart"/>
      <w:r w:rsidR="00D075F0">
        <w:t>peroxo</w:t>
      </w:r>
      <w:proofErr w:type="spellEnd"/>
      <w:r w:rsidR="00D075F0">
        <w:t xml:space="preserve"> mechanism is shown in SEq. 3 - 6.</w:t>
      </w:r>
      <w:r w:rsidR="00712CB5">
        <w:fldChar w:fldCharType="begin" w:fldLock="1"/>
      </w:r>
      <w:r w:rsidR="00712CB5">
        <w:instrText>ADDIN CSL_CITATION {"citationItems":[{"id":"ITEM-1","itemData":{"DOI":"10.1016/j.coelec.2018.07.011","ISSN":"2451-9103","author":[{"dropping-particle":"","family":"Ignaczak","given":"Anna","non-dropping-particle":"","parse-names":false,"suffix":""},{"dropping-particle":"","family":"Santos","given":"Elizabeth","non-dropping-particle":"","parse-names":false,"suffix":""},{"dropping-particle":"","family":"Schmickler","given":"Wolfgang","non-dropping-particle":"","parse-names":false,"suffix":""}],"container-title":"Current Opinion in Electrochemistry","id":"ITEM-1","issued":{"date-parts":[["2019"]]},"page":"180-185","publisher":"Elsevier BV","title":"Oxygen reduction reaction on gold in alkaline solutions – The inner or outer sphere mechanisms in the light of recent achievements","type":"article-journal","volume":"14"},"uris":["http://www.mendeley.com/documents/?uuid=86fd0594-28c2-41e4-afea-d474d6109770"]}],"mendeley":{"formattedCitation":"[7]","plainTextFormattedCitation":"[7]","previouslyFormattedCitation":"[7]"},"properties":{"noteIndex":0},"schema":"https://github.com/citation-style-language/schema/raw/master/csl-citation.json"}</w:instrText>
      </w:r>
      <w:r w:rsidR="00712CB5">
        <w:fldChar w:fldCharType="separate"/>
      </w:r>
      <w:r w:rsidR="00712CB5" w:rsidRPr="00712CB5">
        <w:rPr>
          <w:noProof/>
        </w:rPr>
        <w:t>[7]</w:t>
      </w:r>
      <w:r w:rsidR="00712CB5">
        <w:fldChar w:fldCharType="end"/>
      </w:r>
      <w:r w:rsidR="00D075F0">
        <w:t xml:space="preserve"> In this mechanism, the bond between the oxygen atoms is not broken until both atoms have been protonated, therefore hydrogen peroxide exists as an intermediate species. </w:t>
      </w:r>
    </w:p>
    <w:p w14:paraId="630BAD5C" w14:textId="77777777" w:rsidR="003247A3" w:rsidRDefault="003247A3" w:rsidP="00EF6319">
      <w:pPr>
        <w:jc w:val="both"/>
      </w:pPr>
    </w:p>
    <w:p w14:paraId="52067DE9" w14:textId="77777777" w:rsidR="00D0560D" w:rsidRDefault="00D0560D" w:rsidP="00EF6319">
      <w:pPr>
        <w:spacing w:line="480" w:lineRule="auto"/>
        <w:ind w:right="95"/>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0"/>
        <w:gridCol w:w="1848"/>
      </w:tblGrid>
      <w:tr w:rsidR="00D0560D" w14:paraId="37513884" w14:textId="77777777" w:rsidTr="00EF6319">
        <w:trPr>
          <w:trHeight w:val="281"/>
        </w:trPr>
        <w:tc>
          <w:tcPr>
            <w:tcW w:w="1413" w:type="dxa"/>
          </w:tcPr>
          <w:p w14:paraId="5E19252A" w14:textId="77777777" w:rsidR="00D0560D" w:rsidRDefault="00D0560D" w:rsidP="00B604CB">
            <w:pPr>
              <w:spacing w:line="480" w:lineRule="auto"/>
              <w:rPr>
                <w:rFonts w:eastAsia="Calibri" w:cs="Arial"/>
              </w:rPr>
            </w:pPr>
          </w:p>
        </w:tc>
        <w:tc>
          <w:tcPr>
            <w:tcW w:w="5670" w:type="dxa"/>
          </w:tcPr>
          <w:p w14:paraId="05B3AE14" w14:textId="77777777" w:rsidR="00D0560D"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Sup>
                  <m:sSubSupPr>
                    <m:ctrlPr>
                      <w:rPr>
                        <w:rFonts w:ascii="Cambria Math" w:hAnsi="Cambria Math"/>
                        <w:i/>
                      </w:rPr>
                    </m:ctrlPr>
                  </m:sSubSupPr>
                  <m:e>
                    <m:r>
                      <w:rPr>
                        <w:rFonts w:ascii="Cambria Math" w:hAnsi="Cambria Math"/>
                      </w:rPr>
                      <m:t>O</m:t>
                    </m:r>
                  </m:e>
                  <m:sub>
                    <m:r>
                      <w:rPr>
                        <w:rFonts w:ascii="Cambria Math" w:hAnsi="Cambria Math"/>
                      </w:rPr>
                      <m:t>2</m:t>
                    </m:r>
                  </m:sub>
                  <m:sup>
                    <m:r>
                      <w:rPr>
                        <w:rFonts w:ascii="Cambria Math" w:hAnsi="Cambria Math"/>
                      </w:rPr>
                      <m:t>-</m:t>
                    </m:r>
                  </m:sup>
                </m:sSubSup>
              </m:oMath>
            </m:oMathPara>
          </w:p>
        </w:tc>
        <w:tc>
          <w:tcPr>
            <w:tcW w:w="1848" w:type="dxa"/>
          </w:tcPr>
          <w:p w14:paraId="5929E55E" w14:textId="77777777" w:rsidR="00D0560D" w:rsidRPr="00815834" w:rsidRDefault="00CD0964" w:rsidP="00F30F6D">
            <w:pPr>
              <w:pStyle w:val="Caption"/>
            </w:pPr>
            <w:r>
              <w:t>SEq. 3</w:t>
            </w:r>
          </w:p>
        </w:tc>
      </w:tr>
      <w:tr w:rsidR="00D0560D" w14:paraId="653E3243" w14:textId="77777777" w:rsidTr="00EF6319">
        <w:trPr>
          <w:trHeight w:val="281"/>
        </w:trPr>
        <w:tc>
          <w:tcPr>
            <w:tcW w:w="1413" w:type="dxa"/>
          </w:tcPr>
          <w:p w14:paraId="41F1F2F9" w14:textId="77777777" w:rsidR="00D0560D" w:rsidRDefault="00D0560D" w:rsidP="00B604CB">
            <w:pPr>
              <w:spacing w:line="480" w:lineRule="auto"/>
              <w:rPr>
                <w:rFonts w:eastAsia="Calibri" w:cs="Arial"/>
              </w:rPr>
            </w:pPr>
          </w:p>
        </w:tc>
        <w:tc>
          <w:tcPr>
            <w:tcW w:w="5670" w:type="dxa"/>
          </w:tcPr>
          <w:p w14:paraId="7A031E2F" w14:textId="77777777" w:rsidR="00D0560D" w:rsidRPr="00815834" w:rsidRDefault="00000000" w:rsidP="00B604CB">
            <w:pPr>
              <w:spacing w:line="480" w:lineRule="auto"/>
              <w:rPr>
                <w:rFonts w:eastAsiaTheme="minorEastAsia"/>
              </w:rPr>
            </w:pPr>
            <m:oMathPara>
              <m:oMath>
                <m:sSubSup>
                  <m:sSubSupPr>
                    <m:ctrlPr>
                      <w:rPr>
                        <w:rFonts w:ascii="Cambria Math" w:hAnsi="Cambria Math"/>
                        <w:i/>
                      </w:rPr>
                    </m:ctrlPr>
                  </m:sSubSupPr>
                  <m:e>
                    <m:r>
                      <w:rPr>
                        <w:rFonts w:ascii="Cambria Math" w:hAnsi="Cambria Math"/>
                      </w:rPr>
                      <m:t>O</m:t>
                    </m:r>
                  </m:e>
                  <m:sub>
                    <m:r>
                      <w:rPr>
                        <w:rFonts w:ascii="Cambria Math" w:hAnsi="Cambria Math"/>
                      </w:rPr>
                      <m:t>2(ads)</m:t>
                    </m:r>
                  </m:sub>
                  <m:sup>
                    <m:r>
                      <w:rPr>
                        <w:rFonts w:ascii="Cambria Math" w:hAnsi="Cambria Math"/>
                      </w:rPr>
                      <m:t>-</m:t>
                    </m:r>
                  </m:sup>
                </m:sSubSup>
                <m:r>
                  <w:rPr>
                    <w:rFonts w:ascii="Cambria Math" w:hAnsi="Cambria Math"/>
                  </w:rPr>
                  <m:t xml:space="preserve">+ </m:t>
                </m:r>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2(ads)</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m:t>
                    </m:r>
                  </m:sub>
                </m:sSub>
              </m:oMath>
            </m:oMathPara>
          </w:p>
        </w:tc>
        <w:tc>
          <w:tcPr>
            <w:tcW w:w="1848" w:type="dxa"/>
          </w:tcPr>
          <w:p w14:paraId="64A9E835" w14:textId="77777777" w:rsidR="00D0560D" w:rsidRPr="00815834" w:rsidRDefault="00CD0964" w:rsidP="00F30F6D">
            <w:pPr>
              <w:pStyle w:val="Caption"/>
            </w:pPr>
            <w:r>
              <w:t>SEq. 4</w:t>
            </w:r>
          </w:p>
        </w:tc>
      </w:tr>
      <w:tr w:rsidR="00D0560D" w14:paraId="360E86CB" w14:textId="77777777" w:rsidTr="00EF6319">
        <w:trPr>
          <w:trHeight w:val="281"/>
        </w:trPr>
        <w:tc>
          <w:tcPr>
            <w:tcW w:w="1413" w:type="dxa"/>
          </w:tcPr>
          <w:p w14:paraId="1E1B1B98" w14:textId="77777777" w:rsidR="00D0560D" w:rsidRDefault="00D0560D" w:rsidP="00B604CB">
            <w:pPr>
              <w:spacing w:line="480" w:lineRule="auto"/>
              <w:rPr>
                <w:rFonts w:eastAsia="Calibri" w:cs="Arial"/>
              </w:rPr>
            </w:pPr>
          </w:p>
        </w:tc>
        <w:tc>
          <w:tcPr>
            <w:tcW w:w="5670" w:type="dxa"/>
          </w:tcPr>
          <w:p w14:paraId="10FE553D" w14:textId="77777777" w:rsidR="00D0560D"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O</m:t>
                    </m:r>
                  </m:e>
                  <m:sub>
                    <m:r>
                      <w:rPr>
                        <w:rFonts w:ascii="Cambria Math" w:hAnsi="Cambria Math"/>
                      </w:rPr>
                      <m:t>2(ads)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OH</m:t>
                    </m:r>
                  </m:e>
                  <m:sub>
                    <m:r>
                      <w:rPr>
                        <w:rFonts w:ascii="Cambria Math" w:eastAsiaTheme="minorEastAsia" w:hAnsi="Cambria Math"/>
                      </w:rPr>
                      <m:t>(ads)</m:t>
                    </m:r>
                  </m:sub>
                </m:sSub>
                <m:r>
                  <w:rPr>
                    <w:rFonts w:ascii="Cambria Math" w:eastAsiaTheme="minorEastAsia" w:hAnsi="Cambria Math"/>
                  </w:rPr>
                  <m:t xml:space="preserve"> </m:t>
                </m:r>
              </m:oMath>
            </m:oMathPara>
          </w:p>
        </w:tc>
        <w:tc>
          <w:tcPr>
            <w:tcW w:w="1848" w:type="dxa"/>
          </w:tcPr>
          <w:p w14:paraId="0818AF6C" w14:textId="77777777" w:rsidR="00D0560D" w:rsidRPr="00815834" w:rsidRDefault="00CD0964" w:rsidP="00F30F6D">
            <w:pPr>
              <w:pStyle w:val="Caption"/>
            </w:pPr>
            <w:r>
              <w:t>SEq. 5</w:t>
            </w:r>
          </w:p>
        </w:tc>
      </w:tr>
      <w:tr w:rsidR="00D0560D" w14:paraId="1C7E726B" w14:textId="77777777" w:rsidTr="00EF6319">
        <w:trPr>
          <w:trHeight w:val="281"/>
        </w:trPr>
        <w:tc>
          <w:tcPr>
            <w:tcW w:w="1413" w:type="dxa"/>
          </w:tcPr>
          <w:p w14:paraId="6655FB4D" w14:textId="77777777" w:rsidR="00D0560D" w:rsidRDefault="00D0560D" w:rsidP="00B604CB">
            <w:pPr>
              <w:spacing w:line="480" w:lineRule="auto"/>
              <w:rPr>
                <w:rFonts w:eastAsia="Calibri" w:cs="Arial"/>
              </w:rPr>
            </w:pPr>
          </w:p>
        </w:tc>
        <w:tc>
          <w:tcPr>
            <w:tcW w:w="5670" w:type="dxa"/>
          </w:tcPr>
          <w:p w14:paraId="0B96A5D9" w14:textId="77777777" w:rsidR="00D0560D" w:rsidRPr="00815834" w:rsidRDefault="00000000" w:rsidP="00B604CB">
            <w:pPr>
              <w:spacing w:line="48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OH</m:t>
                    </m:r>
                  </m:e>
                  <m:sub>
                    <m:r>
                      <w:rPr>
                        <w:rFonts w:ascii="Cambria Math" w:eastAsiaTheme="minorEastAsia" w:hAnsi="Cambria Math"/>
                      </w:rPr>
                      <m:t>(ads)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m:oMathPara>
          </w:p>
        </w:tc>
        <w:tc>
          <w:tcPr>
            <w:tcW w:w="1848" w:type="dxa"/>
          </w:tcPr>
          <w:p w14:paraId="2D652663" w14:textId="77777777" w:rsidR="00D0560D" w:rsidRPr="00815834" w:rsidRDefault="00CD0964" w:rsidP="00F30F6D">
            <w:pPr>
              <w:pStyle w:val="Caption"/>
            </w:pPr>
            <w:r>
              <w:t>SEq. 6</w:t>
            </w:r>
          </w:p>
        </w:tc>
      </w:tr>
    </w:tbl>
    <w:p w14:paraId="39F82D2A" w14:textId="77777777" w:rsidR="003247A3" w:rsidRDefault="003247A3" w:rsidP="003247A3"/>
    <w:p w14:paraId="00E98A3D" w14:textId="7B80E4E7" w:rsidR="003247A3" w:rsidRDefault="003247A3" w:rsidP="00EF6319">
      <w:pPr>
        <w:jc w:val="both"/>
      </w:pPr>
      <w:r>
        <w:t xml:space="preserve">The subscript (ads) means that the species is adsorbed on the electrode surface wherein the reaction takes place. The production of the superoxide anion, shown in </w:t>
      </w:r>
      <w:r w:rsidR="00D075F0">
        <w:t>SEq. 3</w:t>
      </w:r>
      <w:r>
        <w:t xml:space="preserve"> is the subject of some debate, as it may occur by either an inner-sphere or outer-sphere mechanism. An outer-sphere mechanism </w:t>
      </w:r>
      <w:r>
        <w:lastRenderedPageBreak/>
        <w:t xml:space="preserve">involves electron transfer from a species that may not directly interact with the electrode surface. By contrast, an inner-sphere mechanism requires adsorption of some component of the electroactive species. </w:t>
      </w:r>
      <w:r w:rsidR="00712CB5">
        <w:fldChar w:fldCharType="begin" w:fldLock="1"/>
      </w:r>
      <w:r w:rsidR="00712CB5">
        <w:instrText>ADDIN CSL_CITATION {"citationItems":[{"id":"ITEM-1","itemData":{"DOI":"10.1021/ed200604m","ISSN":"0021-9584","author":[{"dropping-particle":"","family":"Tanimoto","given":"Sachiko","non-dropping-particle":"","parse-names":false,"suffix":""},{"dropping-particle":"","family":"Ichimura","given":"Akio","non-dropping-particle":"","parse-names":false,"suffix":""}],"container-title":"Journal of Chemical Education","id":"ITEM-1","issue":"6","issued":{"date-parts":[["2013"]]},"page":"778-781","publisher":"American Chemical Society (ACS)","title":"Discrimination of Inner- and Outer-Sphere Electrode Reactions by Cyclic Voltammetry Experiments","type":"article-journal","volume":"90"},"uris":["http://www.mendeley.com/documents/?uuid=3fb46de8-19f8-4c1f-b128-89b32bc91e1b"]}],"mendeley":{"formattedCitation":"[8]","plainTextFormattedCitation":"[8]","previouslyFormattedCitation":"[8]"},"properties":{"noteIndex":0},"schema":"https://github.com/citation-style-language/schema/raw/master/csl-citation.json"}</w:instrText>
      </w:r>
      <w:r w:rsidR="00712CB5">
        <w:fldChar w:fldCharType="separate"/>
      </w:r>
      <w:r w:rsidR="00712CB5" w:rsidRPr="00712CB5">
        <w:rPr>
          <w:noProof/>
        </w:rPr>
        <w:t>[8]</w:t>
      </w:r>
      <w:r w:rsidR="00712CB5">
        <w:fldChar w:fldCharType="end"/>
      </w:r>
    </w:p>
    <w:p w14:paraId="1A6901CE" w14:textId="44CB9E04" w:rsidR="003247A3" w:rsidRDefault="003247A3" w:rsidP="00EF6319">
      <w:pPr>
        <w:jc w:val="both"/>
      </w:pPr>
      <w:r>
        <w:t xml:space="preserve">The metal oxide mechanism differs from the </w:t>
      </w:r>
      <w:proofErr w:type="spellStart"/>
      <w:r>
        <w:t>peroxo</w:t>
      </w:r>
      <w:proofErr w:type="spellEnd"/>
      <w:r>
        <w:t xml:space="preserve"> mechanism, in that the bond between the oxygen atoms is broken before both oxygen atoms have been protonated, therefore hydrogen peroxide typically is not produced as an intermediate species. This mechanism can be further subdivided into associative and dissociative oxygen reduction, depending on when the oxygen bond cleavage occurs. The associative mechanism is: </w:t>
      </w:r>
      <w:r w:rsidR="00712CB5">
        <w:fldChar w:fldCharType="begin" w:fldLock="1"/>
      </w:r>
      <w:r w:rsidR="00712CB5">
        <w:instrText>ADDIN CSL_CITATION {"citationItems":[{"id":"ITEM-1","itemData":{"DOI":"10.3390/catal8020065","ISSN":"2073-4344","author":[{"dropping-particle":"","family":"Tang","given":"Zhenghua","non-dropping-particle":"","parse-names":false,"suffix":""},{"dropping-particle":"","family":"Wu","given":"Wen","non-dropping-particle":"","parse-names":false,"suffix":""},{"dropping-particle":"","family":"Wang","given":"Kai","non-dropping-particle":"","parse-names":false,"suffix":""}],"container-title":"Catalysts","id":"ITEM-1","issue":"2","issued":{"date-parts":[["2018"]]},"page":"65","publisher":"MDPI AG","title":"Oxygen Reduction Reaction Catalyzed by Noble Metal Clusters","type":"article-journal","volume":"8"},"uris":["http://www.mendeley.com/documents/?uuid=b325ffbe-5b69-44b1-a66b-e580f274ea8b"]},{"id":"ITEM-2","itemData":{"DOI":"10.1016/j.electacta.2018.03.191","ISSN":"0013-4686","author":[{"dropping-particle":"","family":"Jayasankar","given":"Barathram","non-dropping-particle":"","parse-names":false,"suffix":""},{"dropping-particle":"","family":"Karan","given":"Kunal","non-dropping-particle":"","parse-names":false,"suffix":""}],"container-title":"Electrochimica Acta","id":"ITEM-2","issued":{"date-parts":[["2018"]]},"page":"367-378","publisher":"Elsevier BV","title":"O2 electrochemistry on Pt: A unified multi-step model for oxygen reduction and oxide growth","type":"article-journal","volume":"273"},"uris":["http://www.mendeley.com/documents/?uuid=13296391-8201-4f0a-9cc3-2608e6b04894"]}],"mendeley":{"formattedCitation":"[9], [10]","plainTextFormattedCitation":"[9], [10]","previouslyFormattedCitation":"[9], [10]"},"properties":{"noteIndex":0},"schema":"https://github.com/citation-style-language/schema/raw/master/csl-citation.json"}</w:instrText>
      </w:r>
      <w:r w:rsidR="00712CB5">
        <w:fldChar w:fldCharType="separate"/>
      </w:r>
      <w:r w:rsidR="00712CB5" w:rsidRPr="00712CB5">
        <w:rPr>
          <w:noProof/>
        </w:rPr>
        <w:t>[9], [10]</w:t>
      </w:r>
      <w:r w:rsidR="00712CB5">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533"/>
        <w:gridCol w:w="1548"/>
      </w:tblGrid>
      <w:tr w:rsidR="008B149F" w14:paraId="2C0B7347" w14:textId="77777777" w:rsidTr="00B604CB">
        <w:trPr>
          <w:trHeight w:val="281"/>
        </w:trPr>
        <w:tc>
          <w:tcPr>
            <w:tcW w:w="1413" w:type="dxa"/>
          </w:tcPr>
          <w:p w14:paraId="497705CB" w14:textId="77777777" w:rsidR="008B149F" w:rsidRDefault="008B149F" w:rsidP="00B604CB">
            <w:pPr>
              <w:spacing w:line="480" w:lineRule="auto"/>
              <w:rPr>
                <w:rFonts w:eastAsia="Calibri" w:cs="Arial"/>
              </w:rPr>
            </w:pPr>
          </w:p>
        </w:tc>
        <w:tc>
          <w:tcPr>
            <w:tcW w:w="5533" w:type="dxa"/>
          </w:tcPr>
          <w:p w14:paraId="7626066F"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2(ads)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HO</m:t>
                    </m:r>
                  </m:e>
                  <m:sub>
                    <m:r>
                      <w:rPr>
                        <w:rFonts w:ascii="Cambria Math" w:hAnsi="Cambria Math"/>
                      </w:rPr>
                      <m:t>2(ads)</m:t>
                    </m:r>
                  </m:sub>
                </m:sSub>
              </m:oMath>
            </m:oMathPara>
          </w:p>
        </w:tc>
        <w:tc>
          <w:tcPr>
            <w:tcW w:w="1548" w:type="dxa"/>
          </w:tcPr>
          <w:p w14:paraId="2BD1D5FF" w14:textId="77777777" w:rsidR="008B149F" w:rsidRPr="00815834" w:rsidRDefault="00CD0964" w:rsidP="00F30F6D">
            <w:pPr>
              <w:pStyle w:val="Caption"/>
            </w:pPr>
            <w:r>
              <w:t>SEq. 7</w:t>
            </w:r>
          </w:p>
        </w:tc>
      </w:tr>
      <w:tr w:rsidR="008B149F" w14:paraId="2BA83A28" w14:textId="77777777" w:rsidTr="00B604CB">
        <w:trPr>
          <w:trHeight w:val="281"/>
        </w:trPr>
        <w:tc>
          <w:tcPr>
            <w:tcW w:w="1413" w:type="dxa"/>
          </w:tcPr>
          <w:p w14:paraId="4E5223E3" w14:textId="77777777" w:rsidR="008B149F" w:rsidRDefault="008B149F" w:rsidP="00B604CB">
            <w:pPr>
              <w:spacing w:line="480" w:lineRule="auto"/>
              <w:rPr>
                <w:rFonts w:eastAsia="Calibri" w:cs="Arial"/>
              </w:rPr>
            </w:pPr>
          </w:p>
        </w:tc>
        <w:tc>
          <w:tcPr>
            <w:tcW w:w="5533" w:type="dxa"/>
          </w:tcPr>
          <w:p w14:paraId="4037A50A"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HO</m:t>
                    </m:r>
                  </m:e>
                  <m:sub>
                    <m:r>
                      <w:rPr>
                        <w:rFonts w:ascii="Cambria Math" w:hAnsi="Cambria Math"/>
                      </w:rPr>
                      <m:t>2(ads)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O+ </m:t>
                </m:r>
                <m:sSub>
                  <m:sSubPr>
                    <m:ctrlPr>
                      <w:rPr>
                        <w:rFonts w:ascii="Cambria Math" w:hAnsi="Cambria Math"/>
                        <w:i/>
                      </w:rPr>
                    </m:ctrlPr>
                  </m:sSubPr>
                  <m:e>
                    <m:r>
                      <w:rPr>
                        <w:rFonts w:ascii="Cambria Math" w:hAnsi="Cambria Math"/>
                      </w:rPr>
                      <m:t>O</m:t>
                    </m:r>
                  </m:e>
                  <m:sub>
                    <m:r>
                      <w:rPr>
                        <w:rFonts w:ascii="Cambria Math" w:hAnsi="Cambria Math"/>
                      </w:rPr>
                      <m:t>(ads)</m:t>
                    </m:r>
                  </m:sub>
                </m:sSub>
              </m:oMath>
            </m:oMathPara>
          </w:p>
        </w:tc>
        <w:tc>
          <w:tcPr>
            <w:tcW w:w="1548" w:type="dxa"/>
          </w:tcPr>
          <w:p w14:paraId="31C347DA" w14:textId="77777777" w:rsidR="008B149F" w:rsidRPr="00815834" w:rsidRDefault="00CD0964" w:rsidP="00F30F6D">
            <w:pPr>
              <w:pStyle w:val="Caption"/>
            </w:pPr>
            <w:r>
              <w:t>SEq. 8</w:t>
            </w:r>
          </w:p>
        </w:tc>
      </w:tr>
      <w:tr w:rsidR="008B149F" w14:paraId="4B1E7D3E" w14:textId="77777777" w:rsidTr="00B604CB">
        <w:trPr>
          <w:trHeight w:val="281"/>
        </w:trPr>
        <w:tc>
          <w:tcPr>
            <w:tcW w:w="1413" w:type="dxa"/>
          </w:tcPr>
          <w:p w14:paraId="6FCBE0B4" w14:textId="77777777" w:rsidR="008B149F" w:rsidRDefault="008B149F" w:rsidP="00B604CB">
            <w:pPr>
              <w:spacing w:line="480" w:lineRule="auto"/>
              <w:rPr>
                <w:rFonts w:eastAsia="Calibri" w:cs="Arial"/>
              </w:rPr>
            </w:pPr>
          </w:p>
        </w:tc>
        <w:tc>
          <w:tcPr>
            <w:tcW w:w="5533" w:type="dxa"/>
          </w:tcPr>
          <w:p w14:paraId="7B7840DD"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OH</m:t>
                    </m:r>
                  </m:e>
                  <m:sub>
                    <m:r>
                      <w:rPr>
                        <w:rFonts w:ascii="Cambria Math" w:hAnsi="Cambria Math"/>
                      </w:rPr>
                      <m:t>(ads)</m:t>
                    </m:r>
                  </m:sub>
                </m:sSub>
              </m:oMath>
            </m:oMathPara>
          </w:p>
        </w:tc>
        <w:tc>
          <w:tcPr>
            <w:tcW w:w="1548" w:type="dxa"/>
          </w:tcPr>
          <w:p w14:paraId="4F5D58A4" w14:textId="77777777" w:rsidR="008B149F" w:rsidRPr="00815834" w:rsidRDefault="00CD0964" w:rsidP="00F30F6D">
            <w:pPr>
              <w:pStyle w:val="Caption"/>
            </w:pPr>
            <w:r>
              <w:t>SEq. 9</w:t>
            </w:r>
          </w:p>
        </w:tc>
      </w:tr>
      <w:tr w:rsidR="008B149F" w14:paraId="55A18F57" w14:textId="77777777" w:rsidTr="00B604CB">
        <w:trPr>
          <w:trHeight w:val="281"/>
        </w:trPr>
        <w:tc>
          <w:tcPr>
            <w:tcW w:w="1413" w:type="dxa"/>
          </w:tcPr>
          <w:p w14:paraId="6BB7A26A" w14:textId="77777777" w:rsidR="008B149F" w:rsidRDefault="008B149F" w:rsidP="00B604CB">
            <w:pPr>
              <w:spacing w:line="480" w:lineRule="auto"/>
              <w:rPr>
                <w:rFonts w:eastAsia="Calibri" w:cs="Arial"/>
              </w:rPr>
            </w:pPr>
          </w:p>
        </w:tc>
        <w:tc>
          <w:tcPr>
            <w:tcW w:w="5533" w:type="dxa"/>
          </w:tcPr>
          <w:p w14:paraId="7EDEB61D"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OH</m:t>
                    </m:r>
                  </m:e>
                  <m:sub>
                    <m:r>
                      <w:rPr>
                        <w:rFonts w:ascii="Cambria Math" w:hAnsi="Cambria Math"/>
                      </w:rPr>
                      <m:t>(ads)</m:t>
                    </m:r>
                  </m:sub>
                </m:sSub>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m:oMathPara>
          </w:p>
        </w:tc>
        <w:tc>
          <w:tcPr>
            <w:tcW w:w="1548" w:type="dxa"/>
          </w:tcPr>
          <w:p w14:paraId="40FD6F3F" w14:textId="77777777" w:rsidR="008B149F" w:rsidRPr="00815834" w:rsidRDefault="00CD0964" w:rsidP="00F30F6D">
            <w:pPr>
              <w:pStyle w:val="Caption"/>
            </w:pPr>
            <w:r>
              <w:t>SEq. 10</w:t>
            </w:r>
          </w:p>
        </w:tc>
      </w:tr>
    </w:tbl>
    <w:p w14:paraId="3204D313" w14:textId="5B58DEB5" w:rsidR="008B149F" w:rsidRDefault="008B149F" w:rsidP="008B149F">
      <w:pPr>
        <w:spacing w:line="480" w:lineRule="auto"/>
        <w:rPr>
          <w:color w:val="000000" w:themeColor="text1"/>
        </w:rPr>
      </w:pPr>
      <w:r>
        <w:rPr>
          <w:color w:val="000000" w:themeColor="text1"/>
        </w:rPr>
        <w:t>While the dissociative mechanism is:</w:t>
      </w:r>
      <w:r w:rsidR="00712CB5">
        <w:rPr>
          <w:color w:val="000000" w:themeColor="text1"/>
        </w:rPr>
        <w:fldChar w:fldCharType="begin" w:fldLock="1"/>
      </w:r>
      <w:r w:rsidR="00712CB5">
        <w:rPr>
          <w:color w:val="000000" w:themeColor="text1"/>
        </w:rPr>
        <w:instrText>ADDIN CSL_CITATION {"citationItems":[{"id":"ITEM-1","itemData":{"DOI":"10.3390/catal8020065","ISSN":"2073-4344","author":[{"dropping-particle":"","family":"Tang","given":"Zhenghua","non-dropping-particle":"","parse-names":false,"suffix":""},{"dropping-particle":"","family":"Wu","given":"Wen","non-dropping-particle":"","parse-names":false,"suffix":""},{"dropping-particle":"","family":"Wang","given":"Kai","non-dropping-particle":"","parse-names":false,"suffix":""}],"container-title":"Catalysts","id":"ITEM-1","issue":"2","issued":{"date-parts":[["2018"]]},"page":"65","publisher":"MDPI AG","title":"Oxygen Reduction Reaction Catalyzed by Noble Metal Clusters","type":"article-journal","volume":"8"},"uris":["http://www.mendeley.com/documents/?uuid=b325ffbe-5b69-44b1-a66b-e580f274ea8b"]},{"id":"ITEM-2","itemData":{"DOI":"10.1016/j.electacta.2018.03.191","ISSN":"0013-4686","author":[{"dropping-particle":"","family":"Jayasankar","given":"Barathram","non-dropping-particle":"","parse-names":false,"suffix":""},{"dropping-particle":"","family":"Karan","given":"Kunal","non-dropping-particle":"","parse-names":false,"suffix":""}],"container-title":"Electrochimica Acta","id":"ITEM-2","issued":{"date-parts":[["2018"]]},"page":"367-378","publisher":"Elsevier BV","title":"O2 electrochemistry on Pt: A unified multi-step model for oxygen reduction and oxide growth","type":"article-journal","volume":"273"},"uris":["http://www.mendeley.com/documents/?uuid=13296391-8201-4f0a-9cc3-2608e6b04894"]}],"mendeley":{"formattedCitation":"[9], [10]","plainTextFormattedCitation":"[9], [10]","previouslyFormattedCitation":"[9], [10]"},"properties":{"noteIndex":0},"schema":"https://github.com/citation-style-language/schema/raw/master/csl-citation.json"}</w:instrText>
      </w:r>
      <w:r w:rsidR="00712CB5">
        <w:rPr>
          <w:color w:val="000000" w:themeColor="text1"/>
        </w:rPr>
        <w:fldChar w:fldCharType="separate"/>
      </w:r>
      <w:r w:rsidR="00712CB5" w:rsidRPr="00712CB5">
        <w:rPr>
          <w:noProof/>
          <w:color w:val="000000" w:themeColor="text1"/>
        </w:rPr>
        <w:t>[9], [10]</w:t>
      </w:r>
      <w:r w:rsidR="00712CB5">
        <w:rPr>
          <w:color w:val="000000" w:themeColor="text1"/>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391"/>
        <w:gridCol w:w="142"/>
        <w:gridCol w:w="1548"/>
      </w:tblGrid>
      <w:tr w:rsidR="008B149F" w14:paraId="75896429" w14:textId="77777777" w:rsidTr="00B604CB">
        <w:trPr>
          <w:trHeight w:val="281"/>
        </w:trPr>
        <w:tc>
          <w:tcPr>
            <w:tcW w:w="1413" w:type="dxa"/>
          </w:tcPr>
          <w:p w14:paraId="7E224AE7" w14:textId="77777777" w:rsidR="008B149F" w:rsidRDefault="008B149F" w:rsidP="00B604CB">
            <w:pPr>
              <w:spacing w:line="480" w:lineRule="auto"/>
              <w:rPr>
                <w:rFonts w:eastAsia="Calibri" w:cs="Arial"/>
              </w:rPr>
            </w:pPr>
          </w:p>
        </w:tc>
        <w:tc>
          <w:tcPr>
            <w:tcW w:w="5391" w:type="dxa"/>
          </w:tcPr>
          <w:p w14:paraId="04A0794E"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O</m:t>
                    </m:r>
                  </m:e>
                  <m:sub>
                    <m:r>
                      <w:rPr>
                        <w:rFonts w:ascii="Cambria Math" w:hAnsi="Cambria Math"/>
                      </w:rPr>
                      <m:t>2(ads)</m:t>
                    </m:r>
                  </m:sub>
                </m:sSub>
                <m:r>
                  <w:rPr>
                    <w:rFonts w:ascii="Cambria Math" w:hAnsi="Cambria Math"/>
                  </w:rPr>
                  <m:t xml:space="preserve">→ </m:t>
                </m:r>
                <m:sSub>
                  <m:sSubPr>
                    <m:ctrlPr>
                      <w:rPr>
                        <w:rFonts w:ascii="Cambria Math" w:hAnsi="Cambria Math"/>
                        <w:i/>
                      </w:rPr>
                    </m:ctrlPr>
                  </m:sSubPr>
                  <m:e>
                    <m:r>
                      <w:rPr>
                        <w:rFonts w:ascii="Cambria Math" w:hAnsi="Cambria Math"/>
                      </w:rPr>
                      <m:t>2O</m:t>
                    </m:r>
                  </m:e>
                  <m:sub>
                    <m:r>
                      <w:rPr>
                        <w:rFonts w:ascii="Cambria Math" w:hAnsi="Cambria Math"/>
                      </w:rPr>
                      <m:t>(ads)</m:t>
                    </m:r>
                  </m:sub>
                </m:sSub>
              </m:oMath>
            </m:oMathPara>
          </w:p>
        </w:tc>
        <w:tc>
          <w:tcPr>
            <w:tcW w:w="1690" w:type="dxa"/>
            <w:gridSpan w:val="2"/>
          </w:tcPr>
          <w:p w14:paraId="1B5A62B4" w14:textId="77777777" w:rsidR="008B149F" w:rsidRPr="00815834" w:rsidRDefault="00CD0964" w:rsidP="00F30F6D">
            <w:pPr>
              <w:pStyle w:val="Caption"/>
            </w:pPr>
            <w:r>
              <w:t>SEq. 11</w:t>
            </w:r>
          </w:p>
        </w:tc>
      </w:tr>
      <w:tr w:rsidR="008B149F" w14:paraId="7999D71B" w14:textId="77777777" w:rsidTr="00B604CB">
        <w:trPr>
          <w:trHeight w:val="281"/>
        </w:trPr>
        <w:tc>
          <w:tcPr>
            <w:tcW w:w="1413" w:type="dxa"/>
          </w:tcPr>
          <w:p w14:paraId="32D471C1" w14:textId="77777777" w:rsidR="008B149F" w:rsidRDefault="008B149F" w:rsidP="00B604CB">
            <w:pPr>
              <w:spacing w:line="480" w:lineRule="auto"/>
              <w:rPr>
                <w:rFonts w:eastAsia="Calibri" w:cs="Arial"/>
              </w:rPr>
            </w:pPr>
          </w:p>
        </w:tc>
        <w:tc>
          <w:tcPr>
            <w:tcW w:w="5391" w:type="dxa"/>
          </w:tcPr>
          <w:p w14:paraId="1B1CD281"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2O</m:t>
                    </m:r>
                  </m:e>
                  <m:sub>
                    <m:r>
                      <w:rPr>
                        <w:rFonts w:ascii="Cambria Math" w:hAnsi="Cambria Math"/>
                      </w:rPr>
                      <m:t>(ads)</m:t>
                    </m:r>
                  </m:sub>
                </m:sSub>
                <m:r>
                  <w:rPr>
                    <w:rFonts w:ascii="Cambria Math" w:hAnsi="Cambria Math"/>
                  </w:rPr>
                  <m:t xml:space="preserve">+ </m:t>
                </m:r>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2e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2OH</m:t>
                    </m:r>
                  </m:e>
                  <m:sub>
                    <m:r>
                      <w:rPr>
                        <w:rFonts w:ascii="Cambria Math" w:hAnsi="Cambria Math"/>
                      </w:rPr>
                      <m:t>(ads)</m:t>
                    </m:r>
                  </m:sub>
                </m:sSub>
              </m:oMath>
            </m:oMathPara>
          </w:p>
        </w:tc>
        <w:tc>
          <w:tcPr>
            <w:tcW w:w="1690" w:type="dxa"/>
            <w:gridSpan w:val="2"/>
          </w:tcPr>
          <w:p w14:paraId="3BC46D17" w14:textId="77777777" w:rsidR="008B149F" w:rsidRPr="00815834" w:rsidRDefault="00CD0964" w:rsidP="00F30F6D">
            <w:pPr>
              <w:pStyle w:val="Caption"/>
            </w:pPr>
            <w:r>
              <w:t>SEq. 12</w:t>
            </w:r>
          </w:p>
        </w:tc>
      </w:tr>
      <w:tr w:rsidR="008B149F" w14:paraId="3FDE3514" w14:textId="77777777" w:rsidTr="00B604CB">
        <w:trPr>
          <w:trHeight w:val="281"/>
        </w:trPr>
        <w:tc>
          <w:tcPr>
            <w:tcW w:w="1413" w:type="dxa"/>
          </w:tcPr>
          <w:p w14:paraId="1DDE1927" w14:textId="77777777" w:rsidR="008B149F" w:rsidRDefault="008B149F" w:rsidP="00B604CB">
            <w:pPr>
              <w:spacing w:line="480" w:lineRule="auto"/>
              <w:rPr>
                <w:rFonts w:eastAsia="Calibri" w:cs="Arial"/>
              </w:rPr>
            </w:pPr>
          </w:p>
        </w:tc>
        <w:tc>
          <w:tcPr>
            <w:tcW w:w="5533" w:type="dxa"/>
            <w:gridSpan w:val="2"/>
          </w:tcPr>
          <w:p w14:paraId="6C77A7D6" w14:textId="77777777" w:rsidR="008B149F" w:rsidRPr="00815834" w:rsidRDefault="00000000" w:rsidP="00B604CB">
            <w:pPr>
              <w:spacing w:line="480" w:lineRule="auto"/>
              <w:rPr>
                <w:rFonts w:eastAsiaTheme="minorEastAsia"/>
              </w:rPr>
            </w:pPr>
            <m:oMathPara>
              <m:oMath>
                <m:sSub>
                  <m:sSubPr>
                    <m:ctrlPr>
                      <w:rPr>
                        <w:rFonts w:ascii="Cambria Math" w:hAnsi="Cambria Math"/>
                        <w:i/>
                      </w:rPr>
                    </m:ctrlPr>
                  </m:sSubPr>
                  <m:e>
                    <m:r>
                      <w:rPr>
                        <w:rFonts w:ascii="Cambria Math" w:hAnsi="Cambria Math"/>
                      </w:rPr>
                      <m:t>2OH</m:t>
                    </m:r>
                  </m:e>
                  <m:sub>
                    <m:r>
                      <w:rPr>
                        <w:rFonts w:ascii="Cambria Math" w:hAnsi="Cambria Math"/>
                      </w:rPr>
                      <m:t>(ads)</m:t>
                    </m:r>
                  </m:sub>
                </m:sSub>
                <m:r>
                  <w:rPr>
                    <w:rFonts w:ascii="Cambria Math" w:hAnsi="Cambria Math"/>
                  </w:rPr>
                  <m:t xml:space="preserve">+ </m:t>
                </m:r>
                <m:sSup>
                  <m:sSupPr>
                    <m:ctrlPr>
                      <w:rPr>
                        <w:rFonts w:ascii="Cambria Math" w:hAnsi="Cambria Math"/>
                        <w:i/>
                      </w:rPr>
                    </m:ctrlPr>
                  </m:sSupPr>
                  <m:e>
                    <m:r>
                      <w:rPr>
                        <w:rFonts w:ascii="Cambria Math" w:hAnsi="Cambria Math"/>
                      </w:rPr>
                      <m:t>2H</m:t>
                    </m:r>
                  </m:e>
                  <m:sup>
                    <m:r>
                      <w:rPr>
                        <w:rFonts w:ascii="Cambria Math" w:hAnsi="Cambria Math"/>
                      </w:rPr>
                      <m:t>+</m:t>
                    </m:r>
                  </m:sup>
                </m:sSup>
                <m:r>
                  <w:rPr>
                    <w:rFonts w:ascii="Cambria Math" w:hAnsi="Cambria Math"/>
                  </w:rPr>
                  <m:t xml:space="preserve">+ </m:t>
                </m:r>
                <m:sSup>
                  <m:sSupPr>
                    <m:ctrlPr>
                      <w:rPr>
                        <w:rFonts w:ascii="Cambria Math" w:hAnsi="Cambria Math"/>
                        <w:i/>
                      </w:rPr>
                    </m:ctrlPr>
                  </m:sSupPr>
                  <m:e>
                    <m:r>
                      <w:rPr>
                        <w:rFonts w:ascii="Cambria Math" w:hAnsi="Cambria Math"/>
                      </w:rPr>
                      <m:t>2e</m:t>
                    </m:r>
                  </m:e>
                  <m:sup>
                    <m:r>
                      <w:rPr>
                        <w:rFonts w:ascii="Cambria Math" w:hAnsi="Cambria Math"/>
                      </w:rPr>
                      <m:t>-</m:t>
                    </m:r>
                  </m:sup>
                </m:sSup>
                <m:r>
                  <w:rPr>
                    <w:rFonts w:ascii="Cambria Math" w:hAnsi="Cambria Math"/>
                  </w:rPr>
                  <m:t xml:space="preserve">→ </m:t>
                </m:r>
                <m:sSub>
                  <m:sSubPr>
                    <m:ctrlPr>
                      <w:rPr>
                        <w:rFonts w:ascii="Cambria Math" w:hAnsi="Cambria Math"/>
                        <w:i/>
                      </w:rPr>
                    </m:ctrlPr>
                  </m:sSubPr>
                  <m:e>
                    <m:r>
                      <w:rPr>
                        <w:rFonts w:ascii="Cambria Math" w:hAnsi="Cambria Math"/>
                      </w:rPr>
                      <m:t>2H</m:t>
                    </m:r>
                  </m:e>
                  <m:sub>
                    <m:r>
                      <w:rPr>
                        <w:rFonts w:ascii="Cambria Math" w:hAnsi="Cambria Math"/>
                      </w:rPr>
                      <m:t>2</m:t>
                    </m:r>
                  </m:sub>
                </m:sSub>
                <m:r>
                  <w:rPr>
                    <w:rFonts w:ascii="Cambria Math" w:hAnsi="Cambria Math"/>
                  </w:rPr>
                  <m:t>O</m:t>
                </m:r>
              </m:oMath>
            </m:oMathPara>
          </w:p>
        </w:tc>
        <w:tc>
          <w:tcPr>
            <w:tcW w:w="1548" w:type="dxa"/>
          </w:tcPr>
          <w:p w14:paraId="456E9F33" w14:textId="77777777" w:rsidR="008B149F" w:rsidRPr="00815834" w:rsidRDefault="00CD0964" w:rsidP="00F30F6D">
            <w:pPr>
              <w:pStyle w:val="Caption"/>
            </w:pPr>
            <w:r>
              <w:t>SEq. 13</w:t>
            </w:r>
          </w:p>
        </w:tc>
      </w:tr>
    </w:tbl>
    <w:p w14:paraId="4AA71A08" w14:textId="77777777" w:rsidR="003247A3" w:rsidRDefault="003247A3" w:rsidP="003247A3"/>
    <w:p w14:paraId="079E6F9D" w14:textId="64AD96A2" w:rsidR="003247A3" w:rsidRDefault="003247A3" w:rsidP="00EF6319">
      <w:pPr>
        <w:jc w:val="both"/>
      </w:pPr>
      <w:r>
        <w:t xml:space="preserve">While matrix effects, such as pH and temperature can impact which mechanism is observed, the electrode effects will be focused on solely the </w:t>
      </w:r>
      <w:proofErr w:type="spellStart"/>
      <w:r>
        <w:t>peroxo</w:t>
      </w:r>
      <w:proofErr w:type="spellEnd"/>
      <w:r>
        <w:t xml:space="preserve"> mechanism. In this case, the interaction between oxygen and the electrode will determine how the reaction progresses. The </w:t>
      </w:r>
      <w:proofErr w:type="spellStart"/>
      <w:r>
        <w:t>peroxo</w:t>
      </w:r>
      <w:proofErr w:type="spellEnd"/>
      <w:r>
        <w:t xml:space="preserve"> pathway typically occurs when there is weak interaction between the electrode and oxygen. Therefore, peroxide is measurable in the solution as it is weakly bound to the electrode surface. Gold typically shows this behaviour as it is known for its weak adsorption ability.</w:t>
      </w:r>
      <w:r w:rsidR="00712CB5">
        <w:fldChar w:fldCharType="begin" w:fldLock="1"/>
      </w:r>
      <w:r w:rsidR="00712CB5">
        <w:instrText>ADDIN CSL_CITATION {"citationItems":[{"id":"ITEM-1","itemData":{"DOI":"10.1134/s1023193511120020","ISSN":"1023-1935","author":[{"dropping-particle":"","family":"Andoralov","given":"V M","non-dropping-particle":"","parse-names":false,"suffix":""},{"dropping-particle":"","family":"Tarasevich","given":"M R","non-dropping-particle":"","parse-names":false,"suffix":""},{"dropping-particle":"V","family":"Tripachev","given":"O","non-dropping-particle":"","parse-names":false,"suffix":""}],"container-title":"Russian Journal of Electrochemistry","id":"ITEM-1","issue":"12","issued":{"date-parts":[["2011"]]},"page":"1327-1336","publisher":"Pleiades Publishing Ltd","title":"Oxygen reduction reaction on polycrystalline gold. Pathways of hydrogen peroxide transformation in the acidic medium","type":"article-journal","volume":"47"},"uris":["http://www.mendeley.com/documents/?uuid=094f88ea-d49c-4b82-92b6-bc2d115a143c"]}],"mendeley":{"formattedCitation":"[11]","plainTextFormattedCitation":"[11]"},"properties":{"noteIndex":0},"schema":"https://github.com/citation-style-language/schema/raw/master/csl-citation.json"}</w:instrText>
      </w:r>
      <w:r w:rsidR="00712CB5">
        <w:fldChar w:fldCharType="separate"/>
      </w:r>
      <w:r w:rsidR="00712CB5" w:rsidRPr="00712CB5">
        <w:rPr>
          <w:noProof/>
        </w:rPr>
        <w:t>[11]</w:t>
      </w:r>
      <w:r w:rsidR="00712CB5">
        <w:fldChar w:fldCharType="end"/>
      </w:r>
      <w:r>
        <w:t xml:space="preserve"> Weak surface adsorption means that the cleavage of the oxygen bonds is energetically unfavourable, as the surface does not provide an adequate catalytic site. Thus, the oxygen bonds are not broken until both oxygen sites have been protonated. The metal oxide pathway is characteristic of electrode materials that show strong adsorption ability for oxygen. In such cases, little to no peroxide is observed as the surface binding is strong, so dissociation is unfavourable. Platinum typically shows this behaviour, as it catalyses the cleavage of the oxygen bonds. </w:t>
      </w:r>
    </w:p>
    <w:bookmarkEnd w:id="0"/>
    <w:p w14:paraId="642C912E" w14:textId="77777777" w:rsidR="008A7787" w:rsidRDefault="008A7787"/>
    <w:p w14:paraId="1CCA85ED" w14:textId="77777777" w:rsidR="008B149F" w:rsidRDefault="008B149F"/>
    <w:p w14:paraId="2080A460" w14:textId="77777777" w:rsidR="003247A3" w:rsidRDefault="003247A3">
      <w:r w:rsidRPr="003247A3">
        <w:t xml:space="preserve"> </w:t>
      </w:r>
    </w:p>
    <w:p w14:paraId="022EB119" w14:textId="77777777" w:rsidR="00CD0964" w:rsidRDefault="00CD0964" w:rsidP="00CD0964">
      <w:pPr>
        <w:keepNext/>
      </w:pPr>
      <w:r>
        <w:rPr>
          <w:noProof/>
          <w:lang w:eastAsia="en-IE"/>
        </w:rPr>
        <w:lastRenderedPageBreak/>
        <w:drawing>
          <wp:inline distT="0" distB="0" distL="0" distR="0" wp14:anchorId="5743DD9E" wp14:editId="6199CED0">
            <wp:extent cx="5731510" cy="471159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711592"/>
                    </a:xfrm>
                    <a:prstGeom prst="rect">
                      <a:avLst/>
                    </a:prstGeom>
                    <a:noFill/>
                  </pic:spPr>
                </pic:pic>
              </a:graphicData>
            </a:graphic>
          </wp:inline>
        </w:drawing>
      </w:r>
    </w:p>
    <w:p w14:paraId="544CC4BA" w14:textId="7278BFA8" w:rsidR="00CD0964" w:rsidRPr="00F30F6D" w:rsidRDefault="00CD0964" w:rsidP="00F30F6D">
      <w:pPr>
        <w:pStyle w:val="Caption"/>
      </w:pPr>
      <w:commentRangeStart w:id="2"/>
      <w:r w:rsidRPr="00F30F6D">
        <w:t>S</w:t>
      </w:r>
      <w:r w:rsidR="00400B30" w:rsidRPr="00F30F6D">
        <w:t xml:space="preserve">I </w:t>
      </w:r>
      <w:r w:rsidRPr="00F30F6D">
        <w:t>F</w:t>
      </w:r>
      <w:r w:rsidR="00400B30" w:rsidRPr="00F30F6D">
        <w:t>ig</w:t>
      </w:r>
      <w:r w:rsidR="00F30F6D">
        <w:t>.</w:t>
      </w:r>
      <w:r w:rsidRPr="00F30F6D">
        <w:t xml:space="preserve"> </w:t>
      </w:r>
      <w:r w:rsidR="00A778D7">
        <w:fldChar w:fldCharType="begin"/>
      </w:r>
      <w:r w:rsidR="00A778D7">
        <w:instrText xml:space="preserve"> SEQ SF \* ARABIC </w:instrText>
      </w:r>
      <w:r w:rsidR="00A778D7">
        <w:fldChar w:fldCharType="separate"/>
      </w:r>
      <w:r w:rsidR="00A778D7" w:rsidRPr="00F30F6D">
        <w:t>1</w:t>
      </w:r>
      <w:r w:rsidR="00A778D7">
        <w:fldChar w:fldCharType="end"/>
      </w:r>
      <w:commentRangeEnd w:id="2"/>
      <w:r w:rsidR="005C3100" w:rsidRPr="00F30F6D">
        <w:rPr>
          <w:rStyle w:val="CommentReference"/>
          <w:sz w:val="18"/>
          <w:szCs w:val="18"/>
        </w:rPr>
        <w:commentReference w:id="2"/>
      </w:r>
      <w:r w:rsidRPr="00F30F6D">
        <w:t xml:space="preserve">: (a) CVs of various concentrations of DO on a gold IDE comb from 1.2 V to -0.8V at 50 mV/s. (b) CVs of various concentrations of DO on a platinum IDE comb from 1.2 V to -0.8V at 50 mV/s. </w:t>
      </w:r>
      <w:r w:rsidR="003F4C1F" w:rsidRPr="00F30F6D">
        <w:t>(c) – (</w:t>
      </w:r>
      <w:r w:rsidR="005C3100" w:rsidRPr="00F30F6D">
        <w:t>D</w:t>
      </w:r>
      <w:r w:rsidR="003F4C1F" w:rsidRPr="00F30F6D">
        <w:t>0 corresponding calibration plots</w:t>
      </w:r>
      <w:r w:rsidR="00C95FE4" w:rsidRPr="00F30F6D">
        <w:t xml:space="preserve"> for  gold and platinum respectively.</w:t>
      </w:r>
    </w:p>
    <w:p w14:paraId="2023F9B4" w14:textId="77777777" w:rsidR="004A6D11" w:rsidRDefault="00CD0964" w:rsidP="004A6D11">
      <w:pPr>
        <w:keepNext/>
        <w:jc w:val="center"/>
      </w:pPr>
      <w:r>
        <w:rPr>
          <w:noProof/>
          <w:lang w:eastAsia="en-IE"/>
        </w:rPr>
        <w:drawing>
          <wp:inline distT="0" distB="0" distL="0" distR="0" wp14:anchorId="649FE84A" wp14:editId="659F39D8">
            <wp:extent cx="2880000" cy="23668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2366887"/>
                    </a:xfrm>
                    <a:prstGeom prst="rect">
                      <a:avLst/>
                    </a:prstGeom>
                    <a:noFill/>
                  </pic:spPr>
                </pic:pic>
              </a:graphicData>
            </a:graphic>
          </wp:inline>
        </w:drawing>
      </w:r>
    </w:p>
    <w:p w14:paraId="1F2F289D" w14:textId="27C6D2BD" w:rsidR="008B149F" w:rsidRPr="004A6D11" w:rsidRDefault="004A6D11" w:rsidP="00F30F6D">
      <w:pPr>
        <w:pStyle w:val="Caption"/>
      </w:pPr>
      <w:r w:rsidRPr="004A6D11">
        <w:t>S</w:t>
      </w:r>
      <w:r w:rsidR="00400B30">
        <w:t xml:space="preserve">I </w:t>
      </w:r>
      <w:r w:rsidRPr="004A6D11">
        <w:t>F</w:t>
      </w:r>
      <w:r w:rsidR="00400B30">
        <w:t>ig</w:t>
      </w:r>
      <w:r w:rsidR="00F30F6D">
        <w:t>.</w:t>
      </w:r>
      <w:r w:rsidRPr="004A6D11">
        <w:t xml:space="preserve"> </w:t>
      </w:r>
      <w:r w:rsidR="00A778D7">
        <w:fldChar w:fldCharType="begin"/>
      </w:r>
      <w:r w:rsidR="00A778D7">
        <w:instrText xml:space="preserve"> SEQ SF \* ARABIC </w:instrText>
      </w:r>
      <w:r w:rsidR="00A778D7">
        <w:fldChar w:fldCharType="separate"/>
      </w:r>
      <w:r w:rsidR="00A778D7">
        <w:rPr>
          <w:noProof/>
        </w:rPr>
        <w:t>2</w:t>
      </w:r>
      <w:r w:rsidR="00A778D7">
        <w:rPr>
          <w:noProof/>
        </w:rPr>
        <w:fldChar w:fldCharType="end"/>
      </w:r>
      <w:r>
        <w:t>: Comparison of oxygen reduction on platinum with (red) and without (black) a pre</w:t>
      </w:r>
      <w:r w:rsidR="00F30F6D">
        <w:t>-</w:t>
      </w:r>
      <w:r>
        <w:t xml:space="preserve">grown platinum oxide. </w:t>
      </w:r>
    </w:p>
    <w:p w14:paraId="6F35C7AE" w14:textId="77777777" w:rsidR="004A6D11" w:rsidRDefault="004A6D11" w:rsidP="004A6D11">
      <w:pPr>
        <w:keepNext/>
      </w:pPr>
      <w:r>
        <w:rPr>
          <w:noProof/>
          <w:lang w:eastAsia="en-IE"/>
        </w:rPr>
        <w:lastRenderedPageBreak/>
        <w:drawing>
          <wp:inline distT="0" distB="0" distL="0" distR="0" wp14:anchorId="287B00F1" wp14:editId="11DFDF7E">
            <wp:extent cx="5731510" cy="2467646"/>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467646"/>
                    </a:xfrm>
                    <a:prstGeom prst="rect">
                      <a:avLst/>
                    </a:prstGeom>
                    <a:noFill/>
                  </pic:spPr>
                </pic:pic>
              </a:graphicData>
            </a:graphic>
          </wp:inline>
        </w:drawing>
      </w:r>
    </w:p>
    <w:p w14:paraId="7D3A4456" w14:textId="118F7647" w:rsidR="004A6D11" w:rsidRPr="004A6D11" w:rsidRDefault="004A6D11" w:rsidP="00F30F6D">
      <w:pPr>
        <w:pStyle w:val="Caption"/>
      </w:pPr>
      <w:r w:rsidRPr="004A6D11">
        <w:t>S</w:t>
      </w:r>
      <w:r w:rsidR="00400B30">
        <w:t xml:space="preserve">I </w:t>
      </w:r>
      <w:r w:rsidRPr="004A6D11">
        <w:t>F</w:t>
      </w:r>
      <w:r w:rsidR="00400B30">
        <w:t>ig</w:t>
      </w:r>
      <w:r w:rsidR="00F30F6D">
        <w:t>.</w:t>
      </w:r>
      <w:r w:rsidRPr="004A6D11">
        <w:t xml:space="preserve"> </w:t>
      </w:r>
      <w:r w:rsidR="00A778D7">
        <w:fldChar w:fldCharType="begin"/>
      </w:r>
      <w:r w:rsidR="00A778D7">
        <w:instrText xml:space="preserve"> SEQ SF \* ARABIC </w:instrText>
      </w:r>
      <w:r w:rsidR="00A778D7">
        <w:fldChar w:fldCharType="separate"/>
      </w:r>
      <w:r w:rsidR="00A778D7">
        <w:rPr>
          <w:noProof/>
        </w:rPr>
        <w:t>3</w:t>
      </w:r>
      <w:r w:rsidR="00A778D7">
        <w:rPr>
          <w:noProof/>
        </w:rPr>
        <w:fldChar w:fldCharType="end"/>
      </w:r>
      <w:r>
        <w:t>: (a) LSVs of a platinum IDE comb in various concentrations of H</w:t>
      </w:r>
      <w:r>
        <w:rPr>
          <w:vertAlign w:val="subscript"/>
        </w:rPr>
        <w:t>2</w:t>
      </w:r>
      <w:r>
        <w:t>O</w:t>
      </w:r>
      <w:r>
        <w:rPr>
          <w:vertAlign w:val="subscript"/>
        </w:rPr>
        <w:t>2</w:t>
      </w:r>
      <w:r>
        <w:t xml:space="preserve"> from -0.2 V to 0.8 V at 50 mV/s. (b) Calibration of the LSVs shown in (a)</w:t>
      </w:r>
      <w:r w:rsidR="005C3100">
        <w:t>.</w:t>
      </w:r>
    </w:p>
    <w:p w14:paraId="3F5C8743" w14:textId="77777777" w:rsidR="004A6D11" w:rsidRDefault="008B149F" w:rsidP="004A6D11">
      <w:pPr>
        <w:keepNext/>
        <w:jc w:val="center"/>
      </w:pPr>
      <w:r>
        <w:rPr>
          <w:noProof/>
          <w:lang w:eastAsia="en-IE"/>
        </w:rPr>
        <w:drawing>
          <wp:inline distT="0" distB="0" distL="0" distR="0" wp14:anchorId="548D9241" wp14:editId="5630AB44">
            <wp:extent cx="2880000" cy="231981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2319818"/>
                    </a:xfrm>
                    <a:prstGeom prst="rect">
                      <a:avLst/>
                    </a:prstGeom>
                    <a:noFill/>
                  </pic:spPr>
                </pic:pic>
              </a:graphicData>
            </a:graphic>
          </wp:inline>
        </w:drawing>
      </w:r>
    </w:p>
    <w:p w14:paraId="5BBDDE18" w14:textId="47B93E8F" w:rsidR="008B149F" w:rsidRPr="004A6D11" w:rsidRDefault="004A6D11" w:rsidP="00F30F6D">
      <w:pPr>
        <w:pStyle w:val="Caption"/>
      </w:pPr>
      <w:r w:rsidRPr="004A6D11">
        <w:t>S</w:t>
      </w:r>
      <w:r w:rsidR="00400B30">
        <w:t xml:space="preserve">I </w:t>
      </w:r>
      <w:r w:rsidRPr="004A6D11">
        <w:t>F</w:t>
      </w:r>
      <w:r w:rsidR="00400B30">
        <w:t>ig</w:t>
      </w:r>
      <w:r w:rsidR="00F30F6D">
        <w:t>.</w:t>
      </w:r>
      <w:r w:rsidRPr="004A6D11">
        <w:t xml:space="preserve"> </w:t>
      </w:r>
      <w:r w:rsidR="00A778D7">
        <w:fldChar w:fldCharType="begin"/>
      </w:r>
      <w:r w:rsidR="00A778D7">
        <w:instrText xml:space="preserve"> SEQ SF \* ARABIC </w:instrText>
      </w:r>
      <w:r w:rsidR="00A778D7">
        <w:fldChar w:fldCharType="separate"/>
      </w:r>
      <w:r w:rsidR="00A778D7">
        <w:rPr>
          <w:noProof/>
        </w:rPr>
        <w:t>4</w:t>
      </w:r>
      <w:r w:rsidR="00A778D7">
        <w:rPr>
          <w:noProof/>
        </w:rPr>
        <w:fldChar w:fldCharType="end"/>
      </w:r>
      <w:r w:rsidRPr="004A6D11">
        <w:t>: Comparison of oxygen reduction on gold without (black) and with (red) a sufficient collector bias that enables H</w:t>
      </w:r>
      <w:r w:rsidRPr="005C3100">
        <w:rPr>
          <w:vertAlign w:val="subscript"/>
        </w:rPr>
        <w:t>2</w:t>
      </w:r>
      <w:r w:rsidRPr="004A6D11">
        <w:t>O</w:t>
      </w:r>
      <w:r w:rsidRPr="005C3100">
        <w:rPr>
          <w:vertAlign w:val="subscript"/>
        </w:rPr>
        <w:t>2</w:t>
      </w:r>
      <w:r w:rsidRPr="004A6D11">
        <w:t xml:space="preserve"> oxidation and thus redox cycling</w:t>
      </w:r>
      <w:r w:rsidR="005C3100">
        <w:t>.</w:t>
      </w:r>
    </w:p>
    <w:p w14:paraId="1DFE26DF" w14:textId="77777777" w:rsidR="008B149F" w:rsidRDefault="008B149F"/>
    <w:p w14:paraId="3A25FEEC" w14:textId="77777777" w:rsidR="004A6D11" w:rsidRDefault="008B149F" w:rsidP="005B7FC6">
      <w:pPr>
        <w:keepNext/>
        <w:jc w:val="center"/>
      </w:pPr>
      <w:r>
        <w:rPr>
          <w:noProof/>
          <w:lang w:eastAsia="en-IE"/>
        </w:rPr>
        <w:lastRenderedPageBreak/>
        <w:drawing>
          <wp:inline distT="0" distB="0" distL="0" distR="0" wp14:anchorId="24273FDF" wp14:editId="10CA24A2">
            <wp:extent cx="2880000" cy="231886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2318862"/>
                    </a:xfrm>
                    <a:prstGeom prst="rect">
                      <a:avLst/>
                    </a:prstGeom>
                    <a:noFill/>
                  </pic:spPr>
                </pic:pic>
              </a:graphicData>
            </a:graphic>
          </wp:inline>
        </w:drawing>
      </w:r>
    </w:p>
    <w:p w14:paraId="5EB16944" w14:textId="44B5DAD4" w:rsidR="008B149F" w:rsidRDefault="004A6D11" w:rsidP="00F30F6D">
      <w:pPr>
        <w:pStyle w:val="Caption"/>
      </w:pPr>
      <w:r w:rsidRPr="005B7FC6">
        <w:t>S</w:t>
      </w:r>
      <w:r w:rsidR="00400B30">
        <w:t xml:space="preserve">I </w:t>
      </w:r>
      <w:r w:rsidRPr="005B7FC6">
        <w:t>F</w:t>
      </w:r>
      <w:r w:rsidR="00400B30">
        <w:t>ig</w:t>
      </w:r>
      <w:r w:rsidR="00F30F6D">
        <w:t>.</w:t>
      </w:r>
      <w:r w:rsidRPr="005B7FC6">
        <w:t xml:space="preserve"> </w:t>
      </w:r>
      <w:r w:rsidR="00A778D7">
        <w:fldChar w:fldCharType="begin"/>
      </w:r>
      <w:r w:rsidR="00A778D7">
        <w:instrText xml:space="preserve"> SEQ SF \* ARABIC </w:instrText>
      </w:r>
      <w:r w:rsidR="00A778D7">
        <w:fldChar w:fldCharType="separate"/>
      </w:r>
      <w:r w:rsidR="00A778D7">
        <w:rPr>
          <w:noProof/>
        </w:rPr>
        <w:t>5</w:t>
      </w:r>
      <w:r w:rsidR="00A778D7">
        <w:rPr>
          <w:noProof/>
        </w:rPr>
        <w:fldChar w:fldCharType="end"/>
      </w:r>
      <w:r w:rsidRPr="005B7FC6">
        <w:t>:</w:t>
      </w:r>
      <w:r>
        <w:t xml:space="preserve"> </w:t>
      </w:r>
      <w:r w:rsidRPr="004A6D11">
        <w:t xml:space="preserve">Comparison of oxygen reduction on </w:t>
      </w:r>
      <w:r w:rsidR="005B7FC6">
        <w:t>platinum</w:t>
      </w:r>
      <w:r w:rsidRPr="004A6D11">
        <w:t xml:space="preserve"> without (black) and with (red) a sufficient collector bias</w:t>
      </w:r>
      <w:r w:rsidR="00534D63">
        <w:t xml:space="preserve"> in GC mode</w:t>
      </w:r>
      <w:r w:rsidR="005C3100">
        <w:t>.</w:t>
      </w:r>
      <w:r w:rsidRPr="004A6D11">
        <w:t xml:space="preserve"> </w:t>
      </w:r>
    </w:p>
    <w:p w14:paraId="5720451F" w14:textId="163EEAE4" w:rsidR="00E703AB" w:rsidRDefault="00E703AB" w:rsidP="00E703AB">
      <w:pPr>
        <w:keepNext/>
        <w:jc w:val="center"/>
      </w:pPr>
    </w:p>
    <w:p w14:paraId="401FA086" w14:textId="77777777" w:rsidR="005B7FC6" w:rsidRDefault="005B7FC6" w:rsidP="005B7FC6">
      <w:pPr>
        <w:jc w:val="center"/>
      </w:pPr>
    </w:p>
    <w:p w14:paraId="185DFBB7" w14:textId="77777777" w:rsidR="00E703AB" w:rsidRDefault="008B149F" w:rsidP="00E703AB">
      <w:pPr>
        <w:keepNext/>
        <w:jc w:val="center"/>
      </w:pPr>
      <w:r>
        <w:rPr>
          <w:noProof/>
          <w:lang w:eastAsia="en-IE"/>
        </w:rPr>
        <w:drawing>
          <wp:inline distT="0" distB="0" distL="0" distR="0" wp14:anchorId="1C1EDA24" wp14:editId="66A360CE">
            <wp:extent cx="2880000" cy="23330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0000" cy="2333093"/>
                    </a:xfrm>
                    <a:prstGeom prst="rect">
                      <a:avLst/>
                    </a:prstGeom>
                    <a:noFill/>
                  </pic:spPr>
                </pic:pic>
              </a:graphicData>
            </a:graphic>
          </wp:inline>
        </w:drawing>
      </w:r>
    </w:p>
    <w:p w14:paraId="688E5672" w14:textId="30541F8B" w:rsidR="008B149F" w:rsidRPr="00E703AB" w:rsidRDefault="00E703AB" w:rsidP="00F30F6D">
      <w:pPr>
        <w:pStyle w:val="Caption"/>
      </w:pPr>
      <w:r w:rsidRPr="00E703AB">
        <w:t>S</w:t>
      </w:r>
      <w:r w:rsidR="00400B30">
        <w:t xml:space="preserve">I </w:t>
      </w:r>
      <w:r w:rsidRPr="00E703AB">
        <w:t>F</w:t>
      </w:r>
      <w:r w:rsidR="00400B30">
        <w:t>ig</w:t>
      </w:r>
      <w:r w:rsidR="00F30F6D">
        <w:t>.</w:t>
      </w:r>
      <w:r w:rsidRPr="00E703AB">
        <w:t xml:space="preserve"> </w:t>
      </w:r>
      <w:r w:rsidR="003715C9">
        <w:t>6</w:t>
      </w:r>
      <w:r w:rsidRPr="00E703AB">
        <w:t xml:space="preserve">: Calibration plot for the generator data shown in Figure </w:t>
      </w:r>
      <w:r w:rsidR="00534D63">
        <w:t>7</w:t>
      </w:r>
      <w:r w:rsidRPr="00E703AB">
        <w:t>(a)</w:t>
      </w:r>
      <w:r w:rsidR="002A25B9">
        <w:t xml:space="preserve"> main paper</w:t>
      </w:r>
      <w:r w:rsidR="005C3100">
        <w:t>.</w:t>
      </w:r>
    </w:p>
    <w:p w14:paraId="379751BE" w14:textId="77777777" w:rsidR="008B149F" w:rsidRDefault="008B149F"/>
    <w:p w14:paraId="4327C94E" w14:textId="77777777" w:rsidR="00A778D7" w:rsidRDefault="00A778D7" w:rsidP="00A778D7">
      <w:pPr>
        <w:keepNext/>
        <w:jc w:val="center"/>
      </w:pPr>
      <w:r>
        <w:rPr>
          <w:noProof/>
          <w:lang w:eastAsia="en-IE"/>
        </w:rPr>
        <w:lastRenderedPageBreak/>
        <w:drawing>
          <wp:inline distT="0" distB="0" distL="0" distR="0" wp14:anchorId="24C5B4DA" wp14:editId="4FB7C5E4">
            <wp:extent cx="5731510" cy="235390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353900"/>
                    </a:xfrm>
                    <a:prstGeom prst="rect">
                      <a:avLst/>
                    </a:prstGeom>
                    <a:noFill/>
                  </pic:spPr>
                </pic:pic>
              </a:graphicData>
            </a:graphic>
          </wp:inline>
        </w:drawing>
      </w:r>
    </w:p>
    <w:p w14:paraId="686282A9" w14:textId="2B3F0718" w:rsidR="00A778D7" w:rsidRPr="00A778D7" w:rsidRDefault="00A778D7" w:rsidP="00F30F6D">
      <w:pPr>
        <w:pStyle w:val="Caption"/>
      </w:pPr>
      <w:r w:rsidRPr="00A778D7">
        <w:t>S</w:t>
      </w:r>
      <w:r w:rsidR="00400B30">
        <w:t xml:space="preserve">I </w:t>
      </w:r>
      <w:r w:rsidRPr="00A778D7">
        <w:t>F</w:t>
      </w:r>
      <w:r w:rsidR="00400B30">
        <w:t>ig</w:t>
      </w:r>
      <w:r w:rsidR="00F30F6D">
        <w:t>.</w:t>
      </w:r>
      <w:r w:rsidRPr="00A778D7">
        <w:t xml:space="preserve"> </w:t>
      </w:r>
      <w:r w:rsidR="002A25B9">
        <w:t>7</w:t>
      </w:r>
      <w:r w:rsidRPr="00A778D7">
        <w:t>: Comparison of the first and second sweep in ADW for the generator (a) and collector (b) electrodes.</w:t>
      </w:r>
    </w:p>
    <w:p w14:paraId="263B789E" w14:textId="77777777" w:rsidR="00A778D7" w:rsidRDefault="00E703AB" w:rsidP="00A778D7">
      <w:pPr>
        <w:keepNext/>
        <w:jc w:val="center"/>
      </w:pPr>
      <w:r>
        <w:rPr>
          <w:noProof/>
          <w:lang w:eastAsia="en-IE"/>
        </w:rPr>
        <w:drawing>
          <wp:inline distT="0" distB="0" distL="0" distR="0" wp14:anchorId="582FAC98" wp14:editId="37FD2B38">
            <wp:extent cx="5731510" cy="233178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331783"/>
                    </a:xfrm>
                    <a:prstGeom prst="rect">
                      <a:avLst/>
                    </a:prstGeom>
                    <a:noFill/>
                  </pic:spPr>
                </pic:pic>
              </a:graphicData>
            </a:graphic>
          </wp:inline>
        </w:drawing>
      </w:r>
    </w:p>
    <w:p w14:paraId="528F1C77" w14:textId="6F59D048" w:rsidR="008B149F" w:rsidRDefault="00A778D7" w:rsidP="00F30F6D">
      <w:pPr>
        <w:pStyle w:val="Caption"/>
      </w:pPr>
      <w:r w:rsidRPr="00A778D7">
        <w:t>S</w:t>
      </w:r>
      <w:r w:rsidR="00400B30">
        <w:t xml:space="preserve">I </w:t>
      </w:r>
      <w:r w:rsidRPr="00A778D7">
        <w:t>F</w:t>
      </w:r>
      <w:r w:rsidR="00400B30">
        <w:t>ig</w:t>
      </w:r>
      <w:r w:rsidR="00F30F6D">
        <w:t>.</w:t>
      </w:r>
      <w:r w:rsidRPr="00A778D7">
        <w:t xml:space="preserve"> </w:t>
      </w:r>
      <w:r w:rsidR="002A25B9">
        <w:t>8</w:t>
      </w:r>
      <w:r w:rsidRPr="00A778D7">
        <w:t xml:space="preserve">: Full CVs of the scans shown in Figure </w:t>
      </w:r>
      <w:r w:rsidR="001D553B">
        <w:t>7</w:t>
      </w:r>
      <w:r w:rsidRPr="00A778D7">
        <w:t xml:space="preserve"> (a) and (b) in the main text.</w:t>
      </w:r>
      <w:bookmarkEnd w:id="1"/>
    </w:p>
    <w:p w14:paraId="0E1B98B7" w14:textId="439B4DA5"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Pr="00712CB5">
        <w:rPr>
          <w:rFonts w:ascii="Calibri" w:hAnsi="Calibri" w:cs="Calibri"/>
          <w:noProof/>
          <w:szCs w:val="24"/>
        </w:rPr>
        <w:t>[1]</w:t>
      </w:r>
      <w:r w:rsidRPr="00712CB5">
        <w:rPr>
          <w:rFonts w:ascii="Calibri" w:hAnsi="Calibri" w:cs="Calibri"/>
          <w:noProof/>
          <w:szCs w:val="24"/>
        </w:rPr>
        <w:tab/>
        <w:t xml:space="preserve">P. Quaino, N. B. Luque, R. Nazmutdinov, E. Santos, and W. Schmickler, “Why is Gold such a Good Catalyst for Oxygen Reduction in Alkaline Media?,” </w:t>
      </w:r>
      <w:r w:rsidRPr="00712CB5">
        <w:rPr>
          <w:rFonts w:ascii="Calibri" w:hAnsi="Calibri" w:cs="Calibri"/>
          <w:i/>
          <w:iCs/>
          <w:noProof/>
          <w:szCs w:val="24"/>
        </w:rPr>
        <w:t>Angew. Chemie Int. Ed.</w:t>
      </w:r>
      <w:r w:rsidRPr="00712CB5">
        <w:rPr>
          <w:rFonts w:ascii="Calibri" w:hAnsi="Calibri" w:cs="Calibri"/>
          <w:noProof/>
          <w:szCs w:val="24"/>
        </w:rPr>
        <w:t>, vol. 51, no. 52, pp. 12997–13000, 2012, doi: 10.1002/anie.201205902.</w:t>
      </w:r>
    </w:p>
    <w:p w14:paraId="53BE5A0E"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[2]</w:t>
      </w:r>
      <w:r w:rsidRPr="00712CB5">
        <w:rPr>
          <w:rFonts w:ascii="Calibri" w:hAnsi="Calibri" w:cs="Calibri"/>
          <w:noProof/>
          <w:szCs w:val="24"/>
        </w:rPr>
        <w:tab/>
        <w:t xml:space="preserve">Y. Zheng, W. Chen, X.-Q. Zuo, J. Cai, and Y.-X. Chen, “The kinetics of the oxidation and reduction of H2O2 at a Pt electrode: A differential electrochemical mass spectrometric study,” </w:t>
      </w:r>
      <w:r w:rsidRPr="00712CB5">
        <w:rPr>
          <w:rFonts w:ascii="Calibri" w:hAnsi="Calibri" w:cs="Calibri"/>
          <w:i/>
          <w:iCs/>
          <w:noProof/>
          <w:szCs w:val="24"/>
        </w:rPr>
        <w:t>Electrochem. commun.</w:t>
      </w:r>
      <w:r w:rsidRPr="00712CB5">
        <w:rPr>
          <w:rFonts w:ascii="Calibri" w:hAnsi="Calibri" w:cs="Calibri"/>
          <w:noProof/>
          <w:szCs w:val="24"/>
        </w:rPr>
        <w:t>, vol. 73, pp. 38–41, 2016, doi: https://doi.org/10.1016/j.elecom.2016.10.012.</w:t>
      </w:r>
    </w:p>
    <w:p w14:paraId="4891A00E"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[3]</w:t>
      </w:r>
      <w:r w:rsidRPr="00712CB5">
        <w:rPr>
          <w:rFonts w:ascii="Calibri" w:hAnsi="Calibri" w:cs="Calibri"/>
          <w:noProof/>
          <w:szCs w:val="24"/>
        </w:rPr>
        <w:tab/>
        <w:t xml:space="preserve">Y. L. Zheng, D. Mei, Y.-X. Chen, and S. Ye, “The redox reaction of hydrogen peroxide at an Au(100) electrode: Implications for oxygen reduction kinetics,” </w:t>
      </w:r>
      <w:r w:rsidRPr="00712CB5">
        <w:rPr>
          <w:rFonts w:ascii="Calibri" w:hAnsi="Calibri" w:cs="Calibri"/>
          <w:i/>
          <w:iCs/>
          <w:noProof/>
          <w:szCs w:val="24"/>
        </w:rPr>
        <w:t>Electrochem. commun.</w:t>
      </w:r>
      <w:r w:rsidRPr="00712CB5">
        <w:rPr>
          <w:rFonts w:ascii="Calibri" w:hAnsi="Calibri" w:cs="Calibri"/>
          <w:noProof/>
          <w:szCs w:val="24"/>
        </w:rPr>
        <w:t>, vol. 39, pp. 19–21, 2014, doi: https://doi.org/10.1016/j.elecom.2013.12.005.</w:t>
      </w:r>
    </w:p>
    <w:p w14:paraId="15B6122E"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[4]</w:t>
      </w:r>
      <w:r w:rsidRPr="00712CB5">
        <w:rPr>
          <w:rFonts w:ascii="Calibri" w:hAnsi="Calibri" w:cs="Calibri"/>
          <w:noProof/>
          <w:szCs w:val="24"/>
        </w:rPr>
        <w:tab/>
        <w:t xml:space="preserve">A. Sarapuu, K. Tammeveski, T. T. Tenno, V. Sammelselg, K. Kontturi, and D. J. Schiffrin, “Electrochemical reduction of oxygen on thin-film Au electrodes in acid solution,” </w:t>
      </w:r>
      <w:r w:rsidRPr="00712CB5">
        <w:rPr>
          <w:rFonts w:ascii="Calibri" w:hAnsi="Calibri" w:cs="Calibri"/>
          <w:i/>
          <w:iCs/>
          <w:noProof/>
          <w:szCs w:val="24"/>
        </w:rPr>
        <w:t>Electrochem. commun.</w:t>
      </w:r>
      <w:r w:rsidRPr="00712CB5">
        <w:rPr>
          <w:rFonts w:ascii="Calibri" w:hAnsi="Calibri" w:cs="Calibri"/>
          <w:noProof/>
          <w:szCs w:val="24"/>
        </w:rPr>
        <w:t>, vol. 3, no. 8, pp. 446–450, 2001, doi: 10.1016/s1388-2481(01)00198-9.</w:t>
      </w:r>
    </w:p>
    <w:p w14:paraId="04E42111"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[5]</w:t>
      </w:r>
      <w:r w:rsidRPr="00712CB5">
        <w:rPr>
          <w:rFonts w:ascii="Calibri" w:hAnsi="Calibri" w:cs="Calibri"/>
          <w:noProof/>
          <w:szCs w:val="24"/>
        </w:rPr>
        <w:tab/>
        <w:t xml:space="preserve">K. Tammeveski, T. Tenno, J. Claret, and C. Ferrater, “Electrochemical reduction of oxygen on </w:t>
      </w:r>
      <w:r w:rsidRPr="00712CB5">
        <w:rPr>
          <w:rFonts w:ascii="Calibri" w:hAnsi="Calibri" w:cs="Calibri"/>
          <w:noProof/>
          <w:szCs w:val="24"/>
        </w:rPr>
        <w:lastRenderedPageBreak/>
        <w:t xml:space="preserve">thin-film Pt electrodes in 0.1 M KOH,” </w:t>
      </w:r>
      <w:r w:rsidRPr="00712CB5">
        <w:rPr>
          <w:rFonts w:ascii="Calibri" w:hAnsi="Calibri" w:cs="Calibri"/>
          <w:i/>
          <w:iCs/>
          <w:noProof/>
          <w:szCs w:val="24"/>
        </w:rPr>
        <w:t>Electrochim. Acta</w:t>
      </w:r>
      <w:r w:rsidRPr="00712CB5">
        <w:rPr>
          <w:rFonts w:ascii="Calibri" w:hAnsi="Calibri" w:cs="Calibri"/>
          <w:noProof/>
          <w:szCs w:val="24"/>
        </w:rPr>
        <w:t>, vol. 42, no. 5, pp. 893–897, 1997, doi: 10.1016/s0013-4686(96)00325-8.</w:t>
      </w:r>
    </w:p>
    <w:p w14:paraId="3ED53F0D"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[6]</w:t>
      </w:r>
      <w:r w:rsidRPr="00712CB5">
        <w:rPr>
          <w:rFonts w:ascii="Calibri" w:hAnsi="Calibri" w:cs="Calibri"/>
          <w:noProof/>
          <w:szCs w:val="24"/>
        </w:rPr>
        <w:tab/>
        <w:t xml:space="preserve">C. M. Sánchez-Sánchez and A. J. Bard, “Hydrogen Peroxide Production in the Oxygen Reduction Reaction at Different Electrocatalysts as Quantified by Scanning Electrochemical Microscopy,” </w:t>
      </w:r>
      <w:r w:rsidRPr="00712CB5">
        <w:rPr>
          <w:rFonts w:ascii="Calibri" w:hAnsi="Calibri" w:cs="Calibri"/>
          <w:i/>
          <w:iCs/>
          <w:noProof/>
          <w:szCs w:val="24"/>
        </w:rPr>
        <w:t>Anal. Chem.</w:t>
      </w:r>
      <w:r w:rsidRPr="00712CB5">
        <w:rPr>
          <w:rFonts w:ascii="Calibri" w:hAnsi="Calibri" w:cs="Calibri"/>
          <w:noProof/>
          <w:szCs w:val="24"/>
        </w:rPr>
        <w:t>, vol. 81, no. 19, pp. 8094–8100, 2009, doi: 10.1021/ac901291v.</w:t>
      </w:r>
    </w:p>
    <w:p w14:paraId="15E0A034"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[7]</w:t>
      </w:r>
      <w:r w:rsidRPr="00712CB5">
        <w:rPr>
          <w:rFonts w:ascii="Calibri" w:hAnsi="Calibri" w:cs="Calibri"/>
          <w:noProof/>
          <w:szCs w:val="24"/>
        </w:rPr>
        <w:tab/>
        <w:t xml:space="preserve">A. Ignaczak, E. Santos, and W. Schmickler, “Oxygen reduction reaction on gold in alkaline solutions – The inner or outer sphere mechanisms in the light of recent achievements,” </w:t>
      </w:r>
      <w:r w:rsidRPr="00712CB5">
        <w:rPr>
          <w:rFonts w:ascii="Calibri" w:hAnsi="Calibri" w:cs="Calibri"/>
          <w:i/>
          <w:iCs/>
          <w:noProof/>
          <w:szCs w:val="24"/>
        </w:rPr>
        <w:t>Curr. Opin. Electrochem.</w:t>
      </w:r>
      <w:r w:rsidRPr="00712CB5">
        <w:rPr>
          <w:rFonts w:ascii="Calibri" w:hAnsi="Calibri" w:cs="Calibri"/>
          <w:noProof/>
          <w:szCs w:val="24"/>
        </w:rPr>
        <w:t>, vol. 14, pp. 180–185, 2019, doi: 10.1016/j.coelec.2018.07.011.</w:t>
      </w:r>
    </w:p>
    <w:p w14:paraId="656EB37F"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[8]</w:t>
      </w:r>
      <w:r w:rsidRPr="00712CB5">
        <w:rPr>
          <w:rFonts w:ascii="Calibri" w:hAnsi="Calibri" w:cs="Calibri"/>
          <w:noProof/>
          <w:szCs w:val="24"/>
        </w:rPr>
        <w:tab/>
        <w:t xml:space="preserve">S. Tanimoto and A. Ichimura, “Discrimination of Inner- and Outer-Sphere Electrode Reactions by Cyclic Voltammetry Experiments,” </w:t>
      </w:r>
      <w:r w:rsidRPr="00712CB5">
        <w:rPr>
          <w:rFonts w:ascii="Calibri" w:hAnsi="Calibri" w:cs="Calibri"/>
          <w:i/>
          <w:iCs/>
          <w:noProof/>
          <w:szCs w:val="24"/>
        </w:rPr>
        <w:t>J. Chem. Educ.</w:t>
      </w:r>
      <w:r w:rsidRPr="00712CB5">
        <w:rPr>
          <w:rFonts w:ascii="Calibri" w:hAnsi="Calibri" w:cs="Calibri"/>
          <w:noProof/>
          <w:szCs w:val="24"/>
        </w:rPr>
        <w:t>, vol. 90, no. 6, pp. 778–781, 2013, doi: 10.1021/ed200604m.</w:t>
      </w:r>
    </w:p>
    <w:p w14:paraId="62E8E959"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[9]</w:t>
      </w:r>
      <w:r w:rsidRPr="00712CB5">
        <w:rPr>
          <w:rFonts w:ascii="Calibri" w:hAnsi="Calibri" w:cs="Calibri"/>
          <w:noProof/>
          <w:szCs w:val="24"/>
        </w:rPr>
        <w:tab/>
        <w:t xml:space="preserve">Z. Tang, W. Wu, and K. Wang, “Oxygen Reduction Reaction Catalyzed by Noble Metal Clusters,” </w:t>
      </w:r>
      <w:r w:rsidRPr="00712CB5">
        <w:rPr>
          <w:rFonts w:ascii="Calibri" w:hAnsi="Calibri" w:cs="Calibri"/>
          <w:i/>
          <w:iCs/>
          <w:noProof/>
          <w:szCs w:val="24"/>
        </w:rPr>
        <w:t>Catalysts</w:t>
      </w:r>
      <w:r w:rsidRPr="00712CB5">
        <w:rPr>
          <w:rFonts w:ascii="Calibri" w:hAnsi="Calibri" w:cs="Calibri"/>
          <w:noProof/>
          <w:szCs w:val="24"/>
        </w:rPr>
        <w:t>, vol. 8, no. 2, p. 65, 2018, doi: 10.3390/catal8020065.</w:t>
      </w:r>
    </w:p>
    <w:p w14:paraId="1C4CEFD9"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szCs w:val="24"/>
        </w:rPr>
      </w:pPr>
      <w:r w:rsidRPr="00712CB5">
        <w:rPr>
          <w:rFonts w:ascii="Calibri" w:hAnsi="Calibri" w:cs="Calibri"/>
          <w:noProof/>
          <w:szCs w:val="24"/>
        </w:rPr>
        <w:t>[10]</w:t>
      </w:r>
      <w:r w:rsidRPr="00712CB5">
        <w:rPr>
          <w:rFonts w:ascii="Calibri" w:hAnsi="Calibri" w:cs="Calibri"/>
          <w:noProof/>
          <w:szCs w:val="24"/>
        </w:rPr>
        <w:tab/>
        <w:t xml:space="preserve">B. Jayasankar and K. Karan, “O2 electrochemistry on Pt: A unified multi-step model for oxygen reduction and oxide growth,” </w:t>
      </w:r>
      <w:r w:rsidRPr="00712CB5">
        <w:rPr>
          <w:rFonts w:ascii="Calibri" w:hAnsi="Calibri" w:cs="Calibri"/>
          <w:i/>
          <w:iCs/>
          <w:noProof/>
          <w:szCs w:val="24"/>
        </w:rPr>
        <w:t>Electrochim. Acta</w:t>
      </w:r>
      <w:r w:rsidRPr="00712CB5">
        <w:rPr>
          <w:rFonts w:ascii="Calibri" w:hAnsi="Calibri" w:cs="Calibri"/>
          <w:noProof/>
          <w:szCs w:val="24"/>
        </w:rPr>
        <w:t>, vol. 273, pp. 367–378, 2018, doi: 10.1016/j.electacta.2018.03.191.</w:t>
      </w:r>
    </w:p>
    <w:p w14:paraId="4E9A1C9E" w14:textId="77777777" w:rsidR="00712CB5" w:rsidRPr="00712CB5" w:rsidRDefault="00712CB5" w:rsidP="00712CB5">
      <w:pPr>
        <w:widowControl w:val="0"/>
        <w:autoSpaceDE w:val="0"/>
        <w:autoSpaceDN w:val="0"/>
        <w:adjustRightInd w:val="0"/>
        <w:spacing w:line="240" w:lineRule="auto"/>
        <w:ind w:left="640" w:hanging="640"/>
        <w:rPr>
          <w:rFonts w:ascii="Calibri" w:hAnsi="Calibri" w:cs="Calibri"/>
          <w:noProof/>
        </w:rPr>
      </w:pPr>
      <w:r w:rsidRPr="00712CB5">
        <w:rPr>
          <w:rFonts w:ascii="Calibri" w:hAnsi="Calibri" w:cs="Calibri"/>
          <w:noProof/>
          <w:szCs w:val="24"/>
        </w:rPr>
        <w:t>[11]</w:t>
      </w:r>
      <w:r w:rsidRPr="00712CB5">
        <w:rPr>
          <w:rFonts w:ascii="Calibri" w:hAnsi="Calibri" w:cs="Calibri"/>
          <w:noProof/>
          <w:szCs w:val="24"/>
        </w:rPr>
        <w:tab/>
        <w:t xml:space="preserve">V. M. Andoralov, M. R. Tarasevich, and O. V Tripachev, “Oxygen reduction reaction on polycrystalline gold. Pathways of hydrogen peroxide transformation in the acidic medium,” </w:t>
      </w:r>
      <w:r w:rsidRPr="00712CB5">
        <w:rPr>
          <w:rFonts w:ascii="Calibri" w:hAnsi="Calibri" w:cs="Calibri"/>
          <w:i/>
          <w:iCs/>
          <w:noProof/>
          <w:szCs w:val="24"/>
        </w:rPr>
        <w:t>Russ. J. Electrochem.</w:t>
      </w:r>
      <w:r w:rsidRPr="00712CB5">
        <w:rPr>
          <w:rFonts w:ascii="Calibri" w:hAnsi="Calibri" w:cs="Calibri"/>
          <w:noProof/>
          <w:szCs w:val="24"/>
        </w:rPr>
        <w:t>, vol. 47, no. 12, pp. 1327–1336, 2011, doi: 10.1134/s1023193511120020.</w:t>
      </w:r>
    </w:p>
    <w:p w14:paraId="34FCF380" w14:textId="03E56EB7" w:rsidR="00712CB5" w:rsidRPr="00712CB5" w:rsidRDefault="00712CB5" w:rsidP="00712CB5">
      <w:pPr>
        <w:rPr>
          <w:lang w:val="en-GB"/>
        </w:rPr>
      </w:pPr>
      <w:r>
        <w:rPr>
          <w:lang w:val="en-GB"/>
        </w:rPr>
        <w:fldChar w:fldCharType="end"/>
      </w:r>
    </w:p>
    <w:sectPr w:rsidR="00712CB5" w:rsidRPr="00712CB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ames Rohan" w:date="2024-04-04T17:17:00Z" w:initials="JR">
    <w:p w14:paraId="1625D700" w14:textId="77777777" w:rsidR="005C3100" w:rsidRDefault="005C3100" w:rsidP="005C3100">
      <w:r>
        <w:rPr>
          <w:rStyle w:val="CommentReference"/>
        </w:rPr>
        <w:annotationRef/>
      </w:r>
      <w:r>
        <w:rPr>
          <w:sz w:val="20"/>
          <w:szCs w:val="20"/>
        </w:rPr>
        <w:t>Need to be consistent with the main manuscript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25D7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32A340" w16cex:dateUtc="2024-04-04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25D700" w16cid:durableId="6A32A34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mes Rohan">
    <w15:presenceInfo w15:providerId="AD" w15:userId="S::james.rohan@tyndall.ie::dda7a8dd-fac3-47fc-8786-77d1cdb753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7A3"/>
    <w:rsid w:val="001D553B"/>
    <w:rsid w:val="002A06EA"/>
    <w:rsid w:val="002A25B9"/>
    <w:rsid w:val="003247A3"/>
    <w:rsid w:val="003715C9"/>
    <w:rsid w:val="003F4C1F"/>
    <w:rsid w:val="00400B30"/>
    <w:rsid w:val="004A6D11"/>
    <w:rsid w:val="00534D63"/>
    <w:rsid w:val="005B7FC6"/>
    <w:rsid w:val="005C3100"/>
    <w:rsid w:val="00637646"/>
    <w:rsid w:val="00712CB5"/>
    <w:rsid w:val="008A7787"/>
    <w:rsid w:val="008B149F"/>
    <w:rsid w:val="008B6544"/>
    <w:rsid w:val="00A4323F"/>
    <w:rsid w:val="00A506C7"/>
    <w:rsid w:val="00A778D7"/>
    <w:rsid w:val="00B7211E"/>
    <w:rsid w:val="00BD254B"/>
    <w:rsid w:val="00C95FE4"/>
    <w:rsid w:val="00CD0964"/>
    <w:rsid w:val="00D0560D"/>
    <w:rsid w:val="00D075F0"/>
    <w:rsid w:val="00D901E6"/>
    <w:rsid w:val="00E703AB"/>
    <w:rsid w:val="00E96CB3"/>
    <w:rsid w:val="00EE1E68"/>
    <w:rsid w:val="00EF6319"/>
    <w:rsid w:val="00F30F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BB37"/>
  <w15:chartTrackingRefBased/>
  <w15:docId w15:val="{FB6BE8C3-C8E6-4F54-897A-DCDE7ECB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0F6D"/>
    <w:pPr>
      <w:keepNext/>
      <w:keepLines/>
      <w:spacing w:before="240" w:after="240" w:line="240" w:lineRule="auto"/>
      <w:outlineLvl w:val="0"/>
    </w:pPr>
    <w:rPr>
      <w:rFonts w:eastAsiaTheme="majorEastAsia" w:cstheme="minorHAnsi"/>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F30F6D"/>
    <w:pPr>
      <w:spacing w:after="480" w:line="276" w:lineRule="auto"/>
      <w:jc w:val="both"/>
    </w:pPr>
    <w:rPr>
      <w:rFonts w:cstheme="minorHAnsi"/>
      <w:bCs/>
      <w:i/>
      <w:color w:val="000000" w:themeColor="text1"/>
      <w:sz w:val="18"/>
      <w:szCs w:val="18"/>
      <w:lang w:val="en-GB"/>
    </w:rPr>
  </w:style>
  <w:style w:type="character" w:customStyle="1" w:styleId="CaptionChar">
    <w:name w:val="Caption Char"/>
    <w:basedOn w:val="DefaultParagraphFont"/>
    <w:link w:val="Caption"/>
    <w:uiPriority w:val="35"/>
    <w:rsid w:val="00F30F6D"/>
    <w:rPr>
      <w:rFonts w:cstheme="minorHAnsi"/>
      <w:bCs/>
      <w:i/>
      <w:color w:val="000000" w:themeColor="text1"/>
      <w:sz w:val="18"/>
      <w:szCs w:val="18"/>
      <w:lang w:val="en-GB"/>
    </w:rPr>
  </w:style>
  <w:style w:type="table" w:styleId="TableGrid">
    <w:name w:val="Table Grid"/>
    <w:basedOn w:val="TableNormal"/>
    <w:uiPriority w:val="59"/>
    <w:rsid w:val="00D0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0F6D"/>
    <w:rPr>
      <w:rFonts w:eastAsiaTheme="majorEastAsia" w:cstheme="minorHAnsi"/>
      <w:color w:val="000000" w:themeColor="text1"/>
      <w:sz w:val="32"/>
      <w:szCs w:val="32"/>
    </w:rPr>
  </w:style>
  <w:style w:type="paragraph" w:styleId="Revision">
    <w:name w:val="Revision"/>
    <w:hidden/>
    <w:uiPriority w:val="99"/>
    <w:semiHidden/>
    <w:rsid w:val="003F4C1F"/>
    <w:pPr>
      <w:spacing w:after="0" w:line="240" w:lineRule="auto"/>
    </w:pPr>
  </w:style>
  <w:style w:type="character" w:styleId="CommentReference">
    <w:name w:val="annotation reference"/>
    <w:basedOn w:val="DefaultParagraphFont"/>
    <w:uiPriority w:val="99"/>
    <w:semiHidden/>
    <w:unhideWhenUsed/>
    <w:rsid w:val="005C3100"/>
    <w:rPr>
      <w:sz w:val="16"/>
      <w:szCs w:val="16"/>
    </w:rPr>
  </w:style>
  <w:style w:type="paragraph" w:styleId="CommentText">
    <w:name w:val="annotation text"/>
    <w:basedOn w:val="Normal"/>
    <w:link w:val="CommentTextChar"/>
    <w:uiPriority w:val="99"/>
    <w:semiHidden/>
    <w:unhideWhenUsed/>
    <w:rsid w:val="005C3100"/>
    <w:pPr>
      <w:spacing w:line="240" w:lineRule="auto"/>
    </w:pPr>
    <w:rPr>
      <w:sz w:val="20"/>
      <w:szCs w:val="20"/>
    </w:rPr>
  </w:style>
  <w:style w:type="character" w:customStyle="1" w:styleId="CommentTextChar">
    <w:name w:val="Comment Text Char"/>
    <w:basedOn w:val="DefaultParagraphFont"/>
    <w:link w:val="CommentText"/>
    <w:uiPriority w:val="99"/>
    <w:semiHidden/>
    <w:rsid w:val="005C3100"/>
    <w:rPr>
      <w:sz w:val="20"/>
      <w:szCs w:val="20"/>
    </w:rPr>
  </w:style>
  <w:style w:type="paragraph" w:styleId="CommentSubject">
    <w:name w:val="annotation subject"/>
    <w:basedOn w:val="CommentText"/>
    <w:next w:val="CommentText"/>
    <w:link w:val="CommentSubjectChar"/>
    <w:uiPriority w:val="99"/>
    <w:semiHidden/>
    <w:unhideWhenUsed/>
    <w:rsid w:val="005C3100"/>
    <w:rPr>
      <w:b/>
      <w:bCs/>
    </w:rPr>
  </w:style>
  <w:style w:type="character" w:customStyle="1" w:styleId="CommentSubjectChar">
    <w:name w:val="Comment Subject Char"/>
    <w:basedOn w:val="CommentTextChar"/>
    <w:link w:val="CommentSubject"/>
    <w:uiPriority w:val="99"/>
    <w:semiHidden/>
    <w:rsid w:val="005C31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5.png"/><Relationship Id="rId18" Type="http://schemas.microsoft.com/office/2011/relationships/people" Target="people.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C8F8-4CC0-4D56-A40C-B35242817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3834</Words>
  <Characters>20441</Characters>
  <Application>Microsoft Office Word</Application>
  <DocSecurity>0</DocSecurity>
  <Lines>280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Seymour</dc:creator>
  <cp:keywords/>
  <dc:description/>
  <cp:lastModifiedBy>James Rohan</cp:lastModifiedBy>
  <cp:revision>4</cp:revision>
  <dcterms:created xsi:type="dcterms:W3CDTF">2025-05-21T14:25:00Z</dcterms:created>
  <dcterms:modified xsi:type="dcterms:W3CDTF">2025-05-21T16:15:00Z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f93be868-f60e-30a7-9bcb-41fff32fd659</vt:lpwstr>
  </property>
  <property fmtid="{D5CDD505-2E9C-101B-9397-08002B2CF9AE}" pid="24" name="Mendeley Citation Style_1">
    <vt:lpwstr>http://www.zotero.org/styles/ieee</vt:lpwstr>
  </property>
  <property fmtid="{D5CDD505-2E9C-101B-9397-08002B2CF9AE}" pid="25" name="MSIP_Label_ea60d57e-af5b-4752-ac57-3e4f28ca11dc_Enabled">
    <vt:lpwstr>true</vt:lpwstr>
  </property>
  <property fmtid="{D5CDD505-2E9C-101B-9397-08002B2CF9AE}" pid="26" name="MSIP_Label_ea60d57e-af5b-4752-ac57-3e4f28ca11dc_SetDate">
    <vt:lpwstr>2024-07-07T14:02:07Z</vt:lpwstr>
  </property>
  <property fmtid="{D5CDD505-2E9C-101B-9397-08002B2CF9AE}" pid="27" name="MSIP_Label_ea60d57e-af5b-4752-ac57-3e4f28ca11dc_Method">
    <vt:lpwstr>Standard</vt:lpwstr>
  </property>
  <property fmtid="{D5CDD505-2E9C-101B-9397-08002B2CF9AE}" pid="28" name="MSIP_Label_ea60d57e-af5b-4752-ac57-3e4f28ca11dc_Name">
    <vt:lpwstr>ea60d57e-af5b-4752-ac57-3e4f28ca11dc</vt:lpwstr>
  </property>
  <property fmtid="{D5CDD505-2E9C-101B-9397-08002B2CF9AE}" pid="29" name="MSIP_Label_ea60d57e-af5b-4752-ac57-3e4f28ca11dc_SiteId">
    <vt:lpwstr>36da45f1-dd2c-4d1f-af13-5abe46b99921</vt:lpwstr>
  </property>
  <property fmtid="{D5CDD505-2E9C-101B-9397-08002B2CF9AE}" pid="30" name="MSIP_Label_ea60d57e-af5b-4752-ac57-3e4f28ca11dc_ActionId">
    <vt:lpwstr>74e4a884-5c0f-4921-8b7e-57775216a4ef</vt:lpwstr>
  </property>
  <property fmtid="{D5CDD505-2E9C-101B-9397-08002B2CF9AE}" pid="31" name="MSIP_Label_ea60d57e-af5b-4752-ac57-3e4f28ca11dc_ContentBits">
    <vt:lpwstr>0</vt:lpwstr>
  </property>
</Properties>
</file>