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E1D75" w14:textId="77777777" w:rsidR="008B18CC" w:rsidRDefault="008B18CC" w:rsidP="0078229E">
      <w:pPr>
        <w:spacing w:after="240" w:line="480" w:lineRule="auto"/>
        <w:rPr>
          <w:rFonts w:ascii="Times New Roman" w:hAnsi="Times New Roman" w:cs="Times New Roman"/>
          <w:b/>
          <w:bCs/>
          <w:color w:val="000000" w:themeColor="text1"/>
          <w:sz w:val="24"/>
          <w:szCs w:val="24"/>
        </w:rPr>
      </w:pPr>
      <w:bookmarkStart w:id="0" w:name="_GoBack"/>
      <w:bookmarkEnd w:id="0"/>
      <w:r>
        <w:rPr>
          <w:rFonts w:ascii="Times New Roman" w:hAnsi="Times New Roman" w:cs="Times New Roman"/>
          <w:b/>
          <w:bCs/>
          <w:color w:val="000000" w:themeColor="text1"/>
          <w:sz w:val="24"/>
          <w:szCs w:val="24"/>
        </w:rPr>
        <w:t xml:space="preserve">Electronic </w:t>
      </w:r>
      <w:r w:rsidR="0078229E" w:rsidRPr="0078229E">
        <w:rPr>
          <w:rFonts w:ascii="Times New Roman" w:hAnsi="Times New Roman" w:cs="Times New Roman"/>
          <w:b/>
          <w:bCs/>
          <w:color w:val="000000" w:themeColor="text1"/>
          <w:sz w:val="24"/>
          <w:szCs w:val="24"/>
        </w:rPr>
        <w:t>Supplementary</w:t>
      </w:r>
      <w:r>
        <w:rPr>
          <w:rFonts w:ascii="Times New Roman" w:hAnsi="Times New Roman" w:cs="Times New Roman"/>
          <w:b/>
          <w:bCs/>
          <w:color w:val="000000" w:themeColor="text1"/>
          <w:sz w:val="24"/>
          <w:szCs w:val="24"/>
        </w:rPr>
        <w:t xml:space="preserve"> Material</w:t>
      </w:r>
    </w:p>
    <w:p w14:paraId="3B24E9B3" w14:textId="3F0F4DCE" w:rsidR="0078229E" w:rsidRPr="0078229E" w:rsidRDefault="0078229E" w:rsidP="0078229E">
      <w:pPr>
        <w:spacing w:after="240" w:line="480" w:lineRule="auto"/>
        <w:rPr>
          <w:rFonts w:ascii="Times New Roman" w:hAnsi="Times New Roman" w:cs="Times New Roman"/>
          <w:b/>
          <w:bCs/>
          <w:color w:val="000000" w:themeColor="text1"/>
          <w:sz w:val="24"/>
          <w:szCs w:val="24"/>
        </w:rPr>
      </w:pPr>
      <w:r w:rsidRPr="0078229E">
        <w:rPr>
          <w:rFonts w:ascii="Times New Roman" w:hAnsi="Times New Roman" w:cs="Times New Roman"/>
          <w:b/>
          <w:bCs/>
          <w:color w:val="000000" w:themeColor="text1"/>
          <w:sz w:val="24"/>
          <w:szCs w:val="24"/>
        </w:rPr>
        <w:t>A</w:t>
      </w:r>
      <w:r w:rsidR="008B18CC">
        <w:rPr>
          <w:rFonts w:ascii="Times New Roman" w:hAnsi="Times New Roman" w:cs="Times New Roman"/>
          <w:b/>
          <w:bCs/>
          <w:color w:val="000000" w:themeColor="text1"/>
          <w:sz w:val="24"/>
          <w:szCs w:val="24"/>
        </w:rPr>
        <w:t>PPENDIX A: ADDITIONAL PROTOCOL INFORMATION</w:t>
      </w:r>
      <w:bookmarkStart w:id="1" w:name="_Toc380764901"/>
      <w:bookmarkStart w:id="2" w:name="_Toc382385119"/>
      <w:bookmarkStart w:id="3" w:name="_Toc382385427"/>
      <w:bookmarkStart w:id="4" w:name="_Toc390501803"/>
      <w:bookmarkStart w:id="5" w:name="_Toc392156400"/>
      <w:bookmarkStart w:id="6" w:name="_Toc392156708"/>
      <w:bookmarkStart w:id="7" w:name="_Toc403512015"/>
      <w:bookmarkStart w:id="8" w:name="_Toc415502363"/>
      <w:bookmarkStart w:id="9" w:name="_Toc415502661"/>
      <w:bookmarkStart w:id="10" w:name="_Toc415823311"/>
      <w:bookmarkStart w:id="11" w:name="_Toc423642868"/>
      <w:bookmarkStart w:id="12" w:name="_Toc423643176"/>
      <w:bookmarkStart w:id="13" w:name="_Ref453757011"/>
      <w:bookmarkStart w:id="14" w:name="_Toc452751668"/>
      <w:bookmarkStart w:id="15" w:name="_Toc466281115"/>
    </w:p>
    <w:p w14:paraId="3B24E9B4" w14:textId="77777777" w:rsidR="0078229E" w:rsidRPr="008B18CC" w:rsidRDefault="0078229E" w:rsidP="0078229E">
      <w:pPr>
        <w:spacing w:after="240" w:line="480" w:lineRule="auto"/>
        <w:rPr>
          <w:rFonts w:ascii="Times New Roman" w:hAnsi="Times New Roman" w:cs="Times New Roman"/>
          <w:bCs/>
          <w:iCs/>
          <w:color w:val="000000" w:themeColor="text1"/>
          <w:sz w:val="24"/>
          <w:szCs w:val="24"/>
        </w:rPr>
      </w:pPr>
      <w:r w:rsidRPr="008B18CC">
        <w:rPr>
          <w:rFonts w:ascii="Times New Roman" w:hAnsi="Times New Roman" w:cs="Times New Roman"/>
          <w:bCs/>
          <w:iCs/>
          <w:color w:val="000000" w:themeColor="text1"/>
          <w:sz w:val="24"/>
          <w:szCs w:val="24"/>
        </w:rPr>
        <w:t>PROTOCOL VERSION 1; 26 APRIL 2017</w:t>
      </w:r>
    </w:p>
    <w:p w14:paraId="3B24E9B5" w14:textId="24D8241C" w:rsidR="0078229E" w:rsidRPr="0078229E" w:rsidRDefault="0078229E" w:rsidP="0078229E">
      <w:pPr>
        <w:spacing w:after="240" w:line="480" w:lineRule="auto"/>
        <w:rPr>
          <w:rFonts w:ascii="Times New Roman" w:hAnsi="Times New Roman" w:cs="Times New Roman"/>
          <w:b/>
          <w:bCs/>
          <w:iCs/>
          <w:color w:val="000000" w:themeColor="text1"/>
          <w:sz w:val="24"/>
          <w:szCs w:val="24"/>
        </w:rPr>
      </w:pPr>
      <w:r w:rsidRPr="0078229E">
        <w:rPr>
          <w:rFonts w:ascii="Times New Roman" w:hAnsi="Times New Roman" w:cs="Times New Roman"/>
          <w:b/>
          <w:bCs/>
          <w:iCs/>
          <w:color w:val="000000" w:themeColor="text1"/>
          <w:sz w:val="24"/>
          <w:szCs w:val="24"/>
        </w:rPr>
        <w:t xml:space="preserve">Protocol </w:t>
      </w:r>
      <w:r w:rsidR="008B18CC">
        <w:rPr>
          <w:rFonts w:ascii="Times New Roman" w:hAnsi="Times New Roman" w:cs="Times New Roman"/>
          <w:b/>
          <w:bCs/>
          <w:iCs/>
          <w:color w:val="000000" w:themeColor="text1"/>
          <w:sz w:val="24"/>
          <w:szCs w:val="24"/>
        </w:rPr>
        <w:t>A</w:t>
      </w:r>
      <w:r w:rsidRPr="0078229E">
        <w:rPr>
          <w:rFonts w:ascii="Times New Roman" w:hAnsi="Times New Roman" w:cs="Times New Roman"/>
          <w:b/>
          <w:bCs/>
          <w:iCs/>
          <w:color w:val="000000" w:themeColor="text1"/>
          <w:sz w:val="24"/>
          <w:szCs w:val="24"/>
        </w:rPr>
        <w:t>mendment</w:t>
      </w:r>
    </w:p>
    <w:p w14:paraId="3B24E9B6"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Any protocol amendments will be prepared by F. Hoffmann-La Roche, Ltd. (the sponsor). Protocol amendments will be submitted to the Institutional Review Board/Ethics Committee (IRB/EC) and to regulatory authorities in accordance with local regulatory requirements. Approval must be obtained from the IRB/EC and regulatory authorities (as locally required) before implementation of any changes, except for changes necessary to eliminate an immediate hazard to patients or changes that involve logistical or administrative aspects only (e.g. change in Medical Monitor or contact information).</w:t>
      </w:r>
    </w:p>
    <w:p w14:paraId="3B24E9B7" w14:textId="77777777" w:rsidR="0078229E" w:rsidRPr="0078229E" w:rsidRDefault="0078229E" w:rsidP="0078229E">
      <w:pPr>
        <w:spacing w:after="240" w:line="480" w:lineRule="auto"/>
        <w:rPr>
          <w:rFonts w:ascii="Times New Roman" w:hAnsi="Times New Roman" w:cs="Times New Roman"/>
          <w:b/>
          <w:bCs/>
          <w:iCs/>
          <w:color w:val="000000" w:themeColor="text1"/>
          <w:sz w:val="24"/>
          <w:szCs w:val="24"/>
        </w:rPr>
      </w:pPr>
      <w:r w:rsidRPr="0078229E">
        <w:rPr>
          <w:rFonts w:ascii="Times New Roman" w:hAnsi="Times New Roman" w:cs="Times New Roman"/>
          <w:b/>
          <w:bCs/>
          <w:iCs/>
          <w:color w:val="000000" w:themeColor="text1"/>
          <w:sz w:val="24"/>
          <w:szCs w:val="24"/>
        </w:rPr>
        <w:t>Confidentiality</w:t>
      </w:r>
    </w:p>
    <w:p w14:paraId="3B24E9B8"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 xml:space="preserve">The sponsor maintains confidentiality standards by coding each patient enrolled in the study through assignment of a unique patient identification number. This means that patient </w:t>
      </w:r>
      <w:r w:rsidRPr="0078229E">
        <w:rPr>
          <w:rFonts w:ascii="Times New Roman" w:hAnsi="Times New Roman" w:cs="Times New Roman"/>
          <w:color w:val="000000" w:themeColor="text1"/>
          <w:sz w:val="24"/>
          <w:szCs w:val="24"/>
        </w:rPr>
        <w:lastRenderedPageBreak/>
        <w:t>names are not included in data sets that are transmitted to any sponsor location. Patient medical information obtained in this study is confidential and may be disclosed to third parties only as permitted by the informed consent form (or separate authorisation for use and disclosure of personal health information) signed by the patient, unless permitted or required by law. Medical information may be given to a patient’s personal physician, or other appropriate medical personnel responsible for the patient’s welfare, for treatment purposes. Data generated by this study must be available for inspection upon request by representatives of national and local health authorities, sponsor monitors, representatives and collaborators, and the IRB/EC for each study site, as appropriate.</w:t>
      </w:r>
    </w:p>
    <w:p w14:paraId="3B24E9B9" w14:textId="2FBA151C" w:rsidR="0078229E" w:rsidRPr="0078229E" w:rsidRDefault="0078229E" w:rsidP="0078229E">
      <w:pPr>
        <w:spacing w:after="240" w:line="480" w:lineRule="auto"/>
        <w:rPr>
          <w:rFonts w:ascii="Times New Roman" w:hAnsi="Times New Roman" w:cs="Times New Roman"/>
          <w:b/>
          <w:bCs/>
          <w:iCs/>
          <w:color w:val="000000" w:themeColor="text1"/>
          <w:sz w:val="24"/>
          <w:szCs w:val="24"/>
        </w:rPr>
      </w:pPr>
      <w:r w:rsidRPr="0078229E">
        <w:rPr>
          <w:rFonts w:ascii="Times New Roman" w:hAnsi="Times New Roman" w:cs="Times New Roman"/>
          <w:b/>
          <w:bCs/>
          <w:iCs/>
          <w:color w:val="000000" w:themeColor="text1"/>
          <w:sz w:val="24"/>
          <w:szCs w:val="24"/>
        </w:rPr>
        <w:t xml:space="preserve">Data </w:t>
      </w:r>
      <w:r w:rsidR="008B18CC">
        <w:rPr>
          <w:rFonts w:ascii="Times New Roman" w:hAnsi="Times New Roman" w:cs="Times New Roman"/>
          <w:b/>
          <w:bCs/>
          <w:iCs/>
          <w:color w:val="000000" w:themeColor="text1"/>
          <w:sz w:val="24"/>
          <w:szCs w:val="24"/>
        </w:rPr>
        <w:t>Q</w:t>
      </w:r>
      <w:r w:rsidRPr="0078229E">
        <w:rPr>
          <w:rFonts w:ascii="Times New Roman" w:hAnsi="Times New Roman" w:cs="Times New Roman"/>
          <w:b/>
          <w:bCs/>
          <w:iCs/>
          <w:color w:val="000000" w:themeColor="text1"/>
          <w:sz w:val="24"/>
          <w:szCs w:val="24"/>
        </w:rPr>
        <w:t xml:space="preserve">uality </w:t>
      </w:r>
      <w:r w:rsidR="008B18CC">
        <w:rPr>
          <w:rFonts w:ascii="Times New Roman" w:hAnsi="Times New Roman" w:cs="Times New Roman"/>
          <w:b/>
          <w:bCs/>
          <w:iCs/>
          <w:color w:val="000000" w:themeColor="text1"/>
          <w:sz w:val="24"/>
          <w:szCs w:val="24"/>
        </w:rPr>
        <w:t>A</w:t>
      </w:r>
      <w:r w:rsidRPr="0078229E">
        <w:rPr>
          <w:rFonts w:ascii="Times New Roman" w:hAnsi="Times New Roman" w:cs="Times New Roman"/>
          <w:b/>
          <w:bCs/>
          <w:iCs/>
          <w:color w:val="000000" w:themeColor="text1"/>
          <w:sz w:val="24"/>
          <w:szCs w:val="24"/>
        </w:rPr>
        <w:t>ssurance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B24E9BA" w14:textId="70A2383A"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 xml:space="preserve">The contract research organisation (CRO) will be responsible for the data management of this study, including quality checking of the data. Data entered manually will be collected via electronic data capture (EDC) through </w:t>
      </w:r>
      <w:r w:rsidR="008B18CC">
        <w:rPr>
          <w:rFonts w:ascii="Times New Roman" w:hAnsi="Times New Roman" w:cs="Times New Roman"/>
          <w:bCs/>
          <w:iCs/>
          <w:color w:val="000000" w:themeColor="text1"/>
          <w:sz w:val="24"/>
          <w:szCs w:val="24"/>
        </w:rPr>
        <w:t>the use of electronic case report</w:t>
      </w:r>
      <w:r w:rsidRPr="0078229E">
        <w:rPr>
          <w:rFonts w:ascii="Times New Roman" w:hAnsi="Times New Roman" w:cs="Times New Roman"/>
          <w:bCs/>
          <w:iCs/>
          <w:color w:val="000000" w:themeColor="text1"/>
          <w:sz w:val="24"/>
          <w:szCs w:val="24"/>
        </w:rPr>
        <w:t xml:space="preserve"> forms (eCRFs). Sites will be responsible for data entry into the EDC system. In the event of discrepant data, the CRO will request data clarification from the sites, which the sites will resolve electronically in the EDC system. </w:t>
      </w:r>
    </w:p>
    <w:p w14:paraId="3B24E9BB"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lastRenderedPageBreak/>
        <w:t xml:space="preserve">The sponsor will oversee the data management of this study. The sponsor will produce an EDC Study Specification document that describes the quality checking to be performed on the data. </w:t>
      </w:r>
    </w:p>
    <w:p w14:paraId="3B24E9BC"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eCRFs and correction documentation will be maintained in the EDC system’s audit trail. System backups for data stored by the sponsor and records retention for the study data will be consistent with the sponsor’s standard procedures.</w:t>
      </w:r>
    </w:p>
    <w:p w14:paraId="3B24E9BD" w14:textId="04B2F126" w:rsidR="0078229E" w:rsidRPr="0078229E" w:rsidRDefault="008B18CC" w:rsidP="0078229E">
      <w:pPr>
        <w:spacing w:after="240" w:line="480" w:lineRule="auto"/>
        <w:rPr>
          <w:rFonts w:ascii="Times New Roman" w:hAnsi="Times New Roman" w:cs="Times New Roman"/>
          <w:b/>
          <w:color w:val="000000" w:themeColor="text1"/>
          <w:sz w:val="24"/>
          <w:szCs w:val="24"/>
        </w:rPr>
      </w:pPr>
      <w:bookmarkStart w:id="16" w:name="_Toc380764902"/>
      <w:bookmarkStart w:id="17" w:name="_Toc382385120"/>
      <w:bookmarkStart w:id="18" w:name="_Toc382385428"/>
      <w:bookmarkStart w:id="19" w:name="_Toc390501804"/>
      <w:bookmarkStart w:id="20" w:name="_Toc392156401"/>
      <w:bookmarkStart w:id="21" w:name="_Toc392156709"/>
      <w:bookmarkStart w:id="22" w:name="_Toc403512016"/>
      <w:bookmarkStart w:id="23" w:name="_Toc415502364"/>
      <w:bookmarkStart w:id="24" w:name="_Toc415502662"/>
      <w:bookmarkStart w:id="25" w:name="_Toc415823312"/>
      <w:bookmarkStart w:id="26" w:name="_Toc423642869"/>
      <w:bookmarkStart w:id="27" w:name="_Toc423643177"/>
      <w:bookmarkStart w:id="28" w:name="_Toc452751669"/>
      <w:bookmarkStart w:id="29" w:name="_Toc466281116"/>
      <w:r>
        <w:rPr>
          <w:rFonts w:ascii="Times New Roman" w:hAnsi="Times New Roman" w:cs="Times New Roman"/>
          <w:b/>
          <w:color w:val="000000" w:themeColor="text1"/>
          <w:sz w:val="24"/>
          <w:szCs w:val="24"/>
        </w:rPr>
        <w:t>Electronic C</w:t>
      </w:r>
      <w:r w:rsidR="0078229E" w:rsidRPr="0078229E">
        <w:rPr>
          <w:rFonts w:ascii="Times New Roman" w:hAnsi="Times New Roman" w:cs="Times New Roman"/>
          <w:b/>
          <w:color w:val="000000" w:themeColor="text1"/>
          <w:sz w:val="24"/>
          <w:szCs w:val="24"/>
        </w:rPr>
        <w:t xml:space="preserve">ase </w:t>
      </w:r>
      <w:r>
        <w:rPr>
          <w:rFonts w:ascii="Times New Roman" w:hAnsi="Times New Roman" w:cs="Times New Roman"/>
          <w:b/>
          <w:color w:val="000000" w:themeColor="text1"/>
          <w:sz w:val="24"/>
          <w:szCs w:val="24"/>
        </w:rPr>
        <w:t>R</w:t>
      </w:r>
      <w:r w:rsidR="0078229E" w:rsidRPr="0078229E">
        <w:rPr>
          <w:rFonts w:ascii="Times New Roman" w:hAnsi="Times New Roman" w:cs="Times New Roman"/>
          <w:b/>
          <w:color w:val="000000" w:themeColor="text1"/>
          <w:sz w:val="24"/>
          <w:szCs w:val="24"/>
        </w:rPr>
        <w:t xml:space="preserve">eport </w:t>
      </w:r>
      <w:r>
        <w:rPr>
          <w:rFonts w:ascii="Times New Roman" w:hAnsi="Times New Roman" w:cs="Times New Roman"/>
          <w:b/>
          <w:color w:val="000000" w:themeColor="text1"/>
          <w:sz w:val="24"/>
          <w:szCs w:val="24"/>
        </w:rPr>
        <w:t>F</w:t>
      </w:r>
      <w:r w:rsidR="0078229E" w:rsidRPr="0078229E">
        <w:rPr>
          <w:rFonts w:ascii="Times New Roman" w:hAnsi="Times New Roman" w:cs="Times New Roman"/>
          <w:b/>
          <w:color w:val="000000" w:themeColor="text1"/>
          <w:sz w:val="24"/>
          <w:szCs w:val="24"/>
        </w:rPr>
        <w:t>orms</w:t>
      </w:r>
      <w:bookmarkEnd w:id="16"/>
      <w:bookmarkEnd w:id="17"/>
      <w:bookmarkEnd w:id="18"/>
      <w:bookmarkEnd w:id="19"/>
      <w:bookmarkEnd w:id="20"/>
      <w:bookmarkEnd w:id="21"/>
      <w:bookmarkEnd w:id="22"/>
      <w:bookmarkEnd w:id="23"/>
      <w:bookmarkEnd w:id="24"/>
      <w:bookmarkEnd w:id="25"/>
      <w:bookmarkEnd w:id="26"/>
      <w:bookmarkEnd w:id="27"/>
      <w:bookmarkEnd w:id="28"/>
      <w:bookmarkEnd w:id="29"/>
      <w:r w:rsidR="0078229E" w:rsidRPr="0078229E">
        <w:rPr>
          <w:rFonts w:ascii="Times New Roman" w:hAnsi="Times New Roman" w:cs="Times New Roman"/>
          <w:b/>
          <w:color w:val="000000" w:themeColor="text1"/>
          <w:sz w:val="24"/>
          <w:szCs w:val="24"/>
        </w:rPr>
        <w:t xml:space="preserve"> </w:t>
      </w:r>
    </w:p>
    <w:p w14:paraId="3B24E9BE"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eCRFs are to be completed through use of a sponsor-designated EDC system. Sites will receive training and have access to a user manual for appropriate eCRF completion. eCRFs will be submitted electronically to the sponsor and should be handled in accordance with instructions from the sponsor.</w:t>
      </w:r>
    </w:p>
    <w:p w14:paraId="78322CFA" w14:textId="649687B5" w:rsidR="005E4BA7" w:rsidRDefault="0078229E" w:rsidP="00BC2284">
      <w:pPr>
        <w:spacing w:after="240" w:line="480" w:lineRule="auto"/>
        <w:rPr>
          <w:rFonts w:ascii="Times New Roman" w:hAnsi="Times New Roman" w:cs="Times New Roman"/>
          <w:b/>
          <w:bCs/>
          <w:iCs/>
          <w:color w:val="000000" w:themeColor="text1"/>
          <w:sz w:val="24"/>
          <w:szCs w:val="24"/>
        </w:rPr>
      </w:pPr>
      <w:r w:rsidRPr="0078229E">
        <w:rPr>
          <w:rFonts w:ascii="Times New Roman" w:hAnsi="Times New Roman" w:cs="Times New Roman"/>
          <w:color w:val="000000" w:themeColor="text1"/>
          <w:sz w:val="24"/>
          <w:szCs w:val="24"/>
        </w:rPr>
        <w:t xml:space="preserve">All eCRFs should be completed by designated, trained site staff. eCRFs should be reviewed and electronically signed and dated by the investigator or a designee. At the end of the study, the investigator will receive patient data for his or her site in a readable format on a </w:t>
      </w:r>
      <w:r w:rsidRPr="0078229E">
        <w:rPr>
          <w:rFonts w:ascii="Times New Roman" w:hAnsi="Times New Roman" w:cs="Times New Roman"/>
          <w:color w:val="000000" w:themeColor="text1"/>
          <w:sz w:val="24"/>
          <w:szCs w:val="24"/>
        </w:rPr>
        <w:lastRenderedPageBreak/>
        <w:t>compact disc that must be kept with the study records. Acknowledgement of receipt of the compact disc is required.</w:t>
      </w:r>
      <w:bookmarkStart w:id="30" w:name="_Toc380764904"/>
      <w:bookmarkStart w:id="31" w:name="_Toc382385122"/>
      <w:bookmarkStart w:id="32" w:name="_Toc382385430"/>
      <w:bookmarkStart w:id="33" w:name="_Toc390501806"/>
      <w:bookmarkStart w:id="34" w:name="_Toc392156403"/>
      <w:bookmarkStart w:id="35" w:name="_Toc392156711"/>
      <w:bookmarkStart w:id="36" w:name="_Toc403512018"/>
      <w:bookmarkStart w:id="37" w:name="_Toc415502366"/>
      <w:bookmarkStart w:id="38" w:name="_Toc415502664"/>
      <w:bookmarkStart w:id="39" w:name="_Toc415823314"/>
      <w:bookmarkStart w:id="40" w:name="_Toc423642871"/>
      <w:bookmarkStart w:id="41" w:name="_Toc423643179"/>
      <w:bookmarkStart w:id="42" w:name="_Toc452751671"/>
      <w:bookmarkStart w:id="43" w:name="_Toc466281117"/>
    </w:p>
    <w:p w14:paraId="3B24E9C0" w14:textId="3A97D13B" w:rsidR="0078229E" w:rsidRPr="0078229E" w:rsidRDefault="0078229E" w:rsidP="0078229E">
      <w:pPr>
        <w:spacing w:after="240" w:line="480" w:lineRule="auto"/>
        <w:rPr>
          <w:rFonts w:ascii="Times New Roman" w:hAnsi="Times New Roman" w:cs="Times New Roman"/>
          <w:b/>
          <w:bCs/>
          <w:iCs/>
          <w:color w:val="000000" w:themeColor="text1"/>
          <w:sz w:val="24"/>
          <w:szCs w:val="24"/>
        </w:rPr>
      </w:pPr>
      <w:r w:rsidRPr="0078229E">
        <w:rPr>
          <w:rFonts w:ascii="Times New Roman" w:hAnsi="Times New Roman" w:cs="Times New Roman"/>
          <w:b/>
          <w:bCs/>
          <w:iCs/>
          <w:color w:val="000000" w:themeColor="text1"/>
          <w:sz w:val="24"/>
          <w:szCs w:val="24"/>
        </w:rPr>
        <w:t xml:space="preserve">Source </w:t>
      </w:r>
      <w:r w:rsidR="00BC2284">
        <w:rPr>
          <w:rFonts w:ascii="Times New Roman" w:hAnsi="Times New Roman" w:cs="Times New Roman"/>
          <w:b/>
          <w:bCs/>
          <w:iCs/>
          <w:color w:val="000000" w:themeColor="text1"/>
          <w:sz w:val="24"/>
          <w:szCs w:val="24"/>
        </w:rPr>
        <w:t>D</w:t>
      </w:r>
      <w:r w:rsidRPr="0078229E">
        <w:rPr>
          <w:rFonts w:ascii="Times New Roman" w:hAnsi="Times New Roman" w:cs="Times New Roman"/>
          <w:b/>
          <w:bCs/>
          <w:iCs/>
          <w:color w:val="000000" w:themeColor="text1"/>
          <w:sz w:val="24"/>
          <w:szCs w:val="24"/>
        </w:rPr>
        <w:t xml:space="preserve">ata </w:t>
      </w:r>
      <w:r w:rsidR="00BC2284">
        <w:rPr>
          <w:rFonts w:ascii="Times New Roman" w:hAnsi="Times New Roman" w:cs="Times New Roman"/>
          <w:b/>
          <w:bCs/>
          <w:iCs/>
          <w:color w:val="000000" w:themeColor="text1"/>
          <w:sz w:val="24"/>
          <w:szCs w:val="24"/>
        </w:rPr>
        <w:t>D</w:t>
      </w:r>
      <w:r w:rsidRPr="0078229E">
        <w:rPr>
          <w:rFonts w:ascii="Times New Roman" w:hAnsi="Times New Roman" w:cs="Times New Roman"/>
          <w:b/>
          <w:bCs/>
          <w:iCs/>
          <w:color w:val="000000" w:themeColor="text1"/>
          <w:sz w:val="24"/>
          <w:szCs w:val="24"/>
        </w:rPr>
        <w:t>ocumentation</w:t>
      </w:r>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B24E9C1"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Study monitors will perform ongoing source data verification and review to confirm that critical protocol data (i.e. source data) entered into the eCRFs by authorised site personnel are accurate, complete and verifiable from source documents. Source documents (paper or electronic) are those in which patient data are recorded and documented for the first time. They include, but are not limited to, hospital records, clinical and office charts, laboratory notes, memoranda, patient-reported outcomes (PROs), evaluation checklists, recorded data from automated instruments, copies of transcriptions that are certified after verification as being accurate and complete, microfiches, photographic negatives, microfilms or magnetic media, X-rays, patient files, and records kept at pharmacies, laboratories and medicotechnical departments involved in the study.</w:t>
      </w:r>
    </w:p>
    <w:p w14:paraId="3B24E9C2"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 xml:space="preserve">PRO data will be collected via paper questionnaires. The data from the questionnaires will be entered into the EDC system. The electronic data will be available for view access only, via a secure method. Only identified and trained users may view the data, and their actions </w:t>
      </w:r>
      <w:r w:rsidRPr="0078229E">
        <w:rPr>
          <w:rFonts w:ascii="Times New Roman" w:hAnsi="Times New Roman" w:cs="Times New Roman"/>
          <w:color w:val="000000" w:themeColor="text1"/>
          <w:sz w:val="24"/>
          <w:szCs w:val="24"/>
        </w:rPr>
        <w:lastRenderedPageBreak/>
        <w:t>will become part of the audit trail. The sponsor will have view access only. System backups for data stored by the sponsor and records retention for the study data will be consistent with the sponsor’s standard procedures. Once the study is complete, the data, audit trail, and study and system documentation will be archived. The investigator will keep all PRO forms completed by the patient in the study records as source data. In addition, the site will receive all data in a machine-readable format on a compact disc. Acknowledgement of receipt of the compact disc is required.</w:t>
      </w:r>
    </w:p>
    <w:p w14:paraId="3B24E9C3" w14:textId="6D42A5C3"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Before study initiation, the types of source documents that are to be generated will be clearly defined in the Trial Monitoring Plan. This includes any protocol data to be entered directly into the eCRFs (i.e.</w:t>
      </w:r>
      <w:r w:rsidR="00BC2284">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no prior written or electronic record of the data) and considered source data. Source documents that are required to verify the validity and completeness of data entered into the eCRFs must not be obliterated or destroyed and must be retained per the policy for retention of records, as described below.</w:t>
      </w:r>
    </w:p>
    <w:p w14:paraId="3B24E9C4"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 xml:space="preserve">To facilitate source data verification and review, the investigators and institutions must grant the sponsor direct access to applicable source documents and reports for trial-related </w:t>
      </w:r>
      <w:r w:rsidRPr="0078229E">
        <w:rPr>
          <w:rFonts w:ascii="Times New Roman" w:hAnsi="Times New Roman" w:cs="Times New Roman"/>
          <w:color w:val="000000" w:themeColor="text1"/>
          <w:sz w:val="24"/>
          <w:szCs w:val="24"/>
        </w:rPr>
        <w:lastRenderedPageBreak/>
        <w:t>monitoring, sponsor audits and IRB/EC review. The study site must also allow inspection by applicable health authorities.</w:t>
      </w:r>
      <w:bookmarkStart w:id="44" w:name="_Toc380764905"/>
      <w:bookmarkStart w:id="45" w:name="_Toc382385123"/>
      <w:bookmarkStart w:id="46" w:name="_Toc382385431"/>
      <w:bookmarkStart w:id="47" w:name="_Toc390501807"/>
      <w:bookmarkStart w:id="48" w:name="_Toc392156404"/>
      <w:bookmarkStart w:id="49" w:name="_Toc392156712"/>
      <w:bookmarkStart w:id="50" w:name="_Toc403512019"/>
      <w:bookmarkStart w:id="51" w:name="_Toc415502367"/>
      <w:bookmarkStart w:id="52" w:name="_Toc415502665"/>
      <w:bookmarkStart w:id="53" w:name="_Toc415823315"/>
      <w:bookmarkStart w:id="54" w:name="_Toc423642872"/>
      <w:bookmarkStart w:id="55" w:name="_Toc423643180"/>
      <w:bookmarkStart w:id="56" w:name="_Toc452751672"/>
      <w:bookmarkStart w:id="57" w:name="_Toc466281118"/>
    </w:p>
    <w:p w14:paraId="3B24E9C5" w14:textId="5544A28A"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b/>
          <w:bCs/>
          <w:iCs/>
          <w:color w:val="000000" w:themeColor="text1"/>
          <w:sz w:val="24"/>
          <w:szCs w:val="24"/>
        </w:rPr>
        <w:t xml:space="preserve">Use of </w:t>
      </w:r>
      <w:r w:rsidR="00BC2284">
        <w:rPr>
          <w:rFonts w:ascii="Times New Roman" w:hAnsi="Times New Roman" w:cs="Times New Roman"/>
          <w:b/>
          <w:bCs/>
          <w:iCs/>
          <w:color w:val="000000" w:themeColor="text1"/>
          <w:sz w:val="24"/>
          <w:szCs w:val="24"/>
        </w:rPr>
        <w:t>C</w:t>
      </w:r>
      <w:r w:rsidRPr="0078229E">
        <w:rPr>
          <w:rFonts w:ascii="Times New Roman" w:hAnsi="Times New Roman" w:cs="Times New Roman"/>
          <w:b/>
          <w:bCs/>
          <w:iCs/>
          <w:color w:val="000000" w:themeColor="text1"/>
          <w:sz w:val="24"/>
          <w:szCs w:val="24"/>
        </w:rPr>
        <w:t xml:space="preserve">omputerised </w:t>
      </w:r>
      <w:r w:rsidR="00BC2284">
        <w:rPr>
          <w:rFonts w:ascii="Times New Roman" w:hAnsi="Times New Roman" w:cs="Times New Roman"/>
          <w:b/>
          <w:bCs/>
          <w:iCs/>
          <w:color w:val="000000" w:themeColor="text1"/>
          <w:sz w:val="24"/>
          <w:szCs w:val="24"/>
        </w:rPr>
        <w:t>S</w:t>
      </w:r>
      <w:r w:rsidRPr="0078229E">
        <w:rPr>
          <w:rFonts w:ascii="Times New Roman" w:hAnsi="Times New Roman" w:cs="Times New Roman"/>
          <w:b/>
          <w:bCs/>
          <w:iCs/>
          <w:color w:val="000000" w:themeColor="text1"/>
          <w:sz w:val="24"/>
          <w:szCs w:val="24"/>
        </w:rPr>
        <w:t>ystems</w:t>
      </w:r>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3B24E9C6" w14:textId="451C663E"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When clinical observations are entered directly into a study site’s computerised medical record system (i.e.</w:t>
      </w:r>
      <w:r w:rsidR="00BC2284">
        <w:rPr>
          <w:rFonts w:ascii="Times New Roman" w:hAnsi="Times New Roman" w:cs="Times New Roman"/>
          <w:bCs/>
          <w:iCs/>
          <w:color w:val="000000" w:themeColor="text1"/>
          <w:sz w:val="24"/>
          <w:szCs w:val="24"/>
        </w:rPr>
        <w:t>,</w:t>
      </w:r>
      <w:r w:rsidRPr="0078229E">
        <w:rPr>
          <w:rFonts w:ascii="Times New Roman" w:hAnsi="Times New Roman" w:cs="Times New Roman"/>
          <w:bCs/>
          <w:iCs/>
          <w:color w:val="000000" w:themeColor="text1"/>
          <w:sz w:val="24"/>
          <w:szCs w:val="24"/>
        </w:rPr>
        <w:t xml:space="preserve"> in lieu of original hardcopy records), the electronic record can serve as the source document if the system has been validated in accordance with health authority requirements pertaining to computerised systems used in clinical research. An acceptable computerised data collection system allows preservation of the original entry of data. If original data are modified, the system should maintain a viewable audit trail that shows the original data as well as the reason for the change, the name of the person making the change and the date of the change.</w:t>
      </w:r>
    </w:p>
    <w:p w14:paraId="3B24E9C7" w14:textId="05612DC3" w:rsidR="0078229E" w:rsidRPr="0078229E" w:rsidRDefault="0078229E" w:rsidP="0078229E">
      <w:pPr>
        <w:spacing w:after="240" w:line="480" w:lineRule="auto"/>
        <w:rPr>
          <w:rFonts w:ascii="Times New Roman" w:hAnsi="Times New Roman" w:cs="Times New Roman"/>
          <w:b/>
          <w:bCs/>
          <w:iCs/>
          <w:color w:val="000000" w:themeColor="text1"/>
          <w:sz w:val="24"/>
          <w:szCs w:val="24"/>
        </w:rPr>
      </w:pPr>
      <w:bookmarkStart w:id="58" w:name="_Ref367025392"/>
      <w:bookmarkStart w:id="59" w:name="_Toc380764906"/>
      <w:bookmarkStart w:id="60" w:name="_Toc382385124"/>
      <w:bookmarkStart w:id="61" w:name="_Toc382385432"/>
      <w:bookmarkStart w:id="62" w:name="_Toc390501808"/>
      <w:bookmarkStart w:id="63" w:name="_Toc392156405"/>
      <w:bookmarkStart w:id="64" w:name="_Toc392156713"/>
      <w:bookmarkStart w:id="65" w:name="_Toc403512020"/>
      <w:bookmarkStart w:id="66" w:name="_Toc415502368"/>
      <w:bookmarkStart w:id="67" w:name="_Toc415502666"/>
      <w:bookmarkStart w:id="68" w:name="_Toc415823316"/>
      <w:bookmarkStart w:id="69" w:name="_Toc423642873"/>
      <w:bookmarkStart w:id="70" w:name="_Toc423643181"/>
      <w:bookmarkStart w:id="71" w:name="_Toc452751673"/>
      <w:bookmarkStart w:id="72" w:name="_Toc466281119"/>
      <w:r w:rsidRPr="0078229E">
        <w:rPr>
          <w:rFonts w:ascii="Times New Roman" w:hAnsi="Times New Roman" w:cs="Times New Roman"/>
          <w:b/>
          <w:bCs/>
          <w:iCs/>
          <w:color w:val="000000" w:themeColor="text1"/>
          <w:sz w:val="24"/>
          <w:szCs w:val="24"/>
        </w:rPr>
        <w:t xml:space="preserve">Retention of </w:t>
      </w:r>
      <w:r w:rsidR="00BC2284">
        <w:rPr>
          <w:rFonts w:ascii="Times New Roman" w:hAnsi="Times New Roman" w:cs="Times New Roman"/>
          <w:b/>
          <w:bCs/>
          <w:iCs/>
          <w:color w:val="000000" w:themeColor="text1"/>
          <w:sz w:val="24"/>
          <w:szCs w:val="24"/>
        </w:rPr>
        <w:t>R</w:t>
      </w:r>
      <w:r w:rsidRPr="0078229E">
        <w:rPr>
          <w:rFonts w:ascii="Times New Roman" w:hAnsi="Times New Roman" w:cs="Times New Roman"/>
          <w:b/>
          <w:bCs/>
          <w:iCs/>
          <w:color w:val="000000" w:themeColor="text1"/>
          <w:sz w:val="24"/>
          <w:szCs w:val="24"/>
        </w:rPr>
        <w:t>ecords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B24E9C8"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 xml:space="preserve">Records and documents pertaining to the conduct of this study, including, but not limited to, eCRFs, paper PRO data and informed consent forms, must be retained by the principal investigator for at least 15 years after completion or discontinuation of the study, or for the </w:t>
      </w:r>
      <w:r w:rsidRPr="0078229E">
        <w:rPr>
          <w:rFonts w:ascii="Times New Roman" w:hAnsi="Times New Roman" w:cs="Times New Roman"/>
          <w:bCs/>
          <w:iCs/>
          <w:color w:val="000000" w:themeColor="text1"/>
          <w:sz w:val="24"/>
          <w:szCs w:val="24"/>
        </w:rPr>
        <w:lastRenderedPageBreak/>
        <w:t xml:space="preserve">length of time required by relevant national or local health authorities, whichever is longer. After that period of time, the documents may be destroyed, subject to local regulations. </w:t>
      </w:r>
    </w:p>
    <w:p w14:paraId="3B24E9C9"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No records may be disposed of without the written approval of the sponsor. Written notification should be provided to the sponsor prior to transferring any records to another party or moving them to another location.</w:t>
      </w:r>
    </w:p>
    <w:p w14:paraId="3B24E9CA" w14:textId="0B9B2A51" w:rsidR="0078229E" w:rsidRPr="0078229E" w:rsidRDefault="0078229E" w:rsidP="0078229E">
      <w:pPr>
        <w:spacing w:after="240" w:line="480" w:lineRule="auto"/>
        <w:rPr>
          <w:rFonts w:ascii="Times New Roman" w:hAnsi="Times New Roman" w:cs="Times New Roman"/>
          <w:b/>
          <w:bCs/>
          <w:iCs/>
          <w:color w:val="000000" w:themeColor="text1"/>
          <w:sz w:val="24"/>
          <w:szCs w:val="24"/>
        </w:rPr>
      </w:pPr>
      <w:r w:rsidRPr="0078229E">
        <w:rPr>
          <w:rFonts w:ascii="Times New Roman" w:hAnsi="Times New Roman" w:cs="Times New Roman"/>
          <w:b/>
          <w:bCs/>
          <w:iCs/>
          <w:color w:val="000000" w:themeColor="text1"/>
          <w:sz w:val="24"/>
          <w:szCs w:val="24"/>
        </w:rPr>
        <w:t xml:space="preserve">Data </w:t>
      </w:r>
      <w:r w:rsidR="00BC2284">
        <w:rPr>
          <w:rFonts w:ascii="Times New Roman" w:hAnsi="Times New Roman" w:cs="Times New Roman"/>
          <w:b/>
          <w:bCs/>
          <w:iCs/>
          <w:color w:val="000000" w:themeColor="text1"/>
          <w:sz w:val="24"/>
          <w:szCs w:val="24"/>
        </w:rPr>
        <w:t>D</w:t>
      </w:r>
      <w:r w:rsidRPr="0078229E">
        <w:rPr>
          <w:rFonts w:ascii="Times New Roman" w:hAnsi="Times New Roman" w:cs="Times New Roman"/>
          <w:b/>
          <w:bCs/>
          <w:iCs/>
          <w:color w:val="000000" w:themeColor="text1"/>
          <w:sz w:val="24"/>
          <w:szCs w:val="24"/>
        </w:rPr>
        <w:t>issemination</w:t>
      </w:r>
    </w:p>
    <w:p w14:paraId="3B24E9CB"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Regardless of the outcome of a study, the sponsor is dedicated to openly providing information on the study to healthcare professionals and to the public, both at scientific congresses and in peer-reviewed journals.</w:t>
      </w:r>
      <w:r w:rsidRPr="0078229E">
        <w:rPr>
          <w:rFonts w:cs="Times New Roman"/>
          <w:color w:val="000000" w:themeColor="text1"/>
        </w:rPr>
        <w:t xml:space="preserve"> </w:t>
      </w:r>
      <w:r w:rsidRPr="0078229E">
        <w:rPr>
          <w:rFonts w:ascii="Times New Roman" w:hAnsi="Times New Roman" w:cs="Times New Roman"/>
          <w:bCs/>
          <w:iCs/>
          <w:color w:val="000000" w:themeColor="text1"/>
          <w:sz w:val="24"/>
          <w:szCs w:val="24"/>
        </w:rPr>
        <w:t>Qualified researchers may request access to individual patient-level data through the clinical study data request platform (</w:t>
      </w:r>
      <w:hyperlink r:id="rId10" w:history="1">
        <w:r w:rsidRPr="0078229E">
          <w:rPr>
            <w:rFonts w:ascii="Times New Roman" w:hAnsi="Times New Roman" w:cs="Times New Roman"/>
            <w:bCs/>
            <w:iCs/>
            <w:color w:val="0563C1" w:themeColor="hyperlink"/>
            <w:sz w:val="24"/>
            <w:szCs w:val="24"/>
            <w:u w:val="single"/>
          </w:rPr>
          <w:t>www.clinicalstudydatarequest.com</w:t>
        </w:r>
      </w:hyperlink>
      <w:r w:rsidRPr="0078229E">
        <w:rPr>
          <w:rFonts w:ascii="Times New Roman" w:hAnsi="Times New Roman" w:cs="Times New Roman"/>
          <w:bCs/>
          <w:iCs/>
          <w:color w:val="000000" w:themeColor="text1"/>
          <w:sz w:val="24"/>
          <w:szCs w:val="24"/>
        </w:rPr>
        <w:t xml:space="preserve">). Further details on Roche's criteria for eligible studies are available at </w:t>
      </w:r>
      <w:hyperlink r:id="rId11" w:history="1">
        <w:r w:rsidRPr="0078229E">
          <w:rPr>
            <w:rFonts w:ascii="Times New Roman" w:hAnsi="Times New Roman" w:cs="Times New Roman"/>
            <w:bCs/>
            <w:iCs/>
            <w:color w:val="0563C1" w:themeColor="hyperlink"/>
            <w:sz w:val="24"/>
            <w:szCs w:val="24"/>
            <w:u w:val="single"/>
          </w:rPr>
          <w:t>https://clinicalstudydatarequest.com/Study-Sponsors/Study-Sponsors-Roche.aspx</w:t>
        </w:r>
      </w:hyperlink>
      <w:r w:rsidRPr="0078229E">
        <w:rPr>
          <w:rFonts w:ascii="Times New Roman" w:hAnsi="Times New Roman" w:cs="Times New Roman"/>
          <w:bCs/>
          <w:iCs/>
          <w:color w:val="000000" w:themeColor="text1"/>
          <w:sz w:val="24"/>
          <w:szCs w:val="24"/>
        </w:rPr>
        <w:t xml:space="preserve">. For further details on Roche's Global Policy on the Sharing of Clinical Information and how to request access to related clinical study documents, visit </w:t>
      </w:r>
      <w:hyperlink r:id="rId12" w:history="1">
        <w:r w:rsidRPr="0078229E">
          <w:rPr>
            <w:rFonts w:ascii="Times New Roman" w:hAnsi="Times New Roman" w:cs="Times New Roman"/>
            <w:bCs/>
            <w:iCs/>
            <w:color w:val="0563C1" w:themeColor="hyperlink"/>
            <w:sz w:val="24"/>
            <w:szCs w:val="24"/>
            <w:u w:val="single"/>
          </w:rPr>
          <w:t>https://www.roche.com/research_and_development/who_we_are_how_we_work/clinical_trials/our_commitment_to_data_sharing.htm</w:t>
        </w:r>
      </w:hyperlink>
      <w:r w:rsidRPr="0078229E">
        <w:rPr>
          <w:rFonts w:ascii="Times New Roman" w:hAnsi="Times New Roman" w:cs="Times New Roman"/>
          <w:bCs/>
          <w:iCs/>
          <w:color w:val="000000" w:themeColor="text1"/>
          <w:sz w:val="24"/>
          <w:szCs w:val="24"/>
        </w:rPr>
        <w:t>.</w:t>
      </w:r>
    </w:p>
    <w:p w14:paraId="3B24E9CC"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lastRenderedPageBreak/>
        <w:t xml:space="preserve">The results of this study may be published or presented at scientific congresses. The investigator must agree to submit all manuscripts or abstracts to the sponsor prior to submission for publication or presentation. This allows the sponsor to protect proprietary information and to provide comments based on information from other studies that may not yet be available to the investigator. </w:t>
      </w:r>
    </w:p>
    <w:p w14:paraId="3B24E9CD"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 xml:space="preserve">In accordance with standard editorial and ethical practice, the sponsor will generally support publication of multicentre trials only in their entirety and not as individual centre data. In this case, a coordinating investigator will be designated by mutual agreement. </w:t>
      </w:r>
    </w:p>
    <w:p w14:paraId="3B24E9CE"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 xml:space="preserve">Authorship will be determined by mutual agreement and in line with the International Committee of Medical Journal Editors authorship requirements. Any formal publication of the study in which contribution of sponsor personnel exceeded that of conventional monitoring will be considered as a joint publication by the investigator and the appropriate sponsor personnel. </w:t>
      </w:r>
    </w:p>
    <w:p w14:paraId="3B24E9CF" w14:textId="77777777" w:rsidR="0078229E" w:rsidRPr="0078229E" w:rsidRDefault="0078229E" w:rsidP="0078229E">
      <w:pPr>
        <w:spacing w:after="240" w:line="480" w:lineRule="auto"/>
        <w:rPr>
          <w:rFonts w:ascii="Times New Roman" w:hAnsi="Times New Roman" w:cs="Times New Roman"/>
          <w:bCs/>
          <w:iCs/>
          <w:color w:val="000000" w:themeColor="text1"/>
          <w:sz w:val="24"/>
          <w:szCs w:val="24"/>
        </w:rPr>
      </w:pPr>
      <w:r w:rsidRPr="0078229E">
        <w:rPr>
          <w:rFonts w:ascii="Times New Roman" w:hAnsi="Times New Roman" w:cs="Times New Roman"/>
          <w:bCs/>
          <w:iCs/>
          <w:color w:val="000000" w:themeColor="text1"/>
          <w:sz w:val="24"/>
          <w:szCs w:val="24"/>
        </w:rPr>
        <w:t>Any inventions and resulting patents, improvements and/or know-how originating from the use of data from this study will become and remain the exclusive and unburdened property of the sponsor, except where agreed otherwise.</w:t>
      </w:r>
    </w:p>
    <w:p w14:paraId="3B24E9D0" w14:textId="77777777" w:rsidR="0078229E" w:rsidRPr="0078229E" w:rsidRDefault="0078229E" w:rsidP="0078229E">
      <w:pPr>
        <w:spacing w:after="240" w:line="480" w:lineRule="auto"/>
        <w:rPr>
          <w:rFonts w:ascii="Times New Roman" w:hAnsi="Times New Roman" w:cs="Times New Roman"/>
          <w:b/>
          <w:color w:val="000000" w:themeColor="text1"/>
          <w:sz w:val="24"/>
          <w:szCs w:val="24"/>
        </w:rPr>
      </w:pPr>
      <w:r w:rsidRPr="0078229E">
        <w:rPr>
          <w:rFonts w:ascii="Times New Roman" w:hAnsi="Times New Roman" w:cs="Times New Roman"/>
          <w:b/>
          <w:color w:val="000000" w:themeColor="text1"/>
          <w:sz w:val="24"/>
          <w:szCs w:val="24"/>
        </w:rPr>
        <w:lastRenderedPageBreak/>
        <w:t>Sponsor contact details:</w:t>
      </w:r>
    </w:p>
    <w:p w14:paraId="3B24E9D1" w14:textId="77777777" w:rsidR="0078229E" w:rsidRPr="0078229E" w:rsidRDefault="0078229E" w:rsidP="0078229E">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 xml:space="preserve">F. Hoffmann-La Roche, Ltd. </w:t>
      </w:r>
    </w:p>
    <w:p w14:paraId="3B24E9D2"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Konzern-Hauptsitz</w:t>
      </w:r>
      <w:r w:rsidRPr="0078229E">
        <w:rPr>
          <w:rFonts w:ascii="Times New Roman" w:hAnsi="Times New Roman" w:cs="Times New Roman"/>
          <w:color w:val="000000" w:themeColor="text1"/>
          <w:sz w:val="24"/>
          <w:szCs w:val="24"/>
        </w:rPr>
        <w:br/>
        <w:t>Grenzacherstrasse 124</w:t>
      </w:r>
      <w:r w:rsidRPr="0078229E">
        <w:rPr>
          <w:rFonts w:ascii="Times New Roman" w:hAnsi="Times New Roman" w:cs="Times New Roman"/>
          <w:color w:val="000000" w:themeColor="text1"/>
          <w:sz w:val="24"/>
          <w:szCs w:val="24"/>
        </w:rPr>
        <w:br/>
        <w:t xml:space="preserve">CH-4070 Basel </w:t>
      </w:r>
      <w:r w:rsidRPr="0078229E">
        <w:rPr>
          <w:rFonts w:ascii="Times New Roman" w:hAnsi="Times New Roman" w:cs="Times New Roman"/>
          <w:color w:val="000000" w:themeColor="text1"/>
          <w:sz w:val="24"/>
          <w:szCs w:val="24"/>
        </w:rPr>
        <w:br/>
        <w:t>Tel: +41-61-688 1111</w:t>
      </w:r>
      <w:r w:rsidRPr="0078229E">
        <w:rPr>
          <w:rFonts w:ascii="Times New Roman" w:hAnsi="Times New Roman" w:cs="Times New Roman"/>
          <w:color w:val="000000" w:themeColor="text1"/>
          <w:sz w:val="24"/>
          <w:szCs w:val="24"/>
        </w:rPr>
        <w:br/>
        <w:t>Fax: +41-61-691 9391</w:t>
      </w:r>
      <w:r w:rsidRPr="0078229E">
        <w:rPr>
          <w:rFonts w:ascii="Times New Roman" w:hAnsi="Times New Roman" w:cs="Times New Roman"/>
          <w:i/>
          <w:color w:val="000000" w:themeColor="text1"/>
          <w:sz w:val="24"/>
          <w:szCs w:val="24"/>
        </w:rPr>
        <w:br/>
      </w:r>
    </w:p>
    <w:p w14:paraId="3B24E9D3" w14:textId="77777777" w:rsidR="0078229E" w:rsidRPr="0078229E" w:rsidRDefault="0078229E" w:rsidP="0078229E">
      <w:pPr>
        <w:spacing w:after="0" w:line="480" w:lineRule="auto"/>
        <w:rPr>
          <w:rFonts w:ascii="Times New Roman" w:hAnsi="Times New Roman" w:cs="Times New Roman"/>
          <w:color w:val="000000" w:themeColor="text1"/>
          <w:sz w:val="24"/>
          <w:szCs w:val="24"/>
        </w:rPr>
        <w:sectPr w:rsidR="0078229E" w:rsidRPr="0078229E" w:rsidSect="00D07A54">
          <w:headerReference w:type="default" r:id="rId13"/>
          <w:footerReference w:type="default" r:id="rId14"/>
          <w:pgSz w:w="11906" w:h="16838"/>
          <w:pgMar w:top="1701" w:right="1440" w:bottom="992" w:left="1440" w:header="709" w:footer="709" w:gutter="0"/>
          <w:cols w:space="708"/>
          <w:docGrid w:linePitch="360"/>
        </w:sectPr>
      </w:pPr>
    </w:p>
    <w:p w14:paraId="3B24E9D4" w14:textId="7F086795" w:rsidR="0078229E" w:rsidRPr="0078229E" w:rsidRDefault="0078229E" w:rsidP="0078229E">
      <w:pPr>
        <w:spacing w:after="240" w:line="480" w:lineRule="auto"/>
        <w:rPr>
          <w:rFonts w:ascii="Times New Roman" w:hAnsi="Times New Roman" w:cs="Times New Roman"/>
          <w:b/>
          <w:color w:val="000000" w:themeColor="text1"/>
          <w:sz w:val="24"/>
          <w:szCs w:val="24"/>
        </w:rPr>
      </w:pPr>
      <w:r w:rsidRPr="0078229E">
        <w:rPr>
          <w:rFonts w:ascii="Times New Roman" w:hAnsi="Times New Roman" w:cs="Times New Roman"/>
          <w:b/>
          <w:color w:val="000000" w:themeColor="text1"/>
          <w:sz w:val="24"/>
          <w:szCs w:val="24"/>
        </w:rPr>
        <w:lastRenderedPageBreak/>
        <w:t>A</w:t>
      </w:r>
      <w:r w:rsidR="0090338F">
        <w:rPr>
          <w:rFonts w:ascii="Times New Roman" w:hAnsi="Times New Roman" w:cs="Times New Roman"/>
          <w:b/>
          <w:color w:val="000000" w:themeColor="text1"/>
          <w:sz w:val="24"/>
          <w:szCs w:val="24"/>
        </w:rPr>
        <w:t>PPENDIX</w:t>
      </w:r>
      <w:r w:rsidRPr="0078229E">
        <w:rPr>
          <w:rFonts w:ascii="Times New Roman" w:hAnsi="Times New Roman" w:cs="Times New Roman"/>
          <w:b/>
          <w:color w:val="000000" w:themeColor="text1"/>
          <w:sz w:val="24"/>
          <w:szCs w:val="24"/>
        </w:rPr>
        <w:t xml:space="preserve"> B</w:t>
      </w:r>
      <w:r w:rsidR="004C4D2E">
        <w:rPr>
          <w:rFonts w:ascii="Times New Roman" w:hAnsi="Times New Roman" w:cs="Times New Roman"/>
          <w:b/>
          <w:color w:val="000000" w:themeColor="text1"/>
          <w:sz w:val="24"/>
          <w:szCs w:val="24"/>
        </w:rPr>
        <w:t>: SUPPLEMENTARY TABLES</w:t>
      </w:r>
    </w:p>
    <w:p w14:paraId="3B24E9D5" w14:textId="33991974" w:rsidR="0078229E" w:rsidRPr="0078229E" w:rsidRDefault="0078229E" w:rsidP="0078229E">
      <w:pPr>
        <w:spacing w:after="240" w:line="480" w:lineRule="auto"/>
        <w:rPr>
          <w:rFonts w:cs="Times New Roman"/>
          <w:color w:val="000000" w:themeColor="text1"/>
        </w:rPr>
      </w:pPr>
      <w:r w:rsidRPr="0078229E">
        <w:rPr>
          <w:rFonts w:ascii="Times New Roman" w:hAnsi="Times New Roman" w:cs="Times New Roman"/>
          <w:b/>
          <w:color w:val="000000" w:themeColor="text1"/>
          <w:sz w:val="24"/>
          <w:szCs w:val="24"/>
        </w:rPr>
        <w:t xml:space="preserve">Table </w:t>
      </w:r>
      <w:r w:rsidR="0090338F">
        <w:rPr>
          <w:rFonts w:ascii="Times New Roman" w:hAnsi="Times New Roman" w:cs="Times New Roman"/>
          <w:b/>
          <w:color w:val="000000" w:themeColor="text1"/>
          <w:sz w:val="24"/>
          <w:szCs w:val="24"/>
        </w:rPr>
        <w:t>S</w:t>
      </w:r>
      <w:r w:rsidRPr="0078229E">
        <w:rPr>
          <w:rFonts w:ascii="Times New Roman" w:hAnsi="Times New Roman" w:cs="Times New Roman"/>
          <w:b/>
          <w:color w:val="000000" w:themeColor="text1"/>
          <w:sz w:val="24"/>
          <w:szCs w:val="24"/>
        </w:rPr>
        <w:t xml:space="preserve">1 </w:t>
      </w:r>
      <w:r w:rsidR="0090338F">
        <w:rPr>
          <w:rFonts w:ascii="Times New Roman" w:hAnsi="Times New Roman" w:cs="Times New Roman"/>
          <w:color w:val="000000" w:themeColor="text1"/>
          <w:sz w:val="24"/>
          <w:szCs w:val="24"/>
        </w:rPr>
        <w:t>Schedule of activities</w:t>
      </w:r>
    </w:p>
    <w:tbl>
      <w:tblPr>
        <w:tblW w:w="14918" w:type="dxa"/>
        <w:tblInd w:w="102" w:type="dxa"/>
        <w:tblLayout w:type="fixed"/>
        <w:tblCellMar>
          <w:left w:w="0" w:type="dxa"/>
          <w:right w:w="0" w:type="dxa"/>
        </w:tblCellMar>
        <w:tblLook w:val="01E0" w:firstRow="1" w:lastRow="1" w:firstColumn="1" w:lastColumn="1" w:noHBand="0" w:noVBand="0"/>
      </w:tblPr>
      <w:tblGrid>
        <w:gridCol w:w="4860"/>
        <w:gridCol w:w="2011"/>
        <w:gridCol w:w="2012"/>
        <w:gridCol w:w="2011"/>
        <w:gridCol w:w="2012"/>
        <w:gridCol w:w="2012"/>
      </w:tblGrid>
      <w:tr w:rsidR="0078229E" w:rsidRPr="0078229E" w14:paraId="3B24E9DF" w14:textId="77777777" w:rsidTr="00B00FE1">
        <w:trPr>
          <w:trHeight w:hRule="exact" w:val="1536"/>
        </w:trPr>
        <w:tc>
          <w:tcPr>
            <w:tcW w:w="4860" w:type="dxa"/>
            <w:tcBorders>
              <w:top w:val="single" w:sz="6" w:space="0" w:color="000000"/>
              <w:bottom w:val="single" w:sz="4" w:space="0" w:color="auto"/>
            </w:tcBorders>
          </w:tcPr>
          <w:p w14:paraId="3B24E9D6" w14:textId="77777777" w:rsidR="0078229E" w:rsidRPr="0078229E" w:rsidRDefault="0078229E" w:rsidP="0078229E">
            <w:pPr>
              <w:widowControl w:val="0"/>
              <w:spacing w:after="0" w:line="240" w:lineRule="auto"/>
              <w:rPr>
                <w:rFonts w:ascii="Times New Roman" w:eastAsia="Calibri" w:hAnsi="Times New Roman" w:cs="Times New Roman"/>
                <w:color w:val="000000" w:themeColor="text1"/>
                <w:sz w:val="24"/>
                <w:szCs w:val="24"/>
              </w:rPr>
            </w:pPr>
          </w:p>
        </w:tc>
        <w:tc>
          <w:tcPr>
            <w:tcW w:w="2011" w:type="dxa"/>
            <w:tcBorders>
              <w:top w:val="single" w:sz="6" w:space="0" w:color="000000"/>
              <w:bottom w:val="single" w:sz="4" w:space="0" w:color="auto"/>
            </w:tcBorders>
            <w:vAlign w:val="bottom"/>
          </w:tcPr>
          <w:p w14:paraId="3B24E9D7" w14:textId="77777777" w:rsidR="0078229E" w:rsidRPr="0078229E" w:rsidRDefault="0078229E" w:rsidP="0078229E">
            <w:pPr>
              <w:widowControl w:val="0"/>
              <w:spacing w:after="240" w:line="276" w:lineRule="auto"/>
              <w:rPr>
                <w:rFonts w:ascii="Times New Roman" w:hAnsi="Times New Roman" w:cs="Times New Roman"/>
                <w:b/>
                <w:color w:val="000000" w:themeColor="text1"/>
                <w:sz w:val="24"/>
                <w:szCs w:val="24"/>
              </w:rPr>
            </w:pPr>
            <w:r w:rsidRPr="0078229E">
              <w:rPr>
                <w:rFonts w:ascii="Times New Roman" w:hAnsi="Times New Roman" w:cs="Times New Roman"/>
                <w:b/>
                <w:color w:val="000000" w:themeColor="text1"/>
                <w:sz w:val="24"/>
                <w:szCs w:val="24"/>
              </w:rPr>
              <w:t>Enrolment</w:t>
            </w:r>
          </w:p>
          <w:p w14:paraId="3B24E9D8" w14:textId="77777777" w:rsidR="0078229E" w:rsidRPr="0078229E" w:rsidRDefault="0078229E" w:rsidP="0078229E">
            <w:pPr>
              <w:widowControl w:val="0"/>
              <w:spacing w:after="0" w:line="276" w:lineRule="auto"/>
              <w:rPr>
                <w:rFonts w:ascii="Times New Roman" w:eastAsia="Arial" w:hAnsi="Times New Roman" w:cs="Times New Roman"/>
                <w:b/>
                <w:color w:val="000000" w:themeColor="text1"/>
                <w:sz w:val="24"/>
                <w:szCs w:val="24"/>
              </w:rPr>
            </w:pPr>
            <w:r w:rsidRPr="0078229E">
              <w:rPr>
                <w:rFonts w:ascii="Times New Roman" w:hAnsi="Times New Roman" w:cs="Times New Roman"/>
                <w:b/>
                <w:color w:val="000000" w:themeColor="text1"/>
                <w:sz w:val="24"/>
                <w:szCs w:val="24"/>
              </w:rPr>
              <w:t>[Mandatory site visit]</w:t>
            </w:r>
          </w:p>
        </w:tc>
        <w:tc>
          <w:tcPr>
            <w:tcW w:w="2012" w:type="dxa"/>
            <w:tcBorders>
              <w:top w:val="single" w:sz="6" w:space="0" w:color="000000"/>
              <w:bottom w:val="single" w:sz="4" w:space="0" w:color="auto"/>
            </w:tcBorders>
            <w:vAlign w:val="bottom"/>
          </w:tcPr>
          <w:p w14:paraId="3B24E9D9" w14:textId="77777777" w:rsidR="0078229E" w:rsidRPr="0078229E" w:rsidRDefault="0078229E" w:rsidP="0078229E">
            <w:pPr>
              <w:widowControl w:val="0"/>
              <w:spacing w:after="0" w:line="276" w:lineRule="auto"/>
              <w:rPr>
                <w:rFonts w:ascii="Times New Roman" w:eastAsia="Arial" w:hAnsi="Times New Roman" w:cs="Times New Roman"/>
                <w:b/>
                <w:color w:val="000000" w:themeColor="text1"/>
                <w:sz w:val="24"/>
                <w:szCs w:val="24"/>
              </w:rPr>
            </w:pPr>
            <w:r w:rsidRPr="0078229E">
              <w:rPr>
                <w:rFonts w:ascii="Times New Roman" w:hAnsi="Times New Roman" w:cs="Times New Roman"/>
                <w:b/>
                <w:color w:val="000000" w:themeColor="text1"/>
                <w:sz w:val="24"/>
                <w:szCs w:val="24"/>
              </w:rPr>
              <w:t>Additional site visits during the pre-diagnostic</w:t>
            </w:r>
            <w:r w:rsidRPr="0078229E">
              <w:rPr>
                <w:rFonts w:ascii="Times New Roman" w:hAnsi="Times New Roman" w:cs="Times New Roman"/>
                <w:b/>
                <w:color w:val="000000" w:themeColor="text1"/>
                <w:spacing w:val="29"/>
                <w:sz w:val="24"/>
                <w:szCs w:val="24"/>
              </w:rPr>
              <w:t xml:space="preserve"> </w:t>
            </w:r>
            <w:r w:rsidRPr="0078229E">
              <w:rPr>
                <w:rFonts w:ascii="Times New Roman" w:hAnsi="Times New Roman" w:cs="Times New Roman"/>
                <w:b/>
                <w:color w:val="000000" w:themeColor="text1"/>
                <w:sz w:val="24"/>
                <w:szCs w:val="24"/>
              </w:rPr>
              <w:t>period</w:t>
            </w:r>
            <w:r w:rsidRPr="0078229E">
              <w:rPr>
                <w:rFonts w:ascii="Times New Roman" w:hAnsi="Times New Roman" w:cs="Times New Roman"/>
                <w:b/>
                <w:color w:val="000000" w:themeColor="text1"/>
                <w:sz w:val="24"/>
                <w:szCs w:val="24"/>
                <w:vertAlign w:val="superscript"/>
              </w:rPr>
              <w:t>a</w:t>
            </w:r>
          </w:p>
        </w:tc>
        <w:tc>
          <w:tcPr>
            <w:tcW w:w="2011" w:type="dxa"/>
            <w:tcBorders>
              <w:top w:val="single" w:sz="6" w:space="0" w:color="000000"/>
              <w:bottom w:val="single" w:sz="4" w:space="0" w:color="auto"/>
            </w:tcBorders>
            <w:vAlign w:val="bottom"/>
          </w:tcPr>
          <w:p w14:paraId="3B24E9DA" w14:textId="77777777" w:rsidR="0078229E" w:rsidRPr="0078229E" w:rsidRDefault="0078229E" w:rsidP="0078229E">
            <w:pPr>
              <w:widowControl w:val="0"/>
              <w:spacing w:after="240" w:line="276" w:lineRule="auto"/>
              <w:rPr>
                <w:rFonts w:ascii="Times New Roman" w:hAnsi="Times New Roman" w:cs="Times New Roman"/>
                <w:b/>
                <w:sz w:val="24"/>
                <w:szCs w:val="24"/>
              </w:rPr>
            </w:pPr>
            <w:r w:rsidRPr="0078229E">
              <w:rPr>
                <w:rFonts w:ascii="Times New Roman" w:hAnsi="Times New Roman" w:cs="Times New Roman"/>
                <w:b/>
                <w:sz w:val="24"/>
                <w:szCs w:val="24"/>
              </w:rPr>
              <w:t>Diagnosis or early termination</w:t>
            </w:r>
            <w:r w:rsidRPr="0078229E">
              <w:rPr>
                <w:rFonts w:ascii="Times New Roman" w:hAnsi="Times New Roman" w:cs="Times New Roman"/>
                <w:b/>
                <w:sz w:val="24"/>
                <w:szCs w:val="24"/>
                <w:vertAlign w:val="superscript"/>
              </w:rPr>
              <w:t>b</w:t>
            </w:r>
          </w:p>
          <w:p w14:paraId="3B24E9DB" w14:textId="77777777" w:rsidR="0078229E" w:rsidRPr="0078229E" w:rsidRDefault="0078229E" w:rsidP="0078229E">
            <w:pPr>
              <w:widowControl w:val="0"/>
              <w:spacing w:after="0" w:line="276" w:lineRule="auto"/>
              <w:rPr>
                <w:rFonts w:ascii="Times New Roman" w:eastAsia="Arial" w:hAnsi="Times New Roman" w:cs="Times New Roman"/>
                <w:b/>
                <w:color w:val="000000" w:themeColor="text1"/>
                <w:sz w:val="24"/>
                <w:szCs w:val="24"/>
              </w:rPr>
            </w:pPr>
            <w:r w:rsidRPr="0078229E">
              <w:rPr>
                <w:rFonts w:ascii="Times New Roman" w:hAnsi="Times New Roman" w:cs="Times New Roman"/>
                <w:b/>
                <w:color w:val="000000" w:themeColor="text1"/>
                <w:sz w:val="24"/>
                <w:szCs w:val="24"/>
              </w:rPr>
              <w:t>[Mandatory site visit]</w:t>
            </w:r>
          </w:p>
        </w:tc>
        <w:tc>
          <w:tcPr>
            <w:tcW w:w="2012" w:type="dxa"/>
            <w:tcBorders>
              <w:top w:val="single" w:sz="6" w:space="0" w:color="000000"/>
              <w:bottom w:val="single" w:sz="4" w:space="0" w:color="auto"/>
            </w:tcBorders>
            <w:vAlign w:val="bottom"/>
          </w:tcPr>
          <w:p w14:paraId="3B24E9DC" w14:textId="77777777" w:rsidR="0078229E" w:rsidRPr="0078229E" w:rsidRDefault="0078229E" w:rsidP="0078229E">
            <w:pPr>
              <w:widowControl w:val="0"/>
              <w:spacing w:after="0" w:line="276" w:lineRule="auto"/>
              <w:rPr>
                <w:rFonts w:ascii="Times New Roman" w:hAnsi="Times New Roman" w:cs="Times New Roman"/>
                <w:b/>
                <w:color w:val="000000" w:themeColor="text1"/>
                <w:spacing w:val="27"/>
                <w:sz w:val="24"/>
                <w:szCs w:val="24"/>
              </w:rPr>
            </w:pPr>
            <w:r w:rsidRPr="0078229E">
              <w:rPr>
                <w:rFonts w:ascii="Times New Roman" w:hAnsi="Times New Roman" w:cs="Times New Roman"/>
                <w:b/>
                <w:color w:val="000000" w:themeColor="text1"/>
                <w:sz w:val="24"/>
                <w:szCs w:val="24"/>
              </w:rPr>
              <w:t>Additional site visits during the post-diagnostic</w:t>
            </w:r>
            <w:r w:rsidRPr="0078229E">
              <w:rPr>
                <w:rFonts w:ascii="Times New Roman" w:hAnsi="Times New Roman" w:cs="Times New Roman"/>
                <w:b/>
                <w:color w:val="000000" w:themeColor="text1"/>
                <w:spacing w:val="29"/>
                <w:sz w:val="24"/>
                <w:szCs w:val="24"/>
              </w:rPr>
              <w:t xml:space="preserve"> </w:t>
            </w:r>
            <w:r w:rsidRPr="0078229E">
              <w:rPr>
                <w:rFonts w:ascii="Times New Roman" w:hAnsi="Times New Roman" w:cs="Times New Roman"/>
                <w:b/>
                <w:color w:val="000000" w:themeColor="text1"/>
                <w:sz w:val="24"/>
                <w:szCs w:val="24"/>
              </w:rPr>
              <w:t>period</w:t>
            </w:r>
            <w:r w:rsidRPr="0078229E">
              <w:rPr>
                <w:rFonts w:ascii="Times New Roman" w:hAnsi="Times New Roman" w:cs="Times New Roman"/>
                <w:b/>
                <w:color w:val="000000" w:themeColor="text1"/>
                <w:sz w:val="24"/>
                <w:szCs w:val="24"/>
                <w:vertAlign w:val="superscript"/>
              </w:rPr>
              <w:t>a</w:t>
            </w:r>
          </w:p>
        </w:tc>
        <w:tc>
          <w:tcPr>
            <w:tcW w:w="2012" w:type="dxa"/>
            <w:tcBorders>
              <w:top w:val="single" w:sz="6" w:space="0" w:color="000000"/>
              <w:bottom w:val="single" w:sz="4" w:space="0" w:color="auto"/>
            </w:tcBorders>
            <w:vAlign w:val="bottom"/>
          </w:tcPr>
          <w:p w14:paraId="3B24E9DD" w14:textId="77777777" w:rsidR="0078229E" w:rsidRPr="0078229E" w:rsidRDefault="0078229E" w:rsidP="0078229E">
            <w:pPr>
              <w:widowControl w:val="0"/>
              <w:spacing w:after="240" w:line="276" w:lineRule="auto"/>
              <w:rPr>
                <w:rFonts w:ascii="Times New Roman" w:hAnsi="Times New Roman" w:cs="Times New Roman"/>
                <w:b/>
                <w:color w:val="000000" w:themeColor="text1"/>
                <w:sz w:val="24"/>
                <w:szCs w:val="24"/>
                <w:vertAlign w:val="superscript"/>
              </w:rPr>
            </w:pPr>
            <w:r w:rsidRPr="0078229E">
              <w:rPr>
                <w:rFonts w:ascii="Times New Roman" w:hAnsi="Times New Roman" w:cs="Times New Roman"/>
                <w:b/>
                <w:color w:val="000000" w:themeColor="text1"/>
                <w:sz w:val="24"/>
                <w:szCs w:val="24"/>
              </w:rPr>
              <w:t>End</w:t>
            </w:r>
            <w:r w:rsidRPr="0078229E">
              <w:rPr>
                <w:rFonts w:ascii="Times New Roman" w:hAnsi="Times New Roman" w:cs="Times New Roman"/>
                <w:b/>
                <w:color w:val="000000" w:themeColor="text1"/>
                <w:spacing w:val="-6"/>
                <w:sz w:val="24"/>
                <w:szCs w:val="24"/>
              </w:rPr>
              <w:t xml:space="preserve"> </w:t>
            </w:r>
            <w:r w:rsidRPr="0078229E">
              <w:rPr>
                <w:rFonts w:ascii="Times New Roman" w:hAnsi="Times New Roman" w:cs="Times New Roman"/>
                <w:b/>
                <w:color w:val="000000" w:themeColor="text1"/>
                <w:sz w:val="24"/>
                <w:szCs w:val="24"/>
              </w:rPr>
              <w:t>of</w:t>
            </w:r>
            <w:r w:rsidRPr="0078229E">
              <w:rPr>
                <w:rFonts w:ascii="Times New Roman" w:hAnsi="Times New Roman" w:cs="Times New Roman"/>
                <w:b/>
                <w:color w:val="000000" w:themeColor="text1"/>
                <w:spacing w:val="-5"/>
                <w:sz w:val="24"/>
                <w:szCs w:val="24"/>
              </w:rPr>
              <w:t xml:space="preserve"> </w:t>
            </w:r>
            <w:r w:rsidRPr="0078229E">
              <w:rPr>
                <w:rFonts w:ascii="Times New Roman" w:hAnsi="Times New Roman" w:cs="Times New Roman"/>
                <w:b/>
                <w:color w:val="000000" w:themeColor="text1"/>
                <w:sz w:val="24"/>
                <w:szCs w:val="24"/>
              </w:rPr>
              <w:t>study or early</w:t>
            </w:r>
            <w:r w:rsidRPr="0078229E">
              <w:rPr>
                <w:rFonts w:ascii="Times New Roman" w:hAnsi="Times New Roman" w:cs="Times New Roman"/>
                <w:b/>
                <w:color w:val="000000" w:themeColor="text1"/>
                <w:spacing w:val="22"/>
                <w:sz w:val="24"/>
                <w:szCs w:val="24"/>
              </w:rPr>
              <w:t xml:space="preserve"> </w:t>
            </w:r>
            <w:r w:rsidRPr="0078229E">
              <w:rPr>
                <w:rFonts w:ascii="Times New Roman" w:hAnsi="Times New Roman" w:cs="Times New Roman"/>
                <w:b/>
                <w:color w:val="000000" w:themeColor="text1"/>
                <w:sz w:val="24"/>
                <w:szCs w:val="24"/>
              </w:rPr>
              <w:t>termination</w:t>
            </w:r>
            <w:r w:rsidRPr="0078229E">
              <w:rPr>
                <w:rFonts w:ascii="Times New Roman" w:hAnsi="Times New Roman" w:cs="Times New Roman"/>
                <w:b/>
                <w:color w:val="000000" w:themeColor="text1"/>
                <w:sz w:val="24"/>
                <w:szCs w:val="24"/>
                <w:vertAlign w:val="superscript"/>
              </w:rPr>
              <w:t>b</w:t>
            </w:r>
          </w:p>
          <w:p w14:paraId="3B24E9DE" w14:textId="77777777" w:rsidR="0078229E" w:rsidRPr="0078229E" w:rsidRDefault="0078229E" w:rsidP="0078229E">
            <w:pPr>
              <w:widowControl w:val="0"/>
              <w:spacing w:after="0" w:line="276" w:lineRule="auto"/>
              <w:rPr>
                <w:rFonts w:ascii="Times New Roman" w:eastAsia="Arial" w:hAnsi="Times New Roman" w:cs="Times New Roman"/>
                <w:b/>
                <w:color w:val="000000" w:themeColor="text1"/>
                <w:sz w:val="24"/>
                <w:szCs w:val="24"/>
              </w:rPr>
            </w:pPr>
            <w:r w:rsidRPr="0078229E">
              <w:rPr>
                <w:rFonts w:ascii="Times New Roman" w:hAnsi="Times New Roman" w:cs="Times New Roman"/>
                <w:b/>
                <w:color w:val="000000" w:themeColor="text1"/>
                <w:sz w:val="24"/>
                <w:szCs w:val="24"/>
              </w:rPr>
              <w:t>[Mandatory site visit]</w:t>
            </w:r>
          </w:p>
        </w:tc>
      </w:tr>
      <w:tr w:rsidR="0078229E" w:rsidRPr="0078229E" w14:paraId="3B24E9E6" w14:textId="77777777" w:rsidTr="00B00FE1">
        <w:trPr>
          <w:trHeight w:hRule="exact" w:val="567"/>
        </w:trPr>
        <w:tc>
          <w:tcPr>
            <w:tcW w:w="4860" w:type="dxa"/>
            <w:tcBorders>
              <w:top w:val="single" w:sz="4" w:space="0" w:color="auto"/>
              <w:bottom w:val="single" w:sz="4" w:space="0" w:color="auto"/>
            </w:tcBorders>
            <w:vAlign w:val="center"/>
          </w:tcPr>
          <w:p w14:paraId="3B24E9E0" w14:textId="77777777" w:rsidR="0078229E" w:rsidRPr="0078229E" w:rsidRDefault="0078229E" w:rsidP="0078229E">
            <w:pPr>
              <w:widowControl w:val="0"/>
              <w:spacing w:after="0" w:line="276" w:lineRule="auto"/>
              <w:ind w:left="37"/>
              <w:rPr>
                <w:rFonts w:ascii="Times New Roman" w:eastAsia="Arial"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Informed consent</w:t>
            </w:r>
            <w:r w:rsidRPr="0078229E">
              <w:rPr>
                <w:rFonts w:ascii="Times New Roman" w:eastAsia="Calibri" w:hAnsi="Times New Roman" w:cs="Times New Roman"/>
                <w:b/>
                <w:color w:val="000000" w:themeColor="text1"/>
                <w:sz w:val="24"/>
                <w:szCs w:val="24"/>
                <w:vertAlign w:val="superscript"/>
              </w:rPr>
              <w:t>c</w:t>
            </w:r>
          </w:p>
        </w:tc>
        <w:tc>
          <w:tcPr>
            <w:tcW w:w="2011" w:type="dxa"/>
            <w:tcBorders>
              <w:top w:val="single" w:sz="4" w:space="0" w:color="auto"/>
              <w:bottom w:val="single" w:sz="4" w:space="0" w:color="auto"/>
            </w:tcBorders>
            <w:vAlign w:val="center"/>
          </w:tcPr>
          <w:p w14:paraId="3B24E9E1"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9E2"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top w:val="single" w:sz="4" w:space="0" w:color="auto"/>
              <w:bottom w:val="single" w:sz="4" w:space="0" w:color="auto"/>
            </w:tcBorders>
            <w:vAlign w:val="center"/>
          </w:tcPr>
          <w:p w14:paraId="3B24E9E3"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E4"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E5"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9ED" w14:textId="77777777" w:rsidTr="00B00FE1">
        <w:trPr>
          <w:trHeight w:hRule="exact" w:val="567"/>
        </w:trPr>
        <w:tc>
          <w:tcPr>
            <w:tcW w:w="4860" w:type="dxa"/>
            <w:tcBorders>
              <w:top w:val="single" w:sz="4" w:space="0" w:color="auto"/>
              <w:bottom w:val="single" w:sz="4" w:space="0" w:color="auto"/>
            </w:tcBorders>
            <w:vAlign w:val="center"/>
          </w:tcPr>
          <w:p w14:paraId="3B24E9E7" w14:textId="77777777" w:rsidR="0078229E" w:rsidRPr="0078229E" w:rsidRDefault="0078229E" w:rsidP="0078229E">
            <w:pPr>
              <w:widowControl w:val="0"/>
              <w:spacing w:after="0" w:line="276" w:lineRule="auto"/>
              <w:ind w:left="40"/>
              <w:rPr>
                <w:rFonts w:ascii="Times New Roman" w:eastAsia="Arial"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Review of inclusion/exclusion criteria</w:t>
            </w:r>
          </w:p>
        </w:tc>
        <w:tc>
          <w:tcPr>
            <w:tcW w:w="2011" w:type="dxa"/>
            <w:tcBorders>
              <w:top w:val="single" w:sz="4" w:space="0" w:color="auto"/>
              <w:bottom w:val="single" w:sz="4" w:space="0" w:color="auto"/>
            </w:tcBorders>
            <w:vAlign w:val="center"/>
          </w:tcPr>
          <w:p w14:paraId="3B24E9E8"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9E9"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top w:val="single" w:sz="4" w:space="0" w:color="auto"/>
              <w:bottom w:val="single" w:sz="4" w:space="0" w:color="auto"/>
            </w:tcBorders>
            <w:vAlign w:val="center"/>
          </w:tcPr>
          <w:p w14:paraId="3B24E9EA"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EB"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EC"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9F4" w14:textId="77777777" w:rsidTr="00B00FE1">
        <w:trPr>
          <w:trHeight w:hRule="exact" w:val="567"/>
        </w:trPr>
        <w:tc>
          <w:tcPr>
            <w:tcW w:w="4860" w:type="dxa"/>
            <w:tcBorders>
              <w:top w:val="single" w:sz="4" w:space="0" w:color="auto"/>
              <w:bottom w:val="single" w:sz="4" w:space="0" w:color="auto"/>
            </w:tcBorders>
            <w:vAlign w:val="center"/>
          </w:tcPr>
          <w:p w14:paraId="3B24E9EE" w14:textId="77777777" w:rsidR="0078229E" w:rsidRPr="0078229E" w:rsidRDefault="0078229E" w:rsidP="0078229E">
            <w:pPr>
              <w:widowControl w:val="0"/>
              <w:spacing w:after="0" w:line="276" w:lineRule="auto"/>
              <w:ind w:left="40"/>
              <w:rPr>
                <w:rFonts w:ascii="Times New Roman" w:eastAsia="Arial"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Demographic data</w:t>
            </w:r>
          </w:p>
        </w:tc>
        <w:tc>
          <w:tcPr>
            <w:tcW w:w="2011" w:type="dxa"/>
            <w:tcBorders>
              <w:top w:val="single" w:sz="4" w:space="0" w:color="auto"/>
              <w:bottom w:val="single" w:sz="4" w:space="0" w:color="auto"/>
            </w:tcBorders>
            <w:vAlign w:val="center"/>
          </w:tcPr>
          <w:p w14:paraId="3B24E9EF"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9F0"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top w:val="single" w:sz="4" w:space="0" w:color="auto"/>
              <w:bottom w:val="single" w:sz="4" w:space="0" w:color="auto"/>
            </w:tcBorders>
            <w:vAlign w:val="center"/>
          </w:tcPr>
          <w:p w14:paraId="3B24E9F1"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F2"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F3"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9FB" w14:textId="77777777" w:rsidTr="00B00FE1">
        <w:trPr>
          <w:trHeight w:hRule="exact" w:val="716"/>
        </w:trPr>
        <w:tc>
          <w:tcPr>
            <w:tcW w:w="4860" w:type="dxa"/>
            <w:tcBorders>
              <w:top w:val="single" w:sz="4" w:space="0" w:color="auto"/>
              <w:bottom w:val="single" w:sz="4" w:space="0" w:color="auto"/>
            </w:tcBorders>
            <w:vAlign w:val="center"/>
          </w:tcPr>
          <w:p w14:paraId="3B24E9F5" w14:textId="77777777" w:rsidR="0078229E" w:rsidRPr="0078229E" w:rsidRDefault="0078229E" w:rsidP="0078229E">
            <w:pPr>
              <w:widowControl w:val="0"/>
              <w:spacing w:after="0" w:line="276" w:lineRule="auto"/>
              <w:ind w:left="40"/>
              <w:rPr>
                <w:rFonts w:ascii="Times New Roman" w:eastAsia="Arial"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General medical history and baseline conditions</w:t>
            </w:r>
          </w:p>
        </w:tc>
        <w:tc>
          <w:tcPr>
            <w:tcW w:w="2011" w:type="dxa"/>
            <w:tcBorders>
              <w:top w:val="single" w:sz="4" w:space="0" w:color="auto"/>
              <w:bottom w:val="single" w:sz="4" w:space="0" w:color="auto"/>
            </w:tcBorders>
            <w:vAlign w:val="center"/>
          </w:tcPr>
          <w:p w14:paraId="3B24E9F6"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9F7"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top w:val="single" w:sz="4" w:space="0" w:color="auto"/>
              <w:bottom w:val="single" w:sz="4" w:space="0" w:color="auto"/>
            </w:tcBorders>
            <w:vAlign w:val="center"/>
          </w:tcPr>
          <w:p w14:paraId="3B24E9F8"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F9"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9FA"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A02" w14:textId="77777777" w:rsidTr="00B00FE1">
        <w:trPr>
          <w:trHeight w:hRule="exact" w:val="567"/>
        </w:trPr>
        <w:tc>
          <w:tcPr>
            <w:tcW w:w="4860" w:type="dxa"/>
            <w:tcBorders>
              <w:top w:val="single" w:sz="4" w:space="0" w:color="auto"/>
            </w:tcBorders>
            <w:vAlign w:val="center"/>
          </w:tcPr>
          <w:p w14:paraId="3B24E9FC" w14:textId="77777777" w:rsidR="0078229E" w:rsidRPr="0078229E" w:rsidRDefault="0078229E" w:rsidP="0078229E">
            <w:pPr>
              <w:widowControl w:val="0"/>
              <w:spacing w:after="0" w:line="276" w:lineRule="auto"/>
              <w:ind w:left="40"/>
              <w:rPr>
                <w:rFonts w:ascii="Times New Roman" w:eastAsia="Arial" w:hAnsi="Times New Roman" w:cs="Times New Roman"/>
                <w:color w:val="000000" w:themeColor="text1"/>
                <w:sz w:val="24"/>
                <w:szCs w:val="24"/>
              </w:rPr>
            </w:pPr>
            <w:r w:rsidRPr="0078229E">
              <w:rPr>
                <w:rFonts w:ascii="Times New Roman" w:eastAsia="Calibri" w:hAnsi="Times New Roman" w:cs="Times New Roman"/>
                <w:b/>
                <w:color w:val="000000" w:themeColor="text1"/>
                <w:sz w:val="24"/>
                <w:szCs w:val="24"/>
              </w:rPr>
              <w:t>Physical examination:</w:t>
            </w:r>
          </w:p>
        </w:tc>
        <w:tc>
          <w:tcPr>
            <w:tcW w:w="2011" w:type="dxa"/>
            <w:tcBorders>
              <w:top w:val="single" w:sz="4" w:space="0" w:color="auto"/>
            </w:tcBorders>
            <w:vAlign w:val="center"/>
          </w:tcPr>
          <w:p w14:paraId="3B24E9FD"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9FE"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top w:val="single" w:sz="4" w:space="0" w:color="auto"/>
            </w:tcBorders>
            <w:vAlign w:val="center"/>
          </w:tcPr>
          <w:p w14:paraId="3B24E9FF"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00"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01"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A09" w14:textId="77777777" w:rsidTr="00B00FE1">
        <w:trPr>
          <w:trHeight w:hRule="exact" w:val="567"/>
        </w:trPr>
        <w:tc>
          <w:tcPr>
            <w:tcW w:w="4860" w:type="dxa"/>
            <w:vAlign w:val="center"/>
          </w:tcPr>
          <w:p w14:paraId="3B24EA03"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Vital signs and weight</w:t>
            </w:r>
          </w:p>
        </w:tc>
        <w:tc>
          <w:tcPr>
            <w:tcW w:w="2011" w:type="dxa"/>
            <w:vAlign w:val="center"/>
          </w:tcPr>
          <w:p w14:paraId="3B24EA04"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05"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vAlign w:val="center"/>
          </w:tcPr>
          <w:p w14:paraId="3B24EA06"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07"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08"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10" w14:textId="77777777" w:rsidTr="00B00FE1">
        <w:trPr>
          <w:trHeight w:hRule="exact" w:val="567"/>
        </w:trPr>
        <w:tc>
          <w:tcPr>
            <w:tcW w:w="4860" w:type="dxa"/>
            <w:tcBorders>
              <w:bottom w:val="single" w:sz="4" w:space="0" w:color="auto"/>
            </w:tcBorders>
            <w:vAlign w:val="center"/>
          </w:tcPr>
          <w:p w14:paraId="3B24EA0A"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Height and BMI</w:t>
            </w:r>
          </w:p>
        </w:tc>
        <w:tc>
          <w:tcPr>
            <w:tcW w:w="2011" w:type="dxa"/>
            <w:tcBorders>
              <w:bottom w:val="single" w:sz="4" w:space="0" w:color="auto"/>
            </w:tcBorders>
            <w:vAlign w:val="center"/>
          </w:tcPr>
          <w:p w14:paraId="3B24EA0B"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0C"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bottom w:val="single" w:sz="4" w:space="0" w:color="auto"/>
            </w:tcBorders>
            <w:vAlign w:val="center"/>
          </w:tcPr>
          <w:p w14:paraId="3B24EA0D"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bottom w:val="single" w:sz="4" w:space="0" w:color="auto"/>
            </w:tcBorders>
            <w:vAlign w:val="center"/>
          </w:tcPr>
          <w:p w14:paraId="3B24EA0E"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bottom w:val="single" w:sz="4" w:space="0" w:color="auto"/>
            </w:tcBorders>
            <w:vAlign w:val="center"/>
          </w:tcPr>
          <w:p w14:paraId="3B24EA0F"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A17" w14:textId="77777777" w:rsidTr="00B00FE1">
        <w:trPr>
          <w:trHeight w:hRule="exact" w:val="567"/>
        </w:trPr>
        <w:tc>
          <w:tcPr>
            <w:tcW w:w="4860" w:type="dxa"/>
            <w:tcBorders>
              <w:top w:val="single" w:sz="4" w:space="0" w:color="auto"/>
              <w:bottom w:val="single" w:sz="4" w:space="0" w:color="auto"/>
            </w:tcBorders>
            <w:vAlign w:val="center"/>
          </w:tcPr>
          <w:p w14:paraId="3B24EA11" w14:textId="77777777" w:rsidR="0078229E" w:rsidRPr="0078229E" w:rsidRDefault="0078229E" w:rsidP="0078229E">
            <w:pPr>
              <w:widowControl w:val="0"/>
              <w:spacing w:after="0" w:line="276" w:lineRule="auto"/>
              <w:ind w:left="40"/>
              <w:rPr>
                <w:rFonts w:ascii="Times New Roman" w:eastAsia="Arial"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Disease-relevant data, as available</w:t>
            </w:r>
            <w:r w:rsidRPr="0078229E">
              <w:rPr>
                <w:rFonts w:ascii="Times New Roman" w:eastAsia="Calibri" w:hAnsi="Times New Roman" w:cs="Times New Roman"/>
                <w:b/>
                <w:color w:val="000000" w:themeColor="text1"/>
                <w:sz w:val="24"/>
                <w:szCs w:val="24"/>
                <w:vertAlign w:val="superscript"/>
              </w:rPr>
              <w:t>d</w:t>
            </w:r>
          </w:p>
        </w:tc>
        <w:tc>
          <w:tcPr>
            <w:tcW w:w="2011" w:type="dxa"/>
            <w:tcBorders>
              <w:top w:val="single" w:sz="4" w:space="0" w:color="auto"/>
              <w:bottom w:val="single" w:sz="4" w:space="0" w:color="auto"/>
            </w:tcBorders>
            <w:vAlign w:val="center"/>
          </w:tcPr>
          <w:p w14:paraId="3B24EA12"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A13"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tcBorders>
              <w:top w:val="single" w:sz="4" w:space="0" w:color="auto"/>
              <w:bottom w:val="single" w:sz="4" w:space="0" w:color="auto"/>
            </w:tcBorders>
            <w:vAlign w:val="center"/>
          </w:tcPr>
          <w:p w14:paraId="3B24EA14"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A15"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A16"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1E" w14:textId="77777777" w:rsidTr="00B00FE1">
        <w:trPr>
          <w:trHeight w:hRule="exact" w:val="567"/>
        </w:trPr>
        <w:tc>
          <w:tcPr>
            <w:tcW w:w="4860" w:type="dxa"/>
            <w:tcBorders>
              <w:top w:val="single" w:sz="4" w:space="0" w:color="auto"/>
            </w:tcBorders>
            <w:vAlign w:val="center"/>
          </w:tcPr>
          <w:p w14:paraId="3B24EA18" w14:textId="77777777" w:rsidR="0078229E" w:rsidRPr="0078229E" w:rsidRDefault="0078229E" w:rsidP="0078229E">
            <w:pPr>
              <w:widowControl w:val="0"/>
              <w:spacing w:after="0" w:line="276" w:lineRule="auto"/>
              <w:ind w:left="40"/>
              <w:rPr>
                <w:rFonts w:ascii="Times New Roman" w:eastAsia="Arial" w:hAnsi="Times New Roman" w:cs="Times New Roman"/>
                <w:color w:val="000000" w:themeColor="text1"/>
                <w:sz w:val="24"/>
                <w:szCs w:val="24"/>
              </w:rPr>
            </w:pPr>
            <w:r w:rsidRPr="0078229E">
              <w:rPr>
                <w:rFonts w:ascii="Times New Roman" w:eastAsia="Calibri" w:hAnsi="Times New Roman" w:cs="Times New Roman"/>
                <w:b/>
                <w:color w:val="000000" w:themeColor="text1"/>
                <w:sz w:val="24"/>
                <w:szCs w:val="24"/>
              </w:rPr>
              <w:t>Home-based assessments:</w:t>
            </w:r>
          </w:p>
        </w:tc>
        <w:tc>
          <w:tcPr>
            <w:tcW w:w="2011" w:type="dxa"/>
            <w:tcBorders>
              <w:top w:val="single" w:sz="4" w:space="0" w:color="auto"/>
            </w:tcBorders>
            <w:vAlign w:val="center"/>
          </w:tcPr>
          <w:p w14:paraId="3B24EA19"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1A"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1" w:type="dxa"/>
            <w:tcBorders>
              <w:top w:val="single" w:sz="4" w:space="0" w:color="auto"/>
            </w:tcBorders>
            <w:vAlign w:val="center"/>
          </w:tcPr>
          <w:p w14:paraId="3B24EA1B"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1C"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1D" w14:textId="77777777" w:rsidR="0078229E" w:rsidRPr="0078229E" w:rsidRDefault="0078229E" w:rsidP="0078229E">
            <w:pPr>
              <w:widowControl w:val="0"/>
              <w:spacing w:after="0" w:line="276" w:lineRule="auto"/>
              <w:rPr>
                <w:rFonts w:ascii="Times New Roman" w:eastAsia="Calibri" w:hAnsi="Times New Roman" w:cs="Times New Roman"/>
                <w:color w:val="000000" w:themeColor="text1"/>
                <w:sz w:val="24"/>
                <w:szCs w:val="24"/>
              </w:rPr>
            </w:pPr>
          </w:p>
        </w:tc>
      </w:tr>
      <w:tr w:rsidR="0078229E" w:rsidRPr="0078229E" w14:paraId="3B24EA25" w14:textId="77777777" w:rsidTr="00B00FE1">
        <w:trPr>
          <w:trHeight w:hRule="exact" w:val="567"/>
        </w:trPr>
        <w:tc>
          <w:tcPr>
            <w:tcW w:w="4860" w:type="dxa"/>
            <w:vAlign w:val="center"/>
          </w:tcPr>
          <w:p w14:paraId="3B24EA1F"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Daily spirometry</w:t>
            </w:r>
            <w:r w:rsidRPr="0078229E">
              <w:rPr>
                <w:rFonts w:ascii="Times New Roman" w:eastAsia="Calibri" w:hAnsi="Times New Roman" w:cs="Times New Roman"/>
                <w:color w:val="000000" w:themeColor="text1"/>
                <w:sz w:val="24"/>
                <w:szCs w:val="24"/>
                <w:vertAlign w:val="superscript"/>
              </w:rPr>
              <w:t>e</w:t>
            </w:r>
          </w:p>
        </w:tc>
        <w:tc>
          <w:tcPr>
            <w:tcW w:w="2011" w:type="dxa"/>
            <w:vAlign w:val="center"/>
          </w:tcPr>
          <w:p w14:paraId="3B24EA20"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21"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vAlign w:val="center"/>
          </w:tcPr>
          <w:p w14:paraId="3B24EA22"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23"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24" w14:textId="77777777" w:rsidR="0078229E" w:rsidRPr="0078229E" w:rsidRDefault="0078229E" w:rsidP="0078229E">
            <w:pPr>
              <w:widowControl w:val="0"/>
              <w:spacing w:after="0" w:line="276" w:lineRule="auto"/>
              <w:ind w:right="1"/>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2C" w14:textId="77777777" w:rsidTr="00B00FE1">
        <w:trPr>
          <w:trHeight w:hRule="exact" w:val="567"/>
        </w:trPr>
        <w:tc>
          <w:tcPr>
            <w:tcW w:w="4860" w:type="dxa"/>
            <w:vAlign w:val="center"/>
          </w:tcPr>
          <w:p w14:paraId="3B24EA26"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Daily physical functional capacity</w:t>
            </w:r>
            <w:r w:rsidRPr="0078229E">
              <w:rPr>
                <w:rFonts w:ascii="Times New Roman" w:eastAsia="Calibri" w:hAnsi="Times New Roman" w:cs="Times New Roman"/>
                <w:color w:val="000000" w:themeColor="text1"/>
                <w:sz w:val="24"/>
                <w:szCs w:val="24"/>
                <w:vertAlign w:val="superscript"/>
              </w:rPr>
              <w:t>f</w:t>
            </w:r>
          </w:p>
        </w:tc>
        <w:tc>
          <w:tcPr>
            <w:tcW w:w="2011" w:type="dxa"/>
            <w:vAlign w:val="center"/>
          </w:tcPr>
          <w:p w14:paraId="3B24EA27"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28"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vAlign w:val="center"/>
          </w:tcPr>
          <w:p w14:paraId="3B24EA29"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2A"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2B"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33" w14:textId="77777777" w:rsidTr="00B00FE1">
        <w:trPr>
          <w:trHeight w:hRule="exact" w:val="567"/>
        </w:trPr>
        <w:tc>
          <w:tcPr>
            <w:tcW w:w="4860" w:type="dxa"/>
            <w:tcBorders>
              <w:bottom w:val="single" w:sz="4" w:space="0" w:color="auto"/>
            </w:tcBorders>
            <w:vAlign w:val="center"/>
          </w:tcPr>
          <w:p w14:paraId="3B24EA2D"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PRO</w:t>
            </w:r>
            <w:r w:rsidRPr="0078229E">
              <w:rPr>
                <w:rFonts w:ascii="Times New Roman" w:eastAsia="Calibri" w:hAnsi="Times New Roman" w:cs="Times New Roman"/>
                <w:color w:val="000000" w:themeColor="text1"/>
                <w:sz w:val="24"/>
                <w:szCs w:val="24"/>
                <w:vertAlign w:val="superscript"/>
              </w:rPr>
              <w:t>g</w:t>
            </w:r>
          </w:p>
        </w:tc>
        <w:tc>
          <w:tcPr>
            <w:tcW w:w="2011" w:type="dxa"/>
            <w:tcBorders>
              <w:bottom w:val="single" w:sz="4" w:space="0" w:color="auto"/>
            </w:tcBorders>
            <w:vAlign w:val="center"/>
          </w:tcPr>
          <w:p w14:paraId="3B24EA2E"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2F"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tcBorders>
              <w:bottom w:val="single" w:sz="4" w:space="0" w:color="auto"/>
            </w:tcBorders>
            <w:vAlign w:val="center"/>
          </w:tcPr>
          <w:p w14:paraId="3B24EA30"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31"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32"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3A" w14:textId="77777777" w:rsidTr="00B00FE1">
        <w:trPr>
          <w:trHeight w:hRule="exact" w:val="567"/>
        </w:trPr>
        <w:tc>
          <w:tcPr>
            <w:tcW w:w="4860" w:type="dxa"/>
            <w:tcBorders>
              <w:top w:val="single" w:sz="4" w:space="0" w:color="auto"/>
            </w:tcBorders>
            <w:vAlign w:val="center"/>
          </w:tcPr>
          <w:p w14:paraId="3B24EA34" w14:textId="77777777" w:rsidR="0078229E" w:rsidRPr="0078229E" w:rsidRDefault="0078229E" w:rsidP="0078229E">
            <w:pPr>
              <w:widowControl w:val="0"/>
              <w:spacing w:after="0" w:line="276" w:lineRule="auto"/>
              <w:ind w:left="40"/>
              <w:rPr>
                <w:rFonts w:ascii="Times New Roman" w:eastAsia="Arial" w:hAnsi="Times New Roman" w:cs="Times New Roman"/>
                <w:color w:val="000000" w:themeColor="text1"/>
                <w:sz w:val="24"/>
                <w:szCs w:val="24"/>
              </w:rPr>
            </w:pPr>
            <w:r w:rsidRPr="0078229E">
              <w:rPr>
                <w:rFonts w:ascii="Times New Roman" w:eastAsia="Calibri" w:hAnsi="Times New Roman" w:cs="Times New Roman"/>
                <w:b/>
                <w:color w:val="000000" w:themeColor="text1"/>
                <w:sz w:val="24"/>
                <w:szCs w:val="24"/>
              </w:rPr>
              <w:t>Site assessments:</w:t>
            </w:r>
          </w:p>
        </w:tc>
        <w:tc>
          <w:tcPr>
            <w:tcW w:w="2011" w:type="dxa"/>
            <w:tcBorders>
              <w:top w:val="single" w:sz="4" w:space="0" w:color="auto"/>
            </w:tcBorders>
            <w:vAlign w:val="center"/>
          </w:tcPr>
          <w:p w14:paraId="3B24EA35" w14:textId="77777777" w:rsidR="0078229E" w:rsidRPr="0078229E" w:rsidRDefault="0078229E" w:rsidP="0078229E">
            <w:pPr>
              <w:widowControl w:val="0"/>
              <w:spacing w:after="0" w:line="276" w:lineRule="auto"/>
              <w:jc w:val="center"/>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36" w14:textId="77777777" w:rsidR="0078229E" w:rsidRPr="0078229E" w:rsidRDefault="0078229E" w:rsidP="0078229E">
            <w:pPr>
              <w:widowControl w:val="0"/>
              <w:spacing w:after="0" w:line="276" w:lineRule="auto"/>
              <w:jc w:val="center"/>
              <w:rPr>
                <w:rFonts w:ascii="Times New Roman" w:eastAsia="Calibri" w:hAnsi="Times New Roman" w:cs="Times New Roman"/>
                <w:color w:val="000000" w:themeColor="text1"/>
                <w:sz w:val="24"/>
                <w:szCs w:val="24"/>
              </w:rPr>
            </w:pPr>
          </w:p>
        </w:tc>
        <w:tc>
          <w:tcPr>
            <w:tcW w:w="2011" w:type="dxa"/>
            <w:tcBorders>
              <w:top w:val="single" w:sz="4" w:space="0" w:color="auto"/>
            </w:tcBorders>
            <w:vAlign w:val="center"/>
          </w:tcPr>
          <w:p w14:paraId="3B24EA37" w14:textId="77777777" w:rsidR="0078229E" w:rsidRPr="0078229E" w:rsidRDefault="0078229E" w:rsidP="0078229E">
            <w:pPr>
              <w:widowControl w:val="0"/>
              <w:spacing w:after="0" w:line="276" w:lineRule="auto"/>
              <w:jc w:val="center"/>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38" w14:textId="77777777" w:rsidR="0078229E" w:rsidRPr="0078229E" w:rsidRDefault="0078229E" w:rsidP="0078229E">
            <w:pPr>
              <w:widowControl w:val="0"/>
              <w:spacing w:after="0" w:line="276" w:lineRule="auto"/>
              <w:jc w:val="center"/>
              <w:rPr>
                <w:rFonts w:ascii="Times New Roman" w:eastAsia="Calibri" w:hAnsi="Times New Roman" w:cs="Times New Roman"/>
                <w:color w:val="000000" w:themeColor="text1"/>
                <w:sz w:val="24"/>
                <w:szCs w:val="24"/>
              </w:rPr>
            </w:pPr>
          </w:p>
        </w:tc>
        <w:tc>
          <w:tcPr>
            <w:tcW w:w="2012" w:type="dxa"/>
            <w:tcBorders>
              <w:top w:val="single" w:sz="4" w:space="0" w:color="auto"/>
            </w:tcBorders>
            <w:vAlign w:val="center"/>
          </w:tcPr>
          <w:p w14:paraId="3B24EA39" w14:textId="77777777" w:rsidR="0078229E" w:rsidRPr="0078229E" w:rsidRDefault="0078229E" w:rsidP="0078229E">
            <w:pPr>
              <w:widowControl w:val="0"/>
              <w:spacing w:after="0" w:line="276" w:lineRule="auto"/>
              <w:jc w:val="center"/>
              <w:rPr>
                <w:rFonts w:ascii="Times New Roman" w:eastAsia="Calibri" w:hAnsi="Times New Roman" w:cs="Times New Roman"/>
                <w:color w:val="000000" w:themeColor="text1"/>
                <w:sz w:val="24"/>
                <w:szCs w:val="24"/>
              </w:rPr>
            </w:pPr>
          </w:p>
        </w:tc>
      </w:tr>
      <w:tr w:rsidR="0078229E" w:rsidRPr="0078229E" w14:paraId="3B24EA41" w14:textId="77777777" w:rsidTr="00B00FE1">
        <w:trPr>
          <w:trHeight w:hRule="exact" w:val="567"/>
        </w:trPr>
        <w:tc>
          <w:tcPr>
            <w:tcW w:w="4860" w:type="dxa"/>
            <w:vAlign w:val="center"/>
          </w:tcPr>
          <w:p w14:paraId="3B24EA3B"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FVC</w:t>
            </w:r>
          </w:p>
        </w:tc>
        <w:tc>
          <w:tcPr>
            <w:tcW w:w="2011" w:type="dxa"/>
            <w:vAlign w:val="center"/>
          </w:tcPr>
          <w:p w14:paraId="3B24EA3C"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3D"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vAlign w:val="center"/>
          </w:tcPr>
          <w:p w14:paraId="3B24EA3E"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3F"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vAlign w:val="center"/>
          </w:tcPr>
          <w:p w14:paraId="3B24EA40"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48" w14:textId="77777777" w:rsidTr="00B00FE1">
        <w:trPr>
          <w:trHeight w:hRule="exact" w:val="567"/>
        </w:trPr>
        <w:tc>
          <w:tcPr>
            <w:tcW w:w="4860" w:type="dxa"/>
            <w:tcBorders>
              <w:bottom w:val="single" w:sz="4" w:space="0" w:color="auto"/>
            </w:tcBorders>
            <w:vAlign w:val="center"/>
          </w:tcPr>
          <w:p w14:paraId="3B24EA42" w14:textId="77777777" w:rsidR="0078229E" w:rsidRPr="0078229E" w:rsidRDefault="0078229E" w:rsidP="0078229E">
            <w:pPr>
              <w:widowControl w:val="0"/>
              <w:spacing w:after="0" w:line="276" w:lineRule="auto"/>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ab/>
              <w:t>6MWT</w:t>
            </w:r>
            <w:r w:rsidRPr="0078229E">
              <w:rPr>
                <w:rFonts w:ascii="Times New Roman" w:eastAsia="Calibri" w:hAnsi="Times New Roman" w:cs="Times New Roman"/>
                <w:color w:val="000000" w:themeColor="text1"/>
                <w:sz w:val="24"/>
                <w:szCs w:val="24"/>
                <w:vertAlign w:val="superscript"/>
              </w:rPr>
              <w:t>h</w:t>
            </w:r>
          </w:p>
        </w:tc>
        <w:tc>
          <w:tcPr>
            <w:tcW w:w="2011" w:type="dxa"/>
            <w:tcBorders>
              <w:bottom w:val="single" w:sz="4" w:space="0" w:color="auto"/>
            </w:tcBorders>
            <w:vAlign w:val="center"/>
          </w:tcPr>
          <w:p w14:paraId="3B24EA43"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44"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tcBorders>
              <w:bottom w:val="single" w:sz="4" w:space="0" w:color="auto"/>
            </w:tcBorders>
            <w:vAlign w:val="center"/>
          </w:tcPr>
          <w:p w14:paraId="3B24EA45"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46"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bottom w:val="single" w:sz="4" w:space="0" w:color="auto"/>
            </w:tcBorders>
            <w:vAlign w:val="center"/>
          </w:tcPr>
          <w:p w14:paraId="3B24EA47"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4F" w14:textId="77777777" w:rsidTr="00B00FE1">
        <w:trPr>
          <w:trHeight w:hRule="exact" w:val="567"/>
        </w:trPr>
        <w:tc>
          <w:tcPr>
            <w:tcW w:w="4860" w:type="dxa"/>
            <w:tcBorders>
              <w:top w:val="single" w:sz="4" w:space="0" w:color="auto"/>
              <w:bottom w:val="single" w:sz="4" w:space="0" w:color="auto"/>
            </w:tcBorders>
            <w:vAlign w:val="center"/>
          </w:tcPr>
          <w:p w14:paraId="3B24EA49" w14:textId="77777777" w:rsidR="0078229E" w:rsidRPr="0078229E" w:rsidRDefault="0078229E" w:rsidP="0078229E">
            <w:pPr>
              <w:widowControl w:val="0"/>
              <w:spacing w:after="0" w:line="276" w:lineRule="auto"/>
              <w:ind w:left="40"/>
              <w:rPr>
                <w:rFonts w:ascii="Times New Roman" w:eastAsia="Arial"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Concomitant medications</w:t>
            </w:r>
            <w:r w:rsidRPr="0078229E">
              <w:rPr>
                <w:rFonts w:ascii="Times New Roman" w:eastAsia="Calibri" w:hAnsi="Times New Roman" w:cs="Times New Roman"/>
                <w:b/>
                <w:color w:val="000000" w:themeColor="text1"/>
                <w:sz w:val="24"/>
                <w:szCs w:val="24"/>
                <w:vertAlign w:val="superscript"/>
              </w:rPr>
              <w:t>i</w:t>
            </w:r>
          </w:p>
        </w:tc>
        <w:tc>
          <w:tcPr>
            <w:tcW w:w="2011" w:type="dxa"/>
            <w:tcBorders>
              <w:top w:val="single" w:sz="4" w:space="0" w:color="auto"/>
              <w:bottom w:val="single" w:sz="4" w:space="0" w:color="auto"/>
            </w:tcBorders>
            <w:vAlign w:val="center"/>
          </w:tcPr>
          <w:p w14:paraId="3B24EA4A"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A4B"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tcBorders>
              <w:top w:val="single" w:sz="4" w:space="0" w:color="auto"/>
              <w:bottom w:val="single" w:sz="4" w:space="0" w:color="auto"/>
            </w:tcBorders>
            <w:vAlign w:val="center"/>
          </w:tcPr>
          <w:p w14:paraId="3B24EA4C"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A4D"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4" w:space="0" w:color="auto"/>
            </w:tcBorders>
            <w:vAlign w:val="center"/>
          </w:tcPr>
          <w:p w14:paraId="3B24EA4E" w14:textId="77777777" w:rsidR="0078229E" w:rsidRPr="0078229E" w:rsidRDefault="0078229E" w:rsidP="0078229E">
            <w:pPr>
              <w:widowControl w:val="0"/>
              <w:spacing w:after="0" w:line="276" w:lineRule="auto"/>
              <w:ind w:right="1"/>
              <w:jc w:val="center"/>
              <w:rPr>
                <w:rFonts w:ascii="Times New Roman" w:eastAsia="Arial"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56" w14:textId="77777777" w:rsidTr="00B00FE1">
        <w:trPr>
          <w:trHeight w:hRule="exact" w:val="567"/>
        </w:trPr>
        <w:tc>
          <w:tcPr>
            <w:tcW w:w="4860" w:type="dxa"/>
            <w:tcBorders>
              <w:top w:val="single" w:sz="4" w:space="0" w:color="auto"/>
              <w:bottom w:val="single" w:sz="4" w:space="0" w:color="auto"/>
            </w:tcBorders>
            <w:vAlign w:val="center"/>
          </w:tcPr>
          <w:p w14:paraId="3B24EA50" w14:textId="77777777" w:rsidR="0078229E" w:rsidRPr="0078229E" w:rsidRDefault="0078229E" w:rsidP="0078229E">
            <w:pPr>
              <w:widowControl w:val="0"/>
              <w:spacing w:after="0" w:line="276" w:lineRule="auto"/>
              <w:ind w:left="40"/>
              <w:rPr>
                <w:rFonts w:ascii="Times New Roman" w:eastAsia="Calibri"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Investigator/patient survey</w:t>
            </w:r>
          </w:p>
        </w:tc>
        <w:tc>
          <w:tcPr>
            <w:tcW w:w="2011" w:type="dxa"/>
            <w:tcBorders>
              <w:top w:val="single" w:sz="4" w:space="0" w:color="auto"/>
              <w:bottom w:val="single" w:sz="4" w:space="0" w:color="auto"/>
            </w:tcBorders>
            <w:vAlign w:val="center"/>
          </w:tcPr>
          <w:p w14:paraId="3B24EA51"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A52"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p>
        </w:tc>
        <w:tc>
          <w:tcPr>
            <w:tcW w:w="2011" w:type="dxa"/>
            <w:tcBorders>
              <w:top w:val="single" w:sz="4" w:space="0" w:color="auto"/>
              <w:bottom w:val="single" w:sz="4" w:space="0" w:color="auto"/>
            </w:tcBorders>
            <w:vAlign w:val="center"/>
          </w:tcPr>
          <w:p w14:paraId="3B24EA53"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A54"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p>
        </w:tc>
        <w:tc>
          <w:tcPr>
            <w:tcW w:w="2012" w:type="dxa"/>
            <w:tcBorders>
              <w:top w:val="single" w:sz="4" w:space="0" w:color="auto"/>
              <w:bottom w:val="single" w:sz="4" w:space="0" w:color="auto"/>
            </w:tcBorders>
            <w:vAlign w:val="center"/>
          </w:tcPr>
          <w:p w14:paraId="3B24EA55"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r w:rsidR="0078229E" w:rsidRPr="0078229E" w14:paraId="3B24EA5D" w14:textId="77777777" w:rsidTr="00B00FE1">
        <w:trPr>
          <w:trHeight w:hRule="exact" w:val="992"/>
        </w:trPr>
        <w:tc>
          <w:tcPr>
            <w:tcW w:w="4860" w:type="dxa"/>
            <w:tcBorders>
              <w:top w:val="single" w:sz="4" w:space="0" w:color="auto"/>
              <w:bottom w:val="single" w:sz="6" w:space="0" w:color="000000"/>
            </w:tcBorders>
            <w:vAlign w:val="center"/>
          </w:tcPr>
          <w:p w14:paraId="3B24EA57" w14:textId="77777777" w:rsidR="0078229E" w:rsidRPr="0078229E" w:rsidRDefault="0078229E" w:rsidP="0078229E">
            <w:pPr>
              <w:widowControl w:val="0"/>
              <w:spacing w:after="0" w:line="276" w:lineRule="auto"/>
              <w:ind w:left="40"/>
              <w:rPr>
                <w:rFonts w:ascii="Times New Roman" w:eastAsia="Calibri" w:hAnsi="Times New Roman" w:cs="Times New Roman"/>
                <w:b/>
                <w:color w:val="000000" w:themeColor="text1"/>
                <w:sz w:val="24"/>
                <w:szCs w:val="24"/>
              </w:rPr>
            </w:pPr>
            <w:r w:rsidRPr="0078229E">
              <w:rPr>
                <w:rFonts w:ascii="Times New Roman" w:eastAsia="Calibri" w:hAnsi="Times New Roman" w:cs="Times New Roman"/>
                <w:b/>
                <w:color w:val="000000" w:themeColor="text1"/>
                <w:sz w:val="24"/>
                <w:szCs w:val="24"/>
              </w:rPr>
              <w:t>Non-elective hospitalisations, acute exacerbations, deaths, events related to study assessments</w:t>
            </w:r>
          </w:p>
        </w:tc>
        <w:tc>
          <w:tcPr>
            <w:tcW w:w="2011" w:type="dxa"/>
            <w:tcBorders>
              <w:top w:val="single" w:sz="4" w:space="0" w:color="auto"/>
              <w:bottom w:val="single" w:sz="6" w:space="0" w:color="000000"/>
            </w:tcBorders>
            <w:vAlign w:val="center"/>
          </w:tcPr>
          <w:p w14:paraId="3B24EA58"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p>
        </w:tc>
        <w:tc>
          <w:tcPr>
            <w:tcW w:w="2012" w:type="dxa"/>
            <w:tcBorders>
              <w:top w:val="single" w:sz="4" w:space="0" w:color="auto"/>
              <w:bottom w:val="single" w:sz="6" w:space="0" w:color="000000"/>
            </w:tcBorders>
            <w:vAlign w:val="center"/>
          </w:tcPr>
          <w:p w14:paraId="3B24EA59"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1" w:type="dxa"/>
            <w:tcBorders>
              <w:top w:val="single" w:sz="4" w:space="0" w:color="auto"/>
              <w:bottom w:val="single" w:sz="6" w:space="0" w:color="000000"/>
            </w:tcBorders>
            <w:vAlign w:val="center"/>
          </w:tcPr>
          <w:p w14:paraId="3B24EA5A"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6" w:space="0" w:color="000000"/>
            </w:tcBorders>
            <w:vAlign w:val="center"/>
          </w:tcPr>
          <w:p w14:paraId="3B24EA5B"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c>
          <w:tcPr>
            <w:tcW w:w="2012" w:type="dxa"/>
            <w:tcBorders>
              <w:top w:val="single" w:sz="4" w:space="0" w:color="auto"/>
              <w:bottom w:val="single" w:sz="6" w:space="0" w:color="000000"/>
            </w:tcBorders>
            <w:vAlign w:val="center"/>
          </w:tcPr>
          <w:p w14:paraId="3B24EA5C" w14:textId="77777777" w:rsidR="0078229E" w:rsidRPr="0078229E" w:rsidRDefault="0078229E" w:rsidP="0078229E">
            <w:pPr>
              <w:widowControl w:val="0"/>
              <w:spacing w:after="0" w:line="276" w:lineRule="auto"/>
              <w:ind w:right="1"/>
              <w:jc w:val="center"/>
              <w:rPr>
                <w:rFonts w:ascii="Times New Roman" w:eastAsia="Calibri" w:hAnsi="Times New Roman" w:cs="Times New Roman"/>
                <w:color w:val="000000" w:themeColor="text1"/>
                <w:sz w:val="24"/>
                <w:szCs w:val="24"/>
              </w:rPr>
            </w:pPr>
            <w:r w:rsidRPr="0078229E">
              <w:rPr>
                <w:rFonts w:ascii="Times New Roman" w:eastAsia="Calibri" w:hAnsi="Times New Roman" w:cs="Times New Roman"/>
                <w:color w:val="000000" w:themeColor="text1"/>
                <w:sz w:val="24"/>
                <w:szCs w:val="24"/>
              </w:rPr>
              <w:t>x</w:t>
            </w:r>
          </w:p>
        </w:tc>
      </w:tr>
    </w:tbl>
    <w:p w14:paraId="3B24EA69" w14:textId="131B0916" w:rsidR="0078229E" w:rsidRDefault="0078229E" w:rsidP="0090338F">
      <w:pPr>
        <w:spacing w:before="120" w:after="0" w:line="480" w:lineRule="auto"/>
        <w:rPr>
          <w:rFonts w:ascii="Times New Roman" w:hAnsi="Times New Roman" w:cs="Times New Roman"/>
          <w:color w:val="000000" w:themeColor="text1"/>
          <w:sz w:val="24"/>
          <w:szCs w:val="24"/>
        </w:rPr>
      </w:pPr>
      <w:r w:rsidRPr="0090338F">
        <w:rPr>
          <w:rFonts w:ascii="Times New Roman" w:hAnsi="Times New Roman" w:cs="Times New Roman"/>
          <w:i/>
          <w:color w:val="000000" w:themeColor="text1"/>
          <w:sz w:val="24"/>
          <w:szCs w:val="24"/>
        </w:rPr>
        <w:t>6MWT</w:t>
      </w:r>
      <w:r w:rsidRPr="0078229E">
        <w:rPr>
          <w:rFonts w:ascii="Times New Roman" w:hAnsi="Times New Roman" w:cs="Times New Roman"/>
          <w:color w:val="000000" w:themeColor="text1"/>
          <w:sz w:val="24"/>
          <w:szCs w:val="24"/>
        </w:rPr>
        <w:t xml:space="preserve"> 6-minute walk test</w:t>
      </w:r>
      <w:r w:rsidR="0090338F">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90338F">
        <w:rPr>
          <w:rFonts w:ascii="Times New Roman" w:hAnsi="Times New Roman" w:cs="Times New Roman"/>
          <w:i/>
          <w:color w:val="000000" w:themeColor="text1"/>
          <w:sz w:val="24"/>
          <w:szCs w:val="24"/>
        </w:rPr>
        <w:t>BMI</w:t>
      </w:r>
      <w:r w:rsidRPr="0078229E">
        <w:rPr>
          <w:rFonts w:ascii="Times New Roman" w:hAnsi="Times New Roman" w:cs="Times New Roman"/>
          <w:color w:val="000000" w:themeColor="text1"/>
          <w:sz w:val="24"/>
          <w:szCs w:val="24"/>
        </w:rPr>
        <w:t xml:space="preserve"> body mass index</w:t>
      </w:r>
      <w:r w:rsidR="0090338F">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90338F">
        <w:rPr>
          <w:rFonts w:ascii="Times New Roman" w:hAnsi="Times New Roman" w:cs="Times New Roman"/>
          <w:i/>
          <w:color w:val="000000" w:themeColor="text1"/>
          <w:sz w:val="24"/>
          <w:szCs w:val="24"/>
        </w:rPr>
        <w:t>FVC</w:t>
      </w:r>
      <w:r w:rsidRPr="0078229E">
        <w:rPr>
          <w:rFonts w:ascii="Times New Roman" w:hAnsi="Times New Roman" w:cs="Times New Roman"/>
          <w:color w:val="000000" w:themeColor="text1"/>
          <w:sz w:val="24"/>
          <w:szCs w:val="24"/>
        </w:rPr>
        <w:t xml:space="preserve"> forced vital capacity</w:t>
      </w:r>
      <w:r w:rsidR="0090338F">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90338F">
        <w:rPr>
          <w:rFonts w:ascii="Times New Roman" w:hAnsi="Times New Roman" w:cs="Times New Roman"/>
          <w:i/>
          <w:color w:val="000000" w:themeColor="text1"/>
          <w:sz w:val="24"/>
          <w:szCs w:val="24"/>
        </w:rPr>
        <w:t>ILD</w:t>
      </w:r>
      <w:r w:rsidRPr="0078229E">
        <w:rPr>
          <w:rFonts w:ascii="Times New Roman" w:hAnsi="Times New Roman" w:cs="Times New Roman"/>
          <w:color w:val="000000" w:themeColor="text1"/>
          <w:sz w:val="24"/>
          <w:szCs w:val="24"/>
        </w:rPr>
        <w:t xml:space="preserve"> interstitial lung disease</w:t>
      </w:r>
      <w:r w:rsidR="0090338F">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90338F">
        <w:rPr>
          <w:rFonts w:ascii="Times New Roman" w:hAnsi="Times New Roman" w:cs="Times New Roman"/>
          <w:i/>
          <w:color w:val="000000" w:themeColor="text1"/>
          <w:sz w:val="24"/>
          <w:szCs w:val="24"/>
        </w:rPr>
        <w:t>IPF</w:t>
      </w:r>
      <w:r w:rsidRPr="0078229E">
        <w:rPr>
          <w:rFonts w:ascii="Times New Roman" w:hAnsi="Times New Roman" w:cs="Times New Roman"/>
          <w:color w:val="000000" w:themeColor="text1"/>
          <w:sz w:val="24"/>
          <w:szCs w:val="24"/>
        </w:rPr>
        <w:t xml:space="preserve"> idiopathic pulmonary fibrosis</w:t>
      </w:r>
      <w:r w:rsidR="0090338F">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90338F">
        <w:rPr>
          <w:rFonts w:ascii="Times New Roman" w:hAnsi="Times New Roman" w:cs="Times New Roman"/>
          <w:i/>
          <w:color w:val="000000" w:themeColor="text1"/>
          <w:sz w:val="24"/>
          <w:szCs w:val="24"/>
        </w:rPr>
        <w:t>PRO</w:t>
      </w:r>
      <w:r w:rsidR="0090338F">
        <w:rPr>
          <w:rFonts w:ascii="Times New Roman" w:hAnsi="Times New Roman" w:cs="Times New Roman"/>
          <w:color w:val="000000" w:themeColor="text1"/>
          <w:sz w:val="24"/>
          <w:szCs w:val="24"/>
        </w:rPr>
        <w:t> patient-reported outcome</w:t>
      </w:r>
    </w:p>
    <w:p w14:paraId="42ECDF55" w14:textId="0F383E2D"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lastRenderedPageBreak/>
        <w:t xml:space="preserve">a </w:t>
      </w:r>
      <w:r w:rsidRPr="0078229E">
        <w:rPr>
          <w:rFonts w:ascii="Times New Roman" w:hAnsi="Times New Roman" w:cs="Times New Roman"/>
          <w:color w:val="000000" w:themeColor="text1"/>
          <w:sz w:val="24"/>
          <w:szCs w:val="24"/>
        </w:rPr>
        <w:t>The length of this period may vary on an individual basis. During these assessment periods, local clinical practice should be followed; however, at least one site visit must be performed</w:t>
      </w:r>
    </w:p>
    <w:p w14:paraId="144093BA" w14:textId="77777777" w:rsidR="0090338F" w:rsidRPr="0078229E" w:rsidRDefault="0090338F" w:rsidP="0090338F">
      <w:pPr>
        <w:spacing w:after="0" w:line="480" w:lineRule="auto"/>
        <w:rPr>
          <w:rFonts w:ascii="Times New Roman" w:hAnsi="Times New Roman" w:cs="Times New Roman"/>
          <w:sz w:val="24"/>
          <w:szCs w:val="24"/>
        </w:rPr>
      </w:pPr>
      <w:r w:rsidRPr="0078229E">
        <w:rPr>
          <w:rFonts w:ascii="Times New Roman" w:hAnsi="Times New Roman" w:cs="Times New Roman"/>
          <w:sz w:val="24"/>
          <w:szCs w:val="24"/>
          <w:vertAlign w:val="superscript"/>
        </w:rPr>
        <w:t xml:space="preserve">b </w:t>
      </w:r>
      <w:r w:rsidRPr="0078229E">
        <w:rPr>
          <w:rFonts w:ascii="Times New Roman" w:hAnsi="Times New Roman" w:cs="Times New Roman"/>
          <w:sz w:val="24"/>
          <w:szCs w:val="24"/>
        </w:rPr>
        <w:t>Patients diagnosed with ILD or IPF will remain and be followed in the study up to the start of drug treatment (within 6 months) or for a maximum of 6 months if no drug treatment is prescribed. The patient will leave the study if:</w:t>
      </w:r>
    </w:p>
    <w:p w14:paraId="0C7003DD" w14:textId="11FC2848" w:rsidR="0090338F" w:rsidRPr="0078229E" w:rsidRDefault="0090338F" w:rsidP="0090338F">
      <w:pPr>
        <w:numPr>
          <w:ilvl w:val="0"/>
          <w:numId w:val="1"/>
        </w:numPr>
        <w:spacing w:after="0" w:line="480" w:lineRule="auto"/>
        <w:rPr>
          <w:rFonts w:ascii="Times New Roman" w:hAnsi="Times New Roman" w:cs="Times New Roman"/>
          <w:sz w:val="24"/>
          <w:szCs w:val="24"/>
        </w:rPr>
      </w:pPr>
      <w:r w:rsidRPr="0078229E">
        <w:rPr>
          <w:rFonts w:ascii="Times New Roman" w:hAnsi="Times New Roman" w:cs="Times New Roman"/>
          <w:sz w:val="24"/>
          <w:szCs w:val="24"/>
        </w:rPr>
        <w:t>No diagnosis is made 12 mont</w:t>
      </w:r>
      <w:r>
        <w:rPr>
          <w:rFonts w:ascii="Times New Roman" w:hAnsi="Times New Roman" w:cs="Times New Roman"/>
          <w:sz w:val="24"/>
          <w:szCs w:val="24"/>
        </w:rPr>
        <w:t>hs after inclusion in the study</w:t>
      </w:r>
    </w:p>
    <w:p w14:paraId="4050FF17" w14:textId="0F0CB18B" w:rsidR="0090338F" w:rsidRPr="0078229E" w:rsidRDefault="0090338F" w:rsidP="0090338F">
      <w:pPr>
        <w:numPr>
          <w:ilvl w:val="0"/>
          <w:numId w:val="1"/>
        </w:numPr>
        <w:spacing w:after="0" w:line="480" w:lineRule="auto"/>
        <w:rPr>
          <w:rFonts w:ascii="Times New Roman" w:hAnsi="Times New Roman" w:cs="Times New Roman"/>
          <w:sz w:val="24"/>
          <w:szCs w:val="24"/>
        </w:rPr>
      </w:pPr>
      <w:r w:rsidRPr="0078229E">
        <w:rPr>
          <w:rFonts w:ascii="Times New Roman" w:hAnsi="Times New Roman" w:cs="Times New Roman"/>
          <w:sz w:val="24"/>
          <w:szCs w:val="24"/>
        </w:rPr>
        <w:t>The patient is dia</w:t>
      </w:r>
      <w:r>
        <w:rPr>
          <w:rFonts w:ascii="Times New Roman" w:hAnsi="Times New Roman" w:cs="Times New Roman"/>
          <w:sz w:val="24"/>
          <w:szCs w:val="24"/>
        </w:rPr>
        <w:t>gnosed with a non-ILD condition</w:t>
      </w:r>
    </w:p>
    <w:p w14:paraId="7E56EBF8" w14:textId="32C87B32"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c </w:t>
      </w:r>
      <w:r w:rsidRPr="0078229E">
        <w:rPr>
          <w:rFonts w:ascii="Times New Roman" w:hAnsi="Times New Roman" w:cs="Times New Roman"/>
          <w:color w:val="000000" w:themeColor="text1"/>
          <w:sz w:val="24"/>
          <w:szCs w:val="24"/>
        </w:rPr>
        <w:t>Informed consent must be documented before any study-sp</w:t>
      </w:r>
      <w:r>
        <w:rPr>
          <w:rFonts w:ascii="Times New Roman" w:hAnsi="Times New Roman" w:cs="Times New Roman"/>
          <w:color w:val="000000" w:themeColor="text1"/>
          <w:sz w:val="24"/>
          <w:szCs w:val="24"/>
        </w:rPr>
        <w:t>ecific procedures are performed</w:t>
      </w:r>
    </w:p>
    <w:p w14:paraId="67A78865" w14:textId="77C084FF"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d </w:t>
      </w:r>
      <w:r w:rsidRPr="0078229E">
        <w:rPr>
          <w:rFonts w:ascii="Times New Roman" w:hAnsi="Times New Roman" w:cs="Times New Roman"/>
          <w:color w:val="000000" w:themeColor="text1"/>
          <w:sz w:val="24"/>
          <w:szCs w:val="24"/>
        </w:rPr>
        <w:t xml:space="preserve">Data to be collected include, but are not limited to, pulmonary function tests, bronchoalveolar lavage and lung biopsy results (as available). Disease behaviour data </w:t>
      </w:r>
      <w:r w:rsidRPr="0078229E">
        <w:rPr>
          <w:rFonts w:ascii="Times New Roman" w:hAnsi="Times New Roman" w:cs="Times New Roman"/>
          <w:sz w:val="24"/>
          <w:szCs w:val="24"/>
        </w:rPr>
        <w:t xml:space="preserve">will be collected </w:t>
      </w:r>
      <w:r w:rsidRPr="0078229E">
        <w:rPr>
          <w:rFonts w:ascii="Times New Roman" w:hAnsi="Times New Roman" w:cs="Times New Roman"/>
          <w:color w:val="000000" w:themeColor="text1"/>
          <w:sz w:val="24"/>
          <w:szCs w:val="24"/>
        </w:rPr>
        <w:t>using electronic case re</w:t>
      </w:r>
      <w:r w:rsidRPr="0078229E">
        <w:rPr>
          <w:rFonts w:ascii="Times New Roman" w:hAnsi="Times New Roman" w:cs="Times New Roman"/>
          <w:sz w:val="24"/>
          <w:szCs w:val="24"/>
        </w:rPr>
        <w:t>port forms. Investigators will assi</w:t>
      </w:r>
      <w:r w:rsidRPr="0078229E">
        <w:rPr>
          <w:rFonts w:ascii="Times New Roman" w:hAnsi="Times New Roman" w:cs="Times New Roman"/>
          <w:color w:val="000000" w:themeColor="text1"/>
          <w:sz w:val="24"/>
          <w:szCs w:val="24"/>
        </w:rPr>
        <w:t>gn the following categories at each study visit: “reversible disease”, “stable with residual disease”, “progressive disease with the potential for stabilisation” or “progressive irreversible disease”</w:t>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t>[1]</w:t>
      </w:r>
      <w:r w:rsidRPr="0078229E">
        <w:rPr>
          <w:rFonts w:ascii="Times New Roman" w:hAnsi="Times New Roman" w:cs="Times New Roman"/>
          <w:color w:val="000000" w:themeColor="text1"/>
          <w:sz w:val="24"/>
          <w:szCs w:val="24"/>
        </w:rPr>
        <w:t>. Investigators will also provide their level of confidence in their diagnosis for each individual patient on a scale from 1 to 5 (1 = low confide</w:t>
      </w:r>
      <w:r>
        <w:rPr>
          <w:rFonts w:ascii="Times New Roman" w:hAnsi="Times New Roman" w:cs="Times New Roman"/>
          <w:color w:val="000000" w:themeColor="text1"/>
          <w:sz w:val="24"/>
          <w:szCs w:val="24"/>
        </w:rPr>
        <w:t>nce; 5 = very high confidence)</w:t>
      </w:r>
    </w:p>
    <w:p w14:paraId="21287BE9" w14:textId="4BF489E5"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lastRenderedPageBreak/>
        <w:t xml:space="preserve">e </w:t>
      </w:r>
      <w:r w:rsidRPr="0078229E">
        <w:rPr>
          <w:rFonts w:ascii="Times New Roman" w:hAnsi="Times New Roman" w:cs="Times New Roman"/>
          <w:color w:val="000000" w:themeColor="text1"/>
          <w:sz w:val="24"/>
          <w:szCs w:val="24"/>
        </w:rPr>
        <w:t>Daily spirometry (FVC) will be conducted by the patient at home using the study kit provided. Spirometry assessments will be conducted at approximately the same time each day with t</w:t>
      </w:r>
      <w:r>
        <w:rPr>
          <w:rFonts w:ascii="Times New Roman" w:hAnsi="Times New Roman" w:cs="Times New Roman"/>
          <w:color w:val="000000" w:themeColor="text1"/>
          <w:sz w:val="24"/>
          <w:szCs w:val="24"/>
        </w:rPr>
        <w:t>he patient in a seated position</w:t>
      </w:r>
    </w:p>
    <w:p w14:paraId="29265EBB" w14:textId="7F5AEEE7"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f </w:t>
      </w:r>
      <w:r w:rsidRPr="0078229E">
        <w:rPr>
          <w:rFonts w:ascii="Times New Roman" w:hAnsi="Times New Roman" w:cs="Times New Roman"/>
          <w:color w:val="000000" w:themeColor="text1"/>
          <w:sz w:val="24"/>
          <w:szCs w:val="24"/>
        </w:rPr>
        <w:t>Daily physical functional capacity assessments will be measured on an ongoing basis using the accelerometry device provided</w:t>
      </w:r>
    </w:p>
    <w:p w14:paraId="400CF18B" w14:textId="41008302"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g </w:t>
      </w:r>
      <w:r w:rsidRPr="0078229E">
        <w:rPr>
          <w:rFonts w:ascii="Times New Roman" w:hAnsi="Times New Roman" w:cs="Times New Roman"/>
          <w:color w:val="000000" w:themeColor="text1"/>
          <w:sz w:val="24"/>
          <w:szCs w:val="24"/>
        </w:rPr>
        <w:t>Patients will complete specific questionnaires and visual analogue scales upo</w:t>
      </w:r>
      <w:r>
        <w:rPr>
          <w:rFonts w:ascii="Times New Roman" w:hAnsi="Times New Roman" w:cs="Times New Roman"/>
          <w:color w:val="000000" w:themeColor="text1"/>
          <w:sz w:val="24"/>
          <w:szCs w:val="24"/>
        </w:rPr>
        <w:t>n request from the investigator</w:t>
      </w:r>
    </w:p>
    <w:p w14:paraId="4B9B3185" w14:textId="0A54CDB9"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h </w:t>
      </w:r>
      <w:r w:rsidRPr="0078229E">
        <w:rPr>
          <w:rFonts w:ascii="Times New Roman" w:hAnsi="Times New Roman" w:cs="Times New Roman"/>
          <w:color w:val="000000" w:themeColor="text1"/>
          <w:sz w:val="24"/>
          <w:szCs w:val="24"/>
        </w:rPr>
        <w:t xml:space="preserve">The 6MWT will be performed only at sites where a formalised process is available and the test can be </w:t>
      </w:r>
      <w:r>
        <w:rPr>
          <w:rFonts w:ascii="Times New Roman" w:hAnsi="Times New Roman" w:cs="Times New Roman"/>
          <w:color w:val="000000" w:themeColor="text1"/>
          <w:sz w:val="24"/>
          <w:szCs w:val="24"/>
        </w:rPr>
        <w:t>performed under safe conditions</w:t>
      </w:r>
    </w:p>
    <w:p w14:paraId="1BC794DC" w14:textId="21C9B366" w:rsidR="0090338F" w:rsidRPr="0078229E" w:rsidRDefault="0090338F" w:rsidP="0090338F">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i </w:t>
      </w:r>
      <w:r w:rsidRPr="0078229E">
        <w:rPr>
          <w:rFonts w:ascii="Times New Roman" w:hAnsi="Times New Roman" w:cs="Times New Roman"/>
          <w:color w:val="000000" w:themeColor="text1"/>
          <w:sz w:val="24"/>
          <w:szCs w:val="24"/>
        </w:rPr>
        <w:t>Includes any medication (prescription an</w:t>
      </w:r>
      <w:r>
        <w:rPr>
          <w:rFonts w:ascii="Times New Roman" w:hAnsi="Times New Roman" w:cs="Times New Roman"/>
          <w:color w:val="000000" w:themeColor="text1"/>
          <w:sz w:val="24"/>
          <w:szCs w:val="24"/>
        </w:rPr>
        <w:t>d over-the-counter medications)</w:t>
      </w:r>
    </w:p>
    <w:p w14:paraId="39E5E67D" w14:textId="77777777" w:rsidR="0090338F" w:rsidRPr="0078229E" w:rsidRDefault="0090338F" w:rsidP="0078229E">
      <w:pPr>
        <w:spacing w:after="0" w:line="480" w:lineRule="auto"/>
        <w:rPr>
          <w:rFonts w:ascii="Times New Roman" w:hAnsi="Times New Roman" w:cs="Times New Roman"/>
          <w:color w:val="000000" w:themeColor="text1"/>
          <w:sz w:val="24"/>
          <w:szCs w:val="24"/>
        </w:rPr>
      </w:pPr>
    </w:p>
    <w:p w14:paraId="3B24EA6A" w14:textId="339A9E65" w:rsidR="0078229E" w:rsidRPr="0078229E" w:rsidRDefault="0078229E" w:rsidP="0078229E">
      <w:pPr>
        <w:spacing w:after="240" w:line="480" w:lineRule="auto"/>
        <w:rPr>
          <w:rFonts w:ascii="Times New Roman" w:hAnsi="Times New Roman" w:cs="Times New Roman"/>
          <w:b/>
          <w:color w:val="000000" w:themeColor="text1"/>
          <w:sz w:val="24"/>
          <w:szCs w:val="24"/>
        </w:rPr>
      </w:pPr>
      <w:r w:rsidRPr="0078229E">
        <w:rPr>
          <w:rFonts w:ascii="Times New Roman" w:hAnsi="Times New Roman" w:cs="Times New Roman"/>
          <w:b/>
          <w:color w:val="000000" w:themeColor="text1"/>
          <w:sz w:val="24"/>
          <w:szCs w:val="24"/>
        </w:rPr>
        <w:br w:type="page"/>
      </w:r>
      <w:r w:rsidRPr="0078229E">
        <w:rPr>
          <w:rFonts w:ascii="Times New Roman" w:hAnsi="Times New Roman" w:cs="Times New Roman"/>
          <w:b/>
          <w:color w:val="000000" w:themeColor="text1"/>
          <w:sz w:val="24"/>
          <w:szCs w:val="24"/>
        </w:rPr>
        <w:lastRenderedPageBreak/>
        <w:t xml:space="preserve">Table </w:t>
      </w:r>
      <w:r w:rsidR="004C4D2E">
        <w:rPr>
          <w:rFonts w:ascii="Times New Roman" w:hAnsi="Times New Roman" w:cs="Times New Roman"/>
          <w:b/>
          <w:color w:val="000000" w:themeColor="text1"/>
          <w:sz w:val="24"/>
          <w:szCs w:val="24"/>
        </w:rPr>
        <w:t>S</w:t>
      </w:r>
      <w:r w:rsidRPr="0078229E">
        <w:rPr>
          <w:rFonts w:ascii="Times New Roman" w:hAnsi="Times New Roman" w:cs="Times New Roman"/>
          <w:b/>
          <w:color w:val="000000" w:themeColor="text1"/>
          <w:sz w:val="24"/>
          <w:szCs w:val="24"/>
        </w:rPr>
        <w:t>2</w:t>
      </w:r>
      <w:r w:rsidRPr="0078229E">
        <w:rPr>
          <w:rFonts w:ascii="Times New Roman" w:hAnsi="Times New Roman" w:cs="Times New Roman"/>
          <w:color w:val="000000" w:themeColor="text1"/>
          <w:sz w:val="24"/>
          <w:szCs w:val="24"/>
        </w:rPr>
        <w:t xml:space="preserve"> Study endpoints</w:t>
      </w:r>
    </w:p>
    <w:tbl>
      <w:tblPr>
        <w:tblStyle w:val="TableGrid2"/>
        <w:tblW w:w="0" w:type="auto"/>
        <w:tblBorders>
          <w:left w:val="none" w:sz="0" w:space="0" w:color="auto"/>
          <w:right w:val="none" w:sz="0" w:space="0" w:color="auto"/>
        </w:tblBorders>
        <w:tblLook w:val="04A0" w:firstRow="1" w:lastRow="0" w:firstColumn="1" w:lastColumn="0" w:noHBand="0" w:noVBand="1"/>
      </w:tblPr>
      <w:tblGrid>
        <w:gridCol w:w="13887"/>
      </w:tblGrid>
      <w:tr w:rsidR="0078229E" w:rsidRPr="0078229E" w14:paraId="3B24EA6C" w14:textId="77777777" w:rsidTr="00B00FE1">
        <w:trPr>
          <w:trHeight w:val="482"/>
        </w:trPr>
        <w:tc>
          <w:tcPr>
            <w:tcW w:w="13887" w:type="dxa"/>
            <w:vAlign w:val="bottom"/>
          </w:tcPr>
          <w:p w14:paraId="3B24EA6B" w14:textId="77777777" w:rsidR="0078229E" w:rsidRPr="0078229E" w:rsidRDefault="0078229E" w:rsidP="0078229E">
            <w:pPr>
              <w:spacing w:after="120" w:line="360" w:lineRule="auto"/>
              <w:rPr>
                <w:rFonts w:ascii="Times New Roman" w:eastAsia="SimSun" w:hAnsi="Times New Roman"/>
                <w:b/>
                <w:color w:val="000000" w:themeColor="text1"/>
                <w:sz w:val="24"/>
                <w:szCs w:val="24"/>
                <w:lang w:eastAsia="zh-CN"/>
              </w:rPr>
            </w:pPr>
            <w:r w:rsidRPr="0078229E">
              <w:rPr>
                <w:rFonts w:ascii="Times New Roman" w:eastAsia="SimSun" w:hAnsi="Times New Roman"/>
                <w:b/>
                <w:color w:val="000000" w:themeColor="text1"/>
                <w:sz w:val="24"/>
                <w:szCs w:val="24"/>
                <w:lang w:eastAsia="zh-CN"/>
              </w:rPr>
              <w:t>Primary endpoint</w:t>
            </w:r>
          </w:p>
        </w:tc>
      </w:tr>
      <w:tr w:rsidR="0078229E" w:rsidRPr="0078229E" w14:paraId="3B24EA6E" w14:textId="77777777" w:rsidTr="00B00FE1">
        <w:tc>
          <w:tcPr>
            <w:tcW w:w="13887" w:type="dxa"/>
            <w:vAlign w:val="bottom"/>
          </w:tcPr>
          <w:p w14:paraId="3B24EA6D" w14:textId="77777777" w:rsidR="0078229E" w:rsidRPr="0078229E" w:rsidRDefault="0078229E" w:rsidP="0078229E">
            <w:pPr>
              <w:numPr>
                <w:ilvl w:val="0"/>
                <w:numId w:val="2"/>
              </w:numPr>
              <w:spacing w:after="120" w:line="360" w:lineRule="auto"/>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Changes in time-adjusted semi-annual FVC decline (mL) measured by daily home spirometry in patients with IPF</w:t>
            </w:r>
            <w:r w:rsidRPr="0078229E">
              <w:rPr>
                <w:color w:val="000000" w:themeColor="text1"/>
              </w:rPr>
              <w:t xml:space="preserve"> </w:t>
            </w:r>
          </w:p>
        </w:tc>
      </w:tr>
      <w:tr w:rsidR="0078229E" w:rsidRPr="0078229E" w14:paraId="3B24EA70" w14:textId="77777777" w:rsidTr="00B00FE1">
        <w:trPr>
          <w:trHeight w:val="482"/>
        </w:trPr>
        <w:tc>
          <w:tcPr>
            <w:tcW w:w="13887" w:type="dxa"/>
            <w:vAlign w:val="bottom"/>
          </w:tcPr>
          <w:p w14:paraId="3B24EA6F" w14:textId="77777777" w:rsidR="0078229E" w:rsidRPr="0078229E" w:rsidRDefault="0078229E" w:rsidP="0078229E">
            <w:pPr>
              <w:spacing w:after="120" w:line="360" w:lineRule="auto"/>
              <w:rPr>
                <w:rFonts w:ascii="Arial" w:eastAsia="SimSun" w:hAnsi="Arial"/>
                <w:b/>
                <w:color w:val="000000" w:themeColor="text1"/>
                <w:szCs w:val="24"/>
                <w:lang w:eastAsia="zh-CN"/>
              </w:rPr>
            </w:pPr>
            <w:r w:rsidRPr="0078229E">
              <w:rPr>
                <w:rFonts w:ascii="Times New Roman" w:eastAsia="SimSun" w:hAnsi="Times New Roman"/>
                <w:b/>
                <w:color w:val="000000" w:themeColor="text1"/>
                <w:sz w:val="24"/>
                <w:szCs w:val="24"/>
                <w:lang w:eastAsia="zh-CN"/>
              </w:rPr>
              <w:t xml:space="preserve">Secondary </w:t>
            </w:r>
            <w:r w:rsidRPr="0078229E">
              <w:rPr>
                <w:rFonts w:ascii="Times New Roman" w:hAnsi="Times New Roman"/>
                <w:b/>
                <w:color w:val="000000" w:themeColor="text1"/>
                <w:sz w:val="24"/>
                <w:szCs w:val="24"/>
                <w:lang w:eastAsia="zh-CN"/>
              </w:rPr>
              <w:t>endpoints</w:t>
            </w:r>
          </w:p>
        </w:tc>
      </w:tr>
      <w:tr w:rsidR="0078229E" w:rsidRPr="0078229E" w14:paraId="3B24EA82" w14:textId="77777777" w:rsidTr="00B00FE1">
        <w:tc>
          <w:tcPr>
            <w:tcW w:w="13887" w:type="dxa"/>
            <w:vAlign w:val="bottom"/>
          </w:tcPr>
          <w:p w14:paraId="3B24EA71" w14:textId="77777777" w:rsidR="0078229E" w:rsidRPr="0078229E" w:rsidRDefault="0078229E" w:rsidP="0078229E">
            <w:pPr>
              <w:numPr>
                <w:ilvl w:val="0"/>
                <w:numId w:val="2"/>
              </w:numPr>
              <w:spacing w:after="120"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Changes in time-adjusted semi-annual FVC decline (mL) measured by daily home spirometry in patients with ILD, excluding patients with IPF</w:t>
            </w:r>
          </w:p>
          <w:p w14:paraId="3B24EA72" w14:textId="77777777" w:rsidR="0078229E" w:rsidRPr="0078229E" w:rsidRDefault="0078229E" w:rsidP="0078229E">
            <w:pPr>
              <w:numPr>
                <w:ilvl w:val="0"/>
                <w:numId w:val="2"/>
              </w:numPr>
              <w:spacing w:after="120"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Changes in FVC (mL and percent predicted) measured by site spirometry in patients with ILD and IPF</w:t>
            </w:r>
          </w:p>
          <w:p w14:paraId="3B24EA73" w14:textId="77777777" w:rsidR="0078229E" w:rsidRPr="0078229E" w:rsidRDefault="0078229E" w:rsidP="0078229E">
            <w:pPr>
              <w:numPr>
                <w:ilvl w:val="0"/>
                <w:numId w:val="2"/>
              </w:numPr>
              <w:spacing w:after="120"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Changes in physical functional capacity measured by daily home accelerometry and site 6MWT in patients with ILD and IPF</w:t>
            </w:r>
          </w:p>
          <w:p w14:paraId="3B24EA74" w14:textId="77777777" w:rsidR="0078229E" w:rsidRPr="0078229E" w:rsidRDefault="0078229E" w:rsidP="0078229E">
            <w:pPr>
              <w:numPr>
                <w:ilvl w:val="0"/>
                <w:numId w:val="2"/>
              </w:numPr>
              <w:spacing w:after="120"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Changes in PRO measures during the</w:t>
            </w:r>
            <w:r w:rsidRPr="0078229E">
              <w:rPr>
                <w:color w:val="000000" w:themeColor="text1"/>
              </w:rPr>
              <w:t xml:space="preserve"> </w:t>
            </w:r>
            <w:r w:rsidRPr="0078229E">
              <w:rPr>
                <w:rFonts w:ascii="Times New Roman" w:eastAsia="SimSun" w:hAnsi="Times New Roman"/>
                <w:color w:val="000000" w:themeColor="text1"/>
                <w:sz w:val="24"/>
                <w:szCs w:val="24"/>
                <w:lang w:eastAsia="zh-CN"/>
              </w:rPr>
              <w:t>pre-diagnostic and post-diagnostic periods in patients with ILD and IPF:</w:t>
            </w:r>
          </w:p>
          <w:p w14:paraId="3B24EA75" w14:textId="77777777" w:rsidR="0078229E" w:rsidRPr="0078229E" w:rsidRDefault="0078229E" w:rsidP="0078229E">
            <w:pPr>
              <w:numPr>
                <w:ilvl w:val="1"/>
                <w:numId w:val="2"/>
              </w:numPr>
              <w:spacing w:after="120" w:line="360" w:lineRule="auto"/>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K-BILD questionnaire – assesses breathlessness and activities, psychological symptoms and chest symptoms</w:t>
            </w:r>
          </w:p>
          <w:p w14:paraId="3B24EA76" w14:textId="77777777" w:rsidR="0078229E" w:rsidRPr="0078229E" w:rsidRDefault="0078229E" w:rsidP="0078229E">
            <w:pPr>
              <w:numPr>
                <w:ilvl w:val="1"/>
                <w:numId w:val="2"/>
              </w:numPr>
              <w:spacing w:after="120" w:line="360" w:lineRule="auto"/>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mMRC Dyspnoea Scale – assesses the effects of breathlessness on daily activities</w:t>
            </w:r>
          </w:p>
          <w:p w14:paraId="3B24EA77" w14:textId="77777777" w:rsidR="0078229E" w:rsidRPr="0078229E" w:rsidRDefault="0078229E" w:rsidP="0078229E">
            <w:pPr>
              <w:numPr>
                <w:ilvl w:val="1"/>
                <w:numId w:val="2"/>
              </w:numPr>
              <w:spacing w:after="120" w:line="360" w:lineRule="auto"/>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EQ-5D-5L questionnaire – assesses mobility, self-care, usual activities, pain/discomfort, anxiety/depression and health state</w:t>
            </w:r>
          </w:p>
          <w:p w14:paraId="3B24EA78" w14:textId="77777777" w:rsidR="0078229E" w:rsidRPr="0078229E" w:rsidRDefault="0078229E" w:rsidP="0078229E">
            <w:pPr>
              <w:numPr>
                <w:ilvl w:val="1"/>
                <w:numId w:val="2"/>
              </w:numPr>
              <w:spacing w:after="120" w:line="360" w:lineRule="auto"/>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FAS – assesses physical fatigue and mental fatigue</w:t>
            </w:r>
          </w:p>
          <w:p w14:paraId="3B24EA79" w14:textId="77777777" w:rsidR="0078229E" w:rsidRPr="0078229E" w:rsidRDefault="0078229E" w:rsidP="0078229E">
            <w:pPr>
              <w:numPr>
                <w:ilvl w:val="1"/>
                <w:numId w:val="2"/>
              </w:numPr>
              <w:spacing w:after="120" w:line="360" w:lineRule="auto"/>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Cough-VAS/Urge-to-cough-VAS/Fatigue-VAS – assess the severity of cough, the urge to cough and fatigue on continuous visual scales ranging from 0 mm to 100 mm</w:t>
            </w:r>
          </w:p>
          <w:p w14:paraId="3B24EA7A"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 xml:space="preserve">Correlation between home and site spirometry measurements of FVC </w:t>
            </w:r>
          </w:p>
          <w:p w14:paraId="3B24EA7B"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Correlation between physical functional capacity assessed at home (by daily home accelerometry) and onsite (by 6MWT) in patients with ILD and IPF</w:t>
            </w:r>
          </w:p>
          <w:p w14:paraId="3B24EA7C"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 xml:space="preserve">Comparison of disease behaviour in patients with ILD and patients with IPF </w:t>
            </w:r>
          </w:p>
          <w:p w14:paraId="3B24EA7D"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Evaluation of the baseline characteristics of progressing versus non-progressing</w:t>
            </w:r>
            <w:r w:rsidRPr="0078229E">
              <w:rPr>
                <w:rFonts w:ascii="Times New Roman" w:eastAsia="SimSun" w:hAnsi="Times New Roman"/>
                <w:color w:val="000000" w:themeColor="text1"/>
                <w:sz w:val="24"/>
                <w:szCs w:val="24"/>
                <w:vertAlign w:val="superscript"/>
                <w:lang w:eastAsia="zh-CN"/>
              </w:rPr>
              <w:t>a</w:t>
            </w:r>
            <w:r w:rsidRPr="0078229E">
              <w:rPr>
                <w:rFonts w:ascii="Times New Roman" w:eastAsia="SimSun" w:hAnsi="Times New Roman"/>
                <w:color w:val="000000" w:themeColor="text1"/>
                <w:sz w:val="24"/>
                <w:szCs w:val="24"/>
                <w:lang w:eastAsia="zh-CN"/>
              </w:rPr>
              <w:t xml:space="preserve"> patients and evaluation of the baseline characteristics of patients who experienced a respiratory-related hospitalisation</w:t>
            </w:r>
          </w:p>
          <w:p w14:paraId="3B24EA7E"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Incidence of non-elective hospitalisations, including both respiratory-related hospitalisations and all-cause hospitalisations</w:t>
            </w:r>
          </w:p>
          <w:p w14:paraId="3B24EA7F"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Incidence of investigator-reported acute exacerbations</w:t>
            </w:r>
            <w:r w:rsidRPr="0078229E">
              <w:rPr>
                <w:rFonts w:ascii="Times New Roman" w:eastAsia="SimSun" w:hAnsi="Times New Roman"/>
                <w:color w:val="000000" w:themeColor="text1"/>
                <w:sz w:val="24"/>
                <w:szCs w:val="24"/>
                <w:vertAlign w:val="superscript"/>
                <w:lang w:eastAsia="zh-CN"/>
              </w:rPr>
              <w:t>b</w:t>
            </w:r>
          </w:p>
          <w:p w14:paraId="3B24EA80" w14:textId="77777777" w:rsidR="0078229E" w:rsidRPr="0078229E" w:rsidRDefault="0078229E" w:rsidP="0078229E">
            <w:pPr>
              <w:numPr>
                <w:ilvl w:val="0"/>
                <w:numId w:val="3"/>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 xml:space="preserve">Incidence of mortality, including respiratory-related mortality and all-cause mortality </w:t>
            </w:r>
          </w:p>
          <w:p w14:paraId="3B24EA81" w14:textId="77777777" w:rsidR="0078229E" w:rsidRPr="0078229E" w:rsidRDefault="0078229E" w:rsidP="0078229E">
            <w:pPr>
              <w:numPr>
                <w:ilvl w:val="0"/>
                <w:numId w:val="4"/>
              </w:numPr>
              <w:spacing w:line="360" w:lineRule="auto"/>
              <w:ind w:left="714" w:hanging="357"/>
              <w:contextualSpacing/>
              <w:rPr>
                <w:rFonts w:ascii="Times New Roman" w:eastAsia="SimSun" w:hAnsi="Times New Roman"/>
                <w:color w:val="000000" w:themeColor="text1"/>
                <w:sz w:val="24"/>
                <w:szCs w:val="24"/>
                <w:lang w:eastAsia="zh-CN"/>
              </w:rPr>
            </w:pPr>
            <w:r w:rsidRPr="0078229E">
              <w:rPr>
                <w:rFonts w:ascii="Times New Roman" w:eastAsia="SimSun" w:hAnsi="Times New Roman"/>
                <w:color w:val="000000" w:themeColor="text1"/>
                <w:sz w:val="24"/>
                <w:szCs w:val="24"/>
                <w:lang w:eastAsia="zh-CN"/>
              </w:rPr>
              <w:t>Incidence of events related to the study assessments</w:t>
            </w:r>
          </w:p>
        </w:tc>
      </w:tr>
      <w:tr w:rsidR="0078229E" w:rsidRPr="0078229E" w14:paraId="3B24EA84" w14:textId="77777777" w:rsidTr="00B00FE1">
        <w:trPr>
          <w:trHeight w:val="482"/>
        </w:trPr>
        <w:tc>
          <w:tcPr>
            <w:tcW w:w="13887" w:type="dxa"/>
            <w:vAlign w:val="center"/>
          </w:tcPr>
          <w:p w14:paraId="3B24EA83" w14:textId="77777777" w:rsidR="0078229E" w:rsidRPr="0078229E" w:rsidRDefault="0078229E" w:rsidP="0078229E">
            <w:pPr>
              <w:keepNext/>
              <w:spacing w:after="120" w:line="360" w:lineRule="auto"/>
              <w:rPr>
                <w:rFonts w:ascii="Times New Roman" w:eastAsia="SimSun" w:hAnsi="Times New Roman"/>
                <w:b/>
                <w:color w:val="000000" w:themeColor="text1"/>
                <w:sz w:val="24"/>
                <w:szCs w:val="24"/>
                <w:lang w:eastAsia="zh-CN"/>
              </w:rPr>
            </w:pPr>
            <w:r w:rsidRPr="0078229E">
              <w:rPr>
                <w:rFonts w:ascii="Times New Roman" w:eastAsia="SimSun" w:hAnsi="Times New Roman"/>
                <w:b/>
                <w:color w:val="000000" w:themeColor="text1"/>
                <w:sz w:val="24"/>
                <w:szCs w:val="24"/>
                <w:lang w:eastAsia="zh-CN"/>
              </w:rPr>
              <w:t>Exploratory endpoints</w:t>
            </w:r>
          </w:p>
        </w:tc>
      </w:tr>
      <w:tr w:rsidR="0078229E" w:rsidRPr="0078229E" w14:paraId="3B24EA8A" w14:textId="77777777" w:rsidTr="00B00FE1">
        <w:tc>
          <w:tcPr>
            <w:tcW w:w="13887" w:type="dxa"/>
            <w:vAlign w:val="center"/>
          </w:tcPr>
          <w:p w14:paraId="3B24EA85" w14:textId="77777777" w:rsidR="0078229E" w:rsidRPr="0078229E" w:rsidRDefault="0078229E" w:rsidP="0078229E">
            <w:pPr>
              <w:widowControl w:val="0"/>
              <w:numPr>
                <w:ilvl w:val="0"/>
                <w:numId w:val="4"/>
              </w:numPr>
              <w:tabs>
                <w:tab w:val="left" w:pos="199"/>
              </w:tabs>
              <w:spacing w:line="360" w:lineRule="auto"/>
              <w:ind w:left="714" w:hanging="357"/>
              <w:contextualSpacing/>
              <w:rPr>
                <w:rFonts w:ascii="Times New Roman" w:eastAsia="Arial" w:hAnsi="Times New Roman"/>
                <w:color w:val="000000" w:themeColor="text1"/>
                <w:sz w:val="24"/>
                <w:szCs w:val="24"/>
              </w:rPr>
            </w:pPr>
            <w:r w:rsidRPr="0078229E">
              <w:rPr>
                <w:rFonts w:ascii="Times New Roman" w:hAnsi="Times New Roman"/>
                <w:color w:val="000000" w:themeColor="text1"/>
                <w:spacing w:val="-1"/>
                <w:sz w:val="24"/>
                <w:szCs w:val="24"/>
              </w:rPr>
              <w:t>Evaluation of baseline</w:t>
            </w:r>
            <w:r w:rsidRPr="0078229E">
              <w:rPr>
                <w:rFonts w:ascii="Times New Roman" w:hAnsi="Times New Roman"/>
                <w:color w:val="000000" w:themeColor="text1"/>
                <w:spacing w:val="-10"/>
                <w:sz w:val="24"/>
                <w:szCs w:val="24"/>
              </w:rPr>
              <w:t xml:space="preserve"> </w:t>
            </w:r>
            <w:r w:rsidRPr="0078229E">
              <w:rPr>
                <w:rFonts w:ascii="Times New Roman" w:hAnsi="Times New Roman"/>
                <w:color w:val="000000" w:themeColor="text1"/>
                <w:sz w:val="24"/>
                <w:szCs w:val="24"/>
              </w:rPr>
              <w:t xml:space="preserve">characteristics and </w:t>
            </w:r>
            <w:r w:rsidRPr="0078229E">
              <w:rPr>
                <w:rFonts w:ascii="Times New Roman" w:hAnsi="Times New Roman"/>
                <w:color w:val="000000" w:themeColor="text1"/>
                <w:spacing w:val="-1"/>
                <w:sz w:val="24"/>
                <w:szCs w:val="24"/>
              </w:rPr>
              <w:t>changes</w:t>
            </w:r>
            <w:r w:rsidRPr="0078229E">
              <w:rPr>
                <w:rFonts w:ascii="Times New Roman" w:hAnsi="Times New Roman"/>
                <w:color w:val="000000" w:themeColor="text1"/>
                <w:spacing w:val="-5"/>
                <w:sz w:val="24"/>
                <w:szCs w:val="24"/>
              </w:rPr>
              <w:t xml:space="preserve"> </w:t>
            </w:r>
            <w:r w:rsidRPr="0078229E">
              <w:rPr>
                <w:rFonts w:ascii="Times New Roman" w:hAnsi="Times New Roman"/>
                <w:color w:val="000000" w:themeColor="text1"/>
                <w:spacing w:val="-1"/>
                <w:sz w:val="24"/>
                <w:szCs w:val="24"/>
              </w:rPr>
              <w:t>in</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z w:val="24"/>
                <w:szCs w:val="24"/>
              </w:rPr>
              <w:t>pulmonary</w:t>
            </w:r>
            <w:r w:rsidRPr="0078229E">
              <w:rPr>
                <w:rFonts w:ascii="Times New Roman" w:hAnsi="Times New Roman"/>
                <w:color w:val="000000" w:themeColor="text1"/>
                <w:spacing w:val="-11"/>
                <w:sz w:val="24"/>
                <w:szCs w:val="24"/>
              </w:rPr>
              <w:t xml:space="preserve"> </w:t>
            </w:r>
            <w:r w:rsidRPr="0078229E">
              <w:rPr>
                <w:rFonts w:ascii="Times New Roman" w:hAnsi="Times New Roman"/>
                <w:color w:val="000000" w:themeColor="text1"/>
                <w:sz w:val="24"/>
                <w:szCs w:val="24"/>
              </w:rPr>
              <w:t>function</w:t>
            </w:r>
            <w:r w:rsidRPr="0078229E">
              <w:rPr>
                <w:rFonts w:ascii="Times New Roman" w:hAnsi="Times New Roman"/>
                <w:color w:val="000000" w:themeColor="text1"/>
                <w:spacing w:val="-5"/>
                <w:sz w:val="24"/>
                <w:szCs w:val="24"/>
              </w:rPr>
              <w:t xml:space="preserve"> </w:t>
            </w:r>
            <w:r w:rsidRPr="0078229E">
              <w:rPr>
                <w:rFonts w:ascii="Times New Roman" w:hAnsi="Times New Roman"/>
                <w:color w:val="000000" w:themeColor="text1"/>
                <w:spacing w:val="-1"/>
                <w:sz w:val="24"/>
                <w:szCs w:val="24"/>
              </w:rPr>
              <w:t>and</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z w:val="24"/>
                <w:szCs w:val="24"/>
              </w:rPr>
              <w:t>physical</w:t>
            </w:r>
            <w:r w:rsidRPr="0078229E">
              <w:rPr>
                <w:rFonts w:ascii="Times New Roman" w:hAnsi="Times New Roman"/>
                <w:color w:val="000000" w:themeColor="text1"/>
                <w:spacing w:val="-9"/>
                <w:sz w:val="24"/>
                <w:szCs w:val="24"/>
              </w:rPr>
              <w:t xml:space="preserve"> </w:t>
            </w:r>
            <w:r w:rsidRPr="0078229E">
              <w:rPr>
                <w:rFonts w:ascii="Times New Roman" w:hAnsi="Times New Roman"/>
                <w:color w:val="000000" w:themeColor="text1"/>
                <w:spacing w:val="-1"/>
                <w:sz w:val="24"/>
                <w:szCs w:val="24"/>
              </w:rPr>
              <w:t>activity by ILD</w:t>
            </w:r>
            <w:r w:rsidRPr="0078229E">
              <w:rPr>
                <w:rFonts w:ascii="Times New Roman" w:hAnsi="Times New Roman"/>
                <w:color w:val="000000" w:themeColor="text1"/>
                <w:spacing w:val="-7"/>
                <w:sz w:val="24"/>
                <w:szCs w:val="24"/>
              </w:rPr>
              <w:t xml:space="preserve"> </w:t>
            </w:r>
            <w:r w:rsidRPr="0078229E">
              <w:rPr>
                <w:rFonts w:ascii="Times New Roman" w:hAnsi="Times New Roman"/>
                <w:color w:val="000000" w:themeColor="text1"/>
                <w:spacing w:val="-1"/>
                <w:sz w:val="24"/>
                <w:szCs w:val="24"/>
              </w:rPr>
              <w:t>subgroup (</w:t>
            </w:r>
            <w:r w:rsidRPr="0078229E">
              <w:rPr>
                <w:rFonts w:ascii="Times New Roman" w:hAnsi="Times New Roman"/>
                <w:color w:val="000000" w:themeColor="text1"/>
                <w:sz w:val="24"/>
                <w:szCs w:val="24"/>
              </w:rPr>
              <w:t>depending</w:t>
            </w:r>
            <w:r w:rsidRPr="0078229E">
              <w:rPr>
                <w:rFonts w:ascii="Times New Roman" w:hAnsi="Times New Roman"/>
                <w:color w:val="000000" w:themeColor="text1"/>
                <w:spacing w:val="-7"/>
                <w:sz w:val="24"/>
                <w:szCs w:val="24"/>
              </w:rPr>
              <w:t xml:space="preserve"> </w:t>
            </w:r>
            <w:r w:rsidRPr="0078229E">
              <w:rPr>
                <w:rFonts w:ascii="Times New Roman" w:hAnsi="Times New Roman"/>
                <w:color w:val="000000" w:themeColor="text1"/>
                <w:spacing w:val="1"/>
                <w:sz w:val="24"/>
                <w:szCs w:val="24"/>
              </w:rPr>
              <w:t>on</w:t>
            </w:r>
            <w:r w:rsidRPr="0078229E">
              <w:rPr>
                <w:rFonts w:ascii="Times New Roman" w:hAnsi="Times New Roman"/>
                <w:color w:val="000000" w:themeColor="text1"/>
                <w:spacing w:val="-8"/>
                <w:sz w:val="24"/>
                <w:szCs w:val="24"/>
              </w:rPr>
              <w:t xml:space="preserve"> </w:t>
            </w:r>
            <w:r w:rsidRPr="0078229E">
              <w:rPr>
                <w:rFonts w:ascii="Times New Roman" w:hAnsi="Times New Roman"/>
                <w:color w:val="000000" w:themeColor="text1"/>
                <w:sz w:val="24"/>
                <w:szCs w:val="24"/>
              </w:rPr>
              <w:t>available</w:t>
            </w:r>
            <w:r w:rsidRPr="0078229E">
              <w:rPr>
                <w:rFonts w:ascii="Times New Roman" w:hAnsi="Times New Roman"/>
                <w:color w:val="000000" w:themeColor="text1"/>
                <w:spacing w:val="-8"/>
                <w:sz w:val="24"/>
                <w:szCs w:val="24"/>
              </w:rPr>
              <w:t xml:space="preserve"> </w:t>
            </w:r>
            <w:r w:rsidRPr="0078229E">
              <w:rPr>
                <w:rFonts w:ascii="Times New Roman" w:hAnsi="Times New Roman"/>
                <w:color w:val="000000" w:themeColor="text1"/>
                <w:sz w:val="24"/>
                <w:szCs w:val="24"/>
              </w:rPr>
              <w:t>data)</w:t>
            </w:r>
          </w:p>
          <w:p w14:paraId="3B24EA86" w14:textId="77777777" w:rsidR="0078229E" w:rsidRPr="0078229E" w:rsidRDefault="0078229E" w:rsidP="0078229E">
            <w:pPr>
              <w:widowControl w:val="0"/>
              <w:numPr>
                <w:ilvl w:val="0"/>
                <w:numId w:val="4"/>
              </w:numPr>
              <w:tabs>
                <w:tab w:val="left" w:pos="199"/>
              </w:tabs>
              <w:spacing w:line="360" w:lineRule="auto"/>
              <w:ind w:left="714" w:hanging="357"/>
              <w:contextualSpacing/>
              <w:rPr>
                <w:rFonts w:ascii="Times New Roman" w:eastAsia="Arial" w:hAnsi="Times New Roman"/>
                <w:color w:val="000000" w:themeColor="text1"/>
                <w:sz w:val="24"/>
                <w:szCs w:val="24"/>
              </w:rPr>
            </w:pPr>
            <w:r w:rsidRPr="0078229E">
              <w:rPr>
                <w:rFonts w:ascii="Times New Roman" w:hAnsi="Times New Roman"/>
                <w:color w:val="000000" w:themeColor="text1"/>
                <w:spacing w:val="-1"/>
                <w:sz w:val="24"/>
                <w:szCs w:val="24"/>
              </w:rPr>
              <w:t>Evaluation of</w:t>
            </w:r>
            <w:r w:rsidRPr="0078229E">
              <w:rPr>
                <w:rFonts w:ascii="Times New Roman" w:hAnsi="Times New Roman"/>
                <w:color w:val="000000" w:themeColor="text1"/>
                <w:spacing w:val="-11"/>
                <w:sz w:val="24"/>
                <w:szCs w:val="24"/>
              </w:rPr>
              <w:t xml:space="preserve"> </w:t>
            </w:r>
            <w:r w:rsidRPr="0078229E">
              <w:rPr>
                <w:rFonts w:ascii="Times New Roman" w:hAnsi="Times New Roman"/>
                <w:color w:val="000000" w:themeColor="text1"/>
                <w:spacing w:val="-1"/>
                <w:sz w:val="24"/>
                <w:szCs w:val="24"/>
              </w:rPr>
              <w:t>the</w:t>
            </w:r>
            <w:r w:rsidRPr="0078229E">
              <w:rPr>
                <w:rFonts w:ascii="Times New Roman" w:hAnsi="Times New Roman"/>
                <w:color w:val="000000" w:themeColor="text1"/>
                <w:spacing w:val="-12"/>
                <w:sz w:val="24"/>
                <w:szCs w:val="24"/>
              </w:rPr>
              <w:t xml:space="preserve"> </w:t>
            </w:r>
            <w:r w:rsidRPr="0078229E">
              <w:rPr>
                <w:rFonts w:ascii="Times New Roman" w:hAnsi="Times New Roman"/>
                <w:color w:val="000000" w:themeColor="text1"/>
                <w:spacing w:val="-1"/>
                <w:sz w:val="24"/>
                <w:szCs w:val="24"/>
              </w:rPr>
              <w:t>baseline</w:t>
            </w:r>
            <w:r w:rsidRPr="0078229E">
              <w:rPr>
                <w:rFonts w:ascii="Times New Roman" w:hAnsi="Times New Roman"/>
                <w:color w:val="000000" w:themeColor="text1"/>
                <w:spacing w:val="-10"/>
                <w:sz w:val="24"/>
                <w:szCs w:val="24"/>
              </w:rPr>
              <w:t xml:space="preserve"> </w:t>
            </w:r>
            <w:r w:rsidRPr="0078229E">
              <w:rPr>
                <w:rFonts w:ascii="Times New Roman" w:hAnsi="Times New Roman"/>
                <w:color w:val="000000" w:themeColor="text1"/>
                <w:sz w:val="24"/>
                <w:szCs w:val="24"/>
              </w:rPr>
              <w:t xml:space="preserve">characteristics and </w:t>
            </w:r>
            <w:r w:rsidRPr="0078229E">
              <w:rPr>
                <w:rFonts w:ascii="Times New Roman" w:hAnsi="Times New Roman"/>
                <w:color w:val="000000" w:themeColor="text1"/>
                <w:spacing w:val="-1"/>
                <w:sz w:val="24"/>
                <w:szCs w:val="24"/>
              </w:rPr>
              <w:t>changes</w:t>
            </w:r>
            <w:r w:rsidRPr="0078229E">
              <w:rPr>
                <w:rFonts w:ascii="Times New Roman" w:hAnsi="Times New Roman"/>
                <w:color w:val="000000" w:themeColor="text1"/>
                <w:spacing w:val="-5"/>
                <w:sz w:val="24"/>
                <w:szCs w:val="24"/>
              </w:rPr>
              <w:t xml:space="preserve"> </w:t>
            </w:r>
            <w:r w:rsidRPr="0078229E">
              <w:rPr>
                <w:rFonts w:ascii="Times New Roman" w:hAnsi="Times New Roman"/>
                <w:color w:val="000000" w:themeColor="text1"/>
                <w:spacing w:val="-1"/>
                <w:sz w:val="24"/>
                <w:szCs w:val="24"/>
              </w:rPr>
              <w:t>in</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z w:val="24"/>
                <w:szCs w:val="24"/>
              </w:rPr>
              <w:t>pulmonary</w:t>
            </w:r>
            <w:r w:rsidRPr="0078229E">
              <w:rPr>
                <w:rFonts w:ascii="Times New Roman" w:hAnsi="Times New Roman"/>
                <w:color w:val="000000" w:themeColor="text1"/>
                <w:spacing w:val="-11"/>
                <w:sz w:val="24"/>
                <w:szCs w:val="24"/>
              </w:rPr>
              <w:t xml:space="preserve"> </w:t>
            </w:r>
            <w:r w:rsidRPr="0078229E">
              <w:rPr>
                <w:rFonts w:ascii="Times New Roman" w:hAnsi="Times New Roman"/>
                <w:color w:val="000000" w:themeColor="text1"/>
                <w:sz w:val="24"/>
                <w:szCs w:val="24"/>
              </w:rPr>
              <w:t>function</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pacing w:val="-1"/>
                <w:sz w:val="24"/>
                <w:szCs w:val="24"/>
              </w:rPr>
              <w:t>and</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z w:val="24"/>
                <w:szCs w:val="24"/>
              </w:rPr>
              <w:t>physical</w:t>
            </w:r>
            <w:r w:rsidRPr="0078229E">
              <w:rPr>
                <w:rFonts w:ascii="Times New Roman" w:hAnsi="Times New Roman"/>
                <w:color w:val="000000" w:themeColor="text1"/>
                <w:spacing w:val="-9"/>
                <w:sz w:val="24"/>
                <w:szCs w:val="24"/>
              </w:rPr>
              <w:t xml:space="preserve"> </w:t>
            </w:r>
            <w:r w:rsidRPr="0078229E">
              <w:rPr>
                <w:rFonts w:ascii="Times New Roman" w:hAnsi="Times New Roman"/>
                <w:color w:val="000000" w:themeColor="text1"/>
                <w:spacing w:val="-1"/>
                <w:sz w:val="24"/>
                <w:szCs w:val="24"/>
              </w:rPr>
              <w:t>activity in</w:t>
            </w:r>
            <w:r w:rsidRPr="0078229E">
              <w:rPr>
                <w:rFonts w:ascii="Times New Roman" w:hAnsi="Times New Roman"/>
                <w:color w:val="000000" w:themeColor="text1"/>
                <w:spacing w:val="-5"/>
                <w:sz w:val="24"/>
                <w:szCs w:val="24"/>
              </w:rPr>
              <w:t xml:space="preserve"> </w:t>
            </w:r>
            <w:r w:rsidRPr="0078229E">
              <w:rPr>
                <w:rFonts w:ascii="Times New Roman" w:hAnsi="Times New Roman"/>
                <w:color w:val="000000" w:themeColor="text1"/>
                <w:spacing w:val="-1"/>
                <w:sz w:val="24"/>
                <w:szCs w:val="24"/>
              </w:rPr>
              <w:t>patients</w:t>
            </w:r>
            <w:r w:rsidRPr="0078229E">
              <w:rPr>
                <w:rFonts w:ascii="Times New Roman" w:hAnsi="Times New Roman"/>
                <w:color w:val="000000" w:themeColor="text1"/>
                <w:spacing w:val="-2"/>
                <w:sz w:val="24"/>
                <w:szCs w:val="24"/>
              </w:rPr>
              <w:t xml:space="preserve"> </w:t>
            </w:r>
            <w:r w:rsidRPr="0078229E">
              <w:rPr>
                <w:rFonts w:ascii="Times New Roman" w:hAnsi="Times New Roman"/>
                <w:color w:val="000000" w:themeColor="text1"/>
                <w:spacing w:val="-1"/>
                <w:sz w:val="24"/>
                <w:szCs w:val="24"/>
              </w:rPr>
              <w:t>with</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pacing w:val="1"/>
                <w:sz w:val="24"/>
                <w:szCs w:val="24"/>
              </w:rPr>
              <w:t>no</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z w:val="24"/>
                <w:szCs w:val="24"/>
              </w:rPr>
              <w:t>diagnosis</w:t>
            </w:r>
            <w:r w:rsidRPr="0078229E">
              <w:rPr>
                <w:rFonts w:ascii="Times New Roman" w:hAnsi="Times New Roman"/>
                <w:color w:val="000000" w:themeColor="text1"/>
                <w:spacing w:val="-7"/>
                <w:sz w:val="24"/>
                <w:szCs w:val="24"/>
              </w:rPr>
              <w:t xml:space="preserve"> </w:t>
            </w:r>
            <w:r w:rsidRPr="0078229E">
              <w:rPr>
                <w:rFonts w:ascii="Times New Roman" w:hAnsi="Times New Roman"/>
                <w:color w:val="000000" w:themeColor="text1"/>
                <w:spacing w:val="-1"/>
                <w:sz w:val="24"/>
                <w:szCs w:val="24"/>
              </w:rPr>
              <w:t>12</w:t>
            </w:r>
            <w:r w:rsidRPr="0078229E">
              <w:rPr>
                <w:rFonts w:ascii="Times New Roman" w:hAnsi="Times New Roman"/>
                <w:color w:val="000000" w:themeColor="text1"/>
                <w:spacing w:val="-6"/>
                <w:sz w:val="24"/>
                <w:szCs w:val="24"/>
              </w:rPr>
              <w:t xml:space="preserve"> </w:t>
            </w:r>
            <w:r w:rsidRPr="0078229E">
              <w:rPr>
                <w:rFonts w:ascii="Times New Roman" w:hAnsi="Times New Roman"/>
                <w:color w:val="000000" w:themeColor="text1"/>
                <w:sz w:val="24"/>
                <w:szCs w:val="24"/>
              </w:rPr>
              <w:t>months</w:t>
            </w:r>
            <w:r w:rsidRPr="0078229E">
              <w:rPr>
                <w:rFonts w:ascii="Times New Roman" w:hAnsi="Times New Roman"/>
                <w:color w:val="000000" w:themeColor="text1"/>
                <w:spacing w:val="-5"/>
                <w:sz w:val="24"/>
                <w:szCs w:val="24"/>
              </w:rPr>
              <w:t xml:space="preserve"> </w:t>
            </w:r>
            <w:r w:rsidRPr="0078229E">
              <w:rPr>
                <w:rFonts w:ascii="Times New Roman" w:hAnsi="Times New Roman"/>
                <w:color w:val="000000" w:themeColor="text1"/>
                <w:spacing w:val="-1"/>
                <w:sz w:val="24"/>
                <w:szCs w:val="24"/>
              </w:rPr>
              <w:t>after</w:t>
            </w:r>
            <w:r w:rsidRPr="0078229E">
              <w:rPr>
                <w:rFonts w:ascii="Times New Roman" w:hAnsi="Times New Roman"/>
                <w:color w:val="000000" w:themeColor="text1"/>
                <w:spacing w:val="28"/>
                <w:w w:val="99"/>
                <w:sz w:val="24"/>
                <w:szCs w:val="24"/>
              </w:rPr>
              <w:t xml:space="preserve"> </w:t>
            </w:r>
            <w:r w:rsidRPr="0078229E">
              <w:rPr>
                <w:rFonts w:ascii="Times New Roman" w:hAnsi="Times New Roman"/>
                <w:color w:val="000000" w:themeColor="text1"/>
                <w:spacing w:val="-1"/>
                <w:sz w:val="24"/>
                <w:szCs w:val="24"/>
              </w:rPr>
              <w:t>inclusion</w:t>
            </w:r>
          </w:p>
          <w:p w14:paraId="3B24EA87" w14:textId="77777777" w:rsidR="0078229E" w:rsidRPr="0078229E" w:rsidRDefault="0078229E" w:rsidP="0078229E">
            <w:pPr>
              <w:widowControl w:val="0"/>
              <w:numPr>
                <w:ilvl w:val="0"/>
                <w:numId w:val="4"/>
              </w:numPr>
              <w:tabs>
                <w:tab w:val="left" w:pos="199"/>
              </w:tabs>
              <w:spacing w:line="360" w:lineRule="auto"/>
              <w:ind w:left="714" w:hanging="357"/>
              <w:contextualSpacing/>
              <w:rPr>
                <w:rFonts w:ascii="Times New Roman" w:eastAsia="Arial" w:hAnsi="Times New Roman"/>
                <w:color w:val="000000" w:themeColor="text1"/>
                <w:sz w:val="24"/>
                <w:szCs w:val="24"/>
              </w:rPr>
            </w:pPr>
            <w:r w:rsidRPr="0078229E">
              <w:rPr>
                <w:rFonts w:ascii="Times New Roman" w:eastAsia="SimSun" w:hAnsi="Times New Roman"/>
                <w:color w:val="000000" w:themeColor="text1"/>
                <w:sz w:val="24"/>
                <w:szCs w:val="24"/>
                <w:lang w:eastAsia="zh-CN"/>
              </w:rPr>
              <w:t>Evaluation of the differences in FVC (mL) measured by daily home spirometry and site spirometry at the time of treatment initiation in patients with IPF</w:t>
            </w:r>
          </w:p>
          <w:p w14:paraId="3B24EA88" w14:textId="77777777" w:rsidR="0078229E" w:rsidRPr="0078229E" w:rsidRDefault="0078229E" w:rsidP="0078229E">
            <w:pPr>
              <w:widowControl w:val="0"/>
              <w:numPr>
                <w:ilvl w:val="0"/>
                <w:numId w:val="4"/>
              </w:numPr>
              <w:tabs>
                <w:tab w:val="left" w:pos="199"/>
              </w:tabs>
              <w:spacing w:line="360" w:lineRule="auto"/>
              <w:ind w:left="714" w:hanging="357"/>
              <w:contextualSpacing/>
              <w:rPr>
                <w:rFonts w:ascii="Times New Roman" w:eastAsia="Arial" w:hAnsi="Times New Roman"/>
                <w:color w:val="000000" w:themeColor="text1"/>
                <w:sz w:val="24"/>
                <w:szCs w:val="24"/>
              </w:rPr>
            </w:pPr>
            <w:r w:rsidRPr="0078229E">
              <w:rPr>
                <w:rFonts w:ascii="Times New Roman" w:eastAsia="SimSun" w:hAnsi="Times New Roman"/>
                <w:color w:val="000000" w:themeColor="text1"/>
                <w:sz w:val="24"/>
                <w:szCs w:val="24"/>
                <w:lang w:eastAsia="zh-CN"/>
              </w:rPr>
              <w:t>Evaluation of the usefulness, practicality and scalability of the collaboration platform (virtual MDT) in normal clinical practice by means of a survey among investigators at the end of the study</w:t>
            </w:r>
          </w:p>
          <w:p w14:paraId="3B24EA89" w14:textId="77777777" w:rsidR="0078229E" w:rsidRPr="0078229E" w:rsidRDefault="0078229E" w:rsidP="0078229E">
            <w:pPr>
              <w:widowControl w:val="0"/>
              <w:numPr>
                <w:ilvl w:val="0"/>
                <w:numId w:val="4"/>
              </w:numPr>
              <w:tabs>
                <w:tab w:val="left" w:pos="199"/>
              </w:tabs>
              <w:spacing w:line="360" w:lineRule="auto"/>
              <w:ind w:left="714" w:hanging="357"/>
              <w:contextualSpacing/>
              <w:rPr>
                <w:rFonts w:ascii="Times New Roman" w:eastAsia="Arial" w:hAnsi="Times New Roman"/>
                <w:color w:val="000000" w:themeColor="text1"/>
                <w:sz w:val="24"/>
                <w:szCs w:val="24"/>
              </w:rPr>
            </w:pPr>
            <w:r w:rsidRPr="0078229E">
              <w:rPr>
                <w:rFonts w:ascii="Times New Roman" w:eastAsia="SimSun" w:hAnsi="Times New Roman"/>
                <w:color w:val="000000" w:themeColor="text1"/>
                <w:sz w:val="24"/>
                <w:szCs w:val="24"/>
                <w:lang w:eastAsia="zh-CN"/>
              </w:rPr>
              <w:t xml:space="preserve">Evaluation of the usefulness and practicality of the </w:t>
            </w:r>
            <w:r w:rsidRPr="0078229E">
              <w:rPr>
                <w:rFonts w:ascii="Times New Roman" w:eastAsia="SimSun" w:hAnsi="Times New Roman"/>
                <w:sz w:val="24"/>
                <w:szCs w:val="24"/>
                <w:lang w:eastAsia="zh-CN"/>
              </w:rPr>
              <w:t xml:space="preserve">digital ecosystem </w:t>
            </w:r>
            <w:r w:rsidRPr="0078229E">
              <w:rPr>
                <w:rFonts w:ascii="Times New Roman" w:eastAsia="SimSun" w:hAnsi="Times New Roman"/>
                <w:color w:val="000000" w:themeColor="text1"/>
                <w:sz w:val="24"/>
                <w:szCs w:val="24"/>
                <w:lang w:eastAsia="zh-CN"/>
              </w:rPr>
              <w:t xml:space="preserve">provided to patients by means of a patient questionnaire </w:t>
            </w:r>
          </w:p>
        </w:tc>
      </w:tr>
    </w:tbl>
    <w:p w14:paraId="2FF45D5B" w14:textId="5CF8ED9F" w:rsidR="004C4D2E" w:rsidRPr="0078229E" w:rsidRDefault="004C4D2E" w:rsidP="004C4D2E">
      <w:pPr>
        <w:spacing w:before="120" w:after="0" w:line="480" w:lineRule="auto"/>
        <w:rPr>
          <w:rFonts w:ascii="Times New Roman" w:hAnsi="Times New Roman" w:cs="Times New Roman"/>
          <w:color w:val="000000" w:themeColor="text1"/>
          <w:sz w:val="24"/>
          <w:szCs w:val="24"/>
        </w:rPr>
      </w:pPr>
      <w:r w:rsidRPr="004C4D2E">
        <w:rPr>
          <w:rFonts w:ascii="Times New Roman" w:hAnsi="Times New Roman" w:cs="Times New Roman"/>
          <w:i/>
          <w:color w:val="000000" w:themeColor="text1"/>
          <w:sz w:val="24"/>
          <w:szCs w:val="24"/>
        </w:rPr>
        <w:lastRenderedPageBreak/>
        <w:t>6MWT</w:t>
      </w:r>
      <w:r w:rsidRPr="0078229E">
        <w:rPr>
          <w:rFonts w:ascii="Times New Roman" w:hAnsi="Times New Roman" w:cs="Times New Roman"/>
          <w:color w:val="000000" w:themeColor="text1"/>
          <w:sz w:val="24"/>
          <w:szCs w:val="24"/>
        </w:rPr>
        <w:t xml:space="preserve"> 6-minute walk test</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 xml:space="preserve">EQ-5D-5L </w:t>
      </w:r>
      <w:r w:rsidRPr="0078229E">
        <w:rPr>
          <w:rFonts w:ascii="Times New Roman" w:hAnsi="Times New Roman" w:cs="Times New Roman"/>
          <w:color w:val="000000" w:themeColor="text1"/>
          <w:sz w:val="24"/>
          <w:szCs w:val="24"/>
        </w:rPr>
        <w:t>5-Level EuroQol 5-Dimension</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FAS</w:t>
      </w:r>
      <w:r w:rsidRPr="0078229E">
        <w:rPr>
          <w:rFonts w:ascii="Times New Roman" w:hAnsi="Times New Roman" w:cs="Times New Roman"/>
          <w:color w:val="000000" w:themeColor="text1"/>
          <w:sz w:val="24"/>
          <w:szCs w:val="24"/>
        </w:rPr>
        <w:t xml:space="preserve"> Fatigue Assessment Scale</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FVC</w:t>
      </w:r>
      <w:r w:rsidRPr="0078229E">
        <w:rPr>
          <w:rFonts w:ascii="Times New Roman" w:hAnsi="Times New Roman" w:cs="Times New Roman"/>
          <w:color w:val="000000" w:themeColor="text1"/>
          <w:sz w:val="24"/>
          <w:szCs w:val="24"/>
        </w:rPr>
        <w:t xml:space="preserve"> forced vital capacity</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ILD</w:t>
      </w:r>
      <w:r w:rsidRPr="0078229E">
        <w:rPr>
          <w:rFonts w:ascii="Times New Roman" w:hAnsi="Times New Roman" w:cs="Times New Roman"/>
          <w:color w:val="000000" w:themeColor="text1"/>
          <w:sz w:val="24"/>
          <w:szCs w:val="24"/>
        </w:rPr>
        <w:t xml:space="preserve"> interstitial lung disease</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IPF</w:t>
      </w:r>
      <w:r w:rsidRPr="0078229E">
        <w:rPr>
          <w:rFonts w:ascii="Times New Roman" w:hAnsi="Times New Roman" w:cs="Times New Roman"/>
          <w:color w:val="000000" w:themeColor="text1"/>
          <w:sz w:val="24"/>
          <w:szCs w:val="24"/>
        </w:rPr>
        <w:t xml:space="preserve"> idiopathic pulmonary fibrosis</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 xml:space="preserve">K-BILD </w:t>
      </w:r>
      <w:r w:rsidRPr="0078229E">
        <w:rPr>
          <w:rFonts w:ascii="Times New Roman" w:hAnsi="Times New Roman" w:cs="Times New Roman"/>
          <w:color w:val="000000" w:themeColor="text1"/>
          <w:sz w:val="24"/>
          <w:szCs w:val="24"/>
        </w:rPr>
        <w:t>King's Brief Interstitial Lung Disease</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MDT</w:t>
      </w:r>
      <w:r w:rsidRPr="0078229E">
        <w:rPr>
          <w:rFonts w:ascii="Times New Roman" w:hAnsi="Times New Roman" w:cs="Times New Roman"/>
          <w:color w:val="000000" w:themeColor="text1"/>
          <w:sz w:val="24"/>
          <w:szCs w:val="24"/>
        </w:rPr>
        <w:t xml:space="preserve"> multidisciplinary team</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mMRC</w:t>
      </w:r>
      <w:r w:rsidRPr="0078229E">
        <w:rPr>
          <w:rFonts w:ascii="Times New Roman" w:hAnsi="Times New Roman" w:cs="Times New Roman"/>
          <w:color w:val="000000" w:themeColor="text1"/>
          <w:sz w:val="24"/>
          <w:szCs w:val="24"/>
        </w:rPr>
        <w:t xml:space="preserve"> modified Medical Research Council</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PRO</w:t>
      </w:r>
      <w:r w:rsidRPr="0078229E">
        <w:rPr>
          <w:rFonts w:ascii="Times New Roman" w:hAnsi="Times New Roman" w:cs="Times New Roman"/>
          <w:color w:val="000000" w:themeColor="text1"/>
          <w:sz w:val="24"/>
          <w:szCs w:val="24"/>
        </w:rPr>
        <w:t xml:space="preserve"> patient-reported outcome</w:t>
      </w:r>
      <w:r>
        <w:rPr>
          <w:rFonts w:ascii="Times New Roman" w:hAnsi="Times New Roman" w:cs="Times New Roman"/>
          <w:color w:val="000000" w:themeColor="text1"/>
          <w:sz w:val="24"/>
          <w:szCs w:val="24"/>
        </w:rPr>
        <w:t>,</w:t>
      </w:r>
      <w:r w:rsidRPr="0078229E">
        <w:rPr>
          <w:rFonts w:ascii="Times New Roman" w:hAnsi="Times New Roman" w:cs="Times New Roman"/>
          <w:color w:val="000000" w:themeColor="text1"/>
          <w:sz w:val="24"/>
          <w:szCs w:val="24"/>
        </w:rPr>
        <w:t xml:space="preserve"> </w:t>
      </w:r>
      <w:r w:rsidRPr="004C4D2E">
        <w:rPr>
          <w:rFonts w:ascii="Times New Roman" w:hAnsi="Times New Roman" w:cs="Times New Roman"/>
          <w:i/>
          <w:color w:val="000000" w:themeColor="text1"/>
          <w:sz w:val="24"/>
          <w:szCs w:val="24"/>
        </w:rPr>
        <w:t>VAS</w:t>
      </w:r>
      <w:r w:rsidRPr="0078229E">
        <w:rPr>
          <w:rFonts w:ascii="Times New Roman" w:hAnsi="Times New Roman" w:cs="Times New Roman"/>
          <w:color w:val="000000" w:themeColor="text1"/>
          <w:sz w:val="24"/>
          <w:szCs w:val="24"/>
        </w:rPr>
        <w:t xml:space="preserve"> Visual Analogue Scale</w:t>
      </w:r>
    </w:p>
    <w:p w14:paraId="754695F9" w14:textId="77777777" w:rsidR="004C4D2E" w:rsidRDefault="004C4D2E" w:rsidP="0078229E">
      <w:pPr>
        <w:spacing w:before="120" w:after="0" w:line="480" w:lineRule="auto"/>
        <w:rPr>
          <w:rFonts w:ascii="Times New Roman" w:hAnsi="Times New Roman" w:cs="Times New Roman"/>
          <w:color w:val="000000" w:themeColor="text1"/>
          <w:sz w:val="24"/>
          <w:szCs w:val="24"/>
          <w:vertAlign w:val="superscript"/>
        </w:rPr>
      </w:pPr>
    </w:p>
    <w:p w14:paraId="3B24EA8B" w14:textId="75F08DA4" w:rsidR="0078229E" w:rsidRPr="0078229E" w:rsidRDefault="0078229E" w:rsidP="004C4D2E">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a </w:t>
      </w:r>
      <w:r w:rsidRPr="0078229E">
        <w:rPr>
          <w:rFonts w:ascii="Times New Roman" w:hAnsi="Times New Roman" w:cs="Times New Roman"/>
          <w:color w:val="000000" w:themeColor="text1"/>
          <w:sz w:val="24"/>
          <w:szCs w:val="24"/>
        </w:rPr>
        <w:t>Defined by du Bois and colleagues: mean semi-annual FVC decline ≥50 mL and/or &gt;15% decline in steps-per-day</w:t>
      </w:r>
      <w:r w:rsidR="004C4D2E">
        <w:rPr>
          <w:rFonts w:ascii="Times New Roman" w:hAnsi="Times New Roman" w:cs="Times New Roman"/>
          <w:color w:val="000000" w:themeColor="text1"/>
          <w:sz w:val="24"/>
          <w:szCs w:val="24"/>
        </w:rPr>
        <w:t xml:space="preserve"> </w:t>
      </w:r>
      <w:r w:rsidR="004C4D2E">
        <w:rPr>
          <w:rFonts w:ascii="Times New Roman" w:hAnsi="Times New Roman" w:cs="Times New Roman"/>
          <w:noProof/>
          <w:color w:val="000000" w:themeColor="text1"/>
          <w:sz w:val="24"/>
          <w:szCs w:val="24"/>
        </w:rPr>
        <w:t>[2]</w:t>
      </w:r>
    </w:p>
    <w:p w14:paraId="3B24EA8C" w14:textId="462D706D" w:rsidR="0078229E" w:rsidRPr="0078229E" w:rsidRDefault="0078229E" w:rsidP="0078229E">
      <w:pPr>
        <w:spacing w:after="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vertAlign w:val="superscript"/>
        </w:rPr>
        <w:t xml:space="preserve">b </w:t>
      </w:r>
      <w:r w:rsidRPr="0078229E">
        <w:rPr>
          <w:rFonts w:ascii="Times New Roman" w:hAnsi="Times New Roman" w:cs="Times New Roman"/>
          <w:color w:val="000000" w:themeColor="text1"/>
          <w:sz w:val="24"/>
          <w:szCs w:val="24"/>
        </w:rPr>
        <w:t>Defined by Collard and colleagues: an acute, clinically significant respiratory deterioration characterised by evidence of new wid</w:t>
      </w:r>
      <w:r w:rsidR="004C4D2E">
        <w:rPr>
          <w:rFonts w:ascii="Times New Roman" w:hAnsi="Times New Roman" w:cs="Times New Roman"/>
          <w:color w:val="000000" w:themeColor="text1"/>
          <w:sz w:val="24"/>
          <w:szCs w:val="24"/>
        </w:rPr>
        <w:t xml:space="preserve">espread alveolar abnormality </w:t>
      </w:r>
      <w:r w:rsidR="004C4D2E">
        <w:rPr>
          <w:rFonts w:ascii="Times New Roman" w:hAnsi="Times New Roman" w:cs="Times New Roman"/>
          <w:noProof/>
          <w:color w:val="000000" w:themeColor="text1"/>
          <w:sz w:val="24"/>
          <w:szCs w:val="24"/>
        </w:rPr>
        <w:t>[3]</w:t>
      </w:r>
    </w:p>
    <w:p w14:paraId="3B24EA8E" w14:textId="77777777" w:rsidR="0078229E" w:rsidRPr="0078229E" w:rsidRDefault="0078229E" w:rsidP="0078229E">
      <w:pPr>
        <w:spacing w:after="0" w:line="480" w:lineRule="auto"/>
        <w:rPr>
          <w:rFonts w:ascii="Times New Roman" w:hAnsi="Times New Roman" w:cs="Times New Roman"/>
          <w:color w:val="000000" w:themeColor="text1"/>
          <w:sz w:val="24"/>
          <w:szCs w:val="24"/>
        </w:rPr>
      </w:pPr>
    </w:p>
    <w:p w14:paraId="3B24EA8F" w14:textId="77777777" w:rsidR="0078229E" w:rsidRPr="0078229E" w:rsidRDefault="0078229E" w:rsidP="0078229E">
      <w:pPr>
        <w:spacing w:after="0" w:line="480" w:lineRule="auto"/>
        <w:rPr>
          <w:rFonts w:ascii="Times New Roman" w:hAnsi="Times New Roman" w:cs="Times New Roman"/>
          <w:color w:val="000000" w:themeColor="text1"/>
          <w:sz w:val="24"/>
          <w:szCs w:val="24"/>
        </w:rPr>
        <w:sectPr w:rsidR="0078229E" w:rsidRPr="0078229E" w:rsidSect="00F828D3">
          <w:pgSz w:w="16838" w:h="11906" w:orient="landscape"/>
          <w:pgMar w:top="1440" w:right="1701" w:bottom="1440" w:left="992" w:header="709" w:footer="709" w:gutter="0"/>
          <w:cols w:space="708"/>
          <w:docGrid w:linePitch="360"/>
        </w:sectPr>
      </w:pPr>
    </w:p>
    <w:p w14:paraId="3B24EA91" w14:textId="7C999DB1" w:rsidR="0078229E" w:rsidRPr="0078229E" w:rsidRDefault="0078229E" w:rsidP="0078229E">
      <w:pPr>
        <w:spacing w:after="240" w:line="480" w:lineRule="auto"/>
        <w:rPr>
          <w:rFonts w:ascii="Times New Roman" w:hAnsi="Times New Roman" w:cs="Times New Roman"/>
          <w:b/>
          <w:color w:val="000000" w:themeColor="text1"/>
          <w:sz w:val="24"/>
          <w:szCs w:val="24"/>
        </w:rPr>
      </w:pPr>
      <w:r w:rsidRPr="0078229E">
        <w:rPr>
          <w:rFonts w:ascii="Times New Roman" w:hAnsi="Times New Roman" w:cs="Times New Roman"/>
          <w:b/>
          <w:color w:val="000000" w:themeColor="text1"/>
          <w:sz w:val="24"/>
          <w:szCs w:val="24"/>
        </w:rPr>
        <w:lastRenderedPageBreak/>
        <w:t>A</w:t>
      </w:r>
      <w:r w:rsidR="004C4D2E">
        <w:rPr>
          <w:rFonts w:ascii="Times New Roman" w:hAnsi="Times New Roman" w:cs="Times New Roman"/>
          <w:b/>
          <w:color w:val="000000" w:themeColor="text1"/>
          <w:sz w:val="24"/>
          <w:szCs w:val="24"/>
        </w:rPr>
        <w:t>PPENDIX</w:t>
      </w:r>
      <w:r w:rsidRPr="0078229E">
        <w:rPr>
          <w:rFonts w:ascii="Times New Roman" w:hAnsi="Times New Roman" w:cs="Times New Roman"/>
          <w:b/>
          <w:color w:val="000000" w:themeColor="text1"/>
          <w:sz w:val="24"/>
          <w:szCs w:val="24"/>
        </w:rPr>
        <w:t xml:space="preserve"> C</w:t>
      </w:r>
      <w:r w:rsidR="004C4D2E">
        <w:rPr>
          <w:rFonts w:ascii="Times New Roman" w:hAnsi="Times New Roman" w:cs="Times New Roman"/>
          <w:b/>
          <w:color w:val="000000" w:themeColor="text1"/>
          <w:sz w:val="24"/>
          <w:szCs w:val="24"/>
        </w:rPr>
        <w:t xml:space="preserve">: </w:t>
      </w:r>
      <w:r w:rsidRPr="0078229E">
        <w:rPr>
          <w:rFonts w:ascii="Times New Roman" w:hAnsi="Times New Roman" w:cs="Times New Roman"/>
          <w:b/>
          <w:color w:val="000000" w:themeColor="text1"/>
          <w:sz w:val="24"/>
          <w:szCs w:val="24"/>
        </w:rPr>
        <w:t>S</w:t>
      </w:r>
      <w:r w:rsidR="004C4D2E">
        <w:rPr>
          <w:rFonts w:ascii="Times New Roman" w:hAnsi="Times New Roman" w:cs="Times New Roman"/>
          <w:b/>
          <w:color w:val="000000" w:themeColor="text1"/>
          <w:sz w:val="24"/>
          <w:szCs w:val="24"/>
        </w:rPr>
        <w:t>UPPLEMENTARY METHODS</w:t>
      </w:r>
    </w:p>
    <w:p w14:paraId="3B24EA92" w14:textId="77777777" w:rsidR="0078229E" w:rsidRPr="004C4D2E" w:rsidRDefault="0078229E" w:rsidP="0078229E">
      <w:pPr>
        <w:spacing w:after="240" w:line="480" w:lineRule="auto"/>
        <w:rPr>
          <w:rFonts w:ascii="Times New Roman" w:hAnsi="Times New Roman" w:cs="Times New Roman"/>
          <w:b/>
          <w:color w:val="000000" w:themeColor="text1"/>
          <w:sz w:val="24"/>
          <w:szCs w:val="24"/>
        </w:rPr>
      </w:pPr>
      <w:r w:rsidRPr="004C4D2E">
        <w:rPr>
          <w:rFonts w:ascii="Times New Roman" w:hAnsi="Times New Roman" w:cs="Times New Roman"/>
          <w:b/>
          <w:color w:val="000000" w:themeColor="text1"/>
          <w:sz w:val="24"/>
          <w:szCs w:val="24"/>
        </w:rPr>
        <w:t>Biomarkers</w:t>
      </w:r>
    </w:p>
    <w:p w14:paraId="3B24EA93"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The study will also collect blood and serum samples at baseline, which will be used for future analyses of biomarkers, which may include, but are not limited to, chemokine (C-C motif) ligand 18 and Mucin 5B. Biomarker assessment is optional in this study. Patients may provide a blood sample and/or a serum sample if they decide to participate in the biomarker assessment. Sampling will only be conducted at sites with the appropriate infrastructure for blood processing.</w:t>
      </w:r>
    </w:p>
    <w:p w14:paraId="3B24EA94" w14:textId="7D2B12BB" w:rsidR="0078229E" w:rsidRPr="004C4D2E" w:rsidRDefault="0078229E" w:rsidP="0078229E">
      <w:pPr>
        <w:spacing w:after="240" w:line="480" w:lineRule="auto"/>
        <w:rPr>
          <w:rFonts w:ascii="Times New Roman" w:hAnsi="Times New Roman" w:cs="Times New Roman"/>
          <w:b/>
          <w:color w:val="000000" w:themeColor="text1"/>
          <w:sz w:val="24"/>
          <w:szCs w:val="24"/>
        </w:rPr>
      </w:pPr>
      <w:r w:rsidRPr="004C4D2E">
        <w:rPr>
          <w:rFonts w:ascii="Times New Roman" w:hAnsi="Times New Roman" w:cs="Times New Roman"/>
          <w:b/>
          <w:color w:val="000000" w:themeColor="text1"/>
          <w:sz w:val="24"/>
          <w:szCs w:val="24"/>
        </w:rPr>
        <w:t xml:space="preserve">Withdrawal from </w:t>
      </w:r>
      <w:r w:rsidR="004C4D2E" w:rsidRPr="004C4D2E">
        <w:rPr>
          <w:rFonts w:ascii="Times New Roman" w:hAnsi="Times New Roman" w:cs="Times New Roman"/>
          <w:b/>
          <w:color w:val="000000" w:themeColor="text1"/>
          <w:sz w:val="24"/>
          <w:szCs w:val="24"/>
        </w:rPr>
        <w:t>S</w:t>
      </w:r>
      <w:r w:rsidRPr="004C4D2E">
        <w:rPr>
          <w:rFonts w:ascii="Times New Roman" w:hAnsi="Times New Roman" w:cs="Times New Roman"/>
          <w:b/>
          <w:color w:val="000000" w:themeColor="text1"/>
          <w:sz w:val="24"/>
          <w:szCs w:val="24"/>
        </w:rPr>
        <w:t>tudy</w:t>
      </w:r>
    </w:p>
    <w:p w14:paraId="3B24EA95" w14:textId="77777777" w:rsidR="0078229E" w:rsidRPr="0078229E" w:rsidRDefault="0078229E" w:rsidP="0078229E">
      <w:pPr>
        <w:spacing w:after="240" w:line="480" w:lineRule="auto"/>
        <w:rPr>
          <w:rFonts w:ascii="Times New Roman" w:hAnsi="Times New Roman" w:cs="Times New Roman"/>
          <w:color w:val="000000" w:themeColor="text1"/>
          <w:sz w:val="24"/>
          <w:szCs w:val="24"/>
        </w:rPr>
      </w:pPr>
      <w:r w:rsidRPr="0078229E">
        <w:rPr>
          <w:rFonts w:ascii="Times New Roman" w:hAnsi="Times New Roman" w:cs="Times New Roman"/>
          <w:color w:val="000000" w:themeColor="text1"/>
          <w:sz w:val="24"/>
          <w:szCs w:val="24"/>
        </w:rPr>
        <w:t>Patients will have the right to voluntarily withdraw from the study at any time for any reason. Similarly, the investigator will have the right to withdraw a patient from the study at any time. The sponsor will also have the right to terminate this study at any time.</w:t>
      </w:r>
    </w:p>
    <w:p w14:paraId="6D89CBF9" w14:textId="136AD51B" w:rsidR="0090338F" w:rsidRPr="004C4D2E" w:rsidRDefault="004C4D2E" w:rsidP="004C4D2E">
      <w:pPr>
        <w:spacing w:after="240" w:line="480" w:lineRule="auto"/>
        <w:rPr>
          <w:rFonts w:ascii="Times New Roman" w:hAnsi="Times New Roman" w:cs="Times New Roman"/>
          <w:b/>
          <w:sz w:val="24"/>
          <w:szCs w:val="24"/>
        </w:rPr>
      </w:pPr>
      <w:r w:rsidRPr="004C4D2E">
        <w:rPr>
          <w:rFonts w:ascii="Times New Roman" w:hAnsi="Times New Roman" w:cs="Times New Roman"/>
          <w:b/>
          <w:sz w:val="24"/>
          <w:szCs w:val="24"/>
        </w:rPr>
        <w:t>REFERENCES</w:t>
      </w:r>
    </w:p>
    <w:p w14:paraId="25DEDF52" w14:textId="5BE97536" w:rsidR="004C4D2E" w:rsidRPr="004C4D2E" w:rsidRDefault="004C4D2E" w:rsidP="004C4D2E">
      <w:pPr>
        <w:pStyle w:val="EndNoteBibliography"/>
        <w:spacing w:after="240" w:line="480" w:lineRule="auto"/>
        <w:rPr>
          <w:rFonts w:ascii="Times New Roman" w:hAnsi="Times New Roman" w:cs="Times New Roman"/>
          <w:sz w:val="24"/>
          <w:szCs w:val="24"/>
        </w:rPr>
      </w:pPr>
      <w:r w:rsidRPr="004C4D2E">
        <w:rPr>
          <w:rFonts w:ascii="Times New Roman" w:hAnsi="Times New Roman" w:cs="Times New Roman"/>
          <w:sz w:val="24"/>
          <w:szCs w:val="24"/>
        </w:rPr>
        <w:lastRenderedPageBreak/>
        <w:t>1.</w:t>
      </w:r>
      <w:r w:rsidRPr="004C4D2E">
        <w:rPr>
          <w:rFonts w:ascii="Times New Roman" w:hAnsi="Times New Roman" w:cs="Times New Roman"/>
          <w:sz w:val="24"/>
          <w:szCs w:val="24"/>
        </w:rPr>
        <w:tab/>
        <w:t>Travis WD, Costabel U, Hansell DM</w:t>
      </w:r>
      <w:r w:rsidRPr="004C4D2E">
        <w:rPr>
          <w:rFonts w:ascii="Times New Roman" w:hAnsi="Times New Roman" w:cs="Times New Roman"/>
          <w:i/>
          <w:sz w:val="24"/>
          <w:szCs w:val="24"/>
        </w:rPr>
        <w:t>, et al.</w:t>
      </w:r>
      <w:r w:rsidRPr="004C4D2E">
        <w:rPr>
          <w:rFonts w:ascii="Times New Roman" w:hAnsi="Times New Roman" w:cs="Times New Roman"/>
          <w:sz w:val="24"/>
          <w:szCs w:val="24"/>
        </w:rPr>
        <w:t xml:space="preserve"> An official American Thoracic Society/European Respiratory Society statement: Update of the international multidisciplinary classification of the idiopathic interstitial pneumonias. Am J Respir Crit Care Med. 2013;188(6):733-48.</w:t>
      </w:r>
    </w:p>
    <w:p w14:paraId="5472332C" w14:textId="77777777" w:rsidR="004C4D2E" w:rsidRPr="004C4D2E" w:rsidRDefault="004C4D2E" w:rsidP="004C4D2E">
      <w:pPr>
        <w:pStyle w:val="EndNoteBibliography"/>
        <w:spacing w:after="240" w:line="480" w:lineRule="auto"/>
        <w:rPr>
          <w:rFonts w:ascii="Times New Roman" w:hAnsi="Times New Roman" w:cs="Times New Roman"/>
          <w:sz w:val="24"/>
          <w:szCs w:val="24"/>
        </w:rPr>
      </w:pPr>
      <w:r w:rsidRPr="004C4D2E">
        <w:rPr>
          <w:rFonts w:ascii="Times New Roman" w:hAnsi="Times New Roman" w:cs="Times New Roman"/>
          <w:sz w:val="24"/>
          <w:szCs w:val="24"/>
        </w:rPr>
        <w:t>2.</w:t>
      </w:r>
      <w:r w:rsidRPr="004C4D2E">
        <w:rPr>
          <w:rFonts w:ascii="Times New Roman" w:hAnsi="Times New Roman" w:cs="Times New Roman"/>
          <w:sz w:val="24"/>
          <w:szCs w:val="24"/>
        </w:rPr>
        <w:tab/>
        <w:t>du Bois RM, Weycker D, Albera C</w:t>
      </w:r>
      <w:r w:rsidRPr="004C4D2E">
        <w:rPr>
          <w:rFonts w:ascii="Times New Roman" w:hAnsi="Times New Roman" w:cs="Times New Roman"/>
          <w:i/>
          <w:sz w:val="24"/>
          <w:szCs w:val="24"/>
        </w:rPr>
        <w:t>, et al.</w:t>
      </w:r>
      <w:r w:rsidRPr="004C4D2E">
        <w:rPr>
          <w:rFonts w:ascii="Times New Roman" w:hAnsi="Times New Roman" w:cs="Times New Roman"/>
          <w:sz w:val="24"/>
          <w:szCs w:val="24"/>
        </w:rPr>
        <w:t xml:space="preserve"> Six-minute-walk test in idiopathic pulmonary fibrosis: test validation and minimal clinically important difference. Am J Respir Crit Care Med. 2011;183(9):1231-7.</w:t>
      </w:r>
    </w:p>
    <w:p w14:paraId="26D35DCA" w14:textId="77777777" w:rsidR="004C4D2E" w:rsidRPr="004C4D2E" w:rsidRDefault="004C4D2E" w:rsidP="004C4D2E">
      <w:pPr>
        <w:pStyle w:val="EndNoteBibliography"/>
        <w:spacing w:after="240" w:line="480" w:lineRule="auto"/>
        <w:rPr>
          <w:rFonts w:ascii="Times New Roman" w:hAnsi="Times New Roman" w:cs="Times New Roman"/>
          <w:sz w:val="24"/>
          <w:szCs w:val="24"/>
        </w:rPr>
      </w:pPr>
      <w:r w:rsidRPr="004C4D2E">
        <w:rPr>
          <w:rFonts w:ascii="Times New Roman" w:hAnsi="Times New Roman" w:cs="Times New Roman"/>
          <w:sz w:val="24"/>
          <w:szCs w:val="24"/>
        </w:rPr>
        <w:t>3.</w:t>
      </w:r>
      <w:r w:rsidRPr="004C4D2E">
        <w:rPr>
          <w:rFonts w:ascii="Times New Roman" w:hAnsi="Times New Roman" w:cs="Times New Roman"/>
          <w:sz w:val="24"/>
          <w:szCs w:val="24"/>
        </w:rPr>
        <w:tab/>
        <w:t>Collard HR, Ryerson CJ, Corte TJ</w:t>
      </w:r>
      <w:r w:rsidRPr="004C4D2E">
        <w:rPr>
          <w:rFonts w:ascii="Times New Roman" w:hAnsi="Times New Roman" w:cs="Times New Roman"/>
          <w:i/>
          <w:sz w:val="24"/>
          <w:szCs w:val="24"/>
        </w:rPr>
        <w:t>, et al.</w:t>
      </w:r>
      <w:r w:rsidRPr="004C4D2E">
        <w:rPr>
          <w:rFonts w:ascii="Times New Roman" w:hAnsi="Times New Roman" w:cs="Times New Roman"/>
          <w:sz w:val="24"/>
          <w:szCs w:val="24"/>
        </w:rPr>
        <w:t xml:space="preserve"> Acute Exacerbation of Idiopathic Pulmonary Fibrosis. An International Working Group Report. Am J Respir Crit Care Med. 2016;194(3):265-75.</w:t>
      </w:r>
    </w:p>
    <w:p w14:paraId="3B24EA96" w14:textId="2DC439C8" w:rsidR="009E2083" w:rsidRDefault="009E2083" w:rsidP="004C4D2E">
      <w:pPr>
        <w:spacing w:after="240" w:line="480" w:lineRule="auto"/>
      </w:pPr>
    </w:p>
    <w:sectPr w:rsidR="009E20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86EC6" w14:textId="77777777" w:rsidR="000228E0" w:rsidRDefault="000228E0" w:rsidP="000228E0">
      <w:pPr>
        <w:spacing w:after="0" w:line="240" w:lineRule="auto"/>
      </w:pPr>
      <w:r>
        <w:separator/>
      </w:r>
    </w:p>
  </w:endnote>
  <w:endnote w:type="continuationSeparator" w:id="0">
    <w:p w14:paraId="42D784B7" w14:textId="77777777" w:rsidR="000228E0" w:rsidRDefault="000228E0" w:rsidP="0002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394603"/>
      <w:docPartObj>
        <w:docPartGallery w:val="Page Numbers (Bottom of Page)"/>
        <w:docPartUnique/>
      </w:docPartObj>
    </w:sdtPr>
    <w:sdtEndPr>
      <w:rPr>
        <w:rFonts w:ascii="Times New Roman" w:hAnsi="Times New Roman" w:cs="Times New Roman"/>
        <w:noProof/>
        <w:sz w:val="24"/>
      </w:rPr>
    </w:sdtEndPr>
    <w:sdtContent>
      <w:p w14:paraId="7235D538" w14:textId="5F6972DD" w:rsidR="000228E0" w:rsidRPr="000228E0" w:rsidRDefault="000228E0">
        <w:pPr>
          <w:pStyle w:val="Footer"/>
          <w:jc w:val="right"/>
          <w:rPr>
            <w:rFonts w:ascii="Times New Roman" w:hAnsi="Times New Roman" w:cs="Times New Roman"/>
            <w:sz w:val="24"/>
          </w:rPr>
        </w:pPr>
        <w:r w:rsidRPr="000228E0">
          <w:rPr>
            <w:rFonts w:ascii="Times New Roman" w:hAnsi="Times New Roman" w:cs="Times New Roman"/>
            <w:sz w:val="24"/>
          </w:rPr>
          <w:fldChar w:fldCharType="begin"/>
        </w:r>
        <w:r w:rsidRPr="000228E0">
          <w:rPr>
            <w:rFonts w:ascii="Times New Roman" w:hAnsi="Times New Roman" w:cs="Times New Roman"/>
            <w:sz w:val="24"/>
          </w:rPr>
          <w:instrText xml:space="preserve"> PAGE   \* MERGEFORMAT </w:instrText>
        </w:r>
        <w:r w:rsidRPr="000228E0">
          <w:rPr>
            <w:rFonts w:ascii="Times New Roman" w:hAnsi="Times New Roman" w:cs="Times New Roman"/>
            <w:sz w:val="24"/>
          </w:rPr>
          <w:fldChar w:fldCharType="separate"/>
        </w:r>
        <w:r w:rsidR="005C6241">
          <w:rPr>
            <w:rFonts w:ascii="Times New Roman" w:hAnsi="Times New Roman" w:cs="Times New Roman"/>
            <w:noProof/>
            <w:sz w:val="24"/>
          </w:rPr>
          <w:t>1</w:t>
        </w:r>
        <w:r w:rsidRPr="000228E0">
          <w:rPr>
            <w:rFonts w:ascii="Times New Roman" w:hAnsi="Times New Roman" w:cs="Times New Roman"/>
            <w:noProof/>
            <w:sz w:val="24"/>
          </w:rPr>
          <w:fldChar w:fldCharType="end"/>
        </w:r>
      </w:p>
    </w:sdtContent>
  </w:sdt>
  <w:p w14:paraId="6F14C698" w14:textId="77777777" w:rsidR="000228E0" w:rsidRDefault="00022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D5109" w14:textId="77777777" w:rsidR="000228E0" w:rsidRDefault="000228E0" w:rsidP="000228E0">
      <w:pPr>
        <w:spacing w:after="0" w:line="240" w:lineRule="auto"/>
      </w:pPr>
      <w:r>
        <w:separator/>
      </w:r>
    </w:p>
  </w:footnote>
  <w:footnote w:type="continuationSeparator" w:id="0">
    <w:p w14:paraId="21BE89DD" w14:textId="77777777" w:rsidR="000228E0" w:rsidRDefault="000228E0" w:rsidP="0002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11B0" w14:textId="71A006FD" w:rsidR="00D641BE" w:rsidRPr="00D641BE" w:rsidRDefault="00D641BE" w:rsidP="00D641BE">
    <w:pPr>
      <w:pStyle w:val="Header"/>
      <w:jc w:val="right"/>
      <w:rPr>
        <w:rFonts w:ascii="Times New Roman" w:hAnsi="Times New Roman" w:cs="Times New Roman"/>
        <w:sz w:val="24"/>
      </w:rPr>
    </w:pPr>
    <w:r w:rsidRPr="00D641BE">
      <w:rPr>
        <w:rFonts w:ascii="Times New Roman" w:hAnsi="Times New Roman" w:cs="Times New Roman"/>
        <w:sz w:val="24"/>
      </w:rPr>
      <w:t>STARLINER study design</w:t>
    </w:r>
  </w:p>
  <w:p w14:paraId="2121FF13" w14:textId="77777777" w:rsidR="00D641BE" w:rsidRDefault="00D6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26E44"/>
    <w:multiLevelType w:val="hybridMultilevel"/>
    <w:tmpl w:val="853000E0"/>
    <w:lvl w:ilvl="0" w:tplc="DDE64B42">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 w15:restartNumberingAfterBreak="0">
    <w:nsid w:val="0DC01FCC"/>
    <w:multiLevelType w:val="hybridMultilevel"/>
    <w:tmpl w:val="FD9A8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EF5779"/>
    <w:multiLevelType w:val="hybridMultilevel"/>
    <w:tmpl w:val="41D869C4"/>
    <w:lvl w:ilvl="0" w:tplc="6ED44848">
      <w:start w:val="1"/>
      <w:numFmt w:val="bullet"/>
      <w:lvlText w:val=""/>
      <w:lvlJc w:val="left"/>
      <w:pPr>
        <w:ind w:left="784" w:hanging="360"/>
      </w:pPr>
      <w:rPr>
        <w:rFonts w:ascii="Symbol" w:hAnsi="Symbol" w:hint="default"/>
      </w:rPr>
    </w:lvl>
    <w:lvl w:ilvl="1" w:tplc="08090003">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 w15:restartNumberingAfterBreak="0">
    <w:nsid w:val="53EC4978"/>
    <w:multiLevelType w:val="hybridMultilevel"/>
    <w:tmpl w:val="78E46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dvances in Thera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x5559tgx2pfnezaeap5ad3patfrzdta5tt&quot;&gt;Roche.Esbriet@complete-mc.com&lt;record-ids&gt;&lt;item&gt;74&lt;/item&gt;&lt;item&gt;80&lt;/item&gt;&lt;item&gt;861&lt;/item&gt;&lt;/record-ids&gt;&lt;/item&gt;&lt;/Libraries&gt;"/>
  </w:docVars>
  <w:rsids>
    <w:rsidRoot w:val="0078229E"/>
    <w:rsid w:val="000228E0"/>
    <w:rsid w:val="000F72F8"/>
    <w:rsid w:val="004354CE"/>
    <w:rsid w:val="004C4D2E"/>
    <w:rsid w:val="005C6241"/>
    <w:rsid w:val="005E4BA7"/>
    <w:rsid w:val="0078229E"/>
    <w:rsid w:val="00791AA9"/>
    <w:rsid w:val="007A447A"/>
    <w:rsid w:val="008B18CC"/>
    <w:rsid w:val="0090338F"/>
    <w:rsid w:val="009E2083"/>
    <w:rsid w:val="00B7131B"/>
    <w:rsid w:val="00BC2284"/>
    <w:rsid w:val="00D641BE"/>
    <w:rsid w:val="00F65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4E9B3"/>
  <w15:chartTrackingRefBased/>
  <w15:docId w15:val="{95F393A1-D70D-4FD8-BF26-B8131C17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rsid w:val="0078229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82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0338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90338F"/>
    <w:rPr>
      <w:rFonts w:ascii="Calibri" w:hAnsi="Calibri"/>
      <w:noProof/>
      <w:lang w:val="en-US"/>
    </w:rPr>
  </w:style>
  <w:style w:type="paragraph" w:customStyle="1" w:styleId="EndNoteBibliography">
    <w:name w:val="EndNote Bibliography"/>
    <w:basedOn w:val="Normal"/>
    <w:link w:val="EndNoteBibliographyChar"/>
    <w:rsid w:val="0090338F"/>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90338F"/>
    <w:rPr>
      <w:rFonts w:ascii="Calibri" w:hAnsi="Calibri"/>
      <w:noProof/>
      <w:lang w:val="en-US"/>
    </w:rPr>
  </w:style>
  <w:style w:type="paragraph" w:styleId="Header">
    <w:name w:val="header"/>
    <w:basedOn w:val="Normal"/>
    <w:link w:val="HeaderChar"/>
    <w:uiPriority w:val="99"/>
    <w:unhideWhenUsed/>
    <w:rsid w:val="000228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8E0"/>
  </w:style>
  <w:style w:type="paragraph" w:styleId="Footer">
    <w:name w:val="footer"/>
    <w:basedOn w:val="Normal"/>
    <w:link w:val="FooterChar"/>
    <w:uiPriority w:val="99"/>
    <w:unhideWhenUsed/>
    <w:rsid w:val="000228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oche.com/research_and_development/who_we_are_how_we_work/clinical_trials/our_commitment_to_data_sharing.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inicalstudydatarequest.com/Study-Sponsors/Study-Sponsors-Roche.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linicalstudydatareques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Word" ma:contentTypeID="0x010100FA0963FA69A646AA916D2E41284FC1000008A3F9EDAFB47044AD4F6D28BD1A0975" ma:contentTypeVersion="0" ma:contentTypeDescription="Create a new document." ma:contentTypeScope="" ma:versionID="ded5c483922eb25caf130f3d300546a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390972-D816-4EB5-8D80-061BF2C9DCC0}">
  <ds:schemaRefs>
    <ds:schemaRef ds:uri="http://schemas.microsoft.com/sharepoint/v3/contenttype/forms"/>
  </ds:schemaRefs>
</ds:datastoreItem>
</file>

<file path=customXml/itemProps2.xml><?xml version="1.0" encoding="utf-8"?>
<ds:datastoreItem xmlns:ds="http://schemas.openxmlformats.org/officeDocument/2006/customXml" ds:itemID="{B26B70E0-FA09-4F83-A07F-D0D6658560DD}">
  <ds:schemaRefs>
    <ds:schemaRef ds:uri="http://purl.org/dc/dcmitype/"/>
    <ds:schemaRef ds:uri="http://purl.org/dc/terms/"/>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5A4AE328-22B5-4E53-8B8A-1C56C58C7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2651</Words>
  <Characters>15111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MCM</Company>
  <LinksUpToDate>false</LinksUpToDate>
  <CharactersWithSpaces>17727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Gráinne Faherty</dc:creator>
  <cp:keywords/>
  <dc:description/>
  <cp:lastModifiedBy>McConnachie, Ceilidh (GLA-CMC)</cp:lastModifiedBy>
  <cp:revision>2</cp:revision>
  <dcterms:created xsi:type="dcterms:W3CDTF">2018-11-02T11:14:00Z</dcterms:created>
  <dcterms:modified xsi:type="dcterms:W3CDTF">2018-11-02T11:14:00Z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0x010100FA0963FA69A646AA916D2E41284FC1000008A3F9EDAFB47044AD4F6D28BD1A0975</vt:lpwstr>
  </property>
</Properties>
</file>