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12144" w14:textId="620EFD5B" w:rsidR="00120350" w:rsidRPr="00120350" w:rsidRDefault="00E81B4D" w:rsidP="00120350">
      <w:pPr>
        <w:pStyle w:val="Caption"/>
        <w:keepNext/>
        <w:rPr>
          <w:rFonts w:ascii="Calibri" w:hAnsi="Calibri" w:cs="Calibri"/>
          <w:b/>
          <w:bCs/>
          <w:i w:val="0"/>
          <w:iCs w:val="0"/>
          <w:color w:val="000000" w:themeColor="text1"/>
          <w:sz w:val="24"/>
          <w:szCs w:val="24"/>
        </w:rPr>
      </w:pPr>
      <w:r w:rsidRPr="00E81B4D">
        <w:rPr>
          <w:rFonts w:ascii="Calibri" w:hAnsi="Calibri" w:cs="Calibri"/>
          <w:b/>
          <w:bCs/>
          <w:i w:val="0"/>
          <w:iCs w:val="0"/>
          <w:color w:val="000000" w:themeColor="text1"/>
          <w:sz w:val="24"/>
          <w:szCs w:val="24"/>
        </w:rPr>
        <w:t xml:space="preserve">Supplementary </w:t>
      </w:r>
      <w:r w:rsidR="00120350">
        <w:rPr>
          <w:rFonts w:ascii="Calibri" w:hAnsi="Calibri" w:cs="Calibri"/>
          <w:b/>
          <w:bCs/>
          <w:i w:val="0"/>
          <w:iCs w:val="0"/>
          <w:color w:val="000000" w:themeColor="text1"/>
          <w:sz w:val="24"/>
          <w:szCs w:val="24"/>
        </w:rPr>
        <w:t>Materials</w:t>
      </w:r>
    </w:p>
    <w:p w14:paraId="014135B7" w14:textId="20CD0069" w:rsidR="00E81B4D" w:rsidRPr="00E81B4D" w:rsidRDefault="00E81B4D" w:rsidP="00E81B4D">
      <w:pPr>
        <w:pStyle w:val="Caption"/>
        <w:keepNext/>
        <w:rPr>
          <w:rFonts w:ascii="Calibri" w:hAnsi="Calibri" w:cs="Calibri"/>
          <w:i w:val="0"/>
          <w:iCs w:val="0"/>
          <w:color w:val="000000" w:themeColor="text1"/>
          <w:sz w:val="24"/>
          <w:szCs w:val="24"/>
        </w:rPr>
      </w:pPr>
      <w:r>
        <w:rPr>
          <w:rFonts w:ascii="Calibri" w:hAnsi="Calibri" w:cs="Calibri"/>
          <w:b/>
          <w:bCs/>
          <w:i w:val="0"/>
          <w:iCs w:val="0"/>
          <w:color w:val="000000" w:themeColor="text1"/>
          <w:sz w:val="24"/>
          <w:szCs w:val="24"/>
        </w:rPr>
        <w:t>Figure</w:t>
      </w:r>
      <w:r w:rsidRPr="00E81B4D">
        <w:rPr>
          <w:rFonts w:ascii="Calibri" w:hAnsi="Calibri" w:cs="Calibri"/>
          <w:b/>
          <w:bCs/>
          <w:i w:val="0"/>
          <w:iCs w:val="0"/>
          <w:color w:val="000000" w:themeColor="text1"/>
          <w:sz w:val="24"/>
          <w:szCs w:val="24"/>
        </w:rPr>
        <w:t xml:space="preserve"> </w:t>
      </w:r>
      <w:r w:rsidR="00120350">
        <w:rPr>
          <w:rFonts w:ascii="Calibri" w:hAnsi="Calibri" w:cs="Calibri"/>
          <w:b/>
          <w:bCs/>
          <w:i w:val="0"/>
          <w:iCs w:val="0"/>
          <w:color w:val="000000" w:themeColor="text1"/>
          <w:sz w:val="24"/>
          <w:szCs w:val="24"/>
        </w:rPr>
        <w:t>S</w:t>
      </w:r>
      <w:r w:rsidRPr="00E81B4D">
        <w:rPr>
          <w:rFonts w:ascii="Calibri" w:hAnsi="Calibri" w:cs="Calibri"/>
          <w:b/>
          <w:bCs/>
          <w:i w:val="0"/>
          <w:iCs w:val="0"/>
          <w:color w:val="000000" w:themeColor="text1"/>
          <w:sz w:val="24"/>
          <w:szCs w:val="24"/>
        </w:rPr>
        <w:fldChar w:fldCharType="begin"/>
      </w:r>
      <w:r w:rsidRPr="00E81B4D">
        <w:rPr>
          <w:rFonts w:ascii="Calibri" w:hAnsi="Calibri" w:cs="Calibri"/>
          <w:b/>
          <w:bCs/>
          <w:i w:val="0"/>
          <w:iCs w:val="0"/>
          <w:color w:val="000000" w:themeColor="text1"/>
          <w:sz w:val="24"/>
          <w:szCs w:val="24"/>
        </w:rPr>
        <w:instrText xml:space="preserve"> SEQ Table \* ARABIC </w:instrText>
      </w:r>
      <w:r w:rsidRPr="00E81B4D">
        <w:rPr>
          <w:rFonts w:ascii="Calibri" w:hAnsi="Calibri" w:cs="Calibri"/>
          <w:b/>
          <w:bCs/>
          <w:i w:val="0"/>
          <w:iCs w:val="0"/>
          <w:color w:val="000000" w:themeColor="text1"/>
          <w:sz w:val="24"/>
          <w:szCs w:val="24"/>
        </w:rPr>
        <w:fldChar w:fldCharType="separate"/>
      </w:r>
      <w:r w:rsidRPr="00E81B4D">
        <w:rPr>
          <w:rFonts w:ascii="Calibri" w:hAnsi="Calibri" w:cs="Calibri"/>
          <w:b/>
          <w:bCs/>
          <w:i w:val="0"/>
          <w:iCs w:val="0"/>
          <w:noProof/>
          <w:color w:val="000000" w:themeColor="text1"/>
          <w:sz w:val="24"/>
          <w:szCs w:val="24"/>
        </w:rPr>
        <w:t>1</w:t>
      </w:r>
      <w:r w:rsidRPr="00E81B4D">
        <w:rPr>
          <w:rFonts w:ascii="Calibri" w:hAnsi="Calibri" w:cs="Calibri"/>
          <w:b/>
          <w:bCs/>
          <w:i w:val="0"/>
          <w:iCs w:val="0"/>
          <w:color w:val="000000" w:themeColor="text1"/>
          <w:sz w:val="24"/>
          <w:szCs w:val="24"/>
        </w:rPr>
        <w:fldChar w:fldCharType="end"/>
      </w:r>
      <w:r w:rsidRPr="00E81B4D">
        <w:rPr>
          <w:rFonts w:ascii="Calibri" w:hAnsi="Calibri" w:cs="Calibri"/>
          <w:b/>
          <w:bCs/>
          <w:i w:val="0"/>
          <w:iCs w:val="0"/>
          <w:color w:val="000000" w:themeColor="text1"/>
          <w:sz w:val="24"/>
          <w:szCs w:val="24"/>
          <w:lang w:val="en-US"/>
        </w:rPr>
        <w:t>.</w:t>
      </w:r>
      <w:r w:rsidRPr="00E81B4D">
        <w:rPr>
          <w:rFonts w:ascii="Calibri" w:hAnsi="Calibri" w:cs="Calibri"/>
          <w:i w:val="0"/>
          <w:iCs w:val="0"/>
          <w:color w:val="000000" w:themeColor="text1"/>
          <w:sz w:val="24"/>
          <w:szCs w:val="24"/>
          <w:lang w:val="en-US"/>
        </w:rPr>
        <w:t xml:space="preserve"> Medicine containers of flucloxacillin samples</w:t>
      </w:r>
    </w:p>
    <w:p w14:paraId="08FF6AF3" w14:textId="77777777" w:rsidR="00E81B4D" w:rsidRDefault="00E81B4D" w:rsidP="00E81B4D">
      <w:pPr>
        <w:pStyle w:val="NormalWeb"/>
      </w:pPr>
      <w:r>
        <w:rPr>
          <w:noProof/>
        </w:rPr>
        <w:drawing>
          <wp:inline distT="0" distB="0" distL="0" distR="0" wp14:anchorId="49B693FD" wp14:editId="2C810E10">
            <wp:extent cx="9010650" cy="4038381"/>
            <wp:effectExtent l="0" t="0" r="0" b="635"/>
            <wp:docPr id="2" name="Picture 1" descr="A group of small bottles with white cap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A group of small bottles with white cap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4852" cy="4040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FEA4F2" w14:textId="77777777" w:rsidR="001A01A1" w:rsidRDefault="001A01A1"/>
    <w:sectPr w:rsidR="001A01A1" w:rsidSect="00E81B4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B4D"/>
    <w:rsid w:val="00031274"/>
    <w:rsid w:val="00120350"/>
    <w:rsid w:val="0014468D"/>
    <w:rsid w:val="00181AB8"/>
    <w:rsid w:val="001A01A1"/>
    <w:rsid w:val="003047A1"/>
    <w:rsid w:val="00304CD5"/>
    <w:rsid w:val="003323D8"/>
    <w:rsid w:val="00521CDC"/>
    <w:rsid w:val="00567A77"/>
    <w:rsid w:val="008241F9"/>
    <w:rsid w:val="00A1215C"/>
    <w:rsid w:val="00BF1716"/>
    <w:rsid w:val="00D645DE"/>
    <w:rsid w:val="00E81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8C5A6B"/>
  <w15:chartTrackingRefBased/>
  <w15:docId w15:val="{7EEBA617-CA8F-4E1B-AF22-077F0BC07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1B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1B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1B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1B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1B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1B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1B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1B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1B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1B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1B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1B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1B4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1B4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1B4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1B4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1B4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1B4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81B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81B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1B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81B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81B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81B4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81B4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81B4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1B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1B4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81B4D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E81B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IE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E81B4D"/>
    <w:pPr>
      <w:spacing w:after="200" w:line="240" w:lineRule="auto"/>
    </w:pPr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76E40-D26B-4F8F-9B89-F7DC8D2FA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Ayat Mosad Mohamed Moharam Elgammal (Umail)</dc:creator>
  <cp:keywords/>
  <dc:description/>
  <cp:lastModifiedBy>Ayat Mosad Mohamed Moharam Elgammal (Umail)</cp:lastModifiedBy>
  <cp:revision>2</cp:revision>
  <dcterms:created xsi:type="dcterms:W3CDTF">2025-02-24T11:33:00Z</dcterms:created>
  <dcterms:modified xsi:type="dcterms:W3CDTF">2025-02-25T16:51:00Z</dcterms:modified>
</cp:coreProperties>
</file>