
<file path=[Content_Types].xml><?xml version="1.0" encoding="utf-8"?>
<Types xmlns="http://schemas.openxmlformats.org/package/2006/content-types"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theme/themeOverride1.xml" ContentType="application/vnd.openxmlformats-officedocument.themeOverride+xml"/>
  <Override PartName="/word/drawings/drawing1.xml" ContentType="application/vnd.openxmlformats-officedocument.drawingml.chartshap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06470E" w14:textId="7B6A6A55" w:rsidR="006D408C" w:rsidRDefault="006D408C" w:rsidP="008C3A65">
      <w:pPr>
        <w:keepNext/>
        <w:rPr>
          <w:noProof/>
        </w:rPr>
      </w:pPr>
      <w:r>
        <w:rPr>
          <w:noProof/>
        </w:rPr>
        <w:t xml:space="preserve">Supplementary </w:t>
      </w:r>
      <w:r w:rsidR="00B041A7">
        <w:rPr>
          <w:noProof/>
        </w:rPr>
        <w:t xml:space="preserve">Materials </w:t>
      </w:r>
    </w:p>
    <w:p w14:paraId="1D51FD0C" w14:textId="0E6A9F51" w:rsidR="00B041A7" w:rsidRPr="00B041A7" w:rsidRDefault="00B041A7" w:rsidP="00B041A7">
      <w:pPr>
        <w:pStyle w:val="Caption"/>
        <w:spacing w:line="480" w:lineRule="auto"/>
        <w:rPr>
          <w:rFonts w:ascii="Calibri" w:hAnsi="Calibri" w:cs="Calibri"/>
          <w:i w:val="0"/>
          <w:iCs w:val="0"/>
          <w:color w:val="000000" w:themeColor="text1"/>
          <w:sz w:val="22"/>
          <w:szCs w:val="22"/>
        </w:rPr>
      </w:pPr>
      <w:r w:rsidRPr="008C3A65">
        <w:rPr>
          <w:rFonts w:ascii="Calibri" w:hAnsi="Calibri" w:cs="Calibri"/>
          <w:b/>
          <w:bCs/>
          <w:i w:val="0"/>
          <w:iCs w:val="0"/>
          <w:color w:val="000000" w:themeColor="text1"/>
          <w:sz w:val="22"/>
          <w:szCs w:val="22"/>
        </w:rPr>
        <w:t xml:space="preserve">Figure </w:t>
      </w:r>
      <w:r>
        <w:rPr>
          <w:rFonts w:ascii="Calibri" w:hAnsi="Calibri" w:cs="Calibri"/>
          <w:b/>
          <w:bCs/>
          <w:i w:val="0"/>
          <w:iCs w:val="0"/>
          <w:color w:val="000000" w:themeColor="text1"/>
          <w:sz w:val="22"/>
          <w:szCs w:val="22"/>
        </w:rPr>
        <w:t>S</w:t>
      </w:r>
      <w:r w:rsidRPr="008C3A65">
        <w:rPr>
          <w:rFonts w:ascii="Calibri" w:hAnsi="Calibri" w:cs="Calibri"/>
          <w:b/>
          <w:bCs/>
          <w:i w:val="0"/>
          <w:iCs w:val="0"/>
          <w:color w:val="000000" w:themeColor="text1"/>
          <w:sz w:val="22"/>
          <w:szCs w:val="22"/>
        </w:rPr>
        <w:t>2.</w:t>
      </w:r>
      <w:r w:rsidRPr="008C3A65">
        <w:rPr>
          <w:rFonts w:ascii="Calibri" w:hAnsi="Calibri" w:cs="Calibri"/>
          <w:i w:val="0"/>
          <w:iCs w:val="0"/>
          <w:color w:val="000000" w:themeColor="text1"/>
          <w:sz w:val="22"/>
          <w:szCs w:val="22"/>
          <w:lang w:val="en-US"/>
        </w:rPr>
        <w:t xml:space="preserve"> The volatile compounds identified emanating from flucloxacillin powder and control aqueous flucloxacillin solution using HS-SPME/GC-MS method</w:t>
      </w:r>
    </w:p>
    <w:p w14:paraId="2A4AA5A0" w14:textId="3B0D21A1" w:rsidR="006D408C" w:rsidRDefault="006D408C" w:rsidP="008C3A65">
      <w:pPr>
        <w:keepNext/>
      </w:pPr>
      <w:r>
        <w:rPr>
          <w:noProof/>
        </w:rPr>
        <w:drawing>
          <wp:inline distT="0" distB="0" distL="0" distR="0" wp14:anchorId="01CFFB61" wp14:editId="37A0B727">
            <wp:extent cx="8863330" cy="3351530"/>
            <wp:effectExtent l="0" t="0" r="13970" b="1270"/>
            <wp:docPr id="706008932" name="Chart 1">
              <a:extLst xmlns:a="http://schemas.openxmlformats.org/drawingml/2006/main">
                <a:ext uri="{FF2B5EF4-FFF2-40B4-BE49-F238E27FC236}">
                  <a16:creationId xmlns:a16="http://schemas.microsoft.com/office/drawing/2014/main" id="{D8308222-D515-1D40-0F18-D4378D77769A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sectPr w:rsidR="006D408C" w:rsidSect="008C3A65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3A65"/>
    <w:rsid w:val="00031274"/>
    <w:rsid w:val="0014468D"/>
    <w:rsid w:val="00181AB8"/>
    <w:rsid w:val="001A01A1"/>
    <w:rsid w:val="003047A1"/>
    <w:rsid w:val="00304CD5"/>
    <w:rsid w:val="003323D8"/>
    <w:rsid w:val="00521CDC"/>
    <w:rsid w:val="00567A77"/>
    <w:rsid w:val="006D408C"/>
    <w:rsid w:val="008241F9"/>
    <w:rsid w:val="008C3A65"/>
    <w:rsid w:val="00B041A7"/>
    <w:rsid w:val="00BB6C0B"/>
    <w:rsid w:val="00BF1716"/>
    <w:rsid w:val="00D645DE"/>
    <w:rsid w:val="00FA22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691D0D"/>
  <w15:chartTrackingRefBased/>
  <w15:docId w15:val="{6A7E44AD-7D83-4B92-A546-C3E026987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C3A6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C3A6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C3A6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C3A6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C3A6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C3A6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C3A6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C3A6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C3A6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C3A6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C3A6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C3A6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C3A6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C3A6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C3A6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C3A6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C3A6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C3A6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C3A6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C3A6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C3A6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C3A6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C3A6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C3A6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C3A6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C3A6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C3A6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C3A6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C3A65"/>
    <w:rPr>
      <w:b/>
      <w:bCs/>
      <w:smallCaps/>
      <w:color w:val="0F4761" w:themeColor="accent1" w:themeShade="BF"/>
      <w:spacing w:val="5"/>
    </w:rPr>
  </w:style>
  <w:style w:type="paragraph" w:styleId="Caption">
    <w:name w:val="caption"/>
    <w:basedOn w:val="Normal"/>
    <w:next w:val="Normal"/>
    <w:uiPriority w:val="35"/>
    <w:unhideWhenUsed/>
    <w:qFormat/>
    <w:rsid w:val="008C3A65"/>
    <w:pPr>
      <w:spacing w:after="200" w:line="240" w:lineRule="auto"/>
    </w:pPr>
    <w:rPr>
      <w:i/>
      <w:iCs/>
      <w:color w:val="0E2841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chart" Target="charts/chart1.xml"/><Relationship Id="rId4" Type="http://schemas.openxmlformats.org/officeDocument/2006/relationships/webSettings" Target="webSettings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1.xml"/><Relationship Id="rId2" Type="http://schemas.microsoft.com/office/2011/relationships/chartColorStyle" Target="colors1.xml"/><Relationship Id="rId1" Type="http://schemas.microsoft.com/office/2011/relationships/chartStyle" Target="style1.xml"/><Relationship Id="rId5" Type="http://schemas.openxmlformats.org/officeDocument/2006/relationships/chartUserShapes" Target="../drawings/drawing1.xml"/><Relationship Id="rId4" Type="http://schemas.openxmlformats.org/officeDocument/2006/relationships/package" Target="../embeddings/Microsoft_Excel_Worksheet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/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Sheet3!$EI$1</c:f>
              <c:strCache>
                <c:ptCount val="1"/>
                <c:pt idx="0">
                  <c:v>Control aqueous flucloxacillin solution</c:v>
                </c:pt>
              </c:strCache>
            </c:strRef>
          </c:tx>
          <c:spPr>
            <a:pattFill prst="pct40">
              <a:fgClr>
                <a:sysClr val="windowText" lastClr="000000"/>
              </a:fgClr>
              <a:bgClr>
                <a:schemeClr val="bg1"/>
              </a:bgClr>
            </a:pattFill>
            <a:ln>
              <a:noFill/>
            </a:ln>
            <a:effectLst/>
          </c:spPr>
          <c:invertIfNegative val="0"/>
          <c:errBars>
            <c:errBarType val="both"/>
            <c:errValType val="cust"/>
            <c:noEndCap val="0"/>
            <c:plus>
              <c:numRef>
                <c:f>Sheet3!$EJ$2:$EJ$40</c:f>
                <c:numCache>
                  <c:formatCode>General</c:formatCode>
                  <c:ptCount val="39"/>
                  <c:pt idx="0">
                    <c:v>197389.09490985904</c:v>
                  </c:pt>
                  <c:pt idx="1">
                    <c:v>2458473.173662263</c:v>
                  </c:pt>
                  <c:pt idx="2">
                    <c:v>233407.26104600946</c:v>
                  </c:pt>
                  <c:pt idx="3">
                    <c:v>307512.19910165027</c:v>
                  </c:pt>
                  <c:pt idx="4">
                    <c:v>32785.098296838049</c:v>
                  </c:pt>
                  <c:pt idx="5">
                    <c:v>281439.87244406814</c:v>
                  </c:pt>
                  <c:pt idx="6">
                    <c:v>29709.142453684748</c:v>
                  </c:pt>
                  <c:pt idx="7">
                    <c:v>190225.33813962148</c:v>
                  </c:pt>
                  <c:pt idx="8">
                    <c:v>78455.141975101491</c:v>
                  </c:pt>
                  <c:pt idx="9">
                    <c:v>1998.153230694116</c:v>
                  </c:pt>
                  <c:pt idx="10">
                    <c:v>1962.0904668235867</c:v>
                  </c:pt>
                  <c:pt idx="11">
                    <c:v>3973.0203036648745</c:v>
                  </c:pt>
                  <c:pt idx="12">
                    <c:v>23821.528379458232</c:v>
                  </c:pt>
                  <c:pt idx="13">
                    <c:v>63073.911857439125</c:v>
                  </c:pt>
                  <c:pt idx="14">
                    <c:v>52787.448757572412</c:v>
                  </c:pt>
                  <c:pt idx="15">
                    <c:v>14151.616197452502</c:v>
                  </c:pt>
                  <c:pt idx="16">
                    <c:v>19949.870436420806</c:v>
                  </c:pt>
                  <c:pt idx="17">
                    <c:v>43729.954447723816</c:v>
                  </c:pt>
                  <c:pt idx="18">
                    <c:v>2890.7934896841039</c:v>
                  </c:pt>
                  <c:pt idx="19">
                    <c:v>6620.9133055795255</c:v>
                  </c:pt>
                  <c:pt idx="20">
                    <c:v>4913.8723725939026</c:v>
                  </c:pt>
                  <c:pt idx="21">
                    <c:v>15461.413357128771</c:v>
                  </c:pt>
                  <c:pt idx="22">
                    <c:v>3684.3041857769213</c:v>
                  </c:pt>
                  <c:pt idx="23">
                    <c:v>9314.9207726099321</c:v>
                  </c:pt>
                  <c:pt idx="24">
                    <c:v>1719.3720753034647</c:v>
                  </c:pt>
                  <c:pt idx="25">
                    <c:v>2141.3923819172755</c:v>
                  </c:pt>
                  <c:pt idx="26">
                    <c:v>1065.4449774624684</c:v>
                  </c:pt>
                  <c:pt idx="27">
                    <c:v>755.07535509542004</c:v>
                  </c:pt>
                  <c:pt idx="28">
                    <c:v>784.04230328046287</c:v>
                  </c:pt>
                  <c:pt idx="29">
                    <c:v>733.25939021149497</c:v>
                  </c:pt>
                  <c:pt idx="30">
                    <c:v>143.24920011411348</c:v>
                  </c:pt>
                  <c:pt idx="31">
                    <c:v>1450.2027444464447</c:v>
                  </c:pt>
                  <c:pt idx="32">
                    <c:v>1635.775453212736</c:v>
                  </c:pt>
                  <c:pt idx="33">
                    <c:v>3498.9057337020859</c:v>
                  </c:pt>
                  <c:pt idx="34">
                    <c:v>535.85249206245851</c:v>
                  </c:pt>
                  <c:pt idx="35">
                    <c:v>900.08871017533397</c:v>
                  </c:pt>
                  <c:pt idx="36">
                    <c:v>1982.1537108239947</c:v>
                  </c:pt>
                  <c:pt idx="37">
                    <c:v>498.49406549459849</c:v>
                  </c:pt>
                  <c:pt idx="38">
                    <c:v>3474.4939199831679</c:v>
                  </c:pt>
                </c:numCache>
              </c:numRef>
            </c:plus>
            <c:minus>
              <c:numRef>
                <c:f>Sheet3!$EJ$2:$EJ$40</c:f>
                <c:numCache>
                  <c:formatCode>General</c:formatCode>
                  <c:ptCount val="39"/>
                  <c:pt idx="0">
                    <c:v>197389.09490985904</c:v>
                  </c:pt>
                  <c:pt idx="1">
                    <c:v>2458473.173662263</c:v>
                  </c:pt>
                  <c:pt idx="2">
                    <c:v>233407.26104600946</c:v>
                  </c:pt>
                  <c:pt idx="3">
                    <c:v>307512.19910165027</c:v>
                  </c:pt>
                  <c:pt idx="4">
                    <c:v>32785.098296838049</c:v>
                  </c:pt>
                  <c:pt idx="5">
                    <c:v>281439.87244406814</c:v>
                  </c:pt>
                  <c:pt idx="6">
                    <c:v>29709.142453684748</c:v>
                  </c:pt>
                  <c:pt idx="7">
                    <c:v>190225.33813962148</c:v>
                  </c:pt>
                  <c:pt idx="8">
                    <c:v>78455.141975101491</c:v>
                  </c:pt>
                  <c:pt idx="9">
                    <c:v>1998.153230694116</c:v>
                  </c:pt>
                  <c:pt idx="10">
                    <c:v>1962.0904668235867</c:v>
                  </c:pt>
                  <c:pt idx="11">
                    <c:v>3973.0203036648745</c:v>
                  </c:pt>
                  <c:pt idx="12">
                    <c:v>23821.528379458232</c:v>
                  </c:pt>
                  <c:pt idx="13">
                    <c:v>63073.911857439125</c:v>
                  </c:pt>
                  <c:pt idx="14">
                    <c:v>52787.448757572412</c:v>
                  </c:pt>
                  <c:pt idx="15">
                    <c:v>14151.616197452502</c:v>
                  </c:pt>
                  <c:pt idx="16">
                    <c:v>19949.870436420806</c:v>
                  </c:pt>
                  <c:pt idx="17">
                    <c:v>43729.954447723816</c:v>
                  </c:pt>
                  <c:pt idx="18">
                    <c:v>2890.7934896841039</c:v>
                  </c:pt>
                  <c:pt idx="19">
                    <c:v>6620.9133055795255</c:v>
                  </c:pt>
                  <c:pt idx="20">
                    <c:v>4913.8723725939026</c:v>
                  </c:pt>
                  <c:pt idx="21">
                    <c:v>15461.413357128771</c:v>
                  </c:pt>
                  <c:pt idx="22">
                    <c:v>3684.3041857769213</c:v>
                  </c:pt>
                  <c:pt idx="23">
                    <c:v>9314.9207726099321</c:v>
                  </c:pt>
                  <c:pt idx="24">
                    <c:v>1719.3720753034647</c:v>
                  </c:pt>
                  <c:pt idx="25">
                    <c:v>2141.3923819172755</c:v>
                  </c:pt>
                  <c:pt idx="26">
                    <c:v>1065.4449774624684</c:v>
                  </c:pt>
                  <c:pt idx="27">
                    <c:v>755.07535509542004</c:v>
                  </c:pt>
                  <c:pt idx="28">
                    <c:v>784.04230328046287</c:v>
                  </c:pt>
                  <c:pt idx="29">
                    <c:v>733.25939021149497</c:v>
                  </c:pt>
                  <c:pt idx="30">
                    <c:v>143.24920011411348</c:v>
                  </c:pt>
                  <c:pt idx="31">
                    <c:v>1450.2027444464447</c:v>
                  </c:pt>
                  <c:pt idx="32">
                    <c:v>1635.775453212736</c:v>
                  </c:pt>
                  <c:pt idx="33">
                    <c:v>3498.9057337020859</c:v>
                  </c:pt>
                  <c:pt idx="34">
                    <c:v>535.85249206245851</c:v>
                  </c:pt>
                  <c:pt idx="35">
                    <c:v>900.08871017533397</c:v>
                  </c:pt>
                  <c:pt idx="36">
                    <c:v>1982.1537108239947</c:v>
                  </c:pt>
                  <c:pt idx="37">
                    <c:v>498.49406549459849</c:v>
                  </c:pt>
                  <c:pt idx="38">
                    <c:v>3474.4939199831679</c:v>
                  </c:pt>
                </c:numCache>
              </c:numRef>
            </c:minus>
            <c:spPr>
              <a:noFill/>
              <a:ln w="9525" cap="flat" cmpd="sng" algn="ctr">
                <a:solidFill>
                  <a:schemeClr val="tx1">
                    <a:lumMod val="65000"/>
                    <a:lumOff val="35000"/>
                  </a:schemeClr>
                </a:solidFill>
                <a:round/>
              </a:ln>
              <a:effectLst/>
            </c:spPr>
          </c:errBars>
          <c:cat>
            <c:strRef>
              <c:f>Sheet3!$EH$2:$EH$40</c:f>
              <c:strCache>
                <c:ptCount val="39"/>
                <c:pt idx="0">
                  <c:v>Ethyl acetate</c:v>
                </c:pt>
                <c:pt idx="1">
                  <c:v>2-Ethylhexanoic acid
</c:v>
                </c:pt>
                <c:pt idx="2">
                  <c:v>Butanal, 3-methyl-</c:v>
                </c:pt>
                <c:pt idx="3">
                  <c:v>Ethyl 2-ethylhexanoate</c:v>
                </c:pt>
                <c:pt idx="4">
                  <c:v>Heptane</c:v>
                </c:pt>
                <c:pt idx="5">
                  <c:v>Phenethyl 2-methylbutyrate</c:v>
                </c:pt>
                <c:pt idx="6">
                  <c:v>3-Penten-2-one, 4-methyl-</c:v>
                </c:pt>
                <c:pt idx="7">
                  <c:v>2-Methylbutyl butanoate</c:v>
                </c:pt>
                <c:pt idx="8">
                  <c:v>Undecane</c:v>
                </c:pt>
                <c:pt idx="9">
                  <c:v>Mesistilene</c:v>
                </c:pt>
                <c:pt idx="10">
                  <c:v>Isopropyl pentanoate</c:v>
                </c:pt>
                <c:pt idx="11">
                  <c:v>Decane</c:v>
                </c:pt>
                <c:pt idx="12">
                  <c:v>Nonanal</c:v>
                </c:pt>
                <c:pt idx="13">
                  <c:v>Isoamyl acetate</c:v>
                </c:pt>
                <c:pt idx="14">
                  <c:v>D-Limonene</c:v>
                </c:pt>
                <c:pt idx="15">
                  <c:v>Hexanoic acid</c:v>
                </c:pt>
                <c:pt idx="16">
                  <c:v>3-Heptanone</c:v>
                </c:pt>
                <c:pt idx="17">
                  <c:v>Ethyl butanoate</c:v>
                </c:pt>
                <c:pt idx="18">
                  <c:v>Butanoic acid, butyl ester</c:v>
                </c:pt>
                <c:pt idx="19">
                  <c:v>1,3-Di-tert-butylbenzene</c:v>
                </c:pt>
                <c:pt idx="20">
                  <c:v>Acetone</c:v>
                </c:pt>
                <c:pt idx="21">
                  <c:v>o-Cymene</c:v>
                </c:pt>
                <c:pt idx="22">
                  <c:v>Benzaldehyde</c:v>
                </c:pt>
                <c:pt idx="23">
                  <c:v>Allyl hexanoate</c:v>
                </c:pt>
                <c:pt idx="24">
                  <c:v>Ethyl benzeneacetate</c:v>
                </c:pt>
                <c:pt idx="25">
                  <c:v>Styrene</c:v>
                </c:pt>
                <c:pt idx="26">
                  <c:v>Acetophenone</c:v>
                </c:pt>
                <c:pt idx="27">
                  <c:v>Methyl isobutyl ketone</c:v>
                </c:pt>
                <c:pt idx="28">
                  <c:v>Camphor</c:v>
                </c:pt>
                <c:pt idx="29">
                  <c:v>p-Xylene</c:v>
                </c:pt>
                <c:pt idx="30">
                  <c:v>Disulfide, dimethyl</c:v>
                </c:pt>
                <c:pt idx="31">
                  <c:v>Ethyl benzoate</c:v>
                </c:pt>
                <c:pt idx="32">
                  <c:v>trans-α-Bergamotene</c:v>
                </c:pt>
                <c:pt idx="33">
                  <c:v>γ-Terpinene</c:v>
                </c:pt>
                <c:pt idx="34">
                  <c:v>Phenol</c:v>
                </c:pt>
                <c:pt idx="35">
                  <c:v>2-Pentanone</c:v>
                </c:pt>
                <c:pt idx="36">
                  <c:v>3-Carene</c:v>
                </c:pt>
                <c:pt idx="37">
                  <c:v>a-Pinene</c:v>
                </c:pt>
                <c:pt idx="38">
                  <c:v>Toluene</c:v>
                </c:pt>
              </c:strCache>
            </c:strRef>
          </c:cat>
          <c:val>
            <c:numRef>
              <c:f>Sheet3!$EI$2:$EI$40</c:f>
              <c:numCache>
                <c:formatCode>General</c:formatCode>
                <c:ptCount val="39"/>
                <c:pt idx="0">
                  <c:v>6319401.666666667</c:v>
                </c:pt>
                <c:pt idx="1">
                  <c:v>2187992</c:v>
                </c:pt>
                <c:pt idx="2">
                  <c:v>1926101</c:v>
                </c:pt>
                <c:pt idx="3">
                  <c:v>1823074.3333333333</c:v>
                </c:pt>
                <c:pt idx="4">
                  <c:v>695062.33333333337</c:v>
                </c:pt>
                <c:pt idx="5">
                  <c:v>324515.33333333331</c:v>
                </c:pt>
                <c:pt idx="6">
                  <c:v>253143.66666666666</c:v>
                </c:pt>
                <c:pt idx="7">
                  <c:v>196725.33333333334</c:v>
                </c:pt>
                <c:pt idx="8">
                  <c:v>149451.66666666666</c:v>
                </c:pt>
                <c:pt idx="9">
                  <c:v>110879.66666666667</c:v>
                </c:pt>
                <c:pt idx="10">
                  <c:v>110195</c:v>
                </c:pt>
                <c:pt idx="11">
                  <c:v>87694.333333333328</c:v>
                </c:pt>
                <c:pt idx="12">
                  <c:v>81712.666666666672</c:v>
                </c:pt>
                <c:pt idx="13">
                  <c:v>72612</c:v>
                </c:pt>
                <c:pt idx="14">
                  <c:v>64393.666666666664</c:v>
                </c:pt>
                <c:pt idx="15">
                  <c:v>62268</c:v>
                </c:pt>
                <c:pt idx="16">
                  <c:v>52678.736376721936</c:v>
                </c:pt>
                <c:pt idx="17">
                  <c:v>50030</c:v>
                </c:pt>
                <c:pt idx="18">
                  <c:v>49018</c:v>
                </c:pt>
                <c:pt idx="19">
                  <c:v>28602</c:v>
                </c:pt>
                <c:pt idx="20">
                  <c:v>27948.868143894641</c:v>
                </c:pt>
                <c:pt idx="21">
                  <c:v>17677</c:v>
                </c:pt>
                <c:pt idx="22">
                  <c:v>12643.333333333334</c:v>
                </c:pt>
                <c:pt idx="23">
                  <c:v>10677</c:v>
                </c:pt>
                <c:pt idx="24">
                  <c:v>9754.3333333333339</c:v>
                </c:pt>
                <c:pt idx="25">
                  <c:v>9658.3333333333339</c:v>
                </c:pt>
                <c:pt idx="26">
                  <c:v>9082</c:v>
                </c:pt>
                <c:pt idx="27">
                  <c:v>8316.1259264944547</c:v>
                </c:pt>
                <c:pt idx="28">
                  <c:v>8052.333333333333</c:v>
                </c:pt>
                <c:pt idx="29">
                  <c:v>7225.666666666667</c:v>
                </c:pt>
                <c:pt idx="30">
                  <c:v>7024.666666666667</c:v>
                </c:pt>
                <c:pt idx="31">
                  <c:v>5908</c:v>
                </c:pt>
                <c:pt idx="32">
                  <c:v>4108.333333333333</c:v>
                </c:pt>
                <c:pt idx="33">
                  <c:v>3929.3333333333335</c:v>
                </c:pt>
                <c:pt idx="34">
                  <c:v>2409.0333911035395</c:v>
                </c:pt>
                <c:pt idx="35">
                  <c:v>2359.8503553232044</c:v>
                </c:pt>
                <c:pt idx="36">
                  <c:v>2033.3333333333333</c:v>
                </c:pt>
                <c:pt idx="37">
                  <c:v>2019.6666666666667</c:v>
                </c:pt>
                <c:pt idx="38">
                  <c:v>2006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ACC0-4365-91ED-52CA5C042595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1459279696"/>
        <c:axId val="1459272976"/>
      </c:barChart>
      <c:catAx>
        <c:axId val="145927969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6350" cap="flat" cmpd="sng" algn="ctr">
            <a:solidFill>
              <a:schemeClr val="dk1"/>
            </a:solidFill>
            <a:prstDash val="solid"/>
            <a:miter lim="800000"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459272976"/>
        <c:crosses val="autoZero"/>
        <c:auto val="1"/>
        <c:lblAlgn val="ctr"/>
        <c:lblOffset val="100"/>
        <c:noMultiLvlLbl val="0"/>
      </c:catAx>
      <c:valAx>
        <c:axId val="1459272976"/>
        <c:scaling>
          <c:logBase val="10"/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6350" cap="flat" cmpd="sng" algn="ctr">
            <a:solidFill>
              <a:schemeClr val="dk1"/>
            </a:solidFill>
            <a:prstDash val="solid"/>
            <a:miter lim="800000"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459279696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4">
    <c:autoUpdate val="0"/>
  </c:externalData>
  <c:userShapes r:id="rId5"/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0.68931</cdr:x>
      <cdr:y>0.74556</cdr:y>
    </cdr:from>
    <cdr:to>
      <cdr:x>0.80816</cdr:x>
      <cdr:y>0.79928</cdr:y>
    </cdr:to>
    <cdr:sp macro="" textlink="">
      <cdr:nvSpPr>
        <cdr:cNvPr id="2" name="Oval 1"/>
        <cdr:cNvSpPr/>
      </cdr:nvSpPr>
      <cdr:spPr>
        <a:xfrm xmlns:a="http://schemas.openxmlformats.org/drawingml/2006/main" rot="2727661">
          <a:off x="6546262" y="2062090"/>
          <a:ext cx="180042" cy="1053389"/>
        </a:xfrm>
        <a:prstGeom xmlns:a="http://schemas.openxmlformats.org/drawingml/2006/main" prst="ellipse">
          <a:avLst/>
        </a:prstGeom>
        <a:noFill xmlns:a="http://schemas.openxmlformats.org/drawingml/2006/main"/>
        <a:ln xmlns:a="http://schemas.openxmlformats.org/drawingml/2006/main">
          <a:solidFill>
            <a:schemeClr val="tx1"/>
          </a:solidFill>
        </a:ln>
      </cdr:spPr>
      <cdr:style>
        <a:lnRef xmlns:a="http://schemas.openxmlformats.org/drawingml/2006/main" idx="2">
          <a:schemeClr val="accent1">
            <a:shade val="15000"/>
          </a:schemeClr>
        </a:lnRef>
        <a:fillRef xmlns:a="http://schemas.openxmlformats.org/drawingml/2006/main" idx="1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lt1"/>
        </a:fontRef>
      </cdr:style>
      <cdr:txBody>
        <a:bodyPr xmlns:a="http://schemas.openxmlformats.org/drawingml/2006/main"/>
        <a:lstStyle xmlns:a="http://schemas.openxmlformats.org/drawingml/2006/main">
          <a:lvl1pPr marL="0" indent="0">
            <a:defRPr sz="1100">
              <a:solidFill>
                <a:schemeClr val="lt1"/>
              </a:solidFill>
              <a:latin typeface="+mn-lt"/>
              <a:ea typeface="+mn-ea"/>
              <a:cs typeface="+mn-cs"/>
            </a:defRPr>
          </a:lvl1pPr>
          <a:lvl2pPr marL="457200" indent="0">
            <a:defRPr sz="1100">
              <a:solidFill>
                <a:schemeClr val="lt1"/>
              </a:solidFill>
              <a:latin typeface="+mn-lt"/>
              <a:ea typeface="+mn-ea"/>
              <a:cs typeface="+mn-cs"/>
            </a:defRPr>
          </a:lvl2pPr>
          <a:lvl3pPr marL="914400" indent="0">
            <a:defRPr sz="1100">
              <a:solidFill>
                <a:schemeClr val="lt1"/>
              </a:solidFill>
              <a:latin typeface="+mn-lt"/>
              <a:ea typeface="+mn-ea"/>
              <a:cs typeface="+mn-cs"/>
            </a:defRPr>
          </a:lvl3pPr>
          <a:lvl4pPr marL="1371600" indent="0">
            <a:defRPr sz="1100">
              <a:solidFill>
                <a:schemeClr val="lt1"/>
              </a:solidFill>
              <a:latin typeface="+mn-lt"/>
              <a:ea typeface="+mn-ea"/>
              <a:cs typeface="+mn-cs"/>
            </a:defRPr>
          </a:lvl4pPr>
          <a:lvl5pPr marL="1828800" indent="0">
            <a:defRPr sz="1100">
              <a:solidFill>
                <a:schemeClr val="lt1"/>
              </a:solidFill>
              <a:latin typeface="+mn-lt"/>
              <a:ea typeface="+mn-ea"/>
              <a:cs typeface="+mn-cs"/>
            </a:defRPr>
          </a:lvl5pPr>
          <a:lvl6pPr marL="2286000" indent="0">
            <a:defRPr sz="1100">
              <a:solidFill>
                <a:schemeClr val="lt1"/>
              </a:solidFill>
              <a:latin typeface="+mn-lt"/>
              <a:ea typeface="+mn-ea"/>
              <a:cs typeface="+mn-cs"/>
            </a:defRPr>
          </a:lvl6pPr>
          <a:lvl7pPr marL="2743200" indent="0">
            <a:defRPr sz="1100">
              <a:solidFill>
                <a:schemeClr val="lt1"/>
              </a:solidFill>
              <a:latin typeface="+mn-lt"/>
              <a:ea typeface="+mn-ea"/>
              <a:cs typeface="+mn-cs"/>
            </a:defRPr>
          </a:lvl7pPr>
          <a:lvl8pPr marL="3200400" indent="0">
            <a:defRPr sz="1100">
              <a:solidFill>
                <a:schemeClr val="lt1"/>
              </a:solidFill>
              <a:latin typeface="+mn-lt"/>
              <a:ea typeface="+mn-ea"/>
              <a:cs typeface="+mn-cs"/>
            </a:defRPr>
          </a:lvl8pPr>
          <a:lvl9pPr marL="3657600" indent="0">
            <a:defRPr sz="1100">
              <a:solidFill>
                <a:schemeClr val="lt1"/>
              </a:solidFill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endParaRPr lang="en-IE" kern="1200">
            <a:solidFill>
              <a:schemeClr val="tx1"/>
            </a:solidFill>
          </a:endParaRPr>
        </a:p>
      </cdr:txBody>
    </cdr:sp>
  </cdr:relSizeAnchor>
</c:userShape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0E2841"/>
    </a:dk2>
    <a:lt2>
      <a:srgbClr val="E8E8E8"/>
    </a:lt2>
    <a:accent1>
      <a:srgbClr val="156082"/>
    </a:accent1>
    <a:accent2>
      <a:srgbClr val="E97132"/>
    </a:accent2>
    <a:accent3>
      <a:srgbClr val="196B24"/>
    </a:accent3>
    <a:accent4>
      <a:srgbClr val="0F9ED5"/>
    </a:accent4>
    <a:accent5>
      <a:srgbClr val="A02B93"/>
    </a:accent5>
    <a:accent6>
      <a:srgbClr val="4EA72E"/>
    </a:accent6>
    <a:hlink>
      <a:srgbClr val="467886"/>
    </a:hlink>
    <a:folHlink>
      <a:srgbClr val="96607D"/>
    </a:folHlink>
  </a:clrScheme>
  <a:fontScheme name="Office">
    <a:majorFont>
      <a:latin typeface="Aptos Display" panose="0211000402020202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ajorFont>
    <a:minorFont>
      <a:latin typeface="Aptos" panose="02110004020202020204"/>
      <a:ea typeface=""/>
      <a:cs typeface=""/>
      <a:font script="Jpan" typeface="游明朝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8456F9-5F19-4A33-8DD9-6EB2B89020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26</Words>
  <Characters>154</Characters>
  <Application>Microsoft Office Word</Application>
  <DocSecurity>0</DocSecurity>
  <Lines>1</Lines>
  <Paragraphs>1</Paragraphs>
  <ScaleCrop>false</ScaleCrop>
  <Company/>
  <LinksUpToDate>false</LinksUpToDate>
  <CharactersWithSpaces>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Ayat Mosad Mohamed Moharam Elgammal (Umail)</dc:creator>
  <cp:keywords/>
  <dc:description/>
  <cp:lastModifiedBy>Ayat Mosad Mohamed Moharam Elgammal (Umail)</cp:lastModifiedBy>
  <cp:revision>4</cp:revision>
  <dcterms:created xsi:type="dcterms:W3CDTF">2025-02-24T16:09:00Z</dcterms:created>
  <dcterms:modified xsi:type="dcterms:W3CDTF">2025-02-25T16:53:00Z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ndeley Recent Style Id 0_1">
    <vt:lpwstr>http://www.zotero.org/styles/american-political-science-association</vt:lpwstr>
  </property>
  <property fmtid="{D5CDD505-2E9C-101B-9397-08002B2CF9AE}" pid="3" name="Mendeley Recent Style Name 0_1">
    <vt:lpwstr>American Political Science Association</vt:lpwstr>
  </property>
  <property fmtid="{D5CDD505-2E9C-101B-9397-08002B2CF9AE}" pid="4" name="Mendeley Recent Style Id 1_1">
    <vt:lpwstr>http://www.zotero.org/styles/apa</vt:lpwstr>
  </property>
  <property fmtid="{D5CDD505-2E9C-101B-9397-08002B2CF9AE}" pid="5" name="Mendeley Recent Style Name 1_1">
    <vt:lpwstr>American Psychological Association 7th edition</vt:lpwstr>
  </property>
  <property fmtid="{D5CDD505-2E9C-101B-9397-08002B2CF9AE}" pid="6" name="Mendeley Recent Style Id 2_1">
    <vt:lpwstr>http://www.zotero.org/styles/american-sociological-association</vt:lpwstr>
  </property>
  <property fmtid="{D5CDD505-2E9C-101B-9397-08002B2CF9AE}" pid="7" name="Mendeley Recent Style Name 2_1">
    <vt:lpwstr>American Sociological Association 6th edition</vt:lpwstr>
  </property>
  <property fmtid="{D5CDD505-2E9C-101B-9397-08002B2CF9AE}" pid="8" name="Mendeley Recent Style Id 3_1">
    <vt:lpwstr>http://www.zotero.org/styles/chicago-author-date</vt:lpwstr>
  </property>
  <property fmtid="{D5CDD505-2E9C-101B-9397-08002B2CF9AE}" pid="9" name="Mendeley Recent Style Name 3_1">
    <vt:lpwstr>Chicago Manual of Style 17th edition (author-date)</vt:lpwstr>
  </property>
  <property fmtid="{D5CDD505-2E9C-101B-9397-08002B2CF9AE}" pid="10" name="Mendeley Recent Style Id 4_1">
    <vt:lpwstr>http://www.zotero.org/styles/ieee</vt:lpwstr>
  </property>
  <property fmtid="{D5CDD505-2E9C-101B-9397-08002B2CF9AE}" pid="11" name="Mendeley Recent Style Name 4_1">
    <vt:lpwstr>IEEE</vt:lpwstr>
  </property>
  <property fmtid="{D5CDD505-2E9C-101B-9397-08002B2CF9AE}" pid="12" name="Mendeley Recent Style Id 5_1">
    <vt:lpwstr>http://www.zotero.org/styles/modern-humanities-research-association</vt:lpwstr>
  </property>
  <property fmtid="{D5CDD505-2E9C-101B-9397-08002B2CF9AE}" pid="13" name="Mendeley Recent Style Name 5_1">
    <vt:lpwstr>Modern Humanities Research Association 3rd edition (note with bibliography)</vt:lpwstr>
  </property>
  <property fmtid="{D5CDD505-2E9C-101B-9397-08002B2CF9AE}" pid="14" name="Mendeley Recent Style Id 6_1">
    <vt:lpwstr>http://www.zotero.org/styles/modern-language-association</vt:lpwstr>
  </property>
  <property fmtid="{D5CDD505-2E9C-101B-9397-08002B2CF9AE}" pid="15" name="Mendeley Recent Style Name 6_1">
    <vt:lpwstr>Modern Language Association 8th edition</vt:lpwstr>
  </property>
  <property fmtid="{D5CDD505-2E9C-101B-9397-08002B2CF9AE}" pid="16" name="Mendeley Recent Style Id 7_1">
    <vt:lpwstr>http://www.zotero.org/styles/nature</vt:lpwstr>
  </property>
  <property fmtid="{D5CDD505-2E9C-101B-9397-08002B2CF9AE}" pid="17" name="Mendeley Recent Style Name 7_1">
    <vt:lpwstr>Nature</vt:lpwstr>
  </property>
  <property fmtid="{D5CDD505-2E9C-101B-9397-08002B2CF9AE}" pid="18" name="Mendeley Recent Style Id 8_1">
    <vt:lpwstr>http://www.zotero.org/styles/numerical-algorithms</vt:lpwstr>
  </property>
  <property fmtid="{D5CDD505-2E9C-101B-9397-08002B2CF9AE}" pid="19" name="Mendeley Recent Style Name 8_1">
    <vt:lpwstr>Numerical Algorithms</vt:lpwstr>
  </property>
  <property fmtid="{D5CDD505-2E9C-101B-9397-08002B2CF9AE}" pid="20" name="Mendeley Recent Style Id 9_1">
    <vt:lpwstr>http://www.zotero.org/styles/vancouver</vt:lpwstr>
  </property>
  <property fmtid="{D5CDD505-2E9C-101B-9397-08002B2CF9AE}" pid="21" name="Mendeley Recent Style Name 9_1">
    <vt:lpwstr>Vancouver</vt:lpwstr>
  </property>
</Properties>
</file>