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6E86FF" w14:textId="77777777" w:rsidR="00AE0825" w:rsidRPr="008E2FB3" w:rsidRDefault="00AE0825" w:rsidP="0015489F">
      <w:pPr>
        <w:spacing w:after="0"/>
        <w:rPr>
          <w:szCs w:val="24"/>
          <w:lang w:val="en-GB"/>
        </w:rPr>
      </w:pPr>
      <w:r w:rsidRPr="008E2FB3">
        <w:rPr>
          <w:szCs w:val="24"/>
          <w:lang w:val="en-GB"/>
        </w:rPr>
        <w:t xml:space="preserve">Supplementary Methods </w:t>
      </w:r>
    </w:p>
    <w:p w14:paraId="303DB8EF" w14:textId="77777777" w:rsidR="0015489F" w:rsidRPr="008E2FB3" w:rsidRDefault="0015489F" w:rsidP="0015489F">
      <w:pPr>
        <w:spacing w:after="0"/>
        <w:rPr>
          <w:szCs w:val="24"/>
          <w:lang w:val="en-GB"/>
        </w:rPr>
      </w:pPr>
    </w:p>
    <w:p w14:paraId="4AEC6990" w14:textId="77777777" w:rsidR="006A58D2" w:rsidRPr="008E2FB3" w:rsidRDefault="00AD0AF0" w:rsidP="006A58D2">
      <w:pPr>
        <w:spacing w:after="0"/>
        <w:rPr>
          <w:b/>
          <w:bCs/>
          <w:szCs w:val="24"/>
          <w:lang w:val="en-GB"/>
        </w:rPr>
      </w:pPr>
      <w:r w:rsidRPr="008E2FB3">
        <w:rPr>
          <w:b/>
          <w:bCs/>
          <w:szCs w:val="24"/>
          <w:lang w:val="en-GB"/>
        </w:rPr>
        <w:t>Phospholipid</w:t>
      </w:r>
      <w:r w:rsidR="006A58D2" w:rsidRPr="008E2FB3">
        <w:rPr>
          <w:b/>
          <w:bCs/>
          <w:szCs w:val="24"/>
          <w:lang w:val="en-GB"/>
        </w:rPr>
        <w:t xml:space="preserve"> enrichment of Buttermilk Powder Substrate</w:t>
      </w:r>
    </w:p>
    <w:p w14:paraId="6A9A90C0" w14:textId="77777777" w:rsidR="006A58D2" w:rsidRPr="008E2FB3" w:rsidRDefault="006A58D2" w:rsidP="006A58D2">
      <w:pPr>
        <w:spacing w:after="0"/>
        <w:rPr>
          <w:szCs w:val="24"/>
          <w:lang w:val="en-GB"/>
        </w:rPr>
      </w:pPr>
      <w:r w:rsidRPr="008E2FB3">
        <w:rPr>
          <w:szCs w:val="24"/>
          <w:lang w:val="en-GB"/>
        </w:rPr>
        <w:t xml:space="preserve">BMP was reconstituted to 10% total solids in reverse osmosis (RO) water and allowed to hydrate overnight with agitation. The BMP was slowly heated to 50°C using a water jacket and the pH was set to pH 8.0 by addition of 4M NaOH, these conditions were maintained throughout the reaction and the vessel was agitated throughout. Enzyme hydrolysis was initiated by the addition of </w:t>
      </w:r>
      <w:proofErr w:type="spellStart"/>
      <w:r w:rsidRPr="008E2FB3">
        <w:rPr>
          <w:szCs w:val="24"/>
          <w:lang w:val="en-GB"/>
        </w:rPr>
        <w:t>Alcalase</w:t>
      </w:r>
      <w:proofErr w:type="spellEnd"/>
      <w:r w:rsidRPr="008E2FB3">
        <w:rPr>
          <w:szCs w:val="24"/>
          <w:lang w:val="en-GB"/>
        </w:rPr>
        <w:t xml:space="preserve">® and </w:t>
      </w:r>
      <w:proofErr w:type="spellStart"/>
      <w:r w:rsidRPr="008E2FB3">
        <w:rPr>
          <w:szCs w:val="24"/>
          <w:lang w:val="en-GB"/>
        </w:rPr>
        <w:t>Flavourzyme</w:t>
      </w:r>
      <w:proofErr w:type="spellEnd"/>
      <w:r w:rsidRPr="008E2FB3">
        <w:rPr>
          <w:szCs w:val="24"/>
          <w:lang w:val="en-GB"/>
        </w:rPr>
        <w:t xml:space="preserve">® in equal volumes to make an enzyme to substate ratio of 2:100 (w/w) on a protein equivalent basis. Hydrolysis was terminated after 2 hours and 40 minutes at 19% DH (degree of hydrolysis) (previously determined at lab scale using the </w:t>
      </w:r>
      <w:proofErr w:type="spellStart"/>
      <w:r w:rsidRPr="008E2FB3">
        <w:rPr>
          <w:szCs w:val="24"/>
          <w:lang w:val="en-GB"/>
        </w:rPr>
        <w:t>trinitrobenzenesulfonic</w:t>
      </w:r>
      <w:proofErr w:type="spellEnd"/>
      <w:r w:rsidRPr="008E2FB3">
        <w:rPr>
          <w:szCs w:val="24"/>
          <w:lang w:val="en-GB"/>
        </w:rPr>
        <w:t xml:space="preserve"> acid (TNBS) reaction outlined by Alder-</w:t>
      </w:r>
      <w:proofErr w:type="spellStart"/>
      <w:r w:rsidRPr="008E2FB3">
        <w:rPr>
          <w:szCs w:val="24"/>
          <w:lang w:val="en-GB"/>
        </w:rPr>
        <w:t>Nilson</w:t>
      </w:r>
      <w:proofErr w:type="spellEnd"/>
      <w:r w:rsidRPr="008E2FB3">
        <w:rPr>
          <w:szCs w:val="24"/>
          <w:lang w:val="en-GB"/>
        </w:rPr>
        <w:t xml:space="preserve">, 1979) by adjusting the pH to 4.0 by the addition of addition of 4M citric acid. The hydrolysed BMP was subjected to </w:t>
      </w:r>
      <w:r w:rsidR="006639C9" w:rsidRPr="008E2FB3">
        <w:rPr>
          <w:szCs w:val="24"/>
          <w:lang w:val="en-GB"/>
        </w:rPr>
        <w:t>ultrafiltration</w:t>
      </w:r>
      <w:r w:rsidRPr="008E2FB3">
        <w:rPr>
          <w:szCs w:val="24"/>
          <w:lang w:val="en-GB"/>
        </w:rPr>
        <w:t xml:space="preserve"> using a GEA Model F unit </w:t>
      </w:r>
      <w:bookmarkStart w:id="0" w:name="_Hlk43678947"/>
      <w:r w:rsidRPr="008E2FB3">
        <w:rPr>
          <w:szCs w:val="24"/>
          <w:lang w:val="en-GB"/>
        </w:rPr>
        <w:t xml:space="preserve">(GEA Process Engineering A/S, </w:t>
      </w:r>
      <w:proofErr w:type="spellStart"/>
      <w:r w:rsidRPr="008E2FB3">
        <w:rPr>
          <w:szCs w:val="24"/>
          <w:lang w:val="en-GB"/>
        </w:rPr>
        <w:t>Skanderborg</w:t>
      </w:r>
      <w:proofErr w:type="spellEnd"/>
      <w:r w:rsidRPr="008E2FB3">
        <w:rPr>
          <w:szCs w:val="24"/>
          <w:lang w:val="en-GB"/>
        </w:rPr>
        <w:t xml:space="preserve">, Denmark) </w:t>
      </w:r>
      <w:bookmarkEnd w:id="0"/>
      <w:r w:rsidRPr="008E2FB3">
        <w:rPr>
          <w:szCs w:val="24"/>
          <w:lang w:val="en-GB"/>
        </w:rPr>
        <w:t xml:space="preserve">with two </w:t>
      </w:r>
      <w:proofErr w:type="spellStart"/>
      <w:r w:rsidRPr="008E2FB3">
        <w:rPr>
          <w:szCs w:val="24"/>
          <w:lang w:val="en-GB"/>
        </w:rPr>
        <w:t>Synder</w:t>
      </w:r>
      <w:proofErr w:type="spellEnd"/>
      <w:r w:rsidRPr="008E2FB3">
        <w:rPr>
          <w:szCs w:val="24"/>
          <w:lang w:val="en-GB"/>
        </w:rPr>
        <w:t xml:space="preserve"> PES spiral wound membranes (David Kellet &amp; Partners, Ltd.) with a nominal molecular weight cut oﬀ (MWCO) of 50 </w:t>
      </w:r>
      <w:proofErr w:type="spellStart"/>
      <w:r w:rsidRPr="008E2FB3">
        <w:rPr>
          <w:szCs w:val="24"/>
          <w:lang w:val="en-GB"/>
        </w:rPr>
        <w:t>kDa</w:t>
      </w:r>
      <w:proofErr w:type="spellEnd"/>
      <w:r w:rsidRPr="008E2FB3">
        <w:rPr>
          <w:szCs w:val="24"/>
          <w:lang w:val="en-GB"/>
        </w:rPr>
        <w:t xml:space="preserve"> and a total membrane area of 6.69 m</w:t>
      </w:r>
      <w:r w:rsidRPr="008E2FB3">
        <w:rPr>
          <w:szCs w:val="24"/>
          <w:vertAlign w:val="superscript"/>
          <w:lang w:val="en-GB"/>
        </w:rPr>
        <w:t>2</w:t>
      </w:r>
      <w:r w:rsidRPr="008E2FB3">
        <w:rPr>
          <w:szCs w:val="24"/>
          <w:lang w:val="en-GB"/>
        </w:rPr>
        <w:t>. U</w:t>
      </w:r>
      <w:r w:rsidR="006639C9" w:rsidRPr="008E2FB3">
        <w:rPr>
          <w:szCs w:val="24"/>
          <w:lang w:val="en-GB"/>
        </w:rPr>
        <w:t>ltrafiltration</w:t>
      </w:r>
      <w:r w:rsidRPr="008E2FB3">
        <w:rPr>
          <w:szCs w:val="24"/>
          <w:lang w:val="en-GB"/>
        </w:rPr>
        <w:t xml:space="preserve"> was carried out at 50°C, a feed recirculation rate of 100 Lh</w:t>
      </w:r>
      <w:r w:rsidRPr="008E2FB3">
        <w:rPr>
          <w:szCs w:val="24"/>
          <w:vertAlign w:val="superscript"/>
          <w:lang w:val="en-GB"/>
        </w:rPr>
        <w:t>−1</w:t>
      </w:r>
      <w:r w:rsidRPr="008E2FB3">
        <w:rPr>
          <w:szCs w:val="24"/>
          <w:lang w:val="en-GB"/>
        </w:rPr>
        <w:t xml:space="preserve"> at 1 bar and a membrane inlet pressure of 4.2 bar were maintained throughout processing. Four diafiltration steps of RO water were applied to allow maximum wash out of peptide material. The 50 </w:t>
      </w:r>
      <w:proofErr w:type="spellStart"/>
      <w:r w:rsidRPr="008E2FB3">
        <w:rPr>
          <w:szCs w:val="24"/>
          <w:lang w:val="en-GB"/>
        </w:rPr>
        <w:t>kDa</w:t>
      </w:r>
      <w:proofErr w:type="spellEnd"/>
      <w:r w:rsidRPr="008E2FB3">
        <w:rPr>
          <w:szCs w:val="24"/>
          <w:lang w:val="en-GB"/>
        </w:rPr>
        <w:t xml:space="preserve"> retentate was evaporated to 18% total solids on a Tetra </w:t>
      </w:r>
      <w:proofErr w:type="spellStart"/>
      <w:r w:rsidRPr="008E2FB3">
        <w:rPr>
          <w:szCs w:val="24"/>
          <w:lang w:val="en-GB"/>
        </w:rPr>
        <w:t>Scheﬀers</w:t>
      </w:r>
      <w:proofErr w:type="spellEnd"/>
      <w:r w:rsidRPr="008E2FB3">
        <w:rPr>
          <w:szCs w:val="24"/>
          <w:lang w:val="en-GB"/>
        </w:rPr>
        <w:t xml:space="preserve"> ™ falling ﬁlm single- stage evaporator (Tetra Pak, </w:t>
      </w:r>
      <w:proofErr w:type="spellStart"/>
      <w:r w:rsidRPr="008E2FB3">
        <w:rPr>
          <w:szCs w:val="24"/>
          <w:lang w:val="en-GB"/>
        </w:rPr>
        <w:t>Gorredijk</w:t>
      </w:r>
      <w:proofErr w:type="spellEnd"/>
      <w:r w:rsidRPr="008E2FB3">
        <w:rPr>
          <w:szCs w:val="24"/>
          <w:lang w:val="en-GB"/>
        </w:rPr>
        <w:t xml:space="preserve">, The Netherlands) and subsequently spray-dried on a Niro Tall Form Dryer™ (GEA Process Engineering A/S, </w:t>
      </w:r>
      <w:proofErr w:type="spellStart"/>
      <w:r w:rsidRPr="008E2FB3">
        <w:rPr>
          <w:szCs w:val="24"/>
          <w:lang w:val="en-GB"/>
        </w:rPr>
        <w:t>Skanderborg</w:t>
      </w:r>
      <w:proofErr w:type="spellEnd"/>
      <w:r w:rsidRPr="008E2FB3">
        <w:rPr>
          <w:szCs w:val="24"/>
          <w:lang w:val="en-GB"/>
        </w:rPr>
        <w:t>, Denmark).</w:t>
      </w:r>
    </w:p>
    <w:p w14:paraId="46B014FA" w14:textId="77777777" w:rsidR="006A58D2" w:rsidRPr="008E2FB3" w:rsidRDefault="006A58D2" w:rsidP="006A58D2">
      <w:pPr>
        <w:spacing w:after="0"/>
        <w:rPr>
          <w:b/>
          <w:bCs/>
          <w:szCs w:val="24"/>
          <w:lang w:val="en-GB"/>
        </w:rPr>
      </w:pPr>
    </w:p>
    <w:p w14:paraId="6C21A4FE" w14:textId="77777777" w:rsidR="00C86157" w:rsidRPr="008E2FB3" w:rsidRDefault="00C86157" w:rsidP="0015489F">
      <w:pPr>
        <w:spacing w:after="0"/>
        <w:rPr>
          <w:szCs w:val="24"/>
          <w:lang w:val="en-GB"/>
        </w:rPr>
      </w:pPr>
      <w:r w:rsidRPr="008E2FB3">
        <w:rPr>
          <w:b/>
          <w:bCs/>
          <w:szCs w:val="24"/>
          <w:lang w:val="en-GB"/>
        </w:rPr>
        <w:t>Chronic psychosocial stress procedure</w:t>
      </w:r>
      <w:r w:rsidRPr="008E2FB3">
        <w:rPr>
          <w:szCs w:val="24"/>
          <w:lang w:val="en-GB"/>
        </w:rPr>
        <w:t xml:space="preserve"> </w:t>
      </w:r>
    </w:p>
    <w:p w14:paraId="61C38CDF" w14:textId="5CE4170B" w:rsidR="00C86157" w:rsidRPr="008E2FB3" w:rsidRDefault="00C86157" w:rsidP="0015489F">
      <w:pPr>
        <w:spacing w:after="0"/>
        <w:rPr>
          <w:szCs w:val="24"/>
          <w:lang w:val="en-GB"/>
        </w:rPr>
      </w:pPr>
      <w:r w:rsidRPr="008E2FB3">
        <w:rPr>
          <w:szCs w:val="24"/>
          <w:lang w:val="en-GB"/>
        </w:rPr>
        <w:t xml:space="preserve">At 11 weeks of age, half of the animals were submitted to the chronic psychosocial stress paradigm, and this was continued daily until the culls. The procedure was carried out as previously described </w:t>
      </w:r>
      <w:r w:rsidRPr="008E2FB3">
        <w:rPr>
          <w:szCs w:val="20"/>
          <w:lang w:val="en-GB"/>
        </w:rPr>
        <w:fldChar w:fldCharType="begin" w:fldLock="1"/>
      </w:r>
      <w:r w:rsidRPr="008E2FB3">
        <w:rPr>
          <w:szCs w:val="20"/>
          <w:lang w:val="en-GB"/>
        </w:rPr>
        <w:instrText>ADDIN CSL_CITATION {"citationItems":[{"id":"ITEM-1","itemData":{"DOI":"10.1016/j.neuroscience.2011.06.072","ISSN":"03064522","abstract":"Obesity and stress-related psychiatric disorders are frequently comorbid. However, our understanding of the relationship between diet, everyday life stress and psychiatric disorders is limited. Although the ability of stress to increase the likelihood to develop obesity and its comorbidities in a feed-forward loop has been studied there is a dearth of studies especially at the behavioural level investigating the feedback hypothesis, that is, the consequences of high-fat diet consumption on chronic stress-induced alterations. The effects of unpredictable chronic psychosocial stress on anxiety-like behaviour in the light-dark box, depressive-like behaviour in the forced swim test, hedonic behaviour in the female urine sniffing test and social avoidance in the social interaction test were investigated in a mouse model of diet-induced obesity. Changes in plasma levels of leptin, insulin and corticosterone were also assessed. A clear dissociation in behaviours was observed in mice subjected to diet-induced obesity coupled with chronic stress, with anxiety- and depressive-like behaviour observed in mice on a low- but not on a high-fat diet exposed to chronic social stress. On the other hand, social avoidance and anhedonic behaviour was present following stress independent of diet. Moreover, the effect of chronic stress in lowering leptin levels was most apparent in mice on a high-fat diet. Plasma insulin levels however where only decreased in mice on high- but not low-fat diet. In conclusion, long-term exposure to high-fat diet selectively and robustly protects against some of the behavioural sequelae of chronic unpredictable social stressors. These data show that there is a clear discrimination in the nature of stress-induced behavioural effects sensitive to protection by high-fat diet. Moreover, these results illustrate the strong influence of dietary components on stress-induced psychological factors and thereby emphasize the importance of the brain-gut-axis as a point of future therapeutic intervention. © 2011 IBRO.","author":[{"dropping-particle":"","family":"Finger","given":"Beate C.","non-dropping-particle":"","parse-names":false,"suffix":""},{"dropping-particle":"","family":"Dinan","given":"T. G.","non-dropping-particle":"","parse-names":false,"suffix":""},{"dropping-particle":"","family":"Cryan","given":"J. F.","non-dropping-particle":"","parse-names":false,"suffix":""}],"container-title":"Neuroscience","id":"ITEM-1","issued":{"date-parts":[["2011","9"]]},"page":"351-360","title":"High-fat diet selectively protects against the effects of chronic social stress in the mouse","type":"article-journal","volume":"192"},"uris":["http://www.mendeley.com/documents/?uuid=155d48c0-688b-3316-b38a-ce5dd653d4ad"]},{"id":"ITEM-2","itemData":{"DOI":"10.3109/10253890.2011.622816","ISSN":"10253890","abstract":"Experimental and clinical evidence has shown that chronic stress plays an important role in the onset and/or exacerbation of symptoms of functional gastrointestinal disorders. Here, we aimed to investigate whether exposure to a chronic and temporally unpredictable psychosocial stressor alters visceral and somatic nociception as well as anxiety-related behaviour. In male C57BL/6J mice, chronic stress was induced by repeated exposure to social defeat (SD, 2 h) and overcrowding (OC, 24 h) during 19 consecutive days. Visceral and somatic nociception was evaluated by colorectal distension and a hot plate, respectively. The social interaction test was used to assess social anxiety. Mice exposed to psychosocial stress developed visceral hyperalgesia and somatic hypoalgesia 24 h following the last stress session. SD/OC mice also exhibited social anxiety-like behaviour. All these changes were also associated with physiological alterations, measured as a decreased faecal pellet output and hypothalamic-pituitary-adrenal (HPA) axis disruption. Taken together, these data confirm that this mouse model of chronic psychosocial stress may be useful for studies on the pathophysiological mechanisms underlying such stress-associated disorders and to further test potential therapies.","author":[{"dropping-particle":"","family":"Tramullas","given":"Mónica","non-dropping-particle":"","parse-names":false,"suffix":""},{"dropping-particle":"","family":"Dinan","given":"Timothy G","non-dropping-particle":"","parse-names":false,"suffix":""},{"dropping-particle":"","family":"Cryan","given":"John F","non-dropping-particle":"","parse-names":false,"suffix":""}],"container-title":"Stress","id":"ITEM-2","issue":"3","issued":{"date-parts":[["2012"]]},"page":"281-292","title":"Chronic psychosocial stress induces visceral hyperalgesia in mice","type":"article-journal","volume":"15"},"uris":["http://www.mendeley.com/documents/?uuid=9673a429-6ba9-330e-bb71-0ae8a0d502f1"]},{"id":"ITEM-3","itemData":{"DOI":"10.1113/JP276431","ISSN":"14697793","abstract":"© 2018 The Authors. The Journal of Physiology © 2018 The Physiological Society Key points: Chronic (psychosocial) stress changes gut microbiota composition, as well as inducing behavioural and physiological deficits. The microbial metabolites short-chain fatty acids (SCFAs) have been implicated in gastrointestinal functional, (neuro)immune regulation and host metabolism, but their role in stress-induced behavioural and physiological alterations is poorly understood. Administration of SCFAs to mice undergoing psychosocial stress alleviates enduring alterations in anhedonia and heightened stress-responsiveness, as well as stress-induced increases in intestinal permeability. In contrast, chronic stress-induced alterations in body weight gain, faecal SCFAs and the gene expression of the SCFA receptors FFAR2 and FFAR3 remained unaffected by SCFA supplementation. These results present novel insights into mechanisms underpinning the influence of the gut microbiota on brain homeostasis, behaviour and host metabolism, informing the development of microbiota-targeted therapies for stress-related disorders. Abstract: There is a growing recognition of the involvement of the gastrointestinal microbiota in the regulation of physiology and behaviour. Microbiota-derived metabolites play a central role in the communication between microbes and their host, with short-chain fatty acids (SCFAs) being perhaps the most studied. SCFAs are primarily derived from fermentation of dietary fibres and play a pivotal role in host gut, metabolic and immune function. All these factors have previously been demonstrated to be adversely affected by stress. Therefore, we sought to assess whether SCFA supplementation could counteract the enduring effects of chronic psychosocial stress. C57BL/6J male mice received oral supplementation of a mixture of the three principle SCFAs (acetate, propionate and butyrate). One week later, mice underwent 3 weeks of repeated psychosocial stress, followed by a comprehensive behavioural analysis. Finally, plasma corticosterone, faecal SCFAs and caecal microbiota composition were assessed. SCFA treatment alleviated psychosocial stress-induced alterations in reward-seeking behaviour, and increased responsiveness to an acute stressor and in vivo intestinal permeability. In addition, SCFAs exhibited behavioural test-specific antidepressant and anxiolytic effects, which were not present when mice had also undergone psychosocial stress. Stress-induced increases …","author":[{"dropping-particle":"","family":"Wouw","given":"Marcel","non-dropping-particle":"van de","parse-names":false,"suffix":""},{"dropping-particle":"","family":"Boehme","given":"Marcus","non-dropping-particle":"","parse-names":false,"suffix":""},{"dropping-particle":"","family":"Lyte","given":"Joshua M.","non-dropping-particle":"","parse-names":false,"suffix":""},{"dropping-particle":"","family":"Wiley","given":"Niamh","non-dropping-particle":"","parse-names":false,"suffix":""},{"dropping-particle":"","family":"Strain","given":"Conall","non-dropping-particle":"","parse-names":false,"suffix":""},{"dropping-particle":"","family":"O'Sullivan","given":"Orla","non-dropping-particle":"","parse-names":false,"suffix":""},{"dropping-particle":"","family":"Clarke","given":"Gerard","non-dropping-particle":"","parse-names":false,"suffix":""},{"dropping-particle":"","family":"Stanton","given":"Catherine","non-dropping-particle":"","parse-names":false,"suffix":""},{"dropping-particle":"","family":"Dinan","given":"Timothy G.","non-dropping-particle":"","parse-names":false,"suffix":""},{"dropping-particle":"","family":"Cryan","given":"John F.","non-dropping-particle":"","parse-names":false,"suffix":""}],"container-title":"Journal of Physiology","id":"ITEM-3","issue":"20","issued":{"date-parts":[["2018"]]},"page":"4923-4944","title":"Short-chain fatty acids: microbial metabolites that alleviate stress-induced brain–gut axis alterations","type":"article-journal","volume":"596"},"uris":["http://www.mendeley.com/documents/?uuid=8a019ccc-1fcb-4afc-96f3-6a19615171e7"]},{"id":"ITEM-4","itemData":{"DOI":"10.1016/j.biopsych.2016.12.031","ISBN":"0006-3223","ISSN":"18732402","PMID":"28242013","abstract":"Background The realization that the microbiota-gut-brain axis plays a critical role in health and disease, including neuropsychiatric disorders, is rapidly advancing. Nurturing a beneficial gut microbiome with prebiotics, such as fructo-oligosaccharides (FOS) and galacto-oligosaccharides (GOS), is an appealing but underinvestigated microbiota manipulation. Here we tested whether chronic prebiotic treatment modifies behavior across domains relevant to anxiety, depression, cognition, stress response, and social behavior. Methods C57BL/6J male mice were administered FOS, GOS, or a combination of FOS+GOS for 3 weeks prior to testing. Plasma corticosterone, microbiota composition, and cecal short-chain fatty acids were measured. In addition, FOS+GOS- or water-treated mice were also exposed to chronic psychosocial stress, and behavior, immune, and microbiota parameters were assessed. Results Chronic prebiotic FOS+GOS treatment exhibited both antidepressant and anxiolytic effects. Moreover, the administration of GOS and the FOS+GOS combination reduced stress-induced corticosterone release. Prebiotics modified specific gene expression in the hippocampus and hypothalamus. Regarding short-chain fatty acid concentrations, prebiotic administration increased cecal acetate and propionate and reduced isobutyrate concentrations, changes that correlated significantly with the positive effects seen on behavior. Moreover, FOS+GOS reduced chronic stress-induced elevations in corticosterone and proinflammatory cytokine levels and depression-like and anxiety-like behavior in addition to normalizing the effects of stress on the microbiota. Conclusions Taken together, these data strongly suggest a beneficial role of prebiotic treatment for stress-related behaviors. These findings strengthen the evidence base supporting therapeutic targeting of the gut microbiota for brain-gut axis disorders, opening new avenues in the field of nutritional neuropsychopharmacology.","author":[{"dropping-particle":"","family":"Burokas","given":"Aurelijus","non-dropping-particle":"","parse-names":false,"suffix":""},{"dropping-particle":"","family":"Arboleya","given":"Silvia","non-dropping-particle":"","parse-names":false,"suffix":""},{"dropping-particle":"","family":"Moloney","given":"Rachel D.","non-dropping-particle":"","parse-names":false,"suffix":""},{"dropping-particle":"","family":"Peterson","given":"Veronica L.","non-dropping-particle":"","parse-names":false,"suffix":""},{"dropping-particle":"","family":"Murphy","given":"Kiera","non-dropping-particle":"","parse-names":false,"suffix":""},{"dropping-particle":"","family":"Clarke","given":"Gerard","non-dropping-particle":"","parse-names":false,"suffix":""},{"dropping-particle":"","family":"Stanton","given":"Catherine","non-dropping-particle":"","parse-names":false,"suffix":""},{"dropping-particle":"","family":"Dinan","given":"Timothy G.","non-dropping-particle":"","parse-names":false,"suffix":""},{"dropping-particle":"","family":"Cryan","given":"John F.","non-dropping-particle":"","parse-names":false,"suffix":""}],"container-title":"Biological Psychiatry","id":"ITEM-4","issue":"7","issued":{"date-parts":[["2017"]]},"page":"472-487","publisher":"Elsevier Inc.","title":"Targeting the Microbiota-Gut-Brain Axis: Prebiotics Have Anxiolytic and Antidepressant-like Effects and Reverse the Impact of Chronic Stress in Mice","type":"article-journal","volume":"82"},"uris":["http://www.mendeley.com/documents/?uuid=83397291-491f-4dc5-a347-6e95cd076771"]}],"mendeley":{"formattedCitation":"(20–23)","plainTextFormattedCitation":"(20–23)","previouslyFormattedCitation":"(20–23)"},"properties":{"noteIndex":0},"schema":"https://github.com/citation-style-language/schema/raw/master/csl-citation.json"}</w:instrText>
      </w:r>
      <w:r w:rsidRPr="008E2FB3">
        <w:rPr>
          <w:szCs w:val="20"/>
          <w:lang w:val="en-GB"/>
        </w:rPr>
        <w:fldChar w:fldCharType="separate"/>
      </w:r>
      <w:r w:rsidRPr="008E2FB3">
        <w:rPr>
          <w:noProof/>
          <w:szCs w:val="20"/>
          <w:lang w:val="en-US"/>
        </w:rPr>
        <w:t>(20–23)</w:t>
      </w:r>
      <w:r w:rsidRPr="008E2FB3">
        <w:rPr>
          <w:szCs w:val="20"/>
          <w:lang w:val="en-GB"/>
        </w:rPr>
        <w:fldChar w:fldCharType="end"/>
      </w:r>
      <w:r w:rsidRPr="008E2FB3">
        <w:rPr>
          <w:szCs w:val="24"/>
          <w:lang w:val="en-US"/>
        </w:rPr>
        <w:t>.</w:t>
      </w:r>
      <w:r w:rsidRPr="008E2FB3">
        <w:rPr>
          <w:lang w:val="en-US"/>
        </w:rPr>
        <w:t xml:space="preserve"> </w:t>
      </w:r>
      <w:r w:rsidRPr="008E2FB3">
        <w:rPr>
          <w:szCs w:val="24"/>
          <w:lang w:val="en-GB"/>
        </w:rPr>
        <w:t xml:space="preserve">For overcrowding sessions, stressed mice were placed into one half of a standard holding cage </w:t>
      </w:r>
      <w:r w:rsidR="006F563D" w:rsidRPr="008E2FB3">
        <w:rPr>
          <w:szCs w:val="24"/>
          <w:lang w:val="en-GB"/>
        </w:rPr>
        <w:t>divided in 2 equal parts</w:t>
      </w:r>
      <w:r w:rsidRPr="008E2FB3">
        <w:rPr>
          <w:szCs w:val="24"/>
          <w:lang w:val="en-GB"/>
        </w:rPr>
        <w:t xml:space="preserve"> by a plexiglass wall for 24 or 48 hours. In the adulthood study, mice were grouped at 5 per half cage. In the early life study, they were 5 or 6 per half cage, except for stressed mice receiving Lipamine supplementation (n=2), due to breeding limitations. During the social defeats, the </w:t>
      </w:r>
      <w:r w:rsidRPr="008E2FB3">
        <w:rPr>
          <w:szCs w:val="20"/>
          <w:lang w:val="en-GB"/>
        </w:rPr>
        <w:t xml:space="preserve">C57BL/6J </w:t>
      </w:r>
      <w:r w:rsidRPr="008E2FB3">
        <w:rPr>
          <w:szCs w:val="24"/>
          <w:lang w:val="en-GB"/>
        </w:rPr>
        <w:t xml:space="preserve">mouse was introduced into a CD1 home cage. After the first attack resulting on a submissive posture in the </w:t>
      </w:r>
      <w:r w:rsidRPr="008E2FB3">
        <w:rPr>
          <w:szCs w:val="20"/>
          <w:lang w:val="en-GB"/>
        </w:rPr>
        <w:t xml:space="preserve">C57BL/6J </w:t>
      </w:r>
      <w:r w:rsidRPr="008E2FB3">
        <w:rPr>
          <w:szCs w:val="24"/>
          <w:lang w:val="en-GB"/>
        </w:rPr>
        <w:t>mouse, mice were separated by perforated plexiglass wall</w:t>
      </w:r>
      <w:r w:rsidR="006F563D" w:rsidRPr="008E2FB3">
        <w:rPr>
          <w:szCs w:val="24"/>
          <w:lang w:val="en-GB"/>
        </w:rPr>
        <w:t xml:space="preserve"> (placed in the middle of the CD1 home cage)</w:t>
      </w:r>
      <w:r w:rsidRPr="008E2FB3">
        <w:rPr>
          <w:szCs w:val="24"/>
          <w:lang w:val="en-GB"/>
        </w:rPr>
        <w:t xml:space="preserve"> that allowed visual, </w:t>
      </w:r>
      <w:proofErr w:type="gramStart"/>
      <w:r w:rsidRPr="008E2FB3">
        <w:rPr>
          <w:szCs w:val="24"/>
          <w:lang w:val="en-GB"/>
        </w:rPr>
        <w:t>auditory</w:t>
      </w:r>
      <w:proofErr w:type="gramEnd"/>
      <w:r w:rsidRPr="008E2FB3">
        <w:rPr>
          <w:szCs w:val="24"/>
          <w:lang w:val="en-GB"/>
        </w:rPr>
        <w:t xml:space="preserve"> and olfactory but not physical contacts for 2 hours. Then, the separator was removed for another defeat to occur. Finally, stressed mice were transferred back to their home cage.</w:t>
      </w:r>
    </w:p>
    <w:p w14:paraId="260036BB" w14:textId="77777777" w:rsidR="0015489F" w:rsidRPr="008E2FB3" w:rsidRDefault="0015489F" w:rsidP="0015489F">
      <w:pPr>
        <w:spacing w:after="0"/>
        <w:rPr>
          <w:szCs w:val="24"/>
          <w:lang w:val="en-GB"/>
        </w:rPr>
      </w:pPr>
    </w:p>
    <w:p w14:paraId="7140771A" w14:textId="77777777" w:rsidR="00D6199D" w:rsidRPr="008E2FB3" w:rsidRDefault="00C86157" w:rsidP="0015489F">
      <w:pPr>
        <w:spacing w:after="0"/>
        <w:rPr>
          <w:lang w:val="en-GB"/>
        </w:rPr>
      </w:pPr>
      <w:r w:rsidRPr="008E2FB3">
        <w:rPr>
          <w:b/>
          <w:bCs/>
          <w:iCs/>
          <w:lang w:val="en-GB"/>
        </w:rPr>
        <w:t>Social interaction test</w:t>
      </w:r>
      <w:r w:rsidRPr="008E2FB3">
        <w:rPr>
          <w:lang w:val="en-GB"/>
        </w:rPr>
        <w:t xml:space="preserve"> </w:t>
      </w:r>
    </w:p>
    <w:p w14:paraId="5126121C" w14:textId="77777777" w:rsidR="00C86157" w:rsidRPr="008E2FB3" w:rsidRDefault="00C86157" w:rsidP="0015489F">
      <w:pPr>
        <w:spacing w:after="0"/>
        <w:rPr>
          <w:lang w:val="en-GB"/>
        </w:rPr>
      </w:pPr>
      <w:r w:rsidRPr="008E2FB3">
        <w:rPr>
          <w:lang w:val="en-GB"/>
        </w:rPr>
        <w:t xml:space="preserve">After 3 weeks of chronic psychosocial stress, the social interaction test was performed at day 24 </w:t>
      </w:r>
      <w:r w:rsidRPr="008E2FB3">
        <w:rPr>
          <w:b/>
          <w:bCs/>
          <w:lang w:val="en-GB"/>
        </w:rPr>
        <w:t>(Figure 1B)</w:t>
      </w:r>
      <w:r w:rsidRPr="008E2FB3">
        <w:rPr>
          <w:lang w:val="en-GB"/>
        </w:rPr>
        <w:t xml:space="preserve"> as previously described </w:t>
      </w:r>
      <w:r w:rsidRPr="008E2FB3">
        <w:rPr>
          <w:lang w:val="en-GB"/>
        </w:rPr>
        <w:fldChar w:fldCharType="begin" w:fldLock="1"/>
      </w:r>
      <w:r w:rsidRPr="008E2FB3">
        <w:rPr>
          <w:lang w:val="en-GB"/>
        </w:rPr>
        <w:instrText>ADDIN CSL_CITATION {"citationItems":[{"id":"ITEM-1","itemData":{"DOI":"10.1113/JP276431","ISSN":"14697793","abstract":"© 2018 The Authors. The Journal of Physiology © 2018 The Physiological Society Key points: Chronic (psychosocial) stress changes gut microbiota composition, as well as inducing behavioural and physiological deficits. The microbial metabolites short-chain fatty acids (SCFAs) have been implicated in gastrointestinal functional, (neuro)immune regulation and host metabolism, but their role in stress-induced behavioural and physiological alterations is poorly understood. Administration of SCFAs to mice undergoing psychosocial stress alleviates enduring alterations in anhedonia and heightened stress-responsiveness, as well as stress-induced increases in intestinal permeability. In contrast, chronic stress-induced alterations in body weight gain, faecal SCFAs and the gene expression of the SCFA receptors FFAR2 and FFAR3 remained unaffected by SCFA supplementation. These results present novel insights into mechanisms underpinning the influence of the gut microbiota on brain homeostasis, behaviour and host metabolism, informing the development of microbiota-targeted therapies for stress-related disorders. Abstract: There is a growing recognition of the involvement of the gastrointestinal microbiota in the regulation of physiology and behaviour. Microbiota-derived metabolites play a central role in the communication between microbes and their host, with short-chain fatty acids (SCFAs) being perhaps the most studied. SCFAs are primarily derived from fermentation of dietary fibres and play a pivotal role in host gut, metabolic and immune function. All these factors have previously been demonstrated to be adversely affected by stress. Therefore, we sought to assess whether SCFA supplementation could counteract the enduring effects of chronic psychosocial stress. C57BL/6J male mice received oral supplementation of a mixture of the three principle SCFAs (acetate, propionate and butyrate). One week later, mice underwent 3 weeks of repeated psychosocial stress, followed by a comprehensive behavioural analysis. Finally, plasma corticosterone, faecal SCFAs and caecal microbiota composition were assessed. SCFA treatment alleviated psychosocial stress-induced alterations in reward-seeking behaviour, and increased responsiveness to an acute stressor and in vivo intestinal permeability. In addition, SCFAs exhibited behavioural test-specific antidepressant and anxiolytic effects, which were not present when mice had also undergone psychosocial stress. Stress-induced increases …","author":[{"dropping-particle":"","family":"Wouw","given":"Marcel","non-dropping-particle":"van de","parse-names":false,"suffix":""},{"dropping-particle":"","family":"Boehme","given":"Marcus","non-dropping-particle":"","parse-names":false,"suffix":""},{"dropping-particle":"","family":"Lyte","given":"Joshua M.","non-dropping-particle":"","parse-names":false,"suffix":""},{"dropping-particle":"","family":"Wiley","given":"Niamh","non-dropping-particle":"","parse-names":false,"suffix":""},{"dropping-particle":"","family":"Strain","given":"Conall","non-dropping-particle":"","parse-names":false,"suffix":""},{"dropping-particle":"","family":"O'Sullivan","given":"Orla","non-dropping-particle":"","parse-names":false,"suffix":""},{"dropping-particle":"","family":"Clarke","given":"Gerard","non-dropping-particle":"","parse-names":false,"suffix":""},{"dropping-particle":"","family":"Stanton","given":"Catherine","non-dropping-particle":"","parse-names":false,"suffix":""},{"dropping-particle":"","family":"Dinan","given":"Timothy G.","non-dropping-particle":"","parse-names":false,"suffix":""},{"dropping-particle":"","family":"Cryan","given":"John F.","non-dropping-particle":"","parse-names":false,"suffix":""}],"container-title":"Journal of Physiology","id":"ITEM-1","issue":"20","issued":{"date-parts":[["2018"]]},"page":"4923-4944","title":"Short-chain fatty acids: microbial metabolites that alleviate stress-induced brain–gut axis alterations","type":"article-journal","volume":"596"},"uris":["http://www.mendeley.com/documents/?uuid=8a019ccc-1fcb-4afc-96f3-6a19615171e7"]},{"id":"ITEM-2","itemData":{"DOI":"10.1016/j.biopsych.2016.12.031","ISBN":"0006-3223","ISSN":"18732402","PMID":"28242013","abstract":"Background The realization that the microbiota-gut-brain axis plays a critical role in health and disease, including neuropsychiatric disorders, is rapidly advancing. Nurturing a beneficial gut microbiome with prebiotics, such as fructo-oligosaccharides (FOS) and galacto-oligosaccharides (GOS), is an appealing but underinvestigated microbiota manipulation. Here we tested whether chronic prebiotic treatment modifies behavior across domains relevant to anxiety, depression, cognition, stress response, and social behavior. Methods C57BL/6J male mice were administered FOS, GOS, or a combination of FOS+GOS for 3 weeks prior to testing. Plasma corticosterone, microbiota composition, and cecal short-chain fatty acids were measured. In addition, FOS+GOS- or water-treated mice were also exposed to chronic psychosocial stress, and behavior, immune, and microbiota parameters were assessed. Results Chronic prebiotic FOS+GOS treatment exhibited both antidepressant and anxiolytic effects. Moreover, the administration of GOS and the FOS+GOS combination reduced stress-induced corticosterone release. Prebiotics modified specific gene expression in the hippocampus and hypothalamus. Regarding short-chain fatty acid concentrations, prebiotic administration increased cecal acetate and propionate and reduced isobutyrate concentrations, changes that correlated significantly with the positive effects seen on behavior. Moreover, FOS+GOS reduced chronic stress-induced elevations in corticosterone and proinflammatory cytokine levels and depression-like and anxiety-like behavior in addition to normalizing the effects of stress on the microbiota. Conclusions Taken together, these data strongly suggest a beneficial role of prebiotic treatment for stress-related behaviors. These findings strengthen the evidence base supporting therapeutic targeting of the gut microbiota for brain-gut axis disorders, opening new avenues in the field of nutritional neuropsychopharmacology.","author":[{"dropping-particle":"","family":"Burokas","given":"Aurelijus","non-dropping-particle":"","parse-names":false,"suffix":""},{"dropping-particle":"","family":"Arboleya","given":"Silvia","non-dropping-particle":"","parse-names":false,"suffix":""},{"dropping-particle":"","family":"Moloney","given":"Rachel D.","non-dropping-particle":"","parse-names":false,"suffix":""},{"dropping-particle":"","family":"Peterson","given":"Veronica L.","non-dropping-particle":"","parse-names":false,"suffix":""},{"dropping-particle":"","family":"Murphy","given":"Kiera","non-dropping-particle":"","parse-names":false,"suffix":""},{"dropping-particle":"","family":"Clarke","given":"Gerard","non-dropping-particle":"","parse-names":false,"suffix":""},{"dropping-particle":"","family":"Stanton","given":"Catherine","non-dropping-particle":"","parse-names":false,"suffix":""},{"dropping-particle":"","family":"Dinan","given":"Timothy G.","non-dropping-particle":"","parse-names":false,"suffix":""},{"dropping-particle":"","family":"Cryan","given":"John F.","non-dropping-particle":"","parse-names":false,"suffix":""}],"container-title":"Biological Psychiatry","id":"ITEM-2","issue":"7","issued":{"date-parts":[["2017"]]},"page":"472-487","publisher":"Elsevier Inc.","title":"Targeting the Microbiota-Gut-Brain Axis: Prebiotics Have Anxiolytic and Antidepressant-like Effects and Reverse the Impact of Chronic Stress in Mice","type":"article-journal","volume":"82"},"uris":["http://www.mendeley.com/documents/?uuid=83397291-491f-4dc5-a347-6e95cd076771"]}],"mendeley":{"formattedCitation":"(22,23)","plainTextFormattedCitation":"(22,23)","previouslyFormattedCitation":"(22,23)"},"properties":{"noteIndex":0},"schema":"https://github.com/citation-style-language/schema/raw/master/csl-citation.json"}</w:instrText>
      </w:r>
      <w:r w:rsidRPr="008E2FB3">
        <w:rPr>
          <w:lang w:val="en-GB"/>
        </w:rPr>
        <w:fldChar w:fldCharType="separate"/>
      </w:r>
      <w:r w:rsidRPr="008E2FB3">
        <w:rPr>
          <w:lang w:val="en-GB"/>
        </w:rPr>
        <w:t>(22,23)</w:t>
      </w:r>
      <w:r w:rsidRPr="008E2FB3">
        <w:rPr>
          <w:lang w:val="en-GB"/>
        </w:rPr>
        <w:fldChar w:fldCharType="end"/>
      </w:r>
      <w:r w:rsidRPr="008E2FB3">
        <w:rPr>
          <w:lang w:val="en-GB"/>
        </w:rPr>
        <w:t xml:space="preserve">. We used an open field consisting in a plastic box (39 cm L × 31 cm W × 24 cm H) containing a wire mesh cage located against one wall, </w:t>
      </w:r>
      <w:r w:rsidRPr="008E2FB3">
        <w:rPr>
          <w:lang w:val="en-GB"/>
        </w:rPr>
        <w:lastRenderedPageBreak/>
        <w:t xml:space="preserve">under red light. During the habituation phase, the experimental mouse was placed in the open field with the empty wire mesh cage for 2.5 minutes and placed in its home cage. A non-familiar CD1 was then put in the mesh cage, and the experimental mouse could explore the arena for another 2.5 minutes. Finally, both mice were returned to their home cages and the arena and mesh cage were cleaned with 70% ethanol. Trials were recorded by a camera mounted on the ceiling above the box. The time spent in the interaction zone (around the wire mesh cage) and in the two opposite corners was scored using </w:t>
      </w:r>
      <w:proofErr w:type="spellStart"/>
      <w:r w:rsidRPr="008E2FB3">
        <w:rPr>
          <w:lang w:val="en-GB"/>
        </w:rPr>
        <w:t>Ethovision</w:t>
      </w:r>
      <w:proofErr w:type="spellEnd"/>
      <w:r w:rsidRPr="008E2FB3">
        <w:rPr>
          <w:lang w:val="en-GB"/>
        </w:rPr>
        <w:t xml:space="preserve"> software (13.0 version, </w:t>
      </w:r>
      <w:proofErr w:type="spellStart"/>
      <w:r w:rsidRPr="008E2FB3">
        <w:rPr>
          <w:lang w:val="en-GB"/>
        </w:rPr>
        <w:t>Noldus</w:t>
      </w:r>
      <w:proofErr w:type="spellEnd"/>
      <w:r w:rsidRPr="008E2FB3">
        <w:rPr>
          <w:lang w:val="en-GB"/>
        </w:rPr>
        <w:t>, Nottingham, UK). The interaction ratio (%) was calculated as the time spent in the interaction zone in presence of the CD1 divided by the time spent in the interaction zone in absence of CD1. The social avoidance was represented by the time spent in the corners.</w:t>
      </w:r>
    </w:p>
    <w:p w14:paraId="3C91AB24" w14:textId="77777777" w:rsidR="0015489F" w:rsidRPr="008E2FB3" w:rsidRDefault="0015489F" w:rsidP="0015489F">
      <w:pPr>
        <w:spacing w:after="0"/>
        <w:rPr>
          <w:lang w:val="en-GB"/>
        </w:rPr>
      </w:pPr>
    </w:p>
    <w:p w14:paraId="3B5F5E4B" w14:textId="77777777" w:rsidR="00AE0825" w:rsidRPr="008E2FB3" w:rsidRDefault="00C86157" w:rsidP="0015489F">
      <w:pPr>
        <w:spacing w:after="0"/>
        <w:rPr>
          <w:b/>
          <w:bCs/>
          <w:iCs/>
          <w:lang w:val="en-GB"/>
        </w:rPr>
      </w:pPr>
      <w:r w:rsidRPr="008E2FB3">
        <w:rPr>
          <w:b/>
          <w:bCs/>
          <w:iCs/>
          <w:lang w:val="en-GB"/>
        </w:rPr>
        <w:t>3-chamber social interaction test</w:t>
      </w:r>
    </w:p>
    <w:p w14:paraId="54B13165" w14:textId="77777777" w:rsidR="00C86157" w:rsidRPr="008E2FB3" w:rsidRDefault="00C86157" w:rsidP="0015489F">
      <w:pPr>
        <w:spacing w:after="0"/>
        <w:rPr>
          <w:lang w:val="en-GB"/>
        </w:rPr>
      </w:pPr>
      <w:r w:rsidRPr="008E2FB3">
        <w:rPr>
          <w:lang w:val="en-GB"/>
        </w:rPr>
        <w:t xml:space="preserve">At day 25 </w:t>
      </w:r>
      <w:r w:rsidRPr="008E2FB3">
        <w:rPr>
          <w:b/>
          <w:bCs/>
          <w:lang w:val="en-GB"/>
        </w:rPr>
        <w:t>(Figure 1B)</w:t>
      </w:r>
      <w:r w:rsidRPr="008E2FB3">
        <w:rPr>
          <w:lang w:val="en-GB"/>
        </w:rPr>
        <w:t xml:space="preserve">, the social behaviour was further assessed in the 3-chamber social interaction test </w:t>
      </w:r>
      <w:r w:rsidRPr="008E2FB3">
        <w:rPr>
          <w:lang w:val="en-GB"/>
        </w:rPr>
        <w:fldChar w:fldCharType="begin" w:fldLock="1"/>
      </w:r>
      <w:r w:rsidRPr="008E2FB3">
        <w:rPr>
          <w:lang w:val="en-GB"/>
        </w:rPr>
        <w:instrText>ADDIN CSL_CITATION {"citationItems":[{"id":"ITEM-1","itemData":{"DOI":"10.1113/JP276431","ISSN":"14697793","abstract":"© 2018 The Authors. The Journal of Physiology © 2018 The Physiological Society Key points: Chronic (psychosocial) stress changes gut microbiota composition, as well as inducing behavioural and physiological deficits. The microbial metabolites short-chain fatty acids (SCFAs) have been implicated in gastrointestinal functional, (neuro)immune regulation and host metabolism, but their role in stress-induced behavioural and physiological alterations is poorly understood. Administration of SCFAs to mice undergoing psychosocial stress alleviates enduring alterations in anhedonia and heightened stress-responsiveness, as well as stress-induced increases in intestinal permeability. In contrast, chronic stress-induced alterations in body weight gain, faecal SCFAs and the gene expression of the SCFA receptors FFAR2 and FFAR3 remained unaffected by SCFA supplementation. These results present novel insights into mechanisms underpinning the influence of the gut microbiota on brain homeostasis, behaviour and host metabolism, informing the development of microbiota-targeted therapies for stress-related disorders. Abstract: There is a growing recognition of the involvement of the gastrointestinal microbiota in the regulation of physiology and behaviour. Microbiota-derived metabolites play a central role in the communication between microbes and their host, with short-chain fatty acids (SCFAs) being perhaps the most studied. SCFAs are primarily derived from fermentation of dietary fibres and play a pivotal role in host gut, metabolic and immune function. All these factors have previously been demonstrated to be adversely affected by stress. Therefore, we sought to assess whether SCFA supplementation could counteract the enduring effects of chronic psychosocial stress. C57BL/6J male mice received oral supplementation of a mixture of the three principle SCFAs (acetate, propionate and butyrate). One week later, mice underwent 3 weeks of repeated psychosocial stress, followed by a comprehensive behavioural analysis. Finally, plasma corticosterone, faecal SCFAs and caecal microbiota composition were assessed. SCFA treatment alleviated psychosocial stress-induced alterations in reward-seeking behaviour, and increased responsiveness to an acute stressor and in vivo intestinal permeability. In addition, SCFAs exhibited behavioural test-specific antidepressant and anxiolytic effects, which were not present when mice had also undergone psychosocial stress. Stress-induced increases …","author":[{"dropping-particle":"","family":"Wouw","given":"Marcel","non-dropping-particle":"van de","parse-names":false,"suffix":""},{"dropping-particle":"","family":"Boehme","given":"Marcus","non-dropping-particle":"","parse-names":false,"suffix":""},{"dropping-particle":"","family":"Lyte","given":"Joshua M.","non-dropping-particle":"","parse-names":false,"suffix":""},{"dropping-particle":"","family":"Wiley","given":"Niamh","non-dropping-particle":"","parse-names":false,"suffix":""},{"dropping-particle":"","family":"Strain","given":"Conall","non-dropping-particle":"","parse-names":false,"suffix":""},{"dropping-particle":"","family":"O'Sullivan","given":"Orla","non-dropping-particle":"","parse-names":false,"suffix":""},{"dropping-particle":"","family":"Clarke","given":"Gerard","non-dropping-particle":"","parse-names":false,"suffix":""},{"dropping-particle":"","family":"Stanton","given":"Catherine","non-dropping-particle":"","parse-names":false,"suffix":""},{"dropping-particle":"","family":"Dinan","given":"Timothy G.","non-dropping-particle":"","parse-names":false,"suffix":""},{"dropping-particle":"","family":"Cryan","given":"John F.","non-dropping-particle":"","parse-names":false,"suffix":""}],"container-title":"Journal of Physiology","id":"ITEM-1","issue":"20","issued":{"date-parts":[["2018"]]},"page":"4923-4944","title":"Short-chain fatty acids: microbial metabolites that alleviate stress-induced brain–gut axis alterations","type":"article-journal","volume":"596"},"uris":["http://www.mendeley.com/documents/?uuid=8a019ccc-1fcb-4afc-96f3-6a19615171e7"]},{"id":"ITEM-2","itemData":{"DOI":"10.1016/j.biopsych.2016.12.031","ISBN":"0006-3223","ISSN":"18732402","PMID":"28242013","abstract":"Background The realization that the microbiota-gut-brain axis plays a critical role in health and disease, including neuropsychiatric disorders, is rapidly advancing. Nurturing a beneficial gut microbiome with prebiotics, such as fructo-oligosaccharides (FOS) and galacto-oligosaccharides (GOS), is an appealing but underinvestigated microbiota manipulation. Here we tested whether chronic prebiotic treatment modifies behavior across domains relevant to anxiety, depression, cognition, stress response, and social behavior. Methods C57BL/6J male mice were administered FOS, GOS, or a combination of FOS+GOS for 3 weeks prior to testing. Plasma corticosterone, microbiota composition, and cecal short-chain fatty acids were measured. In addition, FOS+GOS- or water-treated mice were also exposed to chronic psychosocial stress, and behavior, immune, and microbiota parameters were assessed. Results Chronic prebiotic FOS+GOS treatment exhibited both antidepressant and anxiolytic effects. Moreover, the administration of GOS and the FOS+GOS combination reduced stress-induced corticosterone release. Prebiotics modified specific gene expression in the hippocampus and hypothalamus. Regarding short-chain fatty acid concentrations, prebiotic administration increased cecal acetate and propionate and reduced isobutyrate concentrations, changes that correlated significantly with the positive effects seen on behavior. Moreover, FOS+GOS reduced chronic stress-induced elevations in corticosterone and proinflammatory cytokine levels and depression-like and anxiety-like behavior in addition to normalizing the effects of stress on the microbiota. Conclusions Taken together, these data strongly suggest a beneficial role of prebiotic treatment for stress-related behaviors. These findings strengthen the evidence base supporting therapeutic targeting of the gut microbiota for brain-gut axis disorders, opening new avenues in the field of nutritional neuropsychopharmacology.","author":[{"dropping-particle":"","family":"Burokas","given":"Aurelijus","non-dropping-particle":"","parse-names":false,"suffix":""},{"dropping-particle":"","family":"Arboleya","given":"Silvia","non-dropping-particle":"","parse-names":false,"suffix":""},{"dropping-particle":"","family":"Moloney","given":"Rachel D.","non-dropping-particle":"","parse-names":false,"suffix":""},{"dropping-particle":"","family":"Peterson","given":"Veronica L.","non-dropping-particle":"","parse-names":false,"suffix":""},{"dropping-particle":"","family":"Murphy","given":"Kiera","non-dropping-particle":"","parse-names":false,"suffix":""},{"dropping-particle":"","family":"Clarke","given":"Gerard","non-dropping-particle":"","parse-names":false,"suffix":""},{"dropping-particle":"","family":"Stanton","given":"Catherine","non-dropping-particle":"","parse-names":false,"suffix":""},{"dropping-particle":"","family":"Dinan","given":"Timothy G.","non-dropping-particle":"","parse-names":false,"suffix":""},{"dropping-particle":"","family":"Cryan","given":"John F.","non-dropping-particle":"","parse-names":false,"suffix":""}],"container-title":"Biological Psychiatry","id":"ITEM-2","issue":"7","issued":{"date-parts":[["2017"]]},"page":"472-487","publisher":"Elsevier Inc.","title":"Targeting the Microbiota-Gut-Brain Axis: Prebiotics Have Anxiolytic and Antidepressant-like Effects and Reverse the Impact of Chronic Stress in Mice","type":"article-journal","volume":"82"},"uris":["http://www.mendeley.com/documents/?uuid=83397291-491f-4dc5-a347-6e95cd076771"]}],"mendeley":{"formattedCitation":"(22,23)","plainTextFormattedCitation":"(22,23)","previouslyFormattedCitation":"(22,23)"},"properties":{"noteIndex":0},"schema":"https://github.com/citation-style-language/schema/raw/master/csl-citation.json"}</w:instrText>
      </w:r>
      <w:r w:rsidRPr="008E2FB3">
        <w:rPr>
          <w:lang w:val="en-GB"/>
        </w:rPr>
        <w:fldChar w:fldCharType="separate"/>
      </w:r>
      <w:r w:rsidRPr="008E2FB3">
        <w:rPr>
          <w:lang w:val="en-GB"/>
        </w:rPr>
        <w:t>(22,23)</w:t>
      </w:r>
      <w:r w:rsidRPr="008E2FB3">
        <w:rPr>
          <w:lang w:val="en-GB"/>
        </w:rPr>
        <w:fldChar w:fldCharType="end"/>
      </w:r>
      <w:r w:rsidRPr="008E2FB3">
        <w:rPr>
          <w:lang w:val="en-GB"/>
        </w:rPr>
        <w:t xml:space="preserve">. Under a 60-lux light, using a three-chambered box containing bedding to prevent stress. Each chamber was 20 cm L × 40 cm W × 22 cm H. Dividing walls were made with small circular openings (5 cm in diameter) allowing access into each chamber. Two identical wire cup-like cages were placed inside each side chamber in bilaterally symmetric positions. The test had three phases of 10 minutes each: habitation, social preference (mouse versus object) and social novelty (new versus familiar mouse). During the habituation, the experimental mouse was placed into the middle chamber and allowed to explore the entire box with empty wire cages. Then the doors were closed, leaving the experimental mouse in the central chamber. In the social preference trial, a conspecific mouse or an object were placed in each of the wire cages. In the social novelty trial, the object was replaced by a new conspecific mouse. The location of the unfamiliar mouse in the chambers was randomized. After each trial, all chambers and wire mesh cages were cleaned with 70% ethanol, and new bedding was used. Experiments were videotaped using a ceiling camera, and the time spent in each chamber for each trial was scored using </w:t>
      </w:r>
      <w:proofErr w:type="spellStart"/>
      <w:r w:rsidRPr="008E2FB3">
        <w:rPr>
          <w:lang w:val="en-GB"/>
        </w:rPr>
        <w:t>Ethovision</w:t>
      </w:r>
      <w:proofErr w:type="spellEnd"/>
      <w:r w:rsidRPr="008E2FB3">
        <w:rPr>
          <w:lang w:val="en-GB"/>
        </w:rPr>
        <w:t xml:space="preserve"> software (13.0 version, </w:t>
      </w:r>
      <w:proofErr w:type="spellStart"/>
      <w:r w:rsidRPr="008E2FB3">
        <w:rPr>
          <w:lang w:val="en-GB"/>
        </w:rPr>
        <w:t>Noldus</w:t>
      </w:r>
      <w:proofErr w:type="spellEnd"/>
      <w:r w:rsidRPr="008E2FB3">
        <w:rPr>
          <w:lang w:val="en-GB"/>
        </w:rPr>
        <w:t xml:space="preserve">, Nottingham, UK). Lack of innate side preference was confirmed during the initial 10 minutes of habituation to the entire arena. </w:t>
      </w:r>
    </w:p>
    <w:p w14:paraId="2CC0DAD7" w14:textId="77777777" w:rsidR="0015489F" w:rsidRPr="008E2FB3" w:rsidRDefault="0015489F" w:rsidP="0015489F">
      <w:pPr>
        <w:spacing w:after="0"/>
        <w:rPr>
          <w:lang w:val="en-GB"/>
        </w:rPr>
      </w:pPr>
    </w:p>
    <w:p w14:paraId="7D983A33" w14:textId="77777777" w:rsidR="00AE0825" w:rsidRPr="008E2FB3" w:rsidRDefault="00C86157" w:rsidP="0015489F">
      <w:pPr>
        <w:spacing w:after="0"/>
        <w:rPr>
          <w:lang w:val="en-GB"/>
        </w:rPr>
      </w:pPr>
      <w:r w:rsidRPr="008E2FB3">
        <w:rPr>
          <w:b/>
          <w:bCs/>
          <w:iCs/>
          <w:lang w:val="en-GB"/>
        </w:rPr>
        <w:t>Marble burying test</w:t>
      </w:r>
      <w:r w:rsidRPr="008E2FB3">
        <w:rPr>
          <w:lang w:val="en-GB"/>
        </w:rPr>
        <w:t xml:space="preserve"> </w:t>
      </w:r>
    </w:p>
    <w:p w14:paraId="53FDBD66" w14:textId="77777777" w:rsidR="00C86157" w:rsidRPr="008E2FB3" w:rsidRDefault="00C86157" w:rsidP="0015489F">
      <w:pPr>
        <w:spacing w:after="0"/>
        <w:rPr>
          <w:lang w:val="en-GB"/>
        </w:rPr>
      </w:pPr>
      <w:r w:rsidRPr="008E2FB3">
        <w:rPr>
          <w:lang w:val="en-GB"/>
        </w:rPr>
        <w:t xml:space="preserve">At day 26 </w:t>
      </w:r>
      <w:r w:rsidRPr="008E2FB3">
        <w:rPr>
          <w:b/>
          <w:bCs/>
          <w:lang w:val="en-GB"/>
        </w:rPr>
        <w:t>(Figure 1B)</w:t>
      </w:r>
      <w:r w:rsidRPr="008E2FB3">
        <w:rPr>
          <w:lang w:val="en-GB"/>
        </w:rPr>
        <w:t xml:space="preserve">, the marble burying test was performed to assess the compulsive stereotype behaviour, or as an animal model of neophobia, an anxiety-like behaviour to new objects </w:t>
      </w:r>
      <w:r w:rsidRPr="008E2FB3">
        <w:rPr>
          <w:lang w:val="en-GB"/>
        </w:rPr>
        <w:fldChar w:fldCharType="begin" w:fldLock="1"/>
      </w:r>
      <w:r w:rsidRPr="008E2FB3">
        <w:rPr>
          <w:lang w:val="en-GB"/>
        </w:rPr>
        <w:instrText>ADDIN CSL_CITATION {"citationItems":[{"id":"ITEM-1","itemData":{"DOI":"10.1016/j.yexmp.2019.104314","ISSN":"10960945","abstract":"Object burying by rodents is a popular screening tool for anxiolytic agents. However, modulation of marble- burying by serotonin reuptake inhibitors prompted its link to obsessive-compulsive disorder/compulsive-like behavior. The Marble-burying behavior test is an acute test; however, some investigators incorporate the sub- acute treatment regimen as an essential component for screening anti-compulsive agents. The test exhibits be- tween-laboratory methodological differences and demonstrates positive treatment responses to an array of pharmacotherapies, creating doubts about its predictive validity and construct validity. Numerous reviews are available on marble-burying behavior test, which incorporates the test as a part of anti- compulsive behavior-like screens, but none has made it a sole subject-matter for discussion. This review attempts to provide a comprehensive account of the marble-burying test as a model of compulsive-like disorders. It envisages the model’s scientific origins, the preclinical research done and its correlation with the clinical re- search outcomes, and a detailed discussion about its validity. In conclusion, there appears a need to address the issue of construct and predictive validity of the model authoritatively; or the paradigm may remain squandered in the field of obsessive-compulsive disorder research.","author":[{"dropping-particle":"","family":"Dixit","given":"Pankaj Vinod","non-dropping-particle":"","parse-names":false,"suffix":""},{"dropping-particle":"","family":"Sahu","given":"Rohit","non-dropping-particle":"","parse-names":false,"suffix":""},{"dropping-particle":"","family":"Mishra","given":"Dinesh Kumar","non-dropping-particle":"","parse-names":false,"suffix":""}],"container-title":"Journal of Pharmacological and Toxicological Methods","id":"ITEM-1","issue":"106676","issued":{"date-parts":[["2020"]]},"page":"1-14","publisher":"Elsevier","title":"Marble-burying behavior test as a murine model of compulsive- like behavior","type":"article-journal","volume":"102"},"uris":["http://www.mendeley.com/documents/?uuid=0082e2ce-e2c1-4817-926c-e135c228c5ad"]},{"id":"ITEM-2","itemData":{"DOI":"10.1016/j.biopsych.2016.12.031","ISBN":"0006-3223","ISSN":"18732402","PMID":"28242013","abstract":"Background The realization that the microbiota-gut-brain axis plays a critical role in health and disease, including neuropsychiatric disorders, is rapidly advancing. Nurturing a beneficial gut microbiome with prebiotics, such as fructo-oligosaccharides (FOS) and galacto-oligosaccharides (GOS), is an appealing but underinvestigated microbiota manipulation. Here we tested whether chronic prebiotic treatment modifies behavior across domains relevant to anxiety, depression, cognition, stress response, and social behavior. Methods C57BL/6J male mice were administered FOS, GOS, or a combination of FOS+GOS for 3 weeks prior to testing. Plasma corticosterone, microbiota composition, and cecal short-chain fatty acids were measured. In addition, FOS+GOS- or water-treated mice were also exposed to chronic psychosocial stress, and behavior, immune, and microbiota parameters were assessed. Results Chronic prebiotic FOS+GOS treatment exhibited both antidepressant and anxiolytic effects. Moreover, the administration of GOS and the FOS+GOS combination reduced stress-induced corticosterone release. Prebiotics modified specific gene expression in the hippocampus and hypothalamus. Regarding short-chain fatty acid concentrations, prebiotic administration increased cecal acetate and propionate and reduced isobutyrate concentrations, changes that correlated significantly with the positive effects seen on behavior. Moreover, FOS+GOS reduced chronic stress-induced elevations in corticosterone and proinflammatory cytokine levels and depression-like and anxiety-like behavior in addition to normalizing the effects of stress on the microbiota. Conclusions Taken together, these data strongly suggest a beneficial role of prebiotic treatment for stress-related behaviors. These findings strengthen the evidence base supporting therapeutic targeting of the gut microbiota for brain-gut axis disorders, opening new avenues in the field of nutritional neuropsychopharmacology.","author":[{"dropping-particle":"","family":"Burokas","given":"Aurelijus","non-dropping-particle":"","parse-names":false,"suffix":""},{"dropping-particle":"","family":"Arboleya","given":"Silvia","non-dropping-particle":"","parse-names":false,"suffix":""},{"dropping-particle":"","family":"Moloney","given":"Rachel D.","non-dropping-particle":"","parse-names":false,"suffix":""},{"dropping-particle":"","family":"Peterson","given":"Veronica L.","non-dropping-particle":"","parse-names":false,"suffix":""},{"dropping-particle":"","family":"Murphy","given":"Kiera","non-dropping-particle":"","parse-names":false,"suffix":""},{"dropping-particle":"","family":"Clarke","given":"Gerard","non-dropping-particle":"","parse-names":false,"suffix":""},{"dropping-particle":"","family":"Stanton","given":"Catherine","non-dropping-particle":"","parse-names":false,"suffix":""},{"dropping-particle":"","family":"Dinan","given":"Timothy G.","non-dropping-particle":"","parse-names":false,"suffix":""},{"dropping-particle":"","family":"Cryan","given":"John F.","non-dropping-particle":"","parse-names":false,"suffix":""}],"container-title":"Biological Psychiatry","id":"ITEM-2","issue":"7","issued":{"date-parts":[["2017"]]},"page":"472-487","publisher":"Elsevier Inc.","title":"Targeting the Microbiota-Gut-Brain Axis: Prebiotics Have Anxiolytic and Antidepressant-like Effects and Reverse the Impact of Chronic Stress in Mice","type":"article-journal","volume":"82"},"uris":["http://www.mendeley.com/documents/?uuid=83397291-491f-4dc5-a347-6e95cd076771"]}],"mendeley":{"formattedCitation":"(23,25)","plainTextFormattedCitation":"(23,25)","previouslyFormattedCitation":"(23,25)"},"properties":{"noteIndex":0},"schema":"https://github.com/citation-style-language/schema/raw/master/csl-citation.json"}</w:instrText>
      </w:r>
      <w:r w:rsidRPr="008E2FB3">
        <w:rPr>
          <w:lang w:val="en-GB"/>
        </w:rPr>
        <w:fldChar w:fldCharType="separate"/>
      </w:r>
      <w:r w:rsidRPr="008E2FB3">
        <w:rPr>
          <w:lang w:val="en-GB"/>
        </w:rPr>
        <w:t>(23,25)</w:t>
      </w:r>
      <w:r w:rsidRPr="008E2FB3">
        <w:rPr>
          <w:lang w:val="en-GB"/>
        </w:rPr>
        <w:fldChar w:fldCharType="end"/>
      </w:r>
      <w:r w:rsidRPr="008E2FB3">
        <w:rPr>
          <w:lang w:val="en-GB"/>
        </w:rPr>
        <w:t>. Mice were individually placed in a novel Plexiglas cage (35 cm L × 28 cm W × 18.5 cm H), filled up with bedding (5 cm depth) and containing 20 marbles on top of it (five rows of marbles regularly spaced 2 cm away from the walls and 2 cm apart). After 30 minutes, the number of marbles buried for more than 2/3 of their surface was counted.</w:t>
      </w:r>
    </w:p>
    <w:p w14:paraId="4857CA18" w14:textId="77777777" w:rsidR="0015489F" w:rsidRPr="008E2FB3" w:rsidRDefault="0015489F" w:rsidP="0015489F">
      <w:pPr>
        <w:spacing w:after="0"/>
        <w:rPr>
          <w:lang w:val="en-GB"/>
        </w:rPr>
      </w:pPr>
    </w:p>
    <w:p w14:paraId="6AF0E4F7" w14:textId="77777777" w:rsidR="00AE0825" w:rsidRPr="008E2FB3" w:rsidRDefault="00C86157" w:rsidP="0015489F">
      <w:pPr>
        <w:spacing w:after="0"/>
        <w:rPr>
          <w:lang w:val="en-GB"/>
        </w:rPr>
      </w:pPr>
      <w:r w:rsidRPr="008E2FB3">
        <w:rPr>
          <w:b/>
          <w:bCs/>
          <w:lang w:val="en-GB"/>
        </w:rPr>
        <w:t>Stress-induced hyperthermia</w:t>
      </w:r>
      <w:r w:rsidRPr="008E2FB3">
        <w:rPr>
          <w:lang w:val="en-GB"/>
        </w:rPr>
        <w:t xml:space="preserve"> </w:t>
      </w:r>
    </w:p>
    <w:p w14:paraId="368CC74D" w14:textId="77777777" w:rsidR="00C86157" w:rsidRPr="008E2FB3" w:rsidRDefault="00C86157" w:rsidP="0015489F">
      <w:pPr>
        <w:spacing w:after="0"/>
        <w:rPr>
          <w:lang w:val="en-GB"/>
        </w:rPr>
      </w:pPr>
      <w:r w:rsidRPr="008E2FB3">
        <w:rPr>
          <w:lang w:val="en-GB"/>
        </w:rPr>
        <w:lastRenderedPageBreak/>
        <w:t xml:space="preserve">At day 28, the stress response was assessed using the stress-induced hyperthermia </w:t>
      </w:r>
      <w:r w:rsidRPr="008E2FB3">
        <w:rPr>
          <w:b/>
          <w:bCs/>
          <w:lang w:val="en-GB"/>
        </w:rPr>
        <w:t xml:space="preserve">(Figure 1B) </w:t>
      </w:r>
      <w:r w:rsidRPr="008E2FB3">
        <w:rPr>
          <w:b/>
          <w:bCs/>
          <w:lang w:val="en-GB"/>
        </w:rPr>
        <w:fldChar w:fldCharType="begin" w:fldLock="1"/>
      </w:r>
      <w:r w:rsidRPr="008E2FB3">
        <w:rPr>
          <w:b/>
          <w:bCs/>
          <w:lang w:val="en-GB"/>
        </w:rPr>
        <w:instrText>ADDIN CSL_CITATION {"citationItems":[{"id":"ITEM-1","itemData":{"DOI":"10.1016/j.biopsych.2016.12.031","ISBN":"0006-3223","ISSN":"18732402","PMID":"28242013","abstract":"Background The realization that the microbiota-gut-brain axis plays a critical role in health and disease, including neuropsychiatric disorders, is rapidly advancing. Nurturing a beneficial gut microbiome with prebiotics, such as fructo-oligosaccharides (FOS) and galacto-oligosaccharides (GOS), is an appealing but underinvestigated microbiota manipulation. Here we tested whether chronic prebiotic treatment modifies behavior across domains relevant to anxiety, depression, cognition, stress response, and social behavior. Methods C57BL/6J male mice were administered FOS, GOS, or a combination of FOS+GOS for 3 weeks prior to testing. Plasma corticosterone, microbiota composition, and cecal short-chain fatty acids were measured. In addition, FOS+GOS- or water-treated mice were also exposed to chronic psychosocial stress, and behavior, immune, and microbiota parameters were assessed. Results Chronic prebiotic FOS+GOS treatment exhibited both antidepressant and anxiolytic effects. Moreover, the administration of GOS and the FOS+GOS combination reduced stress-induced corticosterone release. Prebiotics modified specific gene expression in the hippocampus and hypothalamus. Regarding short-chain fatty acid concentrations, prebiotic administration increased cecal acetate and propionate and reduced isobutyrate concentrations, changes that correlated significantly with the positive effects seen on behavior. Moreover, FOS+GOS reduced chronic stress-induced elevations in corticosterone and proinflammatory cytokine levels and depression-like and anxiety-like behavior in addition to normalizing the effects of stress on the microbiota. Conclusions Taken together, these data strongly suggest a beneficial role of prebiotic treatment for stress-related behaviors. These findings strengthen the evidence base supporting therapeutic targeting of the gut microbiota for brain-gut axis disorders, opening new avenues in the field of nutritional neuropsychopharmacology.","author":[{"dropping-particle":"","family":"Burokas","given":"Aurelijus","non-dropping-particle":"","parse-names":false,"suffix":""},{"dropping-particle":"","family":"Arboleya","given":"Silvia","non-dropping-particle":"","parse-names":false,"suffix":""},{"dropping-particle":"","family":"Moloney","given":"Rachel D.","non-dropping-particle":"","parse-names":false,"suffix":""},{"dropping-particle":"","family":"Peterson","given":"Veronica L.","non-dropping-particle":"","parse-names":false,"suffix":""},{"dropping-particle":"","family":"Murphy","given":"Kiera","non-dropping-particle":"","parse-names":false,"suffix":""},{"dropping-particle":"","family":"Clarke","given":"Gerard","non-dropping-particle":"","parse-names":false,"suffix":""},{"dropping-particle":"","family":"Stanton","given":"Catherine","non-dropping-particle":"","parse-names":false,"suffix":""},{"dropping-particle":"","family":"Dinan","given":"Timothy G.","non-dropping-particle":"","parse-names":false,"suffix":""},{"dropping-particle":"","family":"Cryan","given":"John F.","non-dropping-particle":"","parse-names":false,"suffix":""}],"container-title":"Biological Psychiatry","id":"ITEM-1","issue":"7","issued":{"date-parts":[["2017"]]},"page":"472-487","publisher":"Elsevier Inc.","title":"Targeting the Microbiota-Gut-Brain Axis: Prebiotics Have Anxiolytic and Antidepressant-like Effects and Reverse the Impact of Chronic Stress in Mice","type":"article-journal","volume":"82"},"uris":["http://www.mendeley.com/documents/?uuid=83397291-491f-4dc5-a347-6e95cd076771"]}],"mendeley":{"formattedCitation":"(23)","plainTextFormattedCitation":"(23)","previouslyFormattedCitation":"(23)"},"properties":{"noteIndex":0},"schema":"https://github.com/citation-style-language/schema/raw/master/csl-citation.json"}</w:instrText>
      </w:r>
      <w:r w:rsidRPr="008E2FB3">
        <w:rPr>
          <w:b/>
          <w:bCs/>
          <w:lang w:val="en-GB"/>
        </w:rPr>
        <w:fldChar w:fldCharType="separate"/>
      </w:r>
      <w:r w:rsidRPr="008E2FB3">
        <w:rPr>
          <w:bCs/>
          <w:lang w:val="en-GB"/>
        </w:rPr>
        <w:t>(23)</w:t>
      </w:r>
      <w:r w:rsidRPr="008E2FB3">
        <w:rPr>
          <w:lang w:val="en-GB"/>
        </w:rPr>
        <w:fldChar w:fldCharType="end"/>
      </w:r>
      <w:r w:rsidRPr="008E2FB3">
        <w:rPr>
          <w:lang w:val="en-GB"/>
        </w:rPr>
        <w:t>. Under a 60-lux light, the body temperature was measured at 2 time points: T0 and 15 minutes later (T15). A mouse thermometer was gently inserted in the rectum of mice until stable thermometer measurement was reached (~15 seconds). Body temperature was measured to the nearest 0.1°C. The difference between T15 and T0 (ΔT) was calculated.</w:t>
      </w:r>
    </w:p>
    <w:p w14:paraId="51C69A48" w14:textId="77777777" w:rsidR="0015489F" w:rsidRPr="008E2FB3" w:rsidRDefault="0015489F" w:rsidP="0015489F">
      <w:pPr>
        <w:spacing w:after="0"/>
        <w:rPr>
          <w:lang w:val="en-GB"/>
        </w:rPr>
      </w:pPr>
    </w:p>
    <w:p w14:paraId="4B1996AB" w14:textId="77777777" w:rsidR="00AE0825" w:rsidRPr="008E2FB3" w:rsidRDefault="00C86157" w:rsidP="0015489F">
      <w:pPr>
        <w:spacing w:after="0"/>
        <w:rPr>
          <w:lang w:val="en-GB"/>
        </w:rPr>
      </w:pPr>
      <w:r w:rsidRPr="008E2FB3">
        <w:rPr>
          <w:b/>
          <w:bCs/>
          <w:lang w:val="en-GB"/>
        </w:rPr>
        <w:t>Open-field test</w:t>
      </w:r>
    </w:p>
    <w:p w14:paraId="2FB60825" w14:textId="77777777" w:rsidR="00C86157" w:rsidRPr="008E2FB3" w:rsidRDefault="00C86157" w:rsidP="0015489F">
      <w:pPr>
        <w:spacing w:after="0"/>
        <w:rPr>
          <w:lang w:val="en-GB"/>
        </w:rPr>
      </w:pPr>
      <w:r w:rsidRPr="008E2FB3">
        <w:rPr>
          <w:lang w:val="en-GB"/>
        </w:rPr>
        <w:t xml:space="preserve">On day 32 </w:t>
      </w:r>
      <w:r w:rsidRPr="008E2FB3">
        <w:rPr>
          <w:b/>
          <w:bCs/>
          <w:lang w:val="en-GB"/>
        </w:rPr>
        <w:t>(Figure 1B)</w:t>
      </w:r>
      <w:r w:rsidRPr="008E2FB3">
        <w:rPr>
          <w:lang w:val="en-GB"/>
        </w:rPr>
        <w:t xml:space="preserve">, the response to a novel stressful environment and the locomotor activity were assessed as previously described </w:t>
      </w:r>
      <w:r w:rsidRPr="008E2FB3">
        <w:rPr>
          <w:lang w:val="en-GB"/>
        </w:rPr>
        <w:fldChar w:fldCharType="begin" w:fldLock="1"/>
      </w:r>
      <w:r w:rsidRPr="008E2FB3">
        <w:rPr>
          <w:lang w:val="en-GB"/>
        </w:rPr>
        <w:instrText>ADDIN CSL_CITATION {"citationItems":[{"id":"ITEM-1","itemData":{"DOI":"10.1016/j.biopsych.2016.12.031","ISBN":"0006-3223","ISSN":"18732402","PMID":"28242013","abstract":"Background The realization that the microbiota-gut-brain axis plays a critical role in health and disease, including neuropsychiatric disorders, is rapidly advancing. Nurturing a beneficial gut microbiome with prebiotics, such as fructo-oligosaccharides (FOS) and galacto-oligosaccharides (GOS), is an appealing but underinvestigated microbiota manipulation. Here we tested whether chronic prebiotic treatment modifies behavior across domains relevant to anxiety, depression, cognition, stress response, and social behavior. Methods C57BL/6J male mice were administered FOS, GOS, or a combination of FOS+GOS for 3 weeks prior to testing. Plasma corticosterone, microbiota composition, and cecal short-chain fatty acids were measured. In addition, FOS+GOS- or water-treated mice were also exposed to chronic psychosocial stress, and behavior, immune, and microbiota parameters were assessed. Results Chronic prebiotic FOS+GOS treatment exhibited both antidepressant and anxiolytic effects. Moreover, the administration of GOS and the FOS+GOS combination reduced stress-induced corticosterone release. Prebiotics modified specific gene expression in the hippocampus and hypothalamus. Regarding short-chain fatty acid concentrations, prebiotic administration increased cecal acetate and propionate and reduced isobutyrate concentrations, changes that correlated significantly with the positive effects seen on behavior. Moreover, FOS+GOS reduced chronic stress-induced elevations in corticosterone and proinflammatory cytokine levels and depression-like and anxiety-like behavior in addition to normalizing the effects of stress on the microbiota. Conclusions Taken together, these data strongly suggest a beneficial role of prebiotic treatment for stress-related behaviors. These findings strengthen the evidence base supporting therapeutic targeting of the gut microbiota for brain-gut axis disorders, opening new avenues in the field of nutritional neuropsychopharmacology.","author":[{"dropping-particle":"","family":"Burokas","given":"Aurelijus","non-dropping-particle":"","parse-names":false,"suffix":""},{"dropping-particle":"","family":"Arboleya","given":"Silvia","non-dropping-particle":"","parse-names":false,"suffix":""},{"dropping-particle":"","family":"Moloney","given":"Rachel D.","non-dropping-particle":"","parse-names":false,"suffix":""},{"dropping-particle":"","family":"Peterson","given":"Veronica L.","non-dropping-particle":"","parse-names":false,"suffix":""},{"dropping-particle":"","family":"Murphy","given":"Kiera","non-dropping-particle":"","parse-names":false,"suffix":""},{"dropping-particle":"","family":"Clarke","given":"Gerard","non-dropping-particle":"","parse-names":false,"suffix":""},{"dropping-particle":"","family":"Stanton","given":"Catherine","non-dropping-particle":"","parse-names":false,"suffix":""},{"dropping-particle":"","family":"Dinan","given":"Timothy G.","non-dropping-particle":"","parse-names":false,"suffix":""},{"dropping-particle":"","family":"Cryan","given":"John F.","non-dropping-particle":"","parse-names":false,"suffix":""}],"container-title":"Biological Psychiatry","id":"ITEM-1","issue":"7","issued":{"date-parts":[["2017"]]},"page":"472-487","publisher":"Elsevier Inc.","title":"Targeting the Microbiota-Gut-Brain Axis: Prebiotics Have Anxiolytic and Antidepressant-like Effects and Reverse the Impact of Chronic Stress in Mice","type":"article-journal","volume":"82"},"uris":["http://www.mendeley.com/documents/?uuid=83397291-491f-4dc5-a347-6e95cd076771"]}],"mendeley":{"formattedCitation":"(23)","plainTextFormattedCitation":"(23)"},"properties":{"noteIndex":0},"schema":"https://github.com/citation-style-language/schema/raw/master/csl-citation.json"}</w:instrText>
      </w:r>
      <w:r w:rsidRPr="008E2FB3">
        <w:rPr>
          <w:lang w:val="en-GB"/>
        </w:rPr>
        <w:fldChar w:fldCharType="separate"/>
      </w:r>
      <w:r w:rsidRPr="008E2FB3">
        <w:rPr>
          <w:lang w:val="en-GB"/>
        </w:rPr>
        <w:t>(23)</w:t>
      </w:r>
      <w:r w:rsidRPr="008E2FB3">
        <w:rPr>
          <w:lang w:val="en-GB"/>
        </w:rPr>
        <w:fldChar w:fldCharType="end"/>
      </w:r>
      <w:r w:rsidRPr="008E2FB3">
        <w:rPr>
          <w:lang w:val="en-GB"/>
        </w:rPr>
        <w:t xml:space="preserve">. The mice were individually placed into an open arena (45 cm L × 45 cm W × 45 cm H) for 10 minutes exploration. Experiments were conducted under 60 lux lighting and were videotaped using a ceiling camera. The time spent in the </w:t>
      </w:r>
      <w:proofErr w:type="spellStart"/>
      <w:r w:rsidRPr="008E2FB3">
        <w:rPr>
          <w:lang w:val="en-GB"/>
        </w:rPr>
        <w:t>center</w:t>
      </w:r>
      <w:proofErr w:type="spellEnd"/>
      <w:r w:rsidRPr="008E2FB3">
        <w:rPr>
          <w:lang w:val="en-GB"/>
        </w:rPr>
        <w:t xml:space="preserve"> of the arena (2/3 of the total surface) and the total distance moved were scored using </w:t>
      </w:r>
      <w:proofErr w:type="spellStart"/>
      <w:r w:rsidRPr="008E2FB3">
        <w:rPr>
          <w:lang w:val="en-GB"/>
        </w:rPr>
        <w:t>Ethovision</w:t>
      </w:r>
      <w:proofErr w:type="spellEnd"/>
      <w:r w:rsidRPr="008E2FB3">
        <w:rPr>
          <w:lang w:val="en-GB"/>
        </w:rPr>
        <w:t xml:space="preserve"> software. </w:t>
      </w:r>
    </w:p>
    <w:p w14:paraId="75634E1A" w14:textId="77777777" w:rsidR="0015489F" w:rsidRPr="008E2FB3" w:rsidRDefault="0015489F" w:rsidP="0015489F">
      <w:pPr>
        <w:spacing w:after="0"/>
        <w:rPr>
          <w:lang w:val="en-GB"/>
        </w:rPr>
      </w:pPr>
    </w:p>
    <w:p w14:paraId="7DB83367" w14:textId="77777777" w:rsidR="0015489F" w:rsidRPr="008E2FB3" w:rsidRDefault="00C86157" w:rsidP="0015489F">
      <w:pPr>
        <w:spacing w:after="0"/>
        <w:rPr>
          <w:b/>
          <w:bCs/>
          <w:lang w:val="en-GB"/>
        </w:rPr>
      </w:pPr>
      <w:r w:rsidRPr="008E2FB3">
        <w:rPr>
          <w:b/>
          <w:bCs/>
          <w:lang w:val="en-GB"/>
        </w:rPr>
        <w:t xml:space="preserve">Elevated-plus maze </w:t>
      </w:r>
    </w:p>
    <w:p w14:paraId="1E98EF48" w14:textId="77777777" w:rsidR="00C86157" w:rsidRPr="008E2FB3" w:rsidRDefault="00C86157" w:rsidP="0015489F">
      <w:pPr>
        <w:spacing w:after="0"/>
        <w:rPr>
          <w:lang w:val="en-GB"/>
        </w:rPr>
      </w:pPr>
      <w:r w:rsidRPr="008E2FB3">
        <w:rPr>
          <w:lang w:val="en-GB"/>
        </w:rPr>
        <w:t xml:space="preserve">To assess the anxiety-like behaviour, the elevated plus maze was used on day 35 </w:t>
      </w:r>
      <w:r w:rsidRPr="008E2FB3">
        <w:rPr>
          <w:b/>
          <w:bCs/>
          <w:lang w:val="en-GB"/>
        </w:rPr>
        <w:t>(Figure 1B)</w:t>
      </w:r>
      <w:r w:rsidRPr="008E2FB3">
        <w:rPr>
          <w:lang w:val="en-GB"/>
        </w:rPr>
        <w:t xml:space="preserve">, as previously described </w:t>
      </w:r>
      <w:r w:rsidRPr="008E2FB3">
        <w:rPr>
          <w:lang w:val="en-GB"/>
        </w:rPr>
        <w:fldChar w:fldCharType="begin" w:fldLock="1"/>
      </w:r>
      <w:r w:rsidRPr="008E2FB3">
        <w:rPr>
          <w:lang w:val="en-GB"/>
        </w:rPr>
        <w:instrText>ADDIN CSL_CITATION {"citationItems":[{"id":"ITEM-1","itemData":{"DOI":"10.1016/j.biopsych.2016.12.031","ISBN":"0006-3223","ISSN":"18732402","PMID":"28242013","abstract":"Background The realization that the microbiota-gut-brain axis plays a critical role in health and disease, including neuropsychiatric disorders, is rapidly advancing. Nurturing a beneficial gut microbiome with prebiotics, such as fructo-oligosaccharides (FOS) and galacto-oligosaccharides (GOS), is an appealing but underinvestigated microbiota manipulation. Here we tested whether chronic prebiotic treatment modifies behavior across domains relevant to anxiety, depression, cognition, stress response, and social behavior. Methods C57BL/6J male mice were administered FOS, GOS, or a combination of FOS+GOS for 3 weeks prior to testing. Plasma corticosterone, microbiota composition, and cecal short-chain fatty acids were measured. In addition, FOS+GOS- or water-treated mice were also exposed to chronic psychosocial stress, and behavior, immune, and microbiota parameters were assessed. Results Chronic prebiotic FOS+GOS treatment exhibited both antidepressant and anxiolytic effects. Moreover, the administration of GOS and the FOS+GOS combination reduced stress-induced corticosterone release. Prebiotics modified specific gene expression in the hippocampus and hypothalamus. Regarding short-chain fatty acid concentrations, prebiotic administration increased cecal acetate and propionate and reduced isobutyrate concentrations, changes that correlated significantly with the positive effects seen on behavior. Moreover, FOS+GOS reduced chronic stress-induced elevations in corticosterone and proinflammatory cytokine levels and depression-like and anxiety-like behavior in addition to normalizing the effects of stress on the microbiota. Conclusions Taken together, these data strongly suggest a beneficial role of prebiotic treatment for stress-related behaviors. These findings strengthen the evidence base supporting therapeutic targeting of the gut microbiota for brain-gut axis disorders, opening new avenues in the field of nutritional neuropsychopharmacology.","author":[{"dropping-particle":"","family":"Burokas","given":"Aurelijus","non-dropping-particle":"","parse-names":false,"suffix":""},{"dropping-particle":"","family":"Arboleya","given":"Silvia","non-dropping-particle":"","parse-names":false,"suffix":""},{"dropping-particle":"","family":"Moloney","given":"Rachel D.","non-dropping-particle":"","parse-names":false,"suffix":""},{"dropping-particle":"","family":"Peterson","given":"Veronica L.","non-dropping-particle":"","parse-names":false,"suffix":""},{"dropping-particle":"","family":"Murphy","given":"Kiera","non-dropping-particle":"","parse-names":false,"suffix":""},{"dropping-particle":"","family":"Clarke","given":"Gerard","non-dropping-particle":"","parse-names":false,"suffix":""},{"dropping-particle":"","family":"Stanton","given":"Catherine","non-dropping-particle":"","parse-names":false,"suffix":""},{"dropping-particle":"","family":"Dinan","given":"Timothy G.","non-dropping-particle":"","parse-names":false,"suffix":""},{"dropping-particle":"","family":"Cryan","given":"John F.","non-dropping-particle":"","parse-names":false,"suffix":""}],"container-title":"Biological Psychiatry","id":"ITEM-1","issue":"7","issued":{"date-parts":[["2017"]]},"page":"472-487","publisher":"Elsevier Inc.","title":"Targeting the Microbiota-Gut-Brain Axis: Prebiotics Have Anxiolytic and Antidepressant-like Effects and Reverse the Impact of Chronic Stress in Mice","type":"article-journal","volume":"82"},"uris":["http://www.mendeley.com/documents/?uuid=83397291-491f-4dc5-a347-6e95cd076771"]}],"mendeley":{"formattedCitation":"(23)","plainTextFormattedCitation":"(23)","previouslyFormattedCitation":"(23)"},"properties":{"noteIndex":0},"schema":"https://github.com/citation-style-language/schema/raw/master/csl-citation.json"}</w:instrText>
      </w:r>
      <w:r w:rsidRPr="008E2FB3">
        <w:rPr>
          <w:lang w:val="en-GB"/>
        </w:rPr>
        <w:fldChar w:fldCharType="separate"/>
      </w:r>
      <w:r w:rsidRPr="008E2FB3">
        <w:rPr>
          <w:lang w:val="en-GB"/>
        </w:rPr>
        <w:t>(23)</w:t>
      </w:r>
      <w:r w:rsidRPr="008E2FB3">
        <w:rPr>
          <w:lang w:val="en-GB"/>
        </w:rPr>
        <w:fldChar w:fldCharType="end"/>
      </w:r>
      <w:r w:rsidRPr="008E2FB3">
        <w:rPr>
          <w:lang w:val="en-GB"/>
        </w:rPr>
        <w:t xml:space="preserve">. The set up was made of a grey plastic cross-shaped maze 1 m elevated from the floor, comprising two open (anxiogenic) and two closed (anxiolytic) arms (50 cm L × 5 cm W × 15 cm H – closed arms – or 1 cm H – open arms). Experiments occurred under red light. Mice were individually placed into the </w:t>
      </w:r>
      <w:proofErr w:type="spellStart"/>
      <w:r w:rsidRPr="008E2FB3">
        <w:rPr>
          <w:lang w:val="en-GB"/>
        </w:rPr>
        <w:t>center</w:t>
      </w:r>
      <w:proofErr w:type="spellEnd"/>
      <w:r w:rsidRPr="008E2FB3">
        <w:rPr>
          <w:lang w:val="en-GB"/>
        </w:rPr>
        <w:t xml:space="preserve"> of the maze facing an open arm and were allowed 5-minute free exploration. Experiments were videotaped using a ceiling camera. The number of entries and the time spent in each arm, as well as the total distance travelled were scored using </w:t>
      </w:r>
      <w:proofErr w:type="spellStart"/>
      <w:r w:rsidRPr="008E2FB3">
        <w:rPr>
          <w:lang w:val="en-GB"/>
        </w:rPr>
        <w:t>Ethovision</w:t>
      </w:r>
      <w:proofErr w:type="spellEnd"/>
      <w:r w:rsidRPr="008E2FB3">
        <w:rPr>
          <w:lang w:val="en-GB"/>
        </w:rPr>
        <w:t xml:space="preserve"> software. </w:t>
      </w:r>
    </w:p>
    <w:p w14:paraId="6C20502E" w14:textId="77777777" w:rsidR="00C3117C" w:rsidRPr="008E2FB3" w:rsidRDefault="00C3117C" w:rsidP="0015489F">
      <w:pPr>
        <w:spacing w:after="0"/>
        <w:rPr>
          <w:lang w:val="en-GB"/>
        </w:rPr>
      </w:pPr>
    </w:p>
    <w:p w14:paraId="2EB0E94D" w14:textId="77777777" w:rsidR="0015489F" w:rsidRPr="008E2FB3" w:rsidRDefault="00C86157" w:rsidP="0015489F">
      <w:pPr>
        <w:spacing w:after="0"/>
        <w:rPr>
          <w:lang w:val="en-GB"/>
        </w:rPr>
      </w:pPr>
      <w:r w:rsidRPr="008E2FB3">
        <w:rPr>
          <w:b/>
          <w:bCs/>
          <w:lang w:val="en-GB"/>
        </w:rPr>
        <w:t>Forced swim test</w:t>
      </w:r>
    </w:p>
    <w:p w14:paraId="53F2FAB9" w14:textId="77777777" w:rsidR="00C86157" w:rsidRPr="008E2FB3" w:rsidRDefault="00C86157" w:rsidP="0015489F">
      <w:pPr>
        <w:spacing w:after="0"/>
        <w:rPr>
          <w:lang w:val="en-GB"/>
        </w:rPr>
      </w:pPr>
      <w:r w:rsidRPr="008E2FB3">
        <w:rPr>
          <w:lang w:val="en-GB"/>
        </w:rPr>
        <w:t xml:space="preserve">To measure the antidepressant-like property of a phospholipid-enriched diet, the forced swim test </w:t>
      </w:r>
      <w:r w:rsidRPr="008E2FB3">
        <w:rPr>
          <w:lang w:val="en-GB"/>
        </w:rPr>
        <w:fldChar w:fldCharType="begin" w:fldLock="1"/>
      </w:r>
      <w:r w:rsidRPr="008E2FB3">
        <w:rPr>
          <w:lang w:val="en-GB"/>
        </w:rPr>
        <w:instrText>ADDIN CSL_CITATION {"citationItems":[{"id":"ITEM-1","itemData":{"DOI":"10.1016/j.biopsych.2016.12.031","ISBN":"0006-3223","ISSN":"18732402","PMID":"28242013","abstract":"Background The realization that the microbiota-gut-brain axis plays a critical role in health and disease, including neuropsychiatric disorders, is rapidly advancing. Nurturing a beneficial gut microbiome with prebiotics, such as fructo-oligosaccharides (FOS) and galacto-oligosaccharides (GOS), is an appealing but underinvestigated microbiota manipulation. Here we tested whether chronic prebiotic treatment modifies behavior across domains relevant to anxiety, depression, cognition, stress response, and social behavior. Methods C57BL/6J male mice were administered FOS, GOS, or a combination of FOS+GOS for 3 weeks prior to testing. Plasma corticosterone, microbiota composition, and cecal short-chain fatty acids were measured. In addition, FOS+GOS- or water-treated mice were also exposed to chronic psychosocial stress, and behavior, immune, and microbiota parameters were assessed. Results Chronic prebiotic FOS+GOS treatment exhibited both antidepressant and anxiolytic effects. Moreover, the administration of GOS and the FOS+GOS combination reduced stress-induced corticosterone release. Prebiotics modified specific gene expression in the hippocampus and hypothalamus. Regarding short-chain fatty acid concentrations, prebiotic administration increased cecal acetate and propionate and reduced isobutyrate concentrations, changes that correlated significantly with the positive effects seen on behavior. Moreover, FOS+GOS reduced chronic stress-induced elevations in corticosterone and proinflammatory cytokine levels and depression-like and anxiety-like behavior in addition to normalizing the effects of stress on the microbiota. Conclusions Taken together, these data strongly suggest a beneficial role of prebiotic treatment for stress-related behaviors. These findings strengthen the evidence base supporting therapeutic targeting of the gut microbiota for brain-gut axis disorders, opening new avenues in the field of nutritional neuropsychopharmacology.","author":[{"dropping-particle":"","family":"Burokas","given":"Aurelijus","non-dropping-particle":"","parse-names":false,"suffix":""},{"dropping-particle":"","family":"Arboleya","given":"Silvia","non-dropping-particle":"","parse-names":false,"suffix":""},{"dropping-particle":"","family":"Moloney","given":"Rachel D.","non-dropping-particle":"","parse-names":false,"suffix":""},{"dropping-particle":"","family":"Peterson","given":"Veronica L.","non-dropping-particle":"","parse-names":false,"suffix":""},{"dropping-particle":"","family":"Murphy","given":"Kiera","non-dropping-particle":"","parse-names":false,"suffix":""},{"dropping-particle":"","family":"Clarke","given":"Gerard","non-dropping-particle":"","parse-names":false,"suffix":""},{"dropping-particle":"","family":"Stanton","given":"Catherine","non-dropping-particle":"","parse-names":false,"suffix":""},{"dropping-particle":"","family":"Dinan","given":"Timothy G.","non-dropping-particle":"","parse-names":false,"suffix":""},{"dropping-particle":"","family":"Cryan","given":"John F.","non-dropping-particle":"","parse-names":false,"suffix":""}],"container-title":"Biological Psychiatry","id":"ITEM-1","issue":"7","issued":{"date-parts":[["2017"]]},"page":"472-487","publisher":"Elsevier Inc.","title":"Targeting the Microbiota-Gut-Brain Axis: Prebiotics Have Anxiolytic and Antidepressant-like Effects and Reverse the Impact of Chronic Stress in Mice","type":"article-journal","volume":"82"},"uris":["http://www.mendeley.com/documents/?uuid=83397291-491f-4dc5-a347-6e95cd076771"]}],"mendeley":{"formattedCitation":"(23)","plainTextFormattedCitation":"(23)","previouslyFormattedCitation":"(23)"},"properties":{"noteIndex":0},"schema":"https://github.com/citation-style-language/schema/raw/master/csl-citation.json"}</w:instrText>
      </w:r>
      <w:r w:rsidRPr="008E2FB3">
        <w:rPr>
          <w:lang w:val="en-GB"/>
        </w:rPr>
        <w:fldChar w:fldCharType="separate"/>
      </w:r>
      <w:r w:rsidRPr="008E2FB3">
        <w:rPr>
          <w:lang w:val="en-GB"/>
        </w:rPr>
        <w:t>(23)</w:t>
      </w:r>
      <w:r w:rsidRPr="008E2FB3">
        <w:rPr>
          <w:lang w:val="en-GB"/>
        </w:rPr>
        <w:fldChar w:fldCharType="end"/>
      </w:r>
      <w:r w:rsidRPr="008E2FB3">
        <w:rPr>
          <w:lang w:val="en-GB"/>
        </w:rPr>
        <w:t xml:space="preserve"> was used on day 35 for half of animals and day 36 for the other half </w:t>
      </w:r>
      <w:r w:rsidRPr="008E2FB3">
        <w:rPr>
          <w:b/>
          <w:bCs/>
          <w:lang w:val="en-GB"/>
        </w:rPr>
        <w:t>(Figure 1B)</w:t>
      </w:r>
      <w:r w:rsidRPr="008E2FB3">
        <w:rPr>
          <w:lang w:val="en-GB"/>
        </w:rPr>
        <w:t>. Mice were individually placed in a clear glass cylinder (Pyrex – 22 cm diameter, 45cm H), containing 15 cm depth water (25 ± 0.5°C). Water was changed between each trial. The test lasted 6 minutes and experiments were videotaped. The immobility time was manually scored during the last 4 minutes of the test, with immobility being defined as a total absence of movement except slight motions to maintain the head above the water.</w:t>
      </w:r>
    </w:p>
    <w:p w14:paraId="2B897D8D" w14:textId="77777777" w:rsidR="006A58D2" w:rsidRPr="008E2FB3" w:rsidRDefault="006A58D2" w:rsidP="0015489F">
      <w:pPr>
        <w:spacing w:after="0"/>
        <w:rPr>
          <w:lang w:val="en-GB"/>
        </w:rPr>
      </w:pPr>
    </w:p>
    <w:p w14:paraId="54A244BE" w14:textId="77777777" w:rsidR="006A58D2" w:rsidRPr="008E2FB3" w:rsidRDefault="006A58D2" w:rsidP="0015489F">
      <w:pPr>
        <w:spacing w:after="0"/>
        <w:rPr>
          <w:lang w:val="en-GB"/>
        </w:rPr>
      </w:pPr>
    </w:p>
    <w:p w14:paraId="7034018A" w14:textId="77777777" w:rsidR="00AD0AF0" w:rsidRPr="008E2FB3" w:rsidRDefault="006A58D2" w:rsidP="006639C9">
      <w:pPr>
        <w:spacing w:after="0"/>
        <w:rPr>
          <w:szCs w:val="24"/>
          <w:lang w:val="en-GB"/>
        </w:rPr>
      </w:pPr>
      <w:r w:rsidRPr="008E2FB3">
        <w:rPr>
          <w:szCs w:val="24"/>
          <w:lang w:val="en-GB"/>
        </w:rPr>
        <w:t xml:space="preserve">Supplementary </w:t>
      </w:r>
      <w:r w:rsidR="00AD0AF0" w:rsidRPr="008E2FB3">
        <w:rPr>
          <w:szCs w:val="24"/>
          <w:lang w:val="en-GB"/>
        </w:rPr>
        <w:t>Tables</w:t>
      </w:r>
      <w:r w:rsidRPr="008E2FB3">
        <w:rPr>
          <w:szCs w:val="24"/>
          <w:lang w:val="en-GB"/>
        </w:rPr>
        <w:t xml:space="preserve"> </w:t>
      </w:r>
    </w:p>
    <w:p w14:paraId="162C0724" w14:textId="77777777" w:rsidR="00AD0AF0" w:rsidRPr="008E2FB3" w:rsidRDefault="00A867F0" w:rsidP="00AD0AF0">
      <w:pPr>
        <w:pStyle w:val="Caption"/>
        <w:keepNext/>
        <w:rPr>
          <w:color w:val="auto"/>
          <w:sz w:val="22"/>
          <w:szCs w:val="22"/>
        </w:rPr>
      </w:pPr>
      <w:r w:rsidRPr="008E2FB3">
        <w:rPr>
          <w:color w:val="auto"/>
          <w:sz w:val="22"/>
          <w:szCs w:val="22"/>
        </w:rPr>
        <w:t xml:space="preserve">Table </w:t>
      </w:r>
      <w:r w:rsidR="000A5364" w:rsidRPr="008E2FB3">
        <w:rPr>
          <w:color w:val="auto"/>
          <w:sz w:val="22"/>
          <w:szCs w:val="22"/>
        </w:rPr>
        <w:t>S</w:t>
      </w:r>
      <w:r w:rsidR="0012313F" w:rsidRPr="008E2FB3">
        <w:rPr>
          <w:color w:val="auto"/>
          <w:sz w:val="22"/>
          <w:szCs w:val="22"/>
        </w:rPr>
        <w:t>1</w:t>
      </w:r>
      <w:r w:rsidRPr="008E2FB3">
        <w:rPr>
          <w:color w:val="auto"/>
          <w:sz w:val="22"/>
          <w:szCs w:val="22"/>
        </w:rPr>
        <w:t>:</w:t>
      </w:r>
      <w:r w:rsidR="00AD0AF0" w:rsidRPr="008E2FB3">
        <w:rPr>
          <w:color w:val="auto"/>
          <w:sz w:val="22"/>
          <w:szCs w:val="22"/>
        </w:rPr>
        <w:t xml:space="preserve"> Phospholipid content of </w:t>
      </w:r>
      <w:r w:rsidR="00B91DAF" w:rsidRPr="008E2FB3">
        <w:rPr>
          <w:color w:val="auto"/>
          <w:sz w:val="22"/>
          <w:szCs w:val="22"/>
        </w:rPr>
        <w:t>phospholipid</w:t>
      </w:r>
      <w:r w:rsidR="00AD0AF0" w:rsidRPr="008E2FB3">
        <w:rPr>
          <w:color w:val="auto"/>
          <w:sz w:val="22"/>
          <w:szCs w:val="22"/>
        </w:rPr>
        <w:t>-enriched buttermilk powder</w:t>
      </w:r>
    </w:p>
    <w:tbl>
      <w:tblPr>
        <w:tblW w:w="4337" w:type="pct"/>
        <w:tblLook w:val="04A0" w:firstRow="1" w:lastRow="0" w:firstColumn="1" w:lastColumn="0" w:noHBand="0" w:noVBand="1"/>
      </w:tblPr>
      <w:tblGrid>
        <w:gridCol w:w="3809"/>
        <w:gridCol w:w="1683"/>
        <w:gridCol w:w="2465"/>
      </w:tblGrid>
      <w:tr w:rsidR="008E2FB3" w:rsidRPr="008E2FB3" w14:paraId="772BD03A" w14:textId="77777777" w:rsidTr="003B15F4">
        <w:trPr>
          <w:trHeight w:val="300"/>
        </w:trPr>
        <w:tc>
          <w:tcPr>
            <w:tcW w:w="2422" w:type="pct"/>
            <w:tcBorders>
              <w:top w:val="nil"/>
              <w:left w:val="nil"/>
              <w:bottom w:val="single" w:sz="4" w:space="0" w:color="auto"/>
              <w:right w:val="nil"/>
            </w:tcBorders>
            <w:shd w:val="clear" w:color="auto" w:fill="auto"/>
            <w:noWrap/>
            <w:vAlign w:val="center"/>
            <w:hideMark/>
          </w:tcPr>
          <w:p w14:paraId="321ABB3B" w14:textId="77777777" w:rsidR="00EB3CAD" w:rsidRPr="008E2FB3" w:rsidRDefault="00EB3CAD" w:rsidP="00EB3CAD">
            <w:pPr>
              <w:spacing w:after="0" w:line="240" w:lineRule="auto"/>
              <w:jc w:val="center"/>
              <w:rPr>
                <w:rFonts w:eastAsia="Times New Roman"/>
                <w:lang w:eastAsia="en-IE"/>
              </w:rPr>
            </w:pPr>
          </w:p>
        </w:tc>
        <w:tc>
          <w:tcPr>
            <w:tcW w:w="1070" w:type="pct"/>
            <w:tcBorders>
              <w:top w:val="nil"/>
              <w:left w:val="nil"/>
              <w:bottom w:val="single" w:sz="4" w:space="0" w:color="auto"/>
              <w:right w:val="nil"/>
            </w:tcBorders>
            <w:shd w:val="clear" w:color="auto" w:fill="auto"/>
            <w:noWrap/>
            <w:vAlign w:val="center"/>
            <w:hideMark/>
          </w:tcPr>
          <w:p w14:paraId="468DA764" w14:textId="77777777" w:rsidR="00EB3CAD" w:rsidRPr="008E2FB3" w:rsidRDefault="00EB3CAD" w:rsidP="00EB3CAD">
            <w:pPr>
              <w:spacing w:after="0" w:line="240" w:lineRule="auto"/>
              <w:jc w:val="center"/>
              <w:rPr>
                <w:rFonts w:eastAsia="Times New Roman"/>
                <w:b/>
                <w:bCs/>
                <w:lang w:eastAsia="en-IE"/>
              </w:rPr>
            </w:pPr>
            <w:r w:rsidRPr="008E2FB3">
              <w:rPr>
                <w:rFonts w:eastAsia="Times New Roman"/>
                <w:b/>
                <w:bCs/>
                <w:lang w:eastAsia="en-IE"/>
              </w:rPr>
              <w:t>BMP substrate</w:t>
            </w:r>
          </w:p>
        </w:tc>
        <w:tc>
          <w:tcPr>
            <w:tcW w:w="1508" w:type="pct"/>
            <w:tcBorders>
              <w:top w:val="nil"/>
              <w:left w:val="nil"/>
              <w:bottom w:val="single" w:sz="4" w:space="0" w:color="auto"/>
              <w:right w:val="nil"/>
            </w:tcBorders>
            <w:shd w:val="clear" w:color="auto" w:fill="auto"/>
            <w:noWrap/>
            <w:hideMark/>
          </w:tcPr>
          <w:p w14:paraId="435B82D1" w14:textId="77777777" w:rsidR="00EB3CAD" w:rsidRPr="008E2FB3" w:rsidRDefault="00EB3CAD" w:rsidP="00EB3CAD">
            <w:pPr>
              <w:spacing w:after="0" w:line="240" w:lineRule="auto"/>
              <w:jc w:val="center"/>
              <w:rPr>
                <w:b/>
              </w:rPr>
            </w:pPr>
            <w:r w:rsidRPr="008E2FB3">
              <w:rPr>
                <w:b/>
              </w:rPr>
              <w:t>Phospholipid-enriched</w:t>
            </w:r>
          </w:p>
          <w:p w14:paraId="28B65D73" w14:textId="77777777" w:rsidR="00EB3CAD" w:rsidRPr="008E2FB3" w:rsidRDefault="00EB3CAD" w:rsidP="00EB3CAD">
            <w:pPr>
              <w:spacing w:after="0" w:line="240" w:lineRule="auto"/>
              <w:jc w:val="center"/>
              <w:rPr>
                <w:b/>
              </w:rPr>
            </w:pPr>
            <w:r w:rsidRPr="008E2FB3">
              <w:rPr>
                <w:b/>
              </w:rPr>
              <w:t>50kDa retentate</w:t>
            </w:r>
          </w:p>
        </w:tc>
      </w:tr>
      <w:tr w:rsidR="008E2FB3" w:rsidRPr="008E2FB3" w14:paraId="6861EC9F" w14:textId="77777777" w:rsidTr="00E20788">
        <w:trPr>
          <w:trHeight w:val="300"/>
        </w:trPr>
        <w:tc>
          <w:tcPr>
            <w:tcW w:w="2422" w:type="pct"/>
            <w:tcBorders>
              <w:top w:val="single" w:sz="4" w:space="0" w:color="auto"/>
              <w:left w:val="nil"/>
              <w:bottom w:val="single" w:sz="4" w:space="0" w:color="auto"/>
              <w:right w:val="nil"/>
            </w:tcBorders>
            <w:shd w:val="clear" w:color="auto" w:fill="auto"/>
            <w:noWrap/>
            <w:vAlign w:val="center"/>
            <w:hideMark/>
          </w:tcPr>
          <w:p w14:paraId="66E03DE6" w14:textId="77777777" w:rsidR="00C3117C" w:rsidRPr="008E2FB3" w:rsidRDefault="00C3117C" w:rsidP="00E20788">
            <w:pPr>
              <w:spacing w:after="0" w:line="240" w:lineRule="auto"/>
              <w:jc w:val="left"/>
              <w:rPr>
                <w:rFonts w:eastAsia="Times New Roman"/>
                <w:lang w:eastAsia="en-IE"/>
              </w:rPr>
            </w:pPr>
            <w:r w:rsidRPr="008E2FB3">
              <w:rPr>
                <w:rFonts w:eastAsia="Times New Roman"/>
                <w:lang w:eastAsia="en-IE"/>
              </w:rPr>
              <w:t xml:space="preserve">Total </w:t>
            </w:r>
            <w:r w:rsidR="00094F6D" w:rsidRPr="008E2FB3">
              <w:rPr>
                <w:rFonts w:eastAsia="Times New Roman"/>
                <w:lang w:eastAsia="en-IE"/>
              </w:rPr>
              <w:t>p</w:t>
            </w:r>
            <w:r w:rsidRPr="008E2FB3">
              <w:rPr>
                <w:rFonts w:eastAsia="Times New Roman"/>
                <w:lang w:eastAsia="en-IE"/>
              </w:rPr>
              <w:t>hospholipids (% sample)</w:t>
            </w:r>
          </w:p>
        </w:tc>
        <w:tc>
          <w:tcPr>
            <w:tcW w:w="1070" w:type="pct"/>
            <w:tcBorders>
              <w:top w:val="single" w:sz="4" w:space="0" w:color="auto"/>
              <w:left w:val="nil"/>
              <w:bottom w:val="single" w:sz="4" w:space="0" w:color="auto"/>
              <w:right w:val="nil"/>
            </w:tcBorders>
            <w:shd w:val="clear" w:color="auto" w:fill="auto"/>
            <w:noWrap/>
            <w:vAlign w:val="center"/>
            <w:hideMark/>
          </w:tcPr>
          <w:p w14:paraId="43B39212" w14:textId="77777777" w:rsidR="00C3117C" w:rsidRPr="008E2FB3" w:rsidRDefault="00C3117C" w:rsidP="009F7D86">
            <w:pPr>
              <w:spacing w:after="0" w:line="240" w:lineRule="auto"/>
              <w:jc w:val="center"/>
              <w:rPr>
                <w:rFonts w:eastAsia="Times New Roman"/>
                <w:lang w:eastAsia="en-IE"/>
              </w:rPr>
            </w:pPr>
            <w:r w:rsidRPr="008E2FB3">
              <w:rPr>
                <w:rFonts w:eastAsia="Times New Roman"/>
                <w:lang w:eastAsia="en-IE"/>
              </w:rPr>
              <w:t>1.39</w:t>
            </w:r>
          </w:p>
        </w:tc>
        <w:tc>
          <w:tcPr>
            <w:tcW w:w="1508" w:type="pct"/>
            <w:tcBorders>
              <w:top w:val="single" w:sz="4" w:space="0" w:color="auto"/>
              <w:left w:val="nil"/>
              <w:bottom w:val="single" w:sz="4" w:space="0" w:color="auto"/>
              <w:right w:val="nil"/>
            </w:tcBorders>
            <w:shd w:val="clear" w:color="auto" w:fill="auto"/>
            <w:noWrap/>
            <w:vAlign w:val="center"/>
            <w:hideMark/>
          </w:tcPr>
          <w:p w14:paraId="5AF79D7F" w14:textId="77777777" w:rsidR="00C3117C" w:rsidRPr="008E2FB3" w:rsidRDefault="00C3117C" w:rsidP="009F7D86">
            <w:pPr>
              <w:spacing w:after="0" w:line="240" w:lineRule="auto"/>
              <w:jc w:val="center"/>
              <w:rPr>
                <w:rFonts w:eastAsia="Times New Roman"/>
                <w:lang w:eastAsia="en-IE"/>
              </w:rPr>
            </w:pPr>
            <w:r w:rsidRPr="008E2FB3">
              <w:rPr>
                <w:rFonts w:eastAsia="Times New Roman"/>
                <w:lang w:eastAsia="en-IE"/>
              </w:rPr>
              <w:t>11.80</w:t>
            </w:r>
          </w:p>
        </w:tc>
      </w:tr>
      <w:tr w:rsidR="008E2FB3" w:rsidRPr="008E2FB3" w14:paraId="41C3B6C2" w14:textId="77777777" w:rsidTr="00E20788">
        <w:trPr>
          <w:trHeight w:val="300"/>
        </w:trPr>
        <w:tc>
          <w:tcPr>
            <w:tcW w:w="5000" w:type="pct"/>
            <w:gridSpan w:val="3"/>
            <w:tcBorders>
              <w:top w:val="single" w:sz="4" w:space="0" w:color="auto"/>
              <w:left w:val="nil"/>
              <w:bottom w:val="single" w:sz="4" w:space="0" w:color="auto"/>
              <w:right w:val="nil"/>
            </w:tcBorders>
            <w:shd w:val="clear" w:color="auto" w:fill="auto"/>
            <w:vAlign w:val="center"/>
            <w:hideMark/>
          </w:tcPr>
          <w:p w14:paraId="0FBF87A6" w14:textId="77777777" w:rsidR="00C3117C" w:rsidRPr="008E2FB3" w:rsidRDefault="00C3117C" w:rsidP="006E76CB">
            <w:pPr>
              <w:spacing w:after="0" w:line="240" w:lineRule="auto"/>
              <w:jc w:val="left"/>
              <w:rPr>
                <w:rFonts w:eastAsia="Times New Roman"/>
                <w:lang w:eastAsia="en-IE"/>
              </w:rPr>
            </w:pPr>
            <w:r w:rsidRPr="008E2FB3">
              <w:rPr>
                <w:rFonts w:eastAsia="Times New Roman"/>
                <w:lang w:eastAsia="en-IE"/>
              </w:rPr>
              <w:t>Individual</w:t>
            </w:r>
            <w:r w:rsidR="00094F6D" w:rsidRPr="008E2FB3">
              <w:rPr>
                <w:rFonts w:eastAsia="Times New Roman"/>
                <w:lang w:eastAsia="en-IE"/>
              </w:rPr>
              <w:t xml:space="preserve"> p</w:t>
            </w:r>
            <w:r w:rsidRPr="008E2FB3">
              <w:rPr>
                <w:rFonts w:eastAsia="Times New Roman"/>
                <w:lang w:eastAsia="en-IE"/>
              </w:rPr>
              <w:t xml:space="preserve">hospholipids (as % of total </w:t>
            </w:r>
            <w:r w:rsidR="00094F6D" w:rsidRPr="008E2FB3">
              <w:rPr>
                <w:rFonts w:eastAsia="Times New Roman"/>
                <w:lang w:eastAsia="en-IE"/>
              </w:rPr>
              <w:t>phospholipids</w:t>
            </w:r>
            <w:r w:rsidRPr="008E2FB3">
              <w:rPr>
                <w:rFonts w:eastAsia="Times New Roman"/>
                <w:lang w:eastAsia="en-IE"/>
              </w:rPr>
              <w:t xml:space="preserve">) </w:t>
            </w:r>
          </w:p>
        </w:tc>
      </w:tr>
      <w:tr w:rsidR="008E2FB3" w:rsidRPr="008E2FB3" w14:paraId="4BF89E0F" w14:textId="77777777" w:rsidTr="00E20788">
        <w:trPr>
          <w:trHeight w:val="300"/>
        </w:trPr>
        <w:tc>
          <w:tcPr>
            <w:tcW w:w="2422" w:type="pct"/>
            <w:tcBorders>
              <w:top w:val="single" w:sz="4" w:space="0" w:color="auto"/>
              <w:left w:val="nil"/>
              <w:bottom w:val="nil"/>
              <w:right w:val="nil"/>
            </w:tcBorders>
            <w:shd w:val="clear" w:color="auto" w:fill="auto"/>
            <w:noWrap/>
            <w:vAlign w:val="center"/>
            <w:hideMark/>
          </w:tcPr>
          <w:p w14:paraId="0C4706F3" w14:textId="77777777" w:rsidR="00C3117C" w:rsidRPr="008E2FB3" w:rsidRDefault="00C3117C" w:rsidP="00C3117C">
            <w:pPr>
              <w:spacing w:after="0" w:line="240" w:lineRule="auto"/>
              <w:jc w:val="left"/>
              <w:rPr>
                <w:rFonts w:eastAsia="Times New Roman"/>
                <w:lang w:eastAsia="en-IE"/>
              </w:rPr>
            </w:pPr>
            <w:r w:rsidRPr="008E2FB3">
              <w:rPr>
                <w:rFonts w:eastAsia="Times New Roman"/>
                <w:lang w:eastAsia="en-IE"/>
              </w:rPr>
              <w:t xml:space="preserve">Phosphatidylinositol </w:t>
            </w:r>
            <w:r w:rsidR="00DF5DC1" w:rsidRPr="008E2FB3">
              <w:rPr>
                <w:rFonts w:eastAsia="Times New Roman"/>
                <w:lang w:eastAsia="en-IE"/>
              </w:rPr>
              <w:t>(PI)</w:t>
            </w:r>
          </w:p>
        </w:tc>
        <w:tc>
          <w:tcPr>
            <w:tcW w:w="1070" w:type="pct"/>
            <w:tcBorders>
              <w:top w:val="single" w:sz="4" w:space="0" w:color="auto"/>
              <w:left w:val="nil"/>
              <w:bottom w:val="nil"/>
              <w:right w:val="nil"/>
            </w:tcBorders>
            <w:shd w:val="clear" w:color="auto" w:fill="auto"/>
            <w:noWrap/>
            <w:vAlign w:val="center"/>
            <w:hideMark/>
          </w:tcPr>
          <w:p w14:paraId="1BE23CEB" w14:textId="77777777" w:rsidR="00C3117C" w:rsidRPr="008E2FB3" w:rsidRDefault="00C3117C" w:rsidP="009F7D86">
            <w:pPr>
              <w:spacing w:after="0" w:line="240" w:lineRule="auto"/>
              <w:jc w:val="center"/>
              <w:rPr>
                <w:rFonts w:eastAsia="Times New Roman"/>
                <w:lang w:eastAsia="en-IE"/>
              </w:rPr>
            </w:pPr>
            <w:r w:rsidRPr="008E2FB3">
              <w:rPr>
                <w:rFonts w:eastAsia="Times New Roman"/>
                <w:lang w:eastAsia="en-IE"/>
              </w:rPr>
              <w:t>8.07</w:t>
            </w:r>
          </w:p>
        </w:tc>
        <w:tc>
          <w:tcPr>
            <w:tcW w:w="1508" w:type="pct"/>
            <w:tcBorders>
              <w:top w:val="single" w:sz="4" w:space="0" w:color="auto"/>
              <w:left w:val="nil"/>
              <w:bottom w:val="nil"/>
              <w:right w:val="nil"/>
            </w:tcBorders>
            <w:shd w:val="clear" w:color="auto" w:fill="auto"/>
            <w:noWrap/>
            <w:vAlign w:val="center"/>
            <w:hideMark/>
          </w:tcPr>
          <w:p w14:paraId="5147D664" w14:textId="77777777" w:rsidR="00C3117C" w:rsidRPr="008E2FB3" w:rsidRDefault="00C3117C" w:rsidP="009F7D86">
            <w:pPr>
              <w:spacing w:after="0" w:line="240" w:lineRule="auto"/>
              <w:jc w:val="center"/>
              <w:rPr>
                <w:rFonts w:eastAsia="Times New Roman"/>
                <w:lang w:eastAsia="en-IE"/>
              </w:rPr>
            </w:pPr>
            <w:r w:rsidRPr="008E2FB3">
              <w:rPr>
                <w:rFonts w:eastAsia="Times New Roman"/>
                <w:lang w:eastAsia="en-IE"/>
              </w:rPr>
              <w:t>7.35</w:t>
            </w:r>
          </w:p>
        </w:tc>
      </w:tr>
      <w:tr w:rsidR="008E2FB3" w:rsidRPr="008E2FB3" w14:paraId="37B19F83" w14:textId="77777777" w:rsidTr="00E20788">
        <w:trPr>
          <w:trHeight w:val="300"/>
        </w:trPr>
        <w:tc>
          <w:tcPr>
            <w:tcW w:w="2422" w:type="pct"/>
            <w:tcBorders>
              <w:top w:val="nil"/>
              <w:left w:val="nil"/>
              <w:bottom w:val="nil"/>
              <w:right w:val="nil"/>
            </w:tcBorders>
            <w:shd w:val="clear" w:color="auto" w:fill="auto"/>
            <w:noWrap/>
            <w:vAlign w:val="center"/>
            <w:hideMark/>
          </w:tcPr>
          <w:p w14:paraId="1BD47639" w14:textId="77777777" w:rsidR="00C3117C" w:rsidRPr="008E2FB3" w:rsidRDefault="00C3117C" w:rsidP="00C3117C">
            <w:pPr>
              <w:spacing w:after="0" w:line="240" w:lineRule="auto"/>
              <w:jc w:val="left"/>
              <w:rPr>
                <w:rFonts w:eastAsia="Times New Roman"/>
                <w:lang w:eastAsia="en-IE"/>
              </w:rPr>
            </w:pPr>
            <w:r w:rsidRPr="008E2FB3">
              <w:rPr>
                <w:rFonts w:eastAsia="Times New Roman"/>
                <w:lang w:eastAsia="en-IE"/>
              </w:rPr>
              <w:lastRenderedPageBreak/>
              <w:t>Phosphatidylethanolamine (PE)</w:t>
            </w:r>
          </w:p>
        </w:tc>
        <w:tc>
          <w:tcPr>
            <w:tcW w:w="1070" w:type="pct"/>
            <w:tcBorders>
              <w:top w:val="nil"/>
              <w:left w:val="nil"/>
              <w:bottom w:val="nil"/>
              <w:right w:val="nil"/>
            </w:tcBorders>
            <w:shd w:val="clear" w:color="auto" w:fill="auto"/>
            <w:noWrap/>
            <w:vAlign w:val="center"/>
            <w:hideMark/>
          </w:tcPr>
          <w:p w14:paraId="40C83B34" w14:textId="77777777" w:rsidR="00C3117C" w:rsidRPr="008E2FB3" w:rsidRDefault="00C3117C" w:rsidP="009F7D86">
            <w:pPr>
              <w:spacing w:after="0" w:line="240" w:lineRule="auto"/>
              <w:jc w:val="center"/>
              <w:rPr>
                <w:rFonts w:eastAsia="Times New Roman"/>
                <w:lang w:eastAsia="en-IE"/>
              </w:rPr>
            </w:pPr>
            <w:r w:rsidRPr="008E2FB3">
              <w:rPr>
                <w:rFonts w:eastAsia="Times New Roman"/>
                <w:lang w:eastAsia="en-IE"/>
              </w:rPr>
              <w:t>31.58</w:t>
            </w:r>
          </w:p>
        </w:tc>
        <w:tc>
          <w:tcPr>
            <w:tcW w:w="1508" w:type="pct"/>
            <w:tcBorders>
              <w:top w:val="nil"/>
              <w:left w:val="nil"/>
              <w:bottom w:val="nil"/>
              <w:right w:val="nil"/>
            </w:tcBorders>
            <w:shd w:val="clear" w:color="auto" w:fill="auto"/>
            <w:noWrap/>
            <w:vAlign w:val="center"/>
            <w:hideMark/>
          </w:tcPr>
          <w:p w14:paraId="5C941334" w14:textId="77777777" w:rsidR="00C3117C" w:rsidRPr="008E2FB3" w:rsidRDefault="00C3117C" w:rsidP="009F7D86">
            <w:pPr>
              <w:spacing w:after="0" w:line="240" w:lineRule="auto"/>
              <w:jc w:val="center"/>
              <w:rPr>
                <w:rFonts w:eastAsia="Times New Roman"/>
                <w:lang w:eastAsia="en-IE"/>
              </w:rPr>
            </w:pPr>
            <w:r w:rsidRPr="008E2FB3">
              <w:rPr>
                <w:rFonts w:eastAsia="Times New Roman"/>
                <w:lang w:eastAsia="en-IE"/>
              </w:rPr>
              <w:t>29.44</w:t>
            </w:r>
          </w:p>
        </w:tc>
      </w:tr>
      <w:tr w:rsidR="008E2FB3" w:rsidRPr="008E2FB3" w14:paraId="3A3DB8C8" w14:textId="77777777" w:rsidTr="00E20788">
        <w:trPr>
          <w:trHeight w:val="300"/>
        </w:trPr>
        <w:tc>
          <w:tcPr>
            <w:tcW w:w="2422" w:type="pct"/>
            <w:tcBorders>
              <w:top w:val="nil"/>
              <w:left w:val="nil"/>
              <w:bottom w:val="nil"/>
              <w:right w:val="nil"/>
            </w:tcBorders>
            <w:shd w:val="clear" w:color="auto" w:fill="auto"/>
            <w:noWrap/>
            <w:vAlign w:val="center"/>
            <w:hideMark/>
          </w:tcPr>
          <w:p w14:paraId="34413477" w14:textId="77777777" w:rsidR="00C3117C" w:rsidRPr="008E2FB3" w:rsidRDefault="00C3117C" w:rsidP="00C3117C">
            <w:pPr>
              <w:spacing w:after="0" w:line="240" w:lineRule="auto"/>
              <w:jc w:val="left"/>
              <w:rPr>
                <w:rFonts w:eastAsia="Times New Roman"/>
                <w:lang w:eastAsia="en-IE"/>
              </w:rPr>
            </w:pPr>
            <w:r w:rsidRPr="008E2FB3">
              <w:rPr>
                <w:rFonts w:eastAsia="Times New Roman"/>
                <w:lang w:eastAsia="en-IE"/>
              </w:rPr>
              <w:t>Phosphatidylserine (PS)</w:t>
            </w:r>
          </w:p>
        </w:tc>
        <w:tc>
          <w:tcPr>
            <w:tcW w:w="1070" w:type="pct"/>
            <w:tcBorders>
              <w:top w:val="nil"/>
              <w:left w:val="nil"/>
              <w:bottom w:val="nil"/>
              <w:right w:val="nil"/>
            </w:tcBorders>
            <w:shd w:val="clear" w:color="auto" w:fill="auto"/>
            <w:noWrap/>
            <w:vAlign w:val="center"/>
            <w:hideMark/>
          </w:tcPr>
          <w:p w14:paraId="448684D5" w14:textId="77777777" w:rsidR="00C3117C" w:rsidRPr="008E2FB3" w:rsidRDefault="00C3117C" w:rsidP="009F7D86">
            <w:pPr>
              <w:spacing w:after="0" w:line="240" w:lineRule="auto"/>
              <w:jc w:val="center"/>
              <w:rPr>
                <w:rFonts w:eastAsia="Times New Roman"/>
                <w:lang w:eastAsia="en-IE"/>
              </w:rPr>
            </w:pPr>
            <w:r w:rsidRPr="008E2FB3">
              <w:rPr>
                <w:rFonts w:eastAsia="Times New Roman"/>
                <w:lang w:eastAsia="en-IE"/>
              </w:rPr>
              <w:t>12.01</w:t>
            </w:r>
          </w:p>
        </w:tc>
        <w:tc>
          <w:tcPr>
            <w:tcW w:w="1508" w:type="pct"/>
            <w:tcBorders>
              <w:top w:val="nil"/>
              <w:left w:val="nil"/>
              <w:bottom w:val="nil"/>
              <w:right w:val="nil"/>
            </w:tcBorders>
            <w:shd w:val="clear" w:color="auto" w:fill="auto"/>
            <w:noWrap/>
            <w:vAlign w:val="center"/>
            <w:hideMark/>
          </w:tcPr>
          <w:p w14:paraId="77A2C3C8" w14:textId="77777777" w:rsidR="00C3117C" w:rsidRPr="008E2FB3" w:rsidRDefault="00C3117C" w:rsidP="009F7D86">
            <w:pPr>
              <w:spacing w:after="0" w:line="240" w:lineRule="auto"/>
              <w:jc w:val="center"/>
              <w:rPr>
                <w:rFonts w:eastAsia="Times New Roman"/>
                <w:lang w:eastAsia="en-IE"/>
              </w:rPr>
            </w:pPr>
            <w:r w:rsidRPr="008E2FB3">
              <w:rPr>
                <w:rFonts w:eastAsia="Times New Roman"/>
                <w:lang w:eastAsia="en-IE"/>
              </w:rPr>
              <w:t>11.92</w:t>
            </w:r>
          </w:p>
        </w:tc>
      </w:tr>
      <w:tr w:rsidR="008E2FB3" w:rsidRPr="008E2FB3" w14:paraId="1EBB779A" w14:textId="77777777" w:rsidTr="00E20788">
        <w:trPr>
          <w:trHeight w:val="300"/>
        </w:trPr>
        <w:tc>
          <w:tcPr>
            <w:tcW w:w="2422" w:type="pct"/>
            <w:tcBorders>
              <w:top w:val="nil"/>
              <w:left w:val="nil"/>
              <w:bottom w:val="nil"/>
              <w:right w:val="nil"/>
            </w:tcBorders>
            <w:shd w:val="clear" w:color="auto" w:fill="auto"/>
            <w:noWrap/>
            <w:vAlign w:val="center"/>
            <w:hideMark/>
          </w:tcPr>
          <w:p w14:paraId="6CE6A480" w14:textId="77777777" w:rsidR="00C3117C" w:rsidRPr="008E2FB3" w:rsidRDefault="00C3117C" w:rsidP="00C3117C">
            <w:pPr>
              <w:spacing w:after="0" w:line="240" w:lineRule="auto"/>
              <w:jc w:val="left"/>
              <w:rPr>
                <w:rFonts w:eastAsia="Times New Roman"/>
                <w:lang w:eastAsia="en-IE"/>
              </w:rPr>
            </w:pPr>
            <w:r w:rsidRPr="008E2FB3">
              <w:rPr>
                <w:rFonts w:eastAsia="Times New Roman"/>
                <w:lang w:eastAsia="en-IE"/>
              </w:rPr>
              <w:t>Phosphatidylcholine (PC)</w:t>
            </w:r>
          </w:p>
        </w:tc>
        <w:tc>
          <w:tcPr>
            <w:tcW w:w="1070" w:type="pct"/>
            <w:tcBorders>
              <w:top w:val="nil"/>
              <w:left w:val="nil"/>
              <w:bottom w:val="nil"/>
              <w:right w:val="nil"/>
            </w:tcBorders>
            <w:shd w:val="clear" w:color="auto" w:fill="auto"/>
            <w:noWrap/>
            <w:vAlign w:val="center"/>
            <w:hideMark/>
          </w:tcPr>
          <w:p w14:paraId="6741A627" w14:textId="77777777" w:rsidR="00C3117C" w:rsidRPr="008E2FB3" w:rsidRDefault="00C3117C" w:rsidP="009F7D86">
            <w:pPr>
              <w:spacing w:after="0" w:line="240" w:lineRule="auto"/>
              <w:jc w:val="center"/>
              <w:rPr>
                <w:rFonts w:eastAsia="Times New Roman"/>
                <w:lang w:eastAsia="en-IE"/>
              </w:rPr>
            </w:pPr>
            <w:r w:rsidRPr="008E2FB3">
              <w:rPr>
                <w:rFonts w:eastAsia="Times New Roman"/>
                <w:lang w:eastAsia="en-IE"/>
              </w:rPr>
              <w:t>26.79</w:t>
            </w:r>
          </w:p>
        </w:tc>
        <w:tc>
          <w:tcPr>
            <w:tcW w:w="1508" w:type="pct"/>
            <w:tcBorders>
              <w:top w:val="nil"/>
              <w:left w:val="nil"/>
              <w:bottom w:val="nil"/>
              <w:right w:val="nil"/>
            </w:tcBorders>
            <w:shd w:val="clear" w:color="auto" w:fill="auto"/>
            <w:noWrap/>
            <w:vAlign w:val="center"/>
            <w:hideMark/>
          </w:tcPr>
          <w:p w14:paraId="5C90167C" w14:textId="77777777" w:rsidR="00C3117C" w:rsidRPr="008E2FB3" w:rsidRDefault="00C3117C" w:rsidP="009F7D86">
            <w:pPr>
              <w:spacing w:after="0" w:line="240" w:lineRule="auto"/>
              <w:jc w:val="center"/>
              <w:rPr>
                <w:rFonts w:eastAsia="Times New Roman"/>
                <w:lang w:eastAsia="en-IE"/>
              </w:rPr>
            </w:pPr>
            <w:r w:rsidRPr="008E2FB3">
              <w:rPr>
                <w:rFonts w:eastAsia="Times New Roman"/>
                <w:lang w:eastAsia="en-IE"/>
              </w:rPr>
              <w:t>27.92</w:t>
            </w:r>
          </w:p>
        </w:tc>
      </w:tr>
      <w:tr w:rsidR="008E2FB3" w:rsidRPr="008E2FB3" w14:paraId="29DFD6CA" w14:textId="77777777" w:rsidTr="00E20788">
        <w:trPr>
          <w:trHeight w:val="300"/>
        </w:trPr>
        <w:tc>
          <w:tcPr>
            <w:tcW w:w="2422" w:type="pct"/>
            <w:tcBorders>
              <w:top w:val="nil"/>
              <w:left w:val="nil"/>
              <w:bottom w:val="nil"/>
              <w:right w:val="nil"/>
            </w:tcBorders>
            <w:shd w:val="clear" w:color="auto" w:fill="auto"/>
            <w:noWrap/>
            <w:vAlign w:val="center"/>
            <w:hideMark/>
          </w:tcPr>
          <w:p w14:paraId="18E81FA5" w14:textId="77777777" w:rsidR="00C3117C" w:rsidRPr="008E2FB3" w:rsidRDefault="00C3117C" w:rsidP="00C3117C">
            <w:pPr>
              <w:spacing w:after="0" w:line="240" w:lineRule="auto"/>
              <w:jc w:val="left"/>
              <w:rPr>
                <w:rFonts w:eastAsia="Times New Roman"/>
                <w:lang w:eastAsia="en-IE"/>
              </w:rPr>
            </w:pPr>
            <w:r w:rsidRPr="008E2FB3">
              <w:rPr>
                <w:rFonts w:eastAsia="Times New Roman"/>
                <w:lang w:eastAsia="en-IE"/>
              </w:rPr>
              <w:t>Sphingomyelin (SPH)</w:t>
            </w:r>
          </w:p>
        </w:tc>
        <w:tc>
          <w:tcPr>
            <w:tcW w:w="1070" w:type="pct"/>
            <w:tcBorders>
              <w:top w:val="nil"/>
              <w:left w:val="nil"/>
              <w:bottom w:val="nil"/>
              <w:right w:val="nil"/>
            </w:tcBorders>
            <w:shd w:val="clear" w:color="auto" w:fill="auto"/>
            <w:noWrap/>
            <w:vAlign w:val="center"/>
            <w:hideMark/>
          </w:tcPr>
          <w:p w14:paraId="1C12C879" w14:textId="77777777" w:rsidR="00C3117C" w:rsidRPr="008E2FB3" w:rsidRDefault="00C3117C" w:rsidP="009F7D86">
            <w:pPr>
              <w:spacing w:after="0" w:line="240" w:lineRule="auto"/>
              <w:jc w:val="center"/>
              <w:rPr>
                <w:rFonts w:eastAsia="Times New Roman"/>
                <w:lang w:eastAsia="en-IE"/>
              </w:rPr>
            </w:pPr>
            <w:r w:rsidRPr="008E2FB3">
              <w:rPr>
                <w:rFonts w:eastAsia="Times New Roman"/>
                <w:lang w:eastAsia="en-IE"/>
              </w:rPr>
              <w:t>20.35</w:t>
            </w:r>
          </w:p>
        </w:tc>
        <w:tc>
          <w:tcPr>
            <w:tcW w:w="1508" w:type="pct"/>
            <w:tcBorders>
              <w:top w:val="nil"/>
              <w:left w:val="nil"/>
              <w:bottom w:val="nil"/>
              <w:right w:val="nil"/>
            </w:tcBorders>
            <w:shd w:val="clear" w:color="auto" w:fill="auto"/>
            <w:noWrap/>
            <w:vAlign w:val="center"/>
            <w:hideMark/>
          </w:tcPr>
          <w:p w14:paraId="17A18108" w14:textId="77777777" w:rsidR="00C3117C" w:rsidRPr="008E2FB3" w:rsidRDefault="00C3117C" w:rsidP="009F7D86">
            <w:pPr>
              <w:spacing w:after="0" w:line="240" w:lineRule="auto"/>
              <w:jc w:val="center"/>
              <w:rPr>
                <w:rFonts w:eastAsia="Times New Roman"/>
                <w:lang w:eastAsia="en-IE"/>
              </w:rPr>
            </w:pPr>
            <w:r w:rsidRPr="008E2FB3">
              <w:rPr>
                <w:rFonts w:eastAsia="Times New Roman"/>
                <w:lang w:eastAsia="en-IE"/>
              </w:rPr>
              <w:t>19.37</w:t>
            </w:r>
          </w:p>
        </w:tc>
      </w:tr>
      <w:tr w:rsidR="00C3117C" w:rsidRPr="008E2FB3" w14:paraId="59992446" w14:textId="77777777" w:rsidTr="00E20788">
        <w:trPr>
          <w:trHeight w:val="300"/>
        </w:trPr>
        <w:tc>
          <w:tcPr>
            <w:tcW w:w="2422" w:type="pct"/>
            <w:tcBorders>
              <w:top w:val="nil"/>
              <w:left w:val="nil"/>
              <w:bottom w:val="single" w:sz="4" w:space="0" w:color="auto"/>
              <w:right w:val="nil"/>
            </w:tcBorders>
            <w:shd w:val="clear" w:color="auto" w:fill="auto"/>
            <w:noWrap/>
            <w:vAlign w:val="center"/>
            <w:hideMark/>
          </w:tcPr>
          <w:p w14:paraId="0B3FD6C8" w14:textId="77777777" w:rsidR="00C3117C" w:rsidRPr="008E2FB3" w:rsidRDefault="00C3117C" w:rsidP="00C3117C">
            <w:pPr>
              <w:spacing w:after="0" w:line="240" w:lineRule="auto"/>
              <w:jc w:val="left"/>
              <w:rPr>
                <w:rFonts w:eastAsia="Times New Roman"/>
                <w:lang w:eastAsia="en-IE"/>
              </w:rPr>
            </w:pPr>
            <w:proofErr w:type="spellStart"/>
            <w:r w:rsidRPr="008E2FB3">
              <w:rPr>
                <w:rFonts w:eastAsia="Times New Roman"/>
                <w:lang w:eastAsia="en-IE"/>
              </w:rPr>
              <w:t>Lysophosphatidylethanolamine</w:t>
            </w:r>
            <w:proofErr w:type="spellEnd"/>
            <w:r w:rsidRPr="008E2FB3">
              <w:rPr>
                <w:rFonts w:eastAsia="Times New Roman"/>
                <w:lang w:eastAsia="en-IE"/>
              </w:rPr>
              <w:t xml:space="preserve"> (LPE)</w:t>
            </w:r>
          </w:p>
        </w:tc>
        <w:tc>
          <w:tcPr>
            <w:tcW w:w="1070" w:type="pct"/>
            <w:tcBorders>
              <w:top w:val="nil"/>
              <w:left w:val="nil"/>
              <w:bottom w:val="single" w:sz="4" w:space="0" w:color="auto"/>
              <w:right w:val="nil"/>
            </w:tcBorders>
            <w:shd w:val="clear" w:color="auto" w:fill="auto"/>
            <w:noWrap/>
            <w:vAlign w:val="center"/>
            <w:hideMark/>
          </w:tcPr>
          <w:p w14:paraId="2B1F7081" w14:textId="77777777" w:rsidR="00C3117C" w:rsidRPr="008E2FB3" w:rsidRDefault="00C3117C" w:rsidP="009F7D86">
            <w:pPr>
              <w:spacing w:after="0" w:line="240" w:lineRule="auto"/>
              <w:jc w:val="center"/>
              <w:rPr>
                <w:rFonts w:eastAsia="Times New Roman"/>
                <w:lang w:eastAsia="en-IE"/>
              </w:rPr>
            </w:pPr>
            <w:r w:rsidRPr="008E2FB3">
              <w:rPr>
                <w:rFonts w:eastAsia="Times New Roman"/>
                <w:lang w:eastAsia="en-IE"/>
              </w:rPr>
              <w:t>1.21</w:t>
            </w:r>
          </w:p>
        </w:tc>
        <w:tc>
          <w:tcPr>
            <w:tcW w:w="1508" w:type="pct"/>
            <w:tcBorders>
              <w:top w:val="nil"/>
              <w:left w:val="nil"/>
              <w:bottom w:val="single" w:sz="4" w:space="0" w:color="auto"/>
              <w:right w:val="nil"/>
            </w:tcBorders>
            <w:shd w:val="clear" w:color="auto" w:fill="auto"/>
            <w:noWrap/>
            <w:vAlign w:val="center"/>
            <w:hideMark/>
          </w:tcPr>
          <w:p w14:paraId="702BC107" w14:textId="77777777" w:rsidR="00C3117C" w:rsidRPr="008E2FB3" w:rsidRDefault="00C3117C" w:rsidP="009F7D86">
            <w:pPr>
              <w:spacing w:after="0" w:line="240" w:lineRule="auto"/>
              <w:jc w:val="center"/>
              <w:rPr>
                <w:rFonts w:eastAsia="Times New Roman"/>
                <w:lang w:eastAsia="en-IE"/>
              </w:rPr>
            </w:pPr>
            <w:r w:rsidRPr="008E2FB3">
              <w:rPr>
                <w:rFonts w:eastAsia="Times New Roman"/>
                <w:lang w:eastAsia="en-IE"/>
              </w:rPr>
              <w:t>0.70</w:t>
            </w:r>
          </w:p>
        </w:tc>
      </w:tr>
    </w:tbl>
    <w:p w14:paraId="63117FA6" w14:textId="77777777" w:rsidR="00AD0AF0" w:rsidRPr="008E2FB3" w:rsidRDefault="00AD0AF0" w:rsidP="00AD0AF0">
      <w:pPr>
        <w:pStyle w:val="Heading1"/>
        <w:tabs>
          <w:tab w:val="left" w:pos="7630"/>
        </w:tabs>
        <w:spacing w:after="40" w:line="263" w:lineRule="exact"/>
        <w:ind w:left="0"/>
      </w:pPr>
    </w:p>
    <w:tbl>
      <w:tblPr>
        <w:tblStyle w:val="PlainTable2"/>
        <w:tblW w:w="5885" w:type="dxa"/>
        <w:tblBorders>
          <w:top w:val="none" w:sz="0" w:space="0" w:color="auto"/>
          <w:bottom w:val="none" w:sz="0" w:space="0" w:color="auto"/>
        </w:tblBorders>
        <w:tblLayout w:type="fixed"/>
        <w:tblLook w:val="01E0" w:firstRow="1" w:lastRow="1" w:firstColumn="1" w:lastColumn="1" w:noHBand="0" w:noVBand="0"/>
      </w:tblPr>
      <w:tblGrid>
        <w:gridCol w:w="1788"/>
        <w:gridCol w:w="1443"/>
        <w:gridCol w:w="1130"/>
        <w:gridCol w:w="1524"/>
      </w:tblGrid>
      <w:tr w:rsidR="008E2FB3" w:rsidRPr="008E2FB3" w14:paraId="39D00670" w14:textId="77777777" w:rsidTr="00F01B1B">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788" w:type="dxa"/>
            <w:tcBorders>
              <w:top w:val="single" w:sz="4" w:space="0" w:color="auto"/>
              <w:bottom w:val="single" w:sz="4" w:space="0" w:color="auto"/>
            </w:tcBorders>
            <w:hideMark/>
          </w:tcPr>
          <w:p w14:paraId="315AE490" w14:textId="77777777" w:rsidR="00E0473E" w:rsidRPr="008E2FB3" w:rsidRDefault="00E0473E" w:rsidP="009F7D86">
            <w:pPr>
              <w:pStyle w:val="TableParagraph"/>
              <w:spacing w:before="23" w:line="241" w:lineRule="exact"/>
              <w:ind w:right="56"/>
            </w:pPr>
            <w:r w:rsidRPr="008E2FB3">
              <w:t>Phospholipid</w:t>
            </w:r>
          </w:p>
        </w:tc>
        <w:tc>
          <w:tcPr>
            <w:cnfStyle w:val="000010000000" w:firstRow="0" w:lastRow="0" w:firstColumn="0" w:lastColumn="0" w:oddVBand="1" w:evenVBand="0" w:oddHBand="0" w:evenHBand="0" w:firstRowFirstColumn="0" w:firstRowLastColumn="0" w:lastRowFirstColumn="0" w:lastRowLastColumn="0"/>
            <w:tcW w:w="1443" w:type="dxa"/>
            <w:tcBorders>
              <w:top w:val="single" w:sz="4" w:space="0" w:color="auto"/>
              <w:bottom w:val="single" w:sz="4" w:space="0" w:color="auto"/>
            </w:tcBorders>
            <w:hideMark/>
          </w:tcPr>
          <w:p w14:paraId="06FF3950" w14:textId="77777777" w:rsidR="00E0473E" w:rsidRPr="008E2FB3" w:rsidRDefault="00E0473E" w:rsidP="0004445E">
            <w:pPr>
              <w:pStyle w:val="TableParagraph"/>
              <w:spacing w:before="23" w:line="241" w:lineRule="exact"/>
              <w:ind w:right="102"/>
              <w:jc w:val="center"/>
            </w:pPr>
            <w:r w:rsidRPr="008E2FB3">
              <w:t>Weight-%</w:t>
            </w:r>
          </w:p>
        </w:tc>
        <w:tc>
          <w:tcPr>
            <w:cnfStyle w:val="000001000000" w:firstRow="0" w:lastRow="0" w:firstColumn="0" w:lastColumn="0" w:oddVBand="0" w:evenVBand="1" w:oddHBand="0" w:evenHBand="0" w:firstRowFirstColumn="0" w:firstRowLastColumn="0" w:lastRowFirstColumn="0" w:lastRowLastColumn="0"/>
            <w:tcW w:w="1130" w:type="dxa"/>
            <w:tcBorders>
              <w:top w:val="single" w:sz="4" w:space="0" w:color="auto"/>
              <w:bottom w:val="single" w:sz="4" w:space="0" w:color="auto"/>
            </w:tcBorders>
            <w:hideMark/>
          </w:tcPr>
          <w:p w14:paraId="0846731B" w14:textId="77777777" w:rsidR="00E0473E" w:rsidRPr="008E2FB3" w:rsidRDefault="00E0473E" w:rsidP="0004445E">
            <w:pPr>
              <w:pStyle w:val="TableParagraph"/>
              <w:spacing w:before="23" w:line="241" w:lineRule="exact"/>
              <w:ind w:right="144"/>
              <w:jc w:val="center"/>
            </w:pPr>
            <w:r w:rsidRPr="008E2FB3">
              <w:t>Mol-%</w:t>
            </w:r>
          </w:p>
        </w:tc>
        <w:tc>
          <w:tcPr>
            <w:cnfStyle w:val="000100000000" w:firstRow="0" w:lastRow="0" w:firstColumn="0" w:lastColumn="1" w:oddVBand="0" w:evenVBand="0" w:oddHBand="0" w:evenHBand="0" w:firstRowFirstColumn="0" w:firstRowLastColumn="0" w:lastRowFirstColumn="0" w:lastRowLastColumn="0"/>
            <w:tcW w:w="1524" w:type="dxa"/>
            <w:tcBorders>
              <w:top w:val="single" w:sz="4" w:space="0" w:color="auto"/>
              <w:bottom w:val="single" w:sz="4" w:space="0" w:color="auto"/>
            </w:tcBorders>
            <w:hideMark/>
          </w:tcPr>
          <w:p w14:paraId="11BA7966" w14:textId="77777777" w:rsidR="00E0473E" w:rsidRPr="008E2FB3" w:rsidRDefault="00E0473E" w:rsidP="0004445E">
            <w:pPr>
              <w:pStyle w:val="TableParagraph"/>
              <w:spacing w:before="23" w:line="241" w:lineRule="exact"/>
              <w:jc w:val="center"/>
            </w:pPr>
            <w:r w:rsidRPr="008E2FB3">
              <w:t>MW [g/mol]</w:t>
            </w:r>
          </w:p>
        </w:tc>
      </w:tr>
      <w:tr w:rsidR="008E2FB3" w:rsidRPr="008E2FB3" w14:paraId="32215AF5" w14:textId="77777777" w:rsidTr="00F01B1B">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1788" w:type="dxa"/>
            <w:tcBorders>
              <w:top w:val="single" w:sz="4" w:space="0" w:color="auto"/>
            </w:tcBorders>
            <w:hideMark/>
          </w:tcPr>
          <w:p w14:paraId="7C93BBFE" w14:textId="77777777" w:rsidR="00E0473E" w:rsidRPr="008E2FB3" w:rsidRDefault="00E0473E" w:rsidP="009F7D86">
            <w:pPr>
              <w:pStyle w:val="TableParagraph"/>
              <w:ind w:right="57"/>
              <w:rPr>
                <w:b w:val="0"/>
                <w:bCs w:val="0"/>
                <w:sz w:val="20"/>
              </w:rPr>
            </w:pPr>
            <w:r w:rsidRPr="008E2FB3">
              <w:rPr>
                <w:b w:val="0"/>
                <w:bCs w:val="0"/>
                <w:sz w:val="20"/>
              </w:rPr>
              <w:t>PC</w:t>
            </w:r>
          </w:p>
        </w:tc>
        <w:tc>
          <w:tcPr>
            <w:cnfStyle w:val="000010000000" w:firstRow="0" w:lastRow="0" w:firstColumn="0" w:lastColumn="0" w:oddVBand="1" w:evenVBand="0" w:oddHBand="0" w:evenHBand="0" w:firstRowFirstColumn="0" w:firstRowLastColumn="0" w:lastRowFirstColumn="0" w:lastRowLastColumn="0"/>
            <w:tcW w:w="1443" w:type="dxa"/>
            <w:tcBorders>
              <w:top w:val="single" w:sz="4" w:space="0" w:color="auto"/>
            </w:tcBorders>
            <w:hideMark/>
          </w:tcPr>
          <w:p w14:paraId="4AA00026" w14:textId="77777777" w:rsidR="00E0473E" w:rsidRPr="008E2FB3" w:rsidRDefault="00E0473E" w:rsidP="0004445E">
            <w:pPr>
              <w:pStyle w:val="TableParagraph"/>
              <w:ind w:right="102"/>
              <w:jc w:val="center"/>
              <w:rPr>
                <w:sz w:val="20"/>
              </w:rPr>
            </w:pPr>
            <w:r w:rsidRPr="008E2FB3">
              <w:rPr>
                <w:w w:val="105"/>
                <w:sz w:val="20"/>
              </w:rPr>
              <w:t>3,25</w:t>
            </w:r>
          </w:p>
        </w:tc>
        <w:tc>
          <w:tcPr>
            <w:cnfStyle w:val="000001000000" w:firstRow="0" w:lastRow="0" w:firstColumn="0" w:lastColumn="0" w:oddVBand="0" w:evenVBand="1" w:oddHBand="0" w:evenHBand="0" w:firstRowFirstColumn="0" w:firstRowLastColumn="0" w:lastRowFirstColumn="0" w:lastRowLastColumn="0"/>
            <w:tcW w:w="1130" w:type="dxa"/>
            <w:tcBorders>
              <w:top w:val="single" w:sz="4" w:space="0" w:color="auto"/>
            </w:tcBorders>
            <w:hideMark/>
          </w:tcPr>
          <w:p w14:paraId="77329BD3" w14:textId="77777777" w:rsidR="00E0473E" w:rsidRPr="008E2FB3" w:rsidRDefault="00E0473E" w:rsidP="0004445E">
            <w:pPr>
              <w:pStyle w:val="TableParagraph"/>
              <w:ind w:right="144"/>
              <w:jc w:val="center"/>
              <w:rPr>
                <w:sz w:val="20"/>
              </w:rPr>
            </w:pPr>
            <w:r w:rsidRPr="008E2FB3">
              <w:rPr>
                <w:w w:val="105"/>
                <w:sz w:val="20"/>
              </w:rPr>
              <w:t>27,92</w:t>
            </w:r>
          </w:p>
        </w:tc>
        <w:tc>
          <w:tcPr>
            <w:cnfStyle w:val="000100000000" w:firstRow="0" w:lastRow="0" w:firstColumn="0" w:lastColumn="1" w:oddVBand="0" w:evenVBand="0" w:oddHBand="0" w:evenHBand="0" w:firstRowFirstColumn="0" w:firstRowLastColumn="0" w:lastRowFirstColumn="0" w:lastRowLastColumn="0"/>
            <w:tcW w:w="1524" w:type="dxa"/>
            <w:tcBorders>
              <w:top w:val="single" w:sz="4" w:space="0" w:color="auto"/>
            </w:tcBorders>
            <w:hideMark/>
          </w:tcPr>
          <w:p w14:paraId="6B90EEAD" w14:textId="77777777" w:rsidR="00E0473E" w:rsidRPr="008E2FB3" w:rsidRDefault="00E0473E" w:rsidP="0004445E">
            <w:pPr>
              <w:pStyle w:val="TableParagraph"/>
              <w:jc w:val="center"/>
              <w:rPr>
                <w:b w:val="0"/>
                <w:bCs w:val="0"/>
                <w:sz w:val="20"/>
              </w:rPr>
            </w:pPr>
            <w:r w:rsidRPr="008E2FB3">
              <w:rPr>
                <w:b w:val="0"/>
                <w:bCs w:val="0"/>
                <w:w w:val="105"/>
                <w:sz w:val="20"/>
              </w:rPr>
              <w:t>757,0</w:t>
            </w:r>
          </w:p>
        </w:tc>
      </w:tr>
      <w:tr w:rsidR="008E2FB3" w:rsidRPr="008E2FB3" w14:paraId="6657B162" w14:textId="77777777" w:rsidTr="00D47AF0">
        <w:trPr>
          <w:trHeight w:val="239"/>
        </w:trPr>
        <w:tc>
          <w:tcPr>
            <w:cnfStyle w:val="001000000000" w:firstRow="0" w:lastRow="0" w:firstColumn="1" w:lastColumn="0" w:oddVBand="0" w:evenVBand="0" w:oddHBand="0" w:evenHBand="0" w:firstRowFirstColumn="0" w:firstRowLastColumn="0" w:lastRowFirstColumn="0" w:lastRowLastColumn="0"/>
            <w:tcW w:w="1788" w:type="dxa"/>
            <w:hideMark/>
          </w:tcPr>
          <w:p w14:paraId="44AB4970" w14:textId="77777777" w:rsidR="00E0473E" w:rsidRPr="008E2FB3" w:rsidRDefault="00E0473E" w:rsidP="009F7D86">
            <w:pPr>
              <w:pStyle w:val="TableParagraph"/>
              <w:ind w:right="89"/>
              <w:rPr>
                <w:b w:val="0"/>
                <w:bCs w:val="0"/>
                <w:sz w:val="20"/>
              </w:rPr>
            </w:pPr>
            <w:r w:rsidRPr="008E2FB3">
              <w:rPr>
                <w:b w:val="0"/>
                <w:bCs w:val="0"/>
                <w:sz w:val="20"/>
              </w:rPr>
              <w:t>1-LPC</w:t>
            </w:r>
          </w:p>
        </w:tc>
        <w:tc>
          <w:tcPr>
            <w:cnfStyle w:val="000010000000" w:firstRow="0" w:lastRow="0" w:firstColumn="0" w:lastColumn="0" w:oddVBand="1" w:evenVBand="0" w:oddHBand="0" w:evenHBand="0" w:firstRowFirstColumn="0" w:firstRowLastColumn="0" w:lastRowFirstColumn="0" w:lastRowLastColumn="0"/>
            <w:tcW w:w="1443" w:type="dxa"/>
            <w:hideMark/>
          </w:tcPr>
          <w:p w14:paraId="7A2D1EC2" w14:textId="77777777" w:rsidR="00E0473E" w:rsidRPr="008E2FB3" w:rsidRDefault="00E0473E" w:rsidP="0004445E">
            <w:pPr>
              <w:pStyle w:val="TableParagraph"/>
              <w:ind w:right="102"/>
              <w:jc w:val="center"/>
              <w:rPr>
                <w:sz w:val="20"/>
              </w:rPr>
            </w:pPr>
            <w:r w:rsidRPr="008E2FB3">
              <w:rPr>
                <w:w w:val="95"/>
                <w:sz w:val="20"/>
              </w:rPr>
              <w:t>---*)</w:t>
            </w:r>
          </w:p>
        </w:tc>
        <w:tc>
          <w:tcPr>
            <w:cnfStyle w:val="000001000000" w:firstRow="0" w:lastRow="0" w:firstColumn="0" w:lastColumn="0" w:oddVBand="0" w:evenVBand="1" w:oddHBand="0" w:evenHBand="0" w:firstRowFirstColumn="0" w:firstRowLastColumn="0" w:lastRowFirstColumn="0" w:lastRowLastColumn="0"/>
            <w:tcW w:w="1130" w:type="dxa"/>
            <w:hideMark/>
          </w:tcPr>
          <w:p w14:paraId="3001E6D9" w14:textId="77777777" w:rsidR="00E0473E" w:rsidRPr="008E2FB3" w:rsidRDefault="00E0473E" w:rsidP="0004445E">
            <w:pPr>
              <w:pStyle w:val="TableParagraph"/>
              <w:ind w:right="144"/>
              <w:jc w:val="center"/>
              <w:rPr>
                <w:sz w:val="20"/>
              </w:rPr>
            </w:pPr>
            <w:r w:rsidRPr="008E2FB3">
              <w:rPr>
                <w:w w:val="95"/>
                <w:sz w:val="20"/>
              </w:rPr>
              <w:t>---*)</w:t>
            </w:r>
          </w:p>
        </w:tc>
        <w:tc>
          <w:tcPr>
            <w:cnfStyle w:val="000100000000" w:firstRow="0" w:lastRow="0" w:firstColumn="0" w:lastColumn="1" w:oddVBand="0" w:evenVBand="0" w:oddHBand="0" w:evenHBand="0" w:firstRowFirstColumn="0" w:firstRowLastColumn="0" w:lastRowFirstColumn="0" w:lastRowLastColumn="0"/>
            <w:tcW w:w="1524" w:type="dxa"/>
            <w:hideMark/>
          </w:tcPr>
          <w:p w14:paraId="5401DBBD" w14:textId="77777777" w:rsidR="00E0473E" w:rsidRPr="008E2FB3" w:rsidRDefault="00E0473E" w:rsidP="0004445E">
            <w:pPr>
              <w:pStyle w:val="TableParagraph"/>
              <w:jc w:val="center"/>
              <w:rPr>
                <w:b w:val="0"/>
                <w:bCs w:val="0"/>
                <w:sz w:val="20"/>
              </w:rPr>
            </w:pPr>
            <w:r w:rsidRPr="008E2FB3">
              <w:rPr>
                <w:b w:val="0"/>
                <w:bCs w:val="0"/>
                <w:w w:val="105"/>
                <w:sz w:val="20"/>
              </w:rPr>
              <w:t>515,0</w:t>
            </w:r>
          </w:p>
        </w:tc>
      </w:tr>
      <w:tr w:rsidR="008E2FB3" w:rsidRPr="008E2FB3" w14:paraId="4D594222" w14:textId="77777777" w:rsidTr="00185CD4">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1788" w:type="dxa"/>
            <w:hideMark/>
          </w:tcPr>
          <w:p w14:paraId="4D3CE0A1" w14:textId="77777777" w:rsidR="00E0473E" w:rsidRPr="008E2FB3" w:rsidRDefault="00E0473E" w:rsidP="009F7D86">
            <w:pPr>
              <w:pStyle w:val="TableParagraph"/>
              <w:ind w:right="89"/>
              <w:rPr>
                <w:b w:val="0"/>
                <w:bCs w:val="0"/>
                <w:sz w:val="20"/>
              </w:rPr>
            </w:pPr>
            <w:r w:rsidRPr="008E2FB3">
              <w:rPr>
                <w:b w:val="0"/>
                <w:bCs w:val="0"/>
                <w:sz w:val="20"/>
              </w:rPr>
              <w:t>2-LPC</w:t>
            </w:r>
          </w:p>
        </w:tc>
        <w:tc>
          <w:tcPr>
            <w:cnfStyle w:val="000010000000" w:firstRow="0" w:lastRow="0" w:firstColumn="0" w:lastColumn="0" w:oddVBand="1" w:evenVBand="0" w:oddHBand="0" w:evenHBand="0" w:firstRowFirstColumn="0" w:firstRowLastColumn="0" w:lastRowFirstColumn="0" w:lastRowLastColumn="0"/>
            <w:tcW w:w="1443" w:type="dxa"/>
            <w:hideMark/>
          </w:tcPr>
          <w:p w14:paraId="33826D23" w14:textId="77777777" w:rsidR="00E0473E" w:rsidRPr="008E2FB3" w:rsidRDefault="00E0473E" w:rsidP="0004445E">
            <w:pPr>
              <w:pStyle w:val="TableParagraph"/>
              <w:ind w:right="102"/>
              <w:jc w:val="center"/>
              <w:rPr>
                <w:sz w:val="20"/>
              </w:rPr>
            </w:pPr>
            <w:r w:rsidRPr="008E2FB3">
              <w:rPr>
                <w:w w:val="105"/>
                <w:sz w:val="20"/>
              </w:rPr>
              <w:t>0,02</w:t>
            </w:r>
          </w:p>
        </w:tc>
        <w:tc>
          <w:tcPr>
            <w:cnfStyle w:val="000001000000" w:firstRow="0" w:lastRow="0" w:firstColumn="0" w:lastColumn="0" w:oddVBand="0" w:evenVBand="1" w:oddHBand="0" w:evenHBand="0" w:firstRowFirstColumn="0" w:firstRowLastColumn="0" w:lastRowFirstColumn="0" w:lastRowLastColumn="0"/>
            <w:tcW w:w="1130" w:type="dxa"/>
            <w:hideMark/>
          </w:tcPr>
          <w:p w14:paraId="2DA199BA" w14:textId="77777777" w:rsidR="00E0473E" w:rsidRPr="008E2FB3" w:rsidRDefault="00E0473E" w:rsidP="0004445E">
            <w:pPr>
              <w:pStyle w:val="TableParagraph"/>
              <w:ind w:right="144"/>
              <w:jc w:val="center"/>
              <w:rPr>
                <w:sz w:val="20"/>
              </w:rPr>
            </w:pPr>
            <w:r w:rsidRPr="008E2FB3">
              <w:rPr>
                <w:w w:val="105"/>
                <w:sz w:val="20"/>
              </w:rPr>
              <w:t>0,22</w:t>
            </w:r>
          </w:p>
        </w:tc>
        <w:tc>
          <w:tcPr>
            <w:cnfStyle w:val="000100000000" w:firstRow="0" w:lastRow="0" w:firstColumn="0" w:lastColumn="1" w:oddVBand="0" w:evenVBand="0" w:oddHBand="0" w:evenHBand="0" w:firstRowFirstColumn="0" w:firstRowLastColumn="0" w:lastRowFirstColumn="0" w:lastRowLastColumn="0"/>
            <w:tcW w:w="1524" w:type="dxa"/>
            <w:hideMark/>
          </w:tcPr>
          <w:p w14:paraId="2B934F63" w14:textId="77777777" w:rsidR="00E0473E" w:rsidRPr="008E2FB3" w:rsidRDefault="00E0473E" w:rsidP="0004445E">
            <w:pPr>
              <w:pStyle w:val="TableParagraph"/>
              <w:jc w:val="center"/>
              <w:rPr>
                <w:b w:val="0"/>
                <w:bCs w:val="0"/>
                <w:sz w:val="20"/>
              </w:rPr>
            </w:pPr>
            <w:r w:rsidRPr="008E2FB3">
              <w:rPr>
                <w:b w:val="0"/>
                <w:bCs w:val="0"/>
                <w:w w:val="105"/>
                <w:sz w:val="20"/>
              </w:rPr>
              <w:t>515,0</w:t>
            </w:r>
          </w:p>
        </w:tc>
      </w:tr>
      <w:tr w:rsidR="008E2FB3" w:rsidRPr="008E2FB3" w14:paraId="33CF0C45" w14:textId="77777777" w:rsidTr="00185CD4">
        <w:trPr>
          <w:trHeight w:val="239"/>
        </w:trPr>
        <w:tc>
          <w:tcPr>
            <w:cnfStyle w:val="001000000000" w:firstRow="0" w:lastRow="0" w:firstColumn="1" w:lastColumn="0" w:oddVBand="0" w:evenVBand="0" w:oddHBand="0" w:evenHBand="0" w:firstRowFirstColumn="0" w:firstRowLastColumn="0" w:lastRowFirstColumn="0" w:lastRowLastColumn="0"/>
            <w:tcW w:w="1788" w:type="dxa"/>
            <w:hideMark/>
          </w:tcPr>
          <w:p w14:paraId="744B02E4" w14:textId="77777777" w:rsidR="00E0473E" w:rsidRPr="008E2FB3" w:rsidRDefault="00E0473E" w:rsidP="009F7D86">
            <w:pPr>
              <w:pStyle w:val="TableParagraph"/>
              <w:ind w:right="87"/>
              <w:rPr>
                <w:b w:val="0"/>
                <w:bCs w:val="0"/>
                <w:sz w:val="20"/>
              </w:rPr>
            </w:pPr>
            <w:r w:rsidRPr="008E2FB3">
              <w:rPr>
                <w:b w:val="0"/>
                <w:bCs w:val="0"/>
                <w:w w:val="95"/>
                <w:sz w:val="20"/>
              </w:rPr>
              <w:t>PI</w:t>
            </w:r>
          </w:p>
        </w:tc>
        <w:tc>
          <w:tcPr>
            <w:cnfStyle w:val="000010000000" w:firstRow="0" w:lastRow="0" w:firstColumn="0" w:lastColumn="0" w:oddVBand="1" w:evenVBand="0" w:oddHBand="0" w:evenHBand="0" w:firstRowFirstColumn="0" w:firstRowLastColumn="0" w:lastRowFirstColumn="0" w:lastRowLastColumn="0"/>
            <w:tcW w:w="1443" w:type="dxa"/>
            <w:hideMark/>
          </w:tcPr>
          <w:p w14:paraId="7CBADE49" w14:textId="77777777" w:rsidR="00E0473E" w:rsidRPr="008E2FB3" w:rsidRDefault="00E0473E" w:rsidP="0004445E">
            <w:pPr>
              <w:pStyle w:val="TableParagraph"/>
              <w:ind w:right="102"/>
              <w:jc w:val="center"/>
              <w:rPr>
                <w:sz w:val="20"/>
              </w:rPr>
            </w:pPr>
            <w:r w:rsidRPr="008E2FB3">
              <w:rPr>
                <w:w w:val="105"/>
                <w:sz w:val="20"/>
              </w:rPr>
              <w:t>0,98</w:t>
            </w:r>
          </w:p>
        </w:tc>
        <w:tc>
          <w:tcPr>
            <w:cnfStyle w:val="000001000000" w:firstRow="0" w:lastRow="0" w:firstColumn="0" w:lastColumn="0" w:oddVBand="0" w:evenVBand="1" w:oddHBand="0" w:evenHBand="0" w:firstRowFirstColumn="0" w:firstRowLastColumn="0" w:lastRowFirstColumn="0" w:lastRowLastColumn="0"/>
            <w:tcW w:w="1130" w:type="dxa"/>
            <w:hideMark/>
          </w:tcPr>
          <w:p w14:paraId="27EE814B" w14:textId="77777777" w:rsidR="00E0473E" w:rsidRPr="008E2FB3" w:rsidRDefault="00E0473E" w:rsidP="0004445E">
            <w:pPr>
              <w:pStyle w:val="TableParagraph"/>
              <w:ind w:right="144"/>
              <w:jc w:val="center"/>
              <w:rPr>
                <w:sz w:val="20"/>
              </w:rPr>
            </w:pPr>
            <w:r w:rsidRPr="008E2FB3">
              <w:rPr>
                <w:w w:val="105"/>
                <w:sz w:val="20"/>
              </w:rPr>
              <w:t>7,35</w:t>
            </w:r>
          </w:p>
        </w:tc>
        <w:tc>
          <w:tcPr>
            <w:cnfStyle w:val="000100000000" w:firstRow="0" w:lastRow="0" w:firstColumn="0" w:lastColumn="1" w:oddVBand="0" w:evenVBand="0" w:oddHBand="0" w:evenHBand="0" w:firstRowFirstColumn="0" w:firstRowLastColumn="0" w:lastRowFirstColumn="0" w:lastRowLastColumn="0"/>
            <w:tcW w:w="1524" w:type="dxa"/>
            <w:hideMark/>
          </w:tcPr>
          <w:p w14:paraId="03E2EDF2" w14:textId="77777777" w:rsidR="00E0473E" w:rsidRPr="008E2FB3" w:rsidRDefault="00E0473E" w:rsidP="0004445E">
            <w:pPr>
              <w:pStyle w:val="TableParagraph"/>
              <w:jc w:val="center"/>
              <w:rPr>
                <w:b w:val="0"/>
                <w:bCs w:val="0"/>
                <w:sz w:val="20"/>
              </w:rPr>
            </w:pPr>
            <w:r w:rsidRPr="008E2FB3">
              <w:rPr>
                <w:b w:val="0"/>
                <w:bCs w:val="0"/>
                <w:w w:val="105"/>
                <w:sz w:val="20"/>
              </w:rPr>
              <w:t>868,0</w:t>
            </w:r>
          </w:p>
        </w:tc>
      </w:tr>
      <w:tr w:rsidR="008E2FB3" w:rsidRPr="008E2FB3" w14:paraId="5E1731BA" w14:textId="77777777" w:rsidTr="00185CD4">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1788" w:type="dxa"/>
            <w:hideMark/>
          </w:tcPr>
          <w:p w14:paraId="2916851D" w14:textId="77777777" w:rsidR="00E0473E" w:rsidRPr="008E2FB3" w:rsidRDefault="00E0473E" w:rsidP="009F7D86">
            <w:pPr>
              <w:pStyle w:val="TableParagraph"/>
              <w:spacing w:before="6"/>
              <w:ind w:right="87"/>
              <w:rPr>
                <w:b w:val="0"/>
                <w:bCs w:val="0"/>
                <w:sz w:val="20"/>
              </w:rPr>
            </w:pPr>
            <w:r w:rsidRPr="008E2FB3">
              <w:rPr>
                <w:b w:val="0"/>
                <w:bCs w:val="0"/>
                <w:sz w:val="20"/>
              </w:rPr>
              <w:t>LPI</w:t>
            </w:r>
          </w:p>
        </w:tc>
        <w:tc>
          <w:tcPr>
            <w:cnfStyle w:val="000010000000" w:firstRow="0" w:lastRow="0" w:firstColumn="0" w:lastColumn="0" w:oddVBand="1" w:evenVBand="0" w:oddHBand="0" w:evenHBand="0" w:firstRowFirstColumn="0" w:firstRowLastColumn="0" w:lastRowFirstColumn="0" w:lastRowLastColumn="0"/>
            <w:tcW w:w="1443" w:type="dxa"/>
            <w:hideMark/>
          </w:tcPr>
          <w:p w14:paraId="5FFD7F67" w14:textId="77777777" w:rsidR="00E0473E" w:rsidRPr="008E2FB3" w:rsidRDefault="00E0473E" w:rsidP="0004445E">
            <w:pPr>
              <w:pStyle w:val="TableParagraph"/>
              <w:spacing w:before="6"/>
              <w:ind w:right="102"/>
              <w:jc w:val="center"/>
              <w:rPr>
                <w:sz w:val="20"/>
              </w:rPr>
            </w:pPr>
            <w:r w:rsidRPr="008E2FB3">
              <w:rPr>
                <w:w w:val="95"/>
                <w:sz w:val="20"/>
              </w:rPr>
              <w:t>---*)</w:t>
            </w:r>
          </w:p>
        </w:tc>
        <w:tc>
          <w:tcPr>
            <w:cnfStyle w:val="000001000000" w:firstRow="0" w:lastRow="0" w:firstColumn="0" w:lastColumn="0" w:oddVBand="0" w:evenVBand="1" w:oddHBand="0" w:evenHBand="0" w:firstRowFirstColumn="0" w:firstRowLastColumn="0" w:lastRowFirstColumn="0" w:lastRowLastColumn="0"/>
            <w:tcW w:w="1130" w:type="dxa"/>
            <w:hideMark/>
          </w:tcPr>
          <w:p w14:paraId="1B0D7267" w14:textId="77777777" w:rsidR="00E0473E" w:rsidRPr="008E2FB3" w:rsidRDefault="00E0473E" w:rsidP="0004445E">
            <w:pPr>
              <w:pStyle w:val="TableParagraph"/>
              <w:spacing w:before="6"/>
              <w:ind w:right="144"/>
              <w:jc w:val="center"/>
              <w:rPr>
                <w:sz w:val="20"/>
              </w:rPr>
            </w:pPr>
            <w:r w:rsidRPr="008E2FB3">
              <w:rPr>
                <w:w w:val="95"/>
                <w:sz w:val="20"/>
              </w:rPr>
              <w:t>---*)</w:t>
            </w:r>
          </w:p>
        </w:tc>
        <w:tc>
          <w:tcPr>
            <w:cnfStyle w:val="000100000000" w:firstRow="0" w:lastRow="0" w:firstColumn="0" w:lastColumn="1" w:oddVBand="0" w:evenVBand="0" w:oddHBand="0" w:evenHBand="0" w:firstRowFirstColumn="0" w:firstRowLastColumn="0" w:lastRowFirstColumn="0" w:lastRowLastColumn="0"/>
            <w:tcW w:w="1524" w:type="dxa"/>
            <w:hideMark/>
          </w:tcPr>
          <w:p w14:paraId="6DEAA70B" w14:textId="77777777" w:rsidR="00E0473E" w:rsidRPr="008E2FB3" w:rsidRDefault="00E0473E" w:rsidP="0004445E">
            <w:pPr>
              <w:pStyle w:val="TableParagraph"/>
              <w:spacing w:before="6"/>
              <w:jc w:val="center"/>
              <w:rPr>
                <w:b w:val="0"/>
                <w:bCs w:val="0"/>
                <w:sz w:val="20"/>
              </w:rPr>
            </w:pPr>
            <w:r w:rsidRPr="008E2FB3">
              <w:rPr>
                <w:b w:val="0"/>
                <w:bCs w:val="0"/>
                <w:w w:val="105"/>
                <w:sz w:val="20"/>
              </w:rPr>
              <w:t>570,0</w:t>
            </w:r>
          </w:p>
        </w:tc>
      </w:tr>
      <w:tr w:rsidR="008E2FB3" w:rsidRPr="008E2FB3" w14:paraId="7B18A7E1" w14:textId="77777777" w:rsidTr="00185CD4">
        <w:trPr>
          <w:trHeight w:val="239"/>
        </w:trPr>
        <w:tc>
          <w:tcPr>
            <w:cnfStyle w:val="001000000000" w:firstRow="0" w:lastRow="0" w:firstColumn="1" w:lastColumn="0" w:oddVBand="0" w:evenVBand="0" w:oddHBand="0" w:evenHBand="0" w:firstRowFirstColumn="0" w:firstRowLastColumn="0" w:lastRowFirstColumn="0" w:lastRowLastColumn="0"/>
            <w:tcW w:w="1788" w:type="dxa"/>
            <w:hideMark/>
          </w:tcPr>
          <w:p w14:paraId="3ADB9997" w14:textId="77777777" w:rsidR="00E0473E" w:rsidRPr="008E2FB3" w:rsidRDefault="00E0473E" w:rsidP="009F7D86">
            <w:pPr>
              <w:pStyle w:val="TableParagraph"/>
              <w:ind w:right="87"/>
              <w:rPr>
                <w:b w:val="0"/>
                <w:bCs w:val="0"/>
                <w:sz w:val="20"/>
              </w:rPr>
            </w:pPr>
            <w:r w:rsidRPr="008E2FB3">
              <w:rPr>
                <w:b w:val="0"/>
                <w:bCs w:val="0"/>
                <w:sz w:val="20"/>
              </w:rPr>
              <w:t>PS-Na</w:t>
            </w:r>
          </w:p>
        </w:tc>
        <w:tc>
          <w:tcPr>
            <w:cnfStyle w:val="000010000000" w:firstRow="0" w:lastRow="0" w:firstColumn="0" w:lastColumn="0" w:oddVBand="1" w:evenVBand="0" w:oddHBand="0" w:evenHBand="0" w:firstRowFirstColumn="0" w:firstRowLastColumn="0" w:lastRowFirstColumn="0" w:lastRowLastColumn="0"/>
            <w:tcW w:w="1443" w:type="dxa"/>
            <w:hideMark/>
          </w:tcPr>
          <w:p w14:paraId="15A01AB6" w14:textId="77777777" w:rsidR="00E0473E" w:rsidRPr="008E2FB3" w:rsidRDefault="00E0473E" w:rsidP="0004445E">
            <w:pPr>
              <w:pStyle w:val="TableParagraph"/>
              <w:ind w:right="102"/>
              <w:jc w:val="center"/>
              <w:rPr>
                <w:sz w:val="20"/>
              </w:rPr>
            </w:pPr>
            <w:r w:rsidRPr="008E2FB3">
              <w:rPr>
                <w:w w:val="105"/>
                <w:sz w:val="20"/>
              </w:rPr>
              <w:t>1,45</w:t>
            </w:r>
          </w:p>
        </w:tc>
        <w:tc>
          <w:tcPr>
            <w:cnfStyle w:val="000001000000" w:firstRow="0" w:lastRow="0" w:firstColumn="0" w:lastColumn="0" w:oddVBand="0" w:evenVBand="1" w:oddHBand="0" w:evenHBand="0" w:firstRowFirstColumn="0" w:firstRowLastColumn="0" w:lastRowFirstColumn="0" w:lastRowLastColumn="0"/>
            <w:tcW w:w="1130" w:type="dxa"/>
            <w:hideMark/>
          </w:tcPr>
          <w:p w14:paraId="3A2D7E53" w14:textId="77777777" w:rsidR="00E0473E" w:rsidRPr="008E2FB3" w:rsidRDefault="00E0473E" w:rsidP="0004445E">
            <w:pPr>
              <w:pStyle w:val="TableParagraph"/>
              <w:ind w:right="144"/>
              <w:jc w:val="center"/>
              <w:rPr>
                <w:sz w:val="20"/>
              </w:rPr>
            </w:pPr>
            <w:r w:rsidRPr="008E2FB3">
              <w:rPr>
                <w:w w:val="105"/>
                <w:sz w:val="20"/>
              </w:rPr>
              <w:t>11,92</w:t>
            </w:r>
          </w:p>
        </w:tc>
        <w:tc>
          <w:tcPr>
            <w:cnfStyle w:val="000100000000" w:firstRow="0" w:lastRow="0" w:firstColumn="0" w:lastColumn="1" w:oddVBand="0" w:evenVBand="0" w:oddHBand="0" w:evenHBand="0" w:firstRowFirstColumn="0" w:firstRowLastColumn="0" w:lastRowFirstColumn="0" w:lastRowLastColumn="0"/>
            <w:tcW w:w="1524" w:type="dxa"/>
            <w:hideMark/>
          </w:tcPr>
          <w:p w14:paraId="7E54178E" w14:textId="77777777" w:rsidR="00E0473E" w:rsidRPr="008E2FB3" w:rsidRDefault="00E0473E" w:rsidP="0004445E">
            <w:pPr>
              <w:pStyle w:val="TableParagraph"/>
              <w:jc w:val="center"/>
              <w:rPr>
                <w:b w:val="0"/>
                <w:bCs w:val="0"/>
                <w:sz w:val="20"/>
              </w:rPr>
            </w:pPr>
            <w:r w:rsidRPr="008E2FB3">
              <w:rPr>
                <w:b w:val="0"/>
                <w:bCs w:val="0"/>
                <w:w w:val="105"/>
                <w:sz w:val="20"/>
              </w:rPr>
              <w:t>790,0</w:t>
            </w:r>
          </w:p>
        </w:tc>
      </w:tr>
      <w:tr w:rsidR="008E2FB3" w:rsidRPr="008E2FB3" w14:paraId="0D605944" w14:textId="77777777" w:rsidTr="00185CD4">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1788" w:type="dxa"/>
            <w:hideMark/>
          </w:tcPr>
          <w:p w14:paraId="7BED6855" w14:textId="77777777" w:rsidR="00E0473E" w:rsidRPr="008E2FB3" w:rsidRDefault="00E0473E" w:rsidP="009F7D86">
            <w:pPr>
              <w:pStyle w:val="TableParagraph"/>
              <w:ind w:right="88"/>
              <w:rPr>
                <w:b w:val="0"/>
                <w:bCs w:val="0"/>
                <w:sz w:val="20"/>
              </w:rPr>
            </w:pPr>
            <w:r w:rsidRPr="008E2FB3">
              <w:rPr>
                <w:b w:val="0"/>
                <w:bCs w:val="0"/>
                <w:sz w:val="20"/>
              </w:rPr>
              <w:t>LPS</w:t>
            </w:r>
          </w:p>
        </w:tc>
        <w:tc>
          <w:tcPr>
            <w:cnfStyle w:val="000010000000" w:firstRow="0" w:lastRow="0" w:firstColumn="0" w:lastColumn="0" w:oddVBand="1" w:evenVBand="0" w:oddHBand="0" w:evenHBand="0" w:firstRowFirstColumn="0" w:firstRowLastColumn="0" w:lastRowFirstColumn="0" w:lastRowLastColumn="0"/>
            <w:tcW w:w="1443" w:type="dxa"/>
            <w:hideMark/>
          </w:tcPr>
          <w:p w14:paraId="5DC87FFC" w14:textId="77777777" w:rsidR="00E0473E" w:rsidRPr="008E2FB3" w:rsidRDefault="00E0473E" w:rsidP="0004445E">
            <w:pPr>
              <w:pStyle w:val="TableParagraph"/>
              <w:ind w:right="102"/>
              <w:jc w:val="center"/>
              <w:rPr>
                <w:sz w:val="20"/>
              </w:rPr>
            </w:pPr>
            <w:r w:rsidRPr="008E2FB3">
              <w:rPr>
                <w:w w:val="95"/>
                <w:sz w:val="20"/>
              </w:rPr>
              <w:t>---*)</w:t>
            </w:r>
          </w:p>
        </w:tc>
        <w:tc>
          <w:tcPr>
            <w:cnfStyle w:val="000001000000" w:firstRow="0" w:lastRow="0" w:firstColumn="0" w:lastColumn="0" w:oddVBand="0" w:evenVBand="1" w:oddHBand="0" w:evenHBand="0" w:firstRowFirstColumn="0" w:firstRowLastColumn="0" w:lastRowFirstColumn="0" w:lastRowLastColumn="0"/>
            <w:tcW w:w="1130" w:type="dxa"/>
            <w:hideMark/>
          </w:tcPr>
          <w:p w14:paraId="6FE2D12B" w14:textId="77777777" w:rsidR="00E0473E" w:rsidRPr="008E2FB3" w:rsidRDefault="00E0473E" w:rsidP="0004445E">
            <w:pPr>
              <w:pStyle w:val="TableParagraph"/>
              <w:ind w:right="144"/>
              <w:jc w:val="center"/>
              <w:rPr>
                <w:sz w:val="20"/>
              </w:rPr>
            </w:pPr>
            <w:r w:rsidRPr="008E2FB3">
              <w:rPr>
                <w:w w:val="95"/>
                <w:sz w:val="20"/>
              </w:rPr>
              <w:t>---*)</w:t>
            </w:r>
          </w:p>
        </w:tc>
        <w:tc>
          <w:tcPr>
            <w:cnfStyle w:val="000100000000" w:firstRow="0" w:lastRow="0" w:firstColumn="0" w:lastColumn="1" w:oddVBand="0" w:evenVBand="0" w:oddHBand="0" w:evenHBand="0" w:firstRowFirstColumn="0" w:firstRowLastColumn="0" w:lastRowFirstColumn="0" w:lastRowLastColumn="0"/>
            <w:tcW w:w="1524" w:type="dxa"/>
            <w:hideMark/>
          </w:tcPr>
          <w:p w14:paraId="6B7F4AAA" w14:textId="77777777" w:rsidR="00E0473E" w:rsidRPr="008E2FB3" w:rsidRDefault="00E0473E" w:rsidP="0004445E">
            <w:pPr>
              <w:pStyle w:val="TableParagraph"/>
              <w:jc w:val="center"/>
              <w:rPr>
                <w:b w:val="0"/>
                <w:bCs w:val="0"/>
                <w:sz w:val="20"/>
              </w:rPr>
            </w:pPr>
            <w:r w:rsidRPr="008E2FB3">
              <w:rPr>
                <w:b w:val="0"/>
                <w:bCs w:val="0"/>
                <w:w w:val="105"/>
                <w:sz w:val="20"/>
              </w:rPr>
              <w:t>517,0</w:t>
            </w:r>
          </w:p>
        </w:tc>
      </w:tr>
      <w:tr w:rsidR="008E2FB3" w:rsidRPr="008E2FB3" w14:paraId="528D2E7C" w14:textId="77777777" w:rsidTr="00185CD4">
        <w:trPr>
          <w:trHeight w:val="239"/>
        </w:trPr>
        <w:tc>
          <w:tcPr>
            <w:cnfStyle w:val="001000000000" w:firstRow="0" w:lastRow="0" w:firstColumn="1" w:lastColumn="0" w:oddVBand="0" w:evenVBand="0" w:oddHBand="0" w:evenHBand="0" w:firstRowFirstColumn="0" w:firstRowLastColumn="0" w:lastRowFirstColumn="0" w:lastRowLastColumn="0"/>
            <w:tcW w:w="1788" w:type="dxa"/>
            <w:hideMark/>
          </w:tcPr>
          <w:p w14:paraId="444D42C5" w14:textId="77777777" w:rsidR="00E0473E" w:rsidRPr="008E2FB3" w:rsidRDefault="00E0473E" w:rsidP="009F7D86">
            <w:pPr>
              <w:pStyle w:val="TableParagraph"/>
              <w:ind w:right="86"/>
              <w:rPr>
                <w:b w:val="0"/>
                <w:bCs w:val="0"/>
                <w:sz w:val="20"/>
              </w:rPr>
            </w:pPr>
            <w:r w:rsidRPr="008E2FB3">
              <w:rPr>
                <w:b w:val="0"/>
                <w:bCs w:val="0"/>
                <w:sz w:val="20"/>
              </w:rPr>
              <w:t>SPH</w:t>
            </w:r>
          </w:p>
        </w:tc>
        <w:tc>
          <w:tcPr>
            <w:cnfStyle w:val="000010000000" w:firstRow="0" w:lastRow="0" w:firstColumn="0" w:lastColumn="0" w:oddVBand="1" w:evenVBand="0" w:oddHBand="0" w:evenHBand="0" w:firstRowFirstColumn="0" w:firstRowLastColumn="0" w:lastRowFirstColumn="0" w:lastRowLastColumn="0"/>
            <w:tcW w:w="1443" w:type="dxa"/>
            <w:hideMark/>
          </w:tcPr>
          <w:p w14:paraId="63075AD4" w14:textId="77777777" w:rsidR="00E0473E" w:rsidRPr="008E2FB3" w:rsidRDefault="00E0473E" w:rsidP="0004445E">
            <w:pPr>
              <w:pStyle w:val="TableParagraph"/>
              <w:ind w:right="102"/>
              <w:jc w:val="center"/>
              <w:rPr>
                <w:sz w:val="20"/>
              </w:rPr>
            </w:pPr>
            <w:r w:rsidRPr="008E2FB3">
              <w:rPr>
                <w:w w:val="105"/>
                <w:sz w:val="20"/>
              </w:rPr>
              <w:t>2,29</w:t>
            </w:r>
          </w:p>
        </w:tc>
        <w:tc>
          <w:tcPr>
            <w:cnfStyle w:val="000001000000" w:firstRow="0" w:lastRow="0" w:firstColumn="0" w:lastColumn="0" w:oddVBand="0" w:evenVBand="1" w:oddHBand="0" w:evenHBand="0" w:firstRowFirstColumn="0" w:firstRowLastColumn="0" w:lastRowFirstColumn="0" w:lastRowLastColumn="0"/>
            <w:tcW w:w="1130" w:type="dxa"/>
            <w:hideMark/>
          </w:tcPr>
          <w:p w14:paraId="2C3459FF" w14:textId="77777777" w:rsidR="00E0473E" w:rsidRPr="008E2FB3" w:rsidRDefault="00E0473E" w:rsidP="0004445E">
            <w:pPr>
              <w:pStyle w:val="TableParagraph"/>
              <w:ind w:right="144"/>
              <w:jc w:val="center"/>
              <w:rPr>
                <w:sz w:val="20"/>
              </w:rPr>
            </w:pPr>
            <w:r w:rsidRPr="008E2FB3">
              <w:rPr>
                <w:w w:val="105"/>
                <w:sz w:val="20"/>
              </w:rPr>
              <w:t>19,37</w:t>
            </w:r>
          </w:p>
        </w:tc>
        <w:tc>
          <w:tcPr>
            <w:cnfStyle w:val="000100000000" w:firstRow="0" w:lastRow="0" w:firstColumn="0" w:lastColumn="1" w:oddVBand="0" w:evenVBand="0" w:oddHBand="0" w:evenHBand="0" w:firstRowFirstColumn="0" w:firstRowLastColumn="0" w:lastRowFirstColumn="0" w:lastRowLastColumn="0"/>
            <w:tcW w:w="1524" w:type="dxa"/>
            <w:hideMark/>
          </w:tcPr>
          <w:p w14:paraId="6F6D6373" w14:textId="77777777" w:rsidR="00E0473E" w:rsidRPr="008E2FB3" w:rsidRDefault="00E0473E" w:rsidP="0004445E">
            <w:pPr>
              <w:pStyle w:val="TableParagraph"/>
              <w:jc w:val="center"/>
              <w:rPr>
                <w:b w:val="0"/>
                <w:bCs w:val="0"/>
                <w:sz w:val="20"/>
              </w:rPr>
            </w:pPr>
            <w:r w:rsidRPr="008E2FB3">
              <w:rPr>
                <w:b w:val="0"/>
                <w:bCs w:val="0"/>
                <w:w w:val="105"/>
                <w:sz w:val="20"/>
              </w:rPr>
              <w:t>770,0</w:t>
            </w:r>
          </w:p>
        </w:tc>
      </w:tr>
      <w:tr w:rsidR="008E2FB3" w:rsidRPr="008E2FB3" w14:paraId="6BCA843A" w14:textId="77777777" w:rsidTr="00185CD4">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1788" w:type="dxa"/>
            <w:hideMark/>
          </w:tcPr>
          <w:p w14:paraId="0D3D20B1" w14:textId="77777777" w:rsidR="00E0473E" w:rsidRPr="008E2FB3" w:rsidRDefault="00E0473E" w:rsidP="009F7D86">
            <w:pPr>
              <w:pStyle w:val="TableParagraph"/>
              <w:ind w:right="86"/>
              <w:rPr>
                <w:b w:val="0"/>
                <w:bCs w:val="0"/>
                <w:sz w:val="20"/>
              </w:rPr>
            </w:pPr>
            <w:r w:rsidRPr="008E2FB3">
              <w:rPr>
                <w:b w:val="0"/>
                <w:bCs w:val="0"/>
                <w:w w:val="95"/>
                <w:sz w:val="20"/>
              </w:rPr>
              <w:t>PE</w:t>
            </w:r>
          </w:p>
        </w:tc>
        <w:tc>
          <w:tcPr>
            <w:cnfStyle w:val="000010000000" w:firstRow="0" w:lastRow="0" w:firstColumn="0" w:lastColumn="0" w:oddVBand="1" w:evenVBand="0" w:oddHBand="0" w:evenHBand="0" w:firstRowFirstColumn="0" w:firstRowLastColumn="0" w:lastRowFirstColumn="0" w:lastRowLastColumn="0"/>
            <w:tcW w:w="1443" w:type="dxa"/>
            <w:hideMark/>
          </w:tcPr>
          <w:p w14:paraId="7D1BF160" w14:textId="77777777" w:rsidR="00E0473E" w:rsidRPr="008E2FB3" w:rsidRDefault="00E0473E" w:rsidP="0004445E">
            <w:pPr>
              <w:pStyle w:val="TableParagraph"/>
              <w:ind w:right="102"/>
              <w:jc w:val="center"/>
              <w:rPr>
                <w:sz w:val="20"/>
              </w:rPr>
            </w:pPr>
            <w:r w:rsidRPr="008E2FB3">
              <w:rPr>
                <w:w w:val="105"/>
                <w:sz w:val="20"/>
              </w:rPr>
              <w:t>3,41</w:t>
            </w:r>
          </w:p>
        </w:tc>
        <w:tc>
          <w:tcPr>
            <w:cnfStyle w:val="000001000000" w:firstRow="0" w:lastRow="0" w:firstColumn="0" w:lastColumn="0" w:oddVBand="0" w:evenVBand="1" w:oddHBand="0" w:evenHBand="0" w:firstRowFirstColumn="0" w:firstRowLastColumn="0" w:lastRowFirstColumn="0" w:lastRowLastColumn="0"/>
            <w:tcW w:w="1130" w:type="dxa"/>
            <w:hideMark/>
          </w:tcPr>
          <w:p w14:paraId="3407F03A" w14:textId="77777777" w:rsidR="00E0473E" w:rsidRPr="008E2FB3" w:rsidRDefault="00E0473E" w:rsidP="0004445E">
            <w:pPr>
              <w:pStyle w:val="TableParagraph"/>
              <w:ind w:right="144"/>
              <w:jc w:val="center"/>
              <w:rPr>
                <w:sz w:val="20"/>
              </w:rPr>
            </w:pPr>
            <w:r w:rsidRPr="008E2FB3">
              <w:rPr>
                <w:w w:val="105"/>
                <w:sz w:val="20"/>
              </w:rPr>
              <w:t>29,44</w:t>
            </w:r>
          </w:p>
        </w:tc>
        <w:tc>
          <w:tcPr>
            <w:cnfStyle w:val="000100000000" w:firstRow="0" w:lastRow="0" w:firstColumn="0" w:lastColumn="1" w:oddVBand="0" w:evenVBand="0" w:oddHBand="0" w:evenHBand="0" w:firstRowFirstColumn="0" w:firstRowLastColumn="0" w:lastRowFirstColumn="0" w:lastRowLastColumn="0"/>
            <w:tcW w:w="1524" w:type="dxa"/>
            <w:hideMark/>
          </w:tcPr>
          <w:p w14:paraId="2F97C0C1" w14:textId="77777777" w:rsidR="00E0473E" w:rsidRPr="008E2FB3" w:rsidRDefault="00E0473E" w:rsidP="0004445E">
            <w:pPr>
              <w:pStyle w:val="TableParagraph"/>
              <w:jc w:val="center"/>
              <w:rPr>
                <w:b w:val="0"/>
                <w:bCs w:val="0"/>
                <w:sz w:val="20"/>
              </w:rPr>
            </w:pPr>
            <w:r w:rsidRPr="008E2FB3">
              <w:rPr>
                <w:b w:val="0"/>
                <w:bCs w:val="0"/>
                <w:w w:val="105"/>
                <w:sz w:val="20"/>
              </w:rPr>
              <w:t>755,0</w:t>
            </w:r>
          </w:p>
        </w:tc>
      </w:tr>
      <w:tr w:rsidR="008E2FB3" w:rsidRPr="008E2FB3" w14:paraId="642D753F" w14:textId="77777777" w:rsidTr="00185CD4">
        <w:trPr>
          <w:trHeight w:val="239"/>
        </w:trPr>
        <w:tc>
          <w:tcPr>
            <w:cnfStyle w:val="001000000000" w:firstRow="0" w:lastRow="0" w:firstColumn="1" w:lastColumn="0" w:oddVBand="0" w:evenVBand="0" w:oddHBand="0" w:evenHBand="0" w:firstRowFirstColumn="0" w:firstRowLastColumn="0" w:lastRowFirstColumn="0" w:lastRowLastColumn="0"/>
            <w:tcW w:w="1788" w:type="dxa"/>
            <w:hideMark/>
          </w:tcPr>
          <w:p w14:paraId="533F9649" w14:textId="77777777" w:rsidR="00E0473E" w:rsidRPr="008E2FB3" w:rsidRDefault="00E0473E" w:rsidP="009F7D86">
            <w:pPr>
              <w:pStyle w:val="TableParagraph"/>
              <w:ind w:right="89"/>
              <w:rPr>
                <w:b w:val="0"/>
                <w:bCs w:val="0"/>
                <w:sz w:val="20"/>
              </w:rPr>
            </w:pPr>
            <w:r w:rsidRPr="008E2FB3">
              <w:rPr>
                <w:b w:val="0"/>
                <w:bCs w:val="0"/>
                <w:sz w:val="20"/>
              </w:rPr>
              <w:t>LPE</w:t>
            </w:r>
          </w:p>
        </w:tc>
        <w:tc>
          <w:tcPr>
            <w:cnfStyle w:val="000010000000" w:firstRow="0" w:lastRow="0" w:firstColumn="0" w:lastColumn="0" w:oddVBand="1" w:evenVBand="0" w:oddHBand="0" w:evenHBand="0" w:firstRowFirstColumn="0" w:firstRowLastColumn="0" w:lastRowFirstColumn="0" w:lastRowLastColumn="0"/>
            <w:tcW w:w="1443" w:type="dxa"/>
            <w:hideMark/>
          </w:tcPr>
          <w:p w14:paraId="49755A0B" w14:textId="77777777" w:rsidR="00E0473E" w:rsidRPr="008E2FB3" w:rsidRDefault="00E0473E" w:rsidP="0004445E">
            <w:pPr>
              <w:pStyle w:val="TableParagraph"/>
              <w:ind w:right="102"/>
              <w:jc w:val="center"/>
              <w:rPr>
                <w:sz w:val="20"/>
              </w:rPr>
            </w:pPr>
            <w:r w:rsidRPr="008E2FB3">
              <w:rPr>
                <w:w w:val="105"/>
                <w:sz w:val="20"/>
              </w:rPr>
              <w:t>0,05</w:t>
            </w:r>
          </w:p>
        </w:tc>
        <w:tc>
          <w:tcPr>
            <w:cnfStyle w:val="000001000000" w:firstRow="0" w:lastRow="0" w:firstColumn="0" w:lastColumn="0" w:oddVBand="0" w:evenVBand="1" w:oddHBand="0" w:evenHBand="0" w:firstRowFirstColumn="0" w:firstRowLastColumn="0" w:lastRowFirstColumn="0" w:lastRowLastColumn="0"/>
            <w:tcW w:w="1130" w:type="dxa"/>
            <w:hideMark/>
          </w:tcPr>
          <w:p w14:paraId="360C2493" w14:textId="77777777" w:rsidR="00E0473E" w:rsidRPr="008E2FB3" w:rsidRDefault="00E0473E" w:rsidP="0004445E">
            <w:pPr>
              <w:pStyle w:val="TableParagraph"/>
              <w:ind w:right="144"/>
              <w:jc w:val="center"/>
              <w:rPr>
                <w:sz w:val="20"/>
              </w:rPr>
            </w:pPr>
            <w:r w:rsidRPr="008E2FB3">
              <w:rPr>
                <w:w w:val="105"/>
                <w:sz w:val="20"/>
              </w:rPr>
              <w:t>0,70</w:t>
            </w:r>
          </w:p>
        </w:tc>
        <w:tc>
          <w:tcPr>
            <w:cnfStyle w:val="000100000000" w:firstRow="0" w:lastRow="0" w:firstColumn="0" w:lastColumn="1" w:oddVBand="0" w:evenVBand="0" w:oddHBand="0" w:evenHBand="0" w:firstRowFirstColumn="0" w:firstRowLastColumn="0" w:lastRowFirstColumn="0" w:lastRowLastColumn="0"/>
            <w:tcW w:w="1524" w:type="dxa"/>
            <w:hideMark/>
          </w:tcPr>
          <w:p w14:paraId="0AE3E74F" w14:textId="77777777" w:rsidR="00E0473E" w:rsidRPr="008E2FB3" w:rsidRDefault="00E0473E" w:rsidP="0004445E">
            <w:pPr>
              <w:pStyle w:val="TableParagraph"/>
              <w:jc w:val="center"/>
              <w:rPr>
                <w:b w:val="0"/>
                <w:bCs w:val="0"/>
                <w:sz w:val="20"/>
              </w:rPr>
            </w:pPr>
            <w:r w:rsidRPr="008E2FB3">
              <w:rPr>
                <w:b w:val="0"/>
                <w:bCs w:val="0"/>
                <w:w w:val="105"/>
                <w:sz w:val="20"/>
              </w:rPr>
              <w:t>470,0</w:t>
            </w:r>
          </w:p>
        </w:tc>
      </w:tr>
      <w:tr w:rsidR="008E2FB3" w:rsidRPr="008E2FB3" w14:paraId="577ABE93" w14:textId="77777777" w:rsidTr="00185CD4">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1788" w:type="dxa"/>
            <w:hideMark/>
          </w:tcPr>
          <w:p w14:paraId="3EF7F0E4" w14:textId="77777777" w:rsidR="00E0473E" w:rsidRPr="008E2FB3" w:rsidRDefault="00E0473E" w:rsidP="009F7D86">
            <w:pPr>
              <w:pStyle w:val="TableParagraph"/>
              <w:spacing w:before="6"/>
              <w:ind w:right="88"/>
              <w:rPr>
                <w:b w:val="0"/>
                <w:bCs w:val="0"/>
                <w:sz w:val="20"/>
              </w:rPr>
            </w:pPr>
            <w:r w:rsidRPr="008E2FB3">
              <w:rPr>
                <w:b w:val="0"/>
                <w:bCs w:val="0"/>
                <w:sz w:val="20"/>
              </w:rPr>
              <w:t>APE</w:t>
            </w:r>
          </w:p>
        </w:tc>
        <w:tc>
          <w:tcPr>
            <w:cnfStyle w:val="000010000000" w:firstRow="0" w:lastRow="0" w:firstColumn="0" w:lastColumn="0" w:oddVBand="1" w:evenVBand="0" w:oddHBand="0" w:evenHBand="0" w:firstRowFirstColumn="0" w:firstRowLastColumn="0" w:lastRowFirstColumn="0" w:lastRowLastColumn="0"/>
            <w:tcW w:w="1443" w:type="dxa"/>
            <w:hideMark/>
          </w:tcPr>
          <w:p w14:paraId="48E13019" w14:textId="77777777" w:rsidR="00E0473E" w:rsidRPr="008E2FB3" w:rsidRDefault="00E0473E" w:rsidP="0004445E">
            <w:pPr>
              <w:pStyle w:val="TableParagraph"/>
              <w:spacing w:before="6"/>
              <w:ind w:right="102"/>
              <w:jc w:val="center"/>
              <w:rPr>
                <w:sz w:val="20"/>
              </w:rPr>
            </w:pPr>
            <w:r w:rsidRPr="008E2FB3">
              <w:rPr>
                <w:w w:val="95"/>
                <w:sz w:val="20"/>
              </w:rPr>
              <w:t>---*)</w:t>
            </w:r>
          </w:p>
        </w:tc>
        <w:tc>
          <w:tcPr>
            <w:cnfStyle w:val="000001000000" w:firstRow="0" w:lastRow="0" w:firstColumn="0" w:lastColumn="0" w:oddVBand="0" w:evenVBand="1" w:oddHBand="0" w:evenHBand="0" w:firstRowFirstColumn="0" w:firstRowLastColumn="0" w:lastRowFirstColumn="0" w:lastRowLastColumn="0"/>
            <w:tcW w:w="1130" w:type="dxa"/>
            <w:hideMark/>
          </w:tcPr>
          <w:p w14:paraId="01FEFDB0" w14:textId="77777777" w:rsidR="00E0473E" w:rsidRPr="008E2FB3" w:rsidRDefault="00E0473E" w:rsidP="0004445E">
            <w:pPr>
              <w:pStyle w:val="TableParagraph"/>
              <w:spacing w:before="6"/>
              <w:ind w:right="144"/>
              <w:jc w:val="center"/>
              <w:rPr>
                <w:sz w:val="20"/>
              </w:rPr>
            </w:pPr>
            <w:r w:rsidRPr="008E2FB3">
              <w:rPr>
                <w:w w:val="95"/>
                <w:sz w:val="20"/>
              </w:rPr>
              <w:t>---*)</w:t>
            </w:r>
          </w:p>
        </w:tc>
        <w:tc>
          <w:tcPr>
            <w:cnfStyle w:val="000100000000" w:firstRow="0" w:lastRow="0" w:firstColumn="0" w:lastColumn="1" w:oddVBand="0" w:evenVBand="0" w:oddHBand="0" w:evenHBand="0" w:firstRowFirstColumn="0" w:firstRowLastColumn="0" w:lastRowFirstColumn="0" w:lastRowLastColumn="0"/>
            <w:tcW w:w="1524" w:type="dxa"/>
            <w:hideMark/>
          </w:tcPr>
          <w:p w14:paraId="2E56EACE" w14:textId="77777777" w:rsidR="00E0473E" w:rsidRPr="008E2FB3" w:rsidRDefault="00E0473E" w:rsidP="0004445E">
            <w:pPr>
              <w:pStyle w:val="TableParagraph"/>
              <w:spacing w:before="6"/>
              <w:jc w:val="center"/>
              <w:rPr>
                <w:b w:val="0"/>
                <w:bCs w:val="0"/>
                <w:sz w:val="20"/>
              </w:rPr>
            </w:pPr>
            <w:r w:rsidRPr="008E2FB3">
              <w:rPr>
                <w:b w:val="0"/>
                <w:bCs w:val="0"/>
                <w:w w:val="105"/>
                <w:sz w:val="20"/>
              </w:rPr>
              <w:t>990,0</w:t>
            </w:r>
          </w:p>
        </w:tc>
      </w:tr>
      <w:tr w:rsidR="008E2FB3" w:rsidRPr="008E2FB3" w14:paraId="714FB094" w14:textId="77777777" w:rsidTr="00185CD4">
        <w:trPr>
          <w:trHeight w:val="239"/>
        </w:trPr>
        <w:tc>
          <w:tcPr>
            <w:cnfStyle w:val="001000000000" w:firstRow="0" w:lastRow="0" w:firstColumn="1" w:lastColumn="0" w:oddVBand="0" w:evenVBand="0" w:oddHBand="0" w:evenHBand="0" w:firstRowFirstColumn="0" w:firstRowLastColumn="0" w:lastRowFirstColumn="0" w:lastRowLastColumn="0"/>
            <w:tcW w:w="1788" w:type="dxa"/>
            <w:hideMark/>
          </w:tcPr>
          <w:p w14:paraId="1AEDE0CD" w14:textId="77777777" w:rsidR="00E0473E" w:rsidRPr="008E2FB3" w:rsidRDefault="00E0473E" w:rsidP="009F7D86">
            <w:pPr>
              <w:pStyle w:val="TableParagraph"/>
              <w:ind w:right="86"/>
              <w:rPr>
                <w:b w:val="0"/>
                <w:bCs w:val="0"/>
                <w:sz w:val="20"/>
              </w:rPr>
            </w:pPr>
            <w:r w:rsidRPr="008E2FB3">
              <w:rPr>
                <w:b w:val="0"/>
                <w:bCs w:val="0"/>
                <w:sz w:val="20"/>
              </w:rPr>
              <w:t>PG</w:t>
            </w:r>
          </w:p>
        </w:tc>
        <w:tc>
          <w:tcPr>
            <w:cnfStyle w:val="000010000000" w:firstRow="0" w:lastRow="0" w:firstColumn="0" w:lastColumn="0" w:oddVBand="1" w:evenVBand="0" w:oddHBand="0" w:evenHBand="0" w:firstRowFirstColumn="0" w:firstRowLastColumn="0" w:lastRowFirstColumn="0" w:lastRowLastColumn="0"/>
            <w:tcW w:w="1443" w:type="dxa"/>
            <w:hideMark/>
          </w:tcPr>
          <w:p w14:paraId="32D5D252" w14:textId="77777777" w:rsidR="00E0473E" w:rsidRPr="008E2FB3" w:rsidRDefault="00E0473E" w:rsidP="0004445E">
            <w:pPr>
              <w:pStyle w:val="TableParagraph"/>
              <w:ind w:right="102"/>
              <w:jc w:val="center"/>
              <w:rPr>
                <w:sz w:val="20"/>
              </w:rPr>
            </w:pPr>
            <w:r w:rsidRPr="008E2FB3">
              <w:rPr>
                <w:w w:val="95"/>
                <w:sz w:val="20"/>
              </w:rPr>
              <w:t>---*)</w:t>
            </w:r>
          </w:p>
        </w:tc>
        <w:tc>
          <w:tcPr>
            <w:cnfStyle w:val="000001000000" w:firstRow="0" w:lastRow="0" w:firstColumn="0" w:lastColumn="0" w:oddVBand="0" w:evenVBand="1" w:oddHBand="0" w:evenHBand="0" w:firstRowFirstColumn="0" w:firstRowLastColumn="0" w:lastRowFirstColumn="0" w:lastRowLastColumn="0"/>
            <w:tcW w:w="1130" w:type="dxa"/>
            <w:hideMark/>
          </w:tcPr>
          <w:p w14:paraId="4FF24FF5" w14:textId="77777777" w:rsidR="00E0473E" w:rsidRPr="008E2FB3" w:rsidRDefault="00E0473E" w:rsidP="0004445E">
            <w:pPr>
              <w:pStyle w:val="TableParagraph"/>
              <w:ind w:right="144"/>
              <w:jc w:val="center"/>
              <w:rPr>
                <w:sz w:val="20"/>
              </w:rPr>
            </w:pPr>
            <w:r w:rsidRPr="008E2FB3">
              <w:rPr>
                <w:w w:val="95"/>
                <w:sz w:val="20"/>
              </w:rPr>
              <w:t>---*)</w:t>
            </w:r>
          </w:p>
        </w:tc>
        <w:tc>
          <w:tcPr>
            <w:cnfStyle w:val="000100000000" w:firstRow="0" w:lastRow="0" w:firstColumn="0" w:lastColumn="1" w:oddVBand="0" w:evenVBand="0" w:oddHBand="0" w:evenHBand="0" w:firstRowFirstColumn="0" w:firstRowLastColumn="0" w:lastRowFirstColumn="0" w:lastRowLastColumn="0"/>
            <w:tcW w:w="1524" w:type="dxa"/>
            <w:hideMark/>
          </w:tcPr>
          <w:p w14:paraId="1DF23E60" w14:textId="77777777" w:rsidR="00E0473E" w:rsidRPr="008E2FB3" w:rsidRDefault="00E0473E" w:rsidP="0004445E">
            <w:pPr>
              <w:pStyle w:val="TableParagraph"/>
              <w:jc w:val="center"/>
              <w:rPr>
                <w:b w:val="0"/>
                <w:bCs w:val="0"/>
                <w:sz w:val="20"/>
              </w:rPr>
            </w:pPr>
            <w:r w:rsidRPr="008E2FB3">
              <w:rPr>
                <w:b w:val="0"/>
                <w:bCs w:val="0"/>
                <w:w w:val="105"/>
                <w:sz w:val="20"/>
              </w:rPr>
              <w:t>758,0</w:t>
            </w:r>
          </w:p>
        </w:tc>
      </w:tr>
      <w:tr w:rsidR="008E2FB3" w:rsidRPr="008E2FB3" w14:paraId="35E85D11" w14:textId="77777777" w:rsidTr="00185CD4">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1788" w:type="dxa"/>
            <w:hideMark/>
          </w:tcPr>
          <w:p w14:paraId="19361774" w14:textId="77777777" w:rsidR="00E0473E" w:rsidRPr="008E2FB3" w:rsidRDefault="00E0473E" w:rsidP="009F7D86">
            <w:pPr>
              <w:pStyle w:val="TableParagraph"/>
              <w:ind w:right="89"/>
              <w:rPr>
                <w:b w:val="0"/>
                <w:bCs w:val="0"/>
                <w:sz w:val="20"/>
              </w:rPr>
            </w:pPr>
            <w:r w:rsidRPr="008E2FB3">
              <w:rPr>
                <w:b w:val="0"/>
                <w:bCs w:val="0"/>
                <w:sz w:val="20"/>
              </w:rPr>
              <w:t>DPG</w:t>
            </w:r>
          </w:p>
        </w:tc>
        <w:tc>
          <w:tcPr>
            <w:cnfStyle w:val="000010000000" w:firstRow="0" w:lastRow="0" w:firstColumn="0" w:lastColumn="0" w:oddVBand="1" w:evenVBand="0" w:oddHBand="0" w:evenHBand="0" w:firstRowFirstColumn="0" w:firstRowLastColumn="0" w:lastRowFirstColumn="0" w:lastRowLastColumn="0"/>
            <w:tcW w:w="1443" w:type="dxa"/>
            <w:hideMark/>
          </w:tcPr>
          <w:p w14:paraId="4B2E7004" w14:textId="77777777" w:rsidR="00E0473E" w:rsidRPr="008E2FB3" w:rsidRDefault="00E0473E" w:rsidP="0004445E">
            <w:pPr>
              <w:pStyle w:val="TableParagraph"/>
              <w:ind w:right="102"/>
              <w:jc w:val="center"/>
              <w:rPr>
                <w:sz w:val="20"/>
              </w:rPr>
            </w:pPr>
            <w:r w:rsidRPr="008E2FB3">
              <w:rPr>
                <w:w w:val="95"/>
                <w:sz w:val="20"/>
              </w:rPr>
              <w:t>---*)</w:t>
            </w:r>
          </w:p>
        </w:tc>
        <w:tc>
          <w:tcPr>
            <w:cnfStyle w:val="000001000000" w:firstRow="0" w:lastRow="0" w:firstColumn="0" w:lastColumn="0" w:oddVBand="0" w:evenVBand="1" w:oddHBand="0" w:evenHBand="0" w:firstRowFirstColumn="0" w:firstRowLastColumn="0" w:lastRowFirstColumn="0" w:lastRowLastColumn="0"/>
            <w:tcW w:w="1130" w:type="dxa"/>
            <w:hideMark/>
          </w:tcPr>
          <w:p w14:paraId="4F8C301B" w14:textId="77777777" w:rsidR="00E0473E" w:rsidRPr="008E2FB3" w:rsidRDefault="00E0473E" w:rsidP="0004445E">
            <w:pPr>
              <w:pStyle w:val="TableParagraph"/>
              <w:ind w:right="144"/>
              <w:jc w:val="center"/>
              <w:rPr>
                <w:sz w:val="20"/>
              </w:rPr>
            </w:pPr>
            <w:r w:rsidRPr="008E2FB3">
              <w:rPr>
                <w:w w:val="95"/>
                <w:sz w:val="20"/>
              </w:rPr>
              <w:t>---*)</w:t>
            </w:r>
          </w:p>
        </w:tc>
        <w:tc>
          <w:tcPr>
            <w:cnfStyle w:val="000100000000" w:firstRow="0" w:lastRow="0" w:firstColumn="0" w:lastColumn="1" w:oddVBand="0" w:evenVBand="0" w:oddHBand="0" w:evenHBand="0" w:firstRowFirstColumn="0" w:firstRowLastColumn="0" w:lastRowFirstColumn="0" w:lastRowLastColumn="0"/>
            <w:tcW w:w="1524" w:type="dxa"/>
            <w:hideMark/>
          </w:tcPr>
          <w:p w14:paraId="501E4FCD" w14:textId="77777777" w:rsidR="00E0473E" w:rsidRPr="008E2FB3" w:rsidRDefault="00E0473E" w:rsidP="0004445E">
            <w:pPr>
              <w:pStyle w:val="TableParagraph"/>
              <w:jc w:val="center"/>
              <w:rPr>
                <w:b w:val="0"/>
                <w:bCs w:val="0"/>
                <w:sz w:val="20"/>
              </w:rPr>
            </w:pPr>
            <w:r w:rsidRPr="008E2FB3">
              <w:rPr>
                <w:b w:val="0"/>
                <w:bCs w:val="0"/>
                <w:w w:val="105"/>
                <w:sz w:val="20"/>
              </w:rPr>
              <w:t>682,5</w:t>
            </w:r>
          </w:p>
        </w:tc>
      </w:tr>
      <w:tr w:rsidR="008E2FB3" w:rsidRPr="008E2FB3" w14:paraId="6B4E9947" w14:textId="77777777" w:rsidTr="00185CD4">
        <w:trPr>
          <w:trHeight w:val="239"/>
        </w:trPr>
        <w:tc>
          <w:tcPr>
            <w:cnfStyle w:val="001000000000" w:firstRow="0" w:lastRow="0" w:firstColumn="1" w:lastColumn="0" w:oddVBand="0" w:evenVBand="0" w:oddHBand="0" w:evenHBand="0" w:firstRowFirstColumn="0" w:firstRowLastColumn="0" w:lastRowFirstColumn="0" w:lastRowLastColumn="0"/>
            <w:tcW w:w="1788" w:type="dxa"/>
            <w:hideMark/>
          </w:tcPr>
          <w:p w14:paraId="2E4716BD" w14:textId="77777777" w:rsidR="00E0473E" w:rsidRPr="008E2FB3" w:rsidRDefault="00E0473E" w:rsidP="009F7D86">
            <w:pPr>
              <w:pStyle w:val="TableParagraph"/>
              <w:ind w:right="87"/>
              <w:rPr>
                <w:b w:val="0"/>
                <w:bCs w:val="0"/>
                <w:sz w:val="20"/>
              </w:rPr>
            </w:pPr>
            <w:r w:rsidRPr="008E2FB3">
              <w:rPr>
                <w:b w:val="0"/>
                <w:bCs w:val="0"/>
                <w:sz w:val="20"/>
              </w:rPr>
              <w:t>PA</w:t>
            </w:r>
          </w:p>
        </w:tc>
        <w:tc>
          <w:tcPr>
            <w:cnfStyle w:val="000010000000" w:firstRow="0" w:lastRow="0" w:firstColumn="0" w:lastColumn="0" w:oddVBand="1" w:evenVBand="0" w:oddHBand="0" w:evenHBand="0" w:firstRowFirstColumn="0" w:firstRowLastColumn="0" w:lastRowFirstColumn="0" w:lastRowLastColumn="0"/>
            <w:tcW w:w="1443" w:type="dxa"/>
            <w:hideMark/>
          </w:tcPr>
          <w:p w14:paraId="78402806" w14:textId="77777777" w:rsidR="00E0473E" w:rsidRPr="008E2FB3" w:rsidRDefault="00E0473E" w:rsidP="0004445E">
            <w:pPr>
              <w:pStyle w:val="TableParagraph"/>
              <w:ind w:right="102"/>
              <w:jc w:val="center"/>
              <w:rPr>
                <w:sz w:val="20"/>
              </w:rPr>
            </w:pPr>
            <w:r w:rsidRPr="008E2FB3">
              <w:rPr>
                <w:w w:val="105"/>
                <w:sz w:val="20"/>
              </w:rPr>
              <w:t>0,03</w:t>
            </w:r>
          </w:p>
        </w:tc>
        <w:tc>
          <w:tcPr>
            <w:cnfStyle w:val="000001000000" w:firstRow="0" w:lastRow="0" w:firstColumn="0" w:lastColumn="0" w:oddVBand="0" w:evenVBand="1" w:oddHBand="0" w:evenHBand="0" w:firstRowFirstColumn="0" w:firstRowLastColumn="0" w:lastRowFirstColumn="0" w:lastRowLastColumn="0"/>
            <w:tcW w:w="1130" w:type="dxa"/>
            <w:hideMark/>
          </w:tcPr>
          <w:p w14:paraId="504C6670" w14:textId="77777777" w:rsidR="00E0473E" w:rsidRPr="008E2FB3" w:rsidRDefault="00E0473E" w:rsidP="0004445E">
            <w:pPr>
              <w:pStyle w:val="TableParagraph"/>
              <w:ind w:right="144"/>
              <w:jc w:val="center"/>
              <w:rPr>
                <w:sz w:val="20"/>
              </w:rPr>
            </w:pPr>
            <w:r w:rsidRPr="008E2FB3">
              <w:rPr>
                <w:w w:val="105"/>
                <w:sz w:val="20"/>
              </w:rPr>
              <w:t>0,28</w:t>
            </w:r>
          </w:p>
        </w:tc>
        <w:tc>
          <w:tcPr>
            <w:cnfStyle w:val="000100000000" w:firstRow="0" w:lastRow="0" w:firstColumn="0" w:lastColumn="1" w:oddVBand="0" w:evenVBand="0" w:oddHBand="0" w:evenHBand="0" w:firstRowFirstColumn="0" w:firstRowLastColumn="0" w:lastRowFirstColumn="0" w:lastRowLastColumn="0"/>
            <w:tcW w:w="1524" w:type="dxa"/>
            <w:hideMark/>
          </w:tcPr>
          <w:p w14:paraId="1E02C50F" w14:textId="77777777" w:rsidR="00E0473E" w:rsidRPr="008E2FB3" w:rsidRDefault="00E0473E" w:rsidP="0004445E">
            <w:pPr>
              <w:pStyle w:val="TableParagraph"/>
              <w:jc w:val="center"/>
              <w:rPr>
                <w:b w:val="0"/>
                <w:bCs w:val="0"/>
                <w:sz w:val="20"/>
              </w:rPr>
            </w:pPr>
            <w:r w:rsidRPr="008E2FB3">
              <w:rPr>
                <w:b w:val="0"/>
                <w:bCs w:val="0"/>
                <w:w w:val="105"/>
                <w:sz w:val="20"/>
              </w:rPr>
              <w:t>685,0</w:t>
            </w:r>
          </w:p>
        </w:tc>
      </w:tr>
      <w:tr w:rsidR="008E2FB3" w:rsidRPr="008E2FB3" w14:paraId="5328EFF4" w14:textId="77777777" w:rsidTr="00D47AF0">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1788" w:type="dxa"/>
            <w:hideMark/>
          </w:tcPr>
          <w:p w14:paraId="415B27E9" w14:textId="77777777" w:rsidR="00E0473E" w:rsidRPr="008E2FB3" w:rsidRDefault="00E0473E" w:rsidP="009F7D86">
            <w:pPr>
              <w:pStyle w:val="TableParagraph"/>
              <w:ind w:right="88"/>
              <w:rPr>
                <w:b w:val="0"/>
                <w:bCs w:val="0"/>
                <w:sz w:val="20"/>
              </w:rPr>
            </w:pPr>
            <w:r w:rsidRPr="008E2FB3">
              <w:rPr>
                <w:b w:val="0"/>
                <w:bCs w:val="0"/>
                <w:sz w:val="20"/>
              </w:rPr>
              <w:t>LPA</w:t>
            </w:r>
          </w:p>
        </w:tc>
        <w:tc>
          <w:tcPr>
            <w:cnfStyle w:val="000010000000" w:firstRow="0" w:lastRow="0" w:firstColumn="0" w:lastColumn="0" w:oddVBand="1" w:evenVBand="0" w:oddHBand="0" w:evenHBand="0" w:firstRowFirstColumn="0" w:firstRowLastColumn="0" w:lastRowFirstColumn="0" w:lastRowLastColumn="0"/>
            <w:tcW w:w="1443" w:type="dxa"/>
            <w:hideMark/>
          </w:tcPr>
          <w:p w14:paraId="6116FDDE" w14:textId="77777777" w:rsidR="00E0473E" w:rsidRPr="008E2FB3" w:rsidRDefault="00E0473E" w:rsidP="0004445E">
            <w:pPr>
              <w:pStyle w:val="TableParagraph"/>
              <w:ind w:right="102"/>
              <w:jc w:val="center"/>
              <w:rPr>
                <w:sz w:val="20"/>
              </w:rPr>
            </w:pPr>
            <w:r w:rsidRPr="008E2FB3">
              <w:rPr>
                <w:w w:val="95"/>
                <w:sz w:val="20"/>
              </w:rPr>
              <w:t>---*)</w:t>
            </w:r>
          </w:p>
        </w:tc>
        <w:tc>
          <w:tcPr>
            <w:cnfStyle w:val="000001000000" w:firstRow="0" w:lastRow="0" w:firstColumn="0" w:lastColumn="0" w:oddVBand="0" w:evenVBand="1" w:oddHBand="0" w:evenHBand="0" w:firstRowFirstColumn="0" w:firstRowLastColumn="0" w:lastRowFirstColumn="0" w:lastRowLastColumn="0"/>
            <w:tcW w:w="1130" w:type="dxa"/>
            <w:hideMark/>
          </w:tcPr>
          <w:p w14:paraId="4A1620E3" w14:textId="77777777" w:rsidR="00E0473E" w:rsidRPr="008E2FB3" w:rsidRDefault="00E0473E" w:rsidP="0004445E">
            <w:pPr>
              <w:pStyle w:val="TableParagraph"/>
              <w:ind w:right="144"/>
              <w:jc w:val="center"/>
              <w:rPr>
                <w:sz w:val="20"/>
              </w:rPr>
            </w:pPr>
            <w:r w:rsidRPr="008E2FB3">
              <w:rPr>
                <w:w w:val="95"/>
                <w:sz w:val="20"/>
              </w:rPr>
              <w:t>---*)</w:t>
            </w:r>
          </w:p>
        </w:tc>
        <w:tc>
          <w:tcPr>
            <w:cnfStyle w:val="000100000000" w:firstRow="0" w:lastRow="0" w:firstColumn="0" w:lastColumn="1" w:oddVBand="0" w:evenVBand="0" w:oddHBand="0" w:evenHBand="0" w:firstRowFirstColumn="0" w:firstRowLastColumn="0" w:lastRowFirstColumn="0" w:lastRowLastColumn="0"/>
            <w:tcW w:w="1524" w:type="dxa"/>
            <w:hideMark/>
          </w:tcPr>
          <w:p w14:paraId="4DF88C3D" w14:textId="77777777" w:rsidR="00E0473E" w:rsidRPr="008E2FB3" w:rsidRDefault="00E0473E" w:rsidP="0004445E">
            <w:pPr>
              <w:pStyle w:val="TableParagraph"/>
              <w:jc w:val="center"/>
              <w:rPr>
                <w:b w:val="0"/>
                <w:bCs w:val="0"/>
                <w:sz w:val="20"/>
              </w:rPr>
            </w:pPr>
            <w:r w:rsidRPr="008E2FB3">
              <w:rPr>
                <w:b w:val="0"/>
                <w:bCs w:val="0"/>
                <w:w w:val="105"/>
                <w:sz w:val="20"/>
              </w:rPr>
              <w:t>430,0</w:t>
            </w:r>
          </w:p>
        </w:tc>
      </w:tr>
      <w:tr w:rsidR="008E2FB3" w:rsidRPr="008E2FB3" w14:paraId="63505A97" w14:textId="77777777" w:rsidTr="00D47AF0">
        <w:trPr>
          <w:trHeight w:val="238"/>
        </w:trPr>
        <w:tc>
          <w:tcPr>
            <w:cnfStyle w:val="001000000000" w:firstRow="0" w:lastRow="0" w:firstColumn="1" w:lastColumn="0" w:oddVBand="0" w:evenVBand="0" w:oddHBand="0" w:evenHBand="0" w:firstRowFirstColumn="0" w:firstRowLastColumn="0" w:lastRowFirstColumn="0" w:lastRowLastColumn="0"/>
            <w:tcW w:w="1788" w:type="dxa"/>
            <w:tcBorders>
              <w:bottom w:val="single" w:sz="4" w:space="0" w:color="auto"/>
            </w:tcBorders>
            <w:hideMark/>
          </w:tcPr>
          <w:p w14:paraId="648A3DC7" w14:textId="77777777" w:rsidR="00E0473E" w:rsidRPr="008E2FB3" w:rsidRDefault="00E0473E" w:rsidP="009F7D86">
            <w:pPr>
              <w:pStyle w:val="TableParagraph"/>
              <w:ind w:right="89"/>
              <w:rPr>
                <w:b w:val="0"/>
                <w:bCs w:val="0"/>
                <w:sz w:val="20"/>
              </w:rPr>
            </w:pPr>
            <w:r w:rsidRPr="008E2FB3">
              <w:rPr>
                <w:b w:val="0"/>
                <w:bCs w:val="0"/>
                <w:sz w:val="20"/>
              </w:rPr>
              <w:t>Other PL</w:t>
            </w:r>
          </w:p>
        </w:tc>
        <w:tc>
          <w:tcPr>
            <w:cnfStyle w:val="000010000000" w:firstRow="0" w:lastRow="0" w:firstColumn="0" w:lastColumn="0" w:oddVBand="1" w:evenVBand="0" w:oddHBand="0" w:evenHBand="0" w:firstRowFirstColumn="0" w:firstRowLastColumn="0" w:lastRowFirstColumn="0" w:lastRowLastColumn="0"/>
            <w:tcW w:w="1443" w:type="dxa"/>
            <w:tcBorders>
              <w:bottom w:val="single" w:sz="4" w:space="0" w:color="auto"/>
            </w:tcBorders>
            <w:hideMark/>
          </w:tcPr>
          <w:p w14:paraId="2670E8D7" w14:textId="77777777" w:rsidR="00E0473E" w:rsidRPr="008E2FB3" w:rsidRDefault="00E0473E" w:rsidP="0004445E">
            <w:pPr>
              <w:pStyle w:val="TableParagraph"/>
              <w:ind w:right="102"/>
              <w:jc w:val="center"/>
              <w:rPr>
                <w:sz w:val="20"/>
              </w:rPr>
            </w:pPr>
            <w:r w:rsidRPr="008E2FB3">
              <w:rPr>
                <w:w w:val="105"/>
                <w:sz w:val="20"/>
              </w:rPr>
              <w:t>0,33</w:t>
            </w:r>
          </w:p>
        </w:tc>
        <w:tc>
          <w:tcPr>
            <w:cnfStyle w:val="000001000000" w:firstRow="0" w:lastRow="0" w:firstColumn="0" w:lastColumn="0" w:oddVBand="0" w:evenVBand="1" w:oddHBand="0" w:evenHBand="0" w:firstRowFirstColumn="0" w:firstRowLastColumn="0" w:lastRowFirstColumn="0" w:lastRowLastColumn="0"/>
            <w:tcW w:w="1130" w:type="dxa"/>
            <w:tcBorders>
              <w:bottom w:val="single" w:sz="4" w:space="0" w:color="auto"/>
            </w:tcBorders>
            <w:hideMark/>
          </w:tcPr>
          <w:p w14:paraId="54A14902" w14:textId="77777777" w:rsidR="00E0473E" w:rsidRPr="008E2FB3" w:rsidRDefault="00E0473E" w:rsidP="0004445E">
            <w:pPr>
              <w:pStyle w:val="TableParagraph"/>
              <w:ind w:right="144"/>
              <w:jc w:val="center"/>
              <w:rPr>
                <w:sz w:val="20"/>
              </w:rPr>
            </w:pPr>
            <w:r w:rsidRPr="008E2FB3">
              <w:rPr>
                <w:w w:val="105"/>
                <w:sz w:val="20"/>
              </w:rPr>
              <w:t>2,79</w:t>
            </w:r>
          </w:p>
        </w:tc>
        <w:tc>
          <w:tcPr>
            <w:cnfStyle w:val="000100000000" w:firstRow="0" w:lastRow="0" w:firstColumn="0" w:lastColumn="1" w:oddVBand="0" w:evenVBand="0" w:oddHBand="0" w:evenHBand="0" w:firstRowFirstColumn="0" w:firstRowLastColumn="0" w:lastRowFirstColumn="0" w:lastRowLastColumn="0"/>
            <w:tcW w:w="1524" w:type="dxa"/>
            <w:tcBorders>
              <w:bottom w:val="single" w:sz="4" w:space="0" w:color="auto"/>
            </w:tcBorders>
            <w:hideMark/>
          </w:tcPr>
          <w:p w14:paraId="4A7AC7D0" w14:textId="77777777" w:rsidR="00E0473E" w:rsidRPr="008E2FB3" w:rsidRDefault="00E0473E" w:rsidP="0004445E">
            <w:pPr>
              <w:pStyle w:val="TableParagraph"/>
              <w:jc w:val="center"/>
              <w:rPr>
                <w:b w:val="0"/>
                <w:bCs w:val="0"/>
                <w:sz w:val="20"/>
              </w:rPr>
            </w:pPr>
            <w:r w:rsidRPr="008E2FB3">
              <w:rPr>
                <w:b w:val="0"/>
                <w:bCs w:val="0"/>
                <w:w w:val="105"/>
                <w:sz w:val="20"/>
              </w:rPr>
              <w:t>770,0</w:t>
            </w:r>
          </w:p>
        </w:tc>
      </w:tr>
      <w:tr w:rsidR="008E2FB3" w:rsidRPr="008E2FB3" w14:paraId="0D1793A4" w14:textId="77777777" w:rsidTr="00D47AF0">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1788" w:type="dxa"/>
            <w:tcBorders>
              <w:top w:val="single" w:sz="4" w:space="0" w:color="auto"/>
            </w:tcBorders>
            <w:hideMark/>
          </w:tcPr>
          <w:p w14:paraId="1CB03F81" w14:textId="77777777" w:rsidR="00E0473E" w:rsidRPr="008E2FB3" w:rsidRDefault="00E0473E" w:rsidP="009F7D86">
            <w:pPr>
              <w:pStyle w:val="TableParagraph"/>
              <w:spacing w:before="6" w:line="195" w:lineRule="exact"/>
              <w:ind w:right="87"/>
              <w:rPr>
                <w:sz w:val="20"/>
              </w:rPr>
            </w:pPr>
            <w:r w:rsidRPr="008E2FB3">
              <w:rPr>
                <w:sz w:val="20"/>
              </w:rPr>
              <w:t>Sum</w:t>
            </w:r>
          </w:p>
        </w:tc>
        <w:tc>
          <w:tcPr>
            <w:cnfStyle w:val="000010000000" w:firstRow="0" w:lastRow="0" w:firstColumn="0" w:lastColumn="0" w:oddVBand="1" w:evenVBand="0" w:oddHBand="0" w:evenHBand="0" w:firstRowFirstColumn="0" w:firstRowLastColumn="0" w:lastRowFirstColumn="0" w:lastRowLastColumn="0"/>
            <w:tcW w:w="1443" w:type="dxa"/>
            <w:tcBorders>
              <w:top w:val="single" w:sz="4" w:space="0" w:color="auto"/>
            </w:tcBorders>
            <w:hideMark/>
          </w:tcPr>
          <w:p w14:paraId="3080F9E0" w14:textId="77777777" w:rsidR="00E0473E" w:rsidRPr="008E2FB3" w:rsidRDefault="00E0473E" w:rsidP="0004445E">
            <w:pPr>
              <w:pStyle w:val="TableParagraph"/>
              <w:spacing w:before="6" w:line="195" w:lineRule="exact"/>
              <w:ind w:right="102"/>
              <w:jc w:val="center"/>
              <w:rPr>
                <w:b/>
                <w:bCs/>
                <w:sz w:val="20"/>
              </w:rPr>
            </w:pPr>
            <w:r w:rsidRPr="008E2FB3">
              <w:rPr>
                <w:b/>
                <w:bCs/>
                <w:w w:val="105"/>
                <w:sz w:val="20"/>
              </w:rPr>
              <w:t>11,80</w:t>
            </w:r>
          </w:p>
        </w:tc>
        <w:tc>
          <w:tcPr>
            <w:cnfStyle w:val="000001000000" w:firstRow="0" w:lastRow="0" w:firstColumn="0" w:lastColumn="0" w:oddVBand="0" w:evenVBand="1" w:oddHBand="0" w:evenHBand="0" w:firstRowFirstColumn="0" w:firstRowLastColumn="0" w:lastRowFirstColumn="0" w:lastRowLastColumn="0"/>
            <w:tcW w:w="1130" w:type="dxa"/>
            <w:tcBorders>
              <w:top w:val="single" w:sz="4" w:space="0" w:color="auto"/>
            </w:tcBorders>
            <w:hideMark/>
          </w:tcPr>
          <w:p w14:paraId="5EFEE130" w14:textId="77777777" w:rsidR="00E0473E" w:rsidRPr="008E2FB3" w:rsidRDefault="00E0473E" w:rsidP="0004445E">
            <w:pPr>
              <w:pStyle w:val="TableParagraph"/>
              <w:spacing w:before="6" w:line="195" w:lineRule="exact"/>
              <w:ind w:right="144"/>
              <w:jc w:val="center"/>
              <w:rPr>
                <w:b/>
                <w:bCs/>
                <w:sz w:val="20"/>
              </w:rPr>
            </w:pPr>
            <w:r w:rsidRPr="008E2FB3">
              <w:rPr>
                <w:b/>
                <w:bCs/>
                <w:w w:val="105"/>
                <w:sz w:val="20"/>
              </w:rPr>
              <w:t>100,00</w:t>
            </w:r>
          </w:p>
        </w:tc>
        <w:tc>
          <w:tcPr>
            <w:cnfStyle w:val="000100000000" w:firstRow="0" w:lastRow="0" w:firstColumn="0" w:lastColumn="1" w:oddVBand="0" w:evenVBand="0" w:oddHBand="0" w:evenHBand="0" w:firstRowFirstColumn="0" w:firstRowLastColumn="0" w:lastRowFirstColumn="0" w:lastRowLastColumn="0"/>
            <w:tcW w:w="1524" w:type="dxa"/>
            <w:tcBorders>
              <w:top w:val="single" w:sz="4" w:space="0" w:color="auto"/>
            </w:tcBorders>
          </w:tcPr>
          <w:p w14:paraId="7311CDF8" w14:textId="77777777" w:rsidR="00E0473E" w:rsidRPr="008E2FB3" w:rsidRDefault="00E0473E" w:rsidP="0004445E">
            <w:pPr>
              <w:pStyle w:val="TableParagraph"/>
              <w:spacing w:before="0" w:line="240" w:lineRule="auto"/>
              <w:jc w:val="center"/>
              <w:rPr>
                <w:rFonts w:ascii="Times New Roman"/>
                <w:sz w:val="14"/>
              </w:rPr>
            </w:pPr>
          </w:p>
        </w:tc>
      </w:tr>
      <w:tr w:rsidR="008E2FB3" w:rsidRPr="008E2FB3" w14:paraId="139701A9" w14:textId="77777777" w:rsidTr="00D47AF0">
        <w:trPr>
          <w:cnfStyle w:val="010000000000" w:firstRow="0" w:lastRow="1"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788" w:type="dxa"/>
            <w:tcBorders>
              <w:bottom w:val="single" w:sz="4" w:space="0" w:color="auto"/>
            </w:tcBorders>
            <w:hideMark/>
          </w:tcPr>
          <w:p w14:paraId="5C87A775" w14:textId="77777777" w:rsidR="00E0473E" w:rsidRPr="008E2FB3" w:rsidRDefault="00E0473E" w:rsidP="009F7D86">
            <w:pPr>
              <w:pStyle w:val="TableParagraph"/>
              <w:spacing w:before="24" w:line="224" w:lineRule="exact"/>
              <w:ind w:right="62"/>
              <w:rPr>
                <w:sz w:val="20"/>
              </w:rPr>
            </w:pPr>
            <w:r w:rsidRPr="008E2FB3">
              <w:rPr>
                <w:sz w:val="20"/>
              </w:rPr>
              <w:t>Phosphorus</w:t>
            </w:r>
          </w:p>
        </w:tc>
        <w:tc>
          <w:tcPr>
            <w:cnfStyle w:val="000010000000" w:firstRow="0" w:lastRow="0" w:firstColumn="0" w:lastColumn="0" w:oddVBand="1" w:evenVBand="0" w:oddHBand="0" w:evenHBand="0" w:firstRowFirstColumn="0" w:firstRowLastColumn="0" w:lastRowFirstColumn="0" w:lastRowLastColumn="0"/>
            <w:tcW w:w="1443" w:type="dxa"/>
            <w:tcBorders>
              <w:bottom w:val="single" w:sz="4" w:space="0" w:color="auto"/>
            </w:tcBorders>
            <w:hideMark/>
          </w:tcPr>
          <w:p w14:paraId="5B302C23" w14:textId="77777777" w:rsidR="00E0473E" w:rsidRPr="008E2FB3" w:rsidRDefault="00E0473E" w:rsidP="0004445E">
            <w:pPr>
              <w:pStyle w:val="TableParagraph"/>
              <w:spacing w:before="24" w:line="224" w:lineRule="exact"/>
              <w:ind w:right="102"/>
              <w:jc w:val="center"/>
              <w:rPr>
                <w:sz w:val="20"/>
              </w:rPr>
            </w:pPr>
            <w:r w:rsidRPr="008E2FB3">
              <w:rPr>
                <w:w w:val="105"/>
                <w:sz w:val="20"/>
              </w:rPr>
              <w:t>0,48</w:t>
            </w:r>
          </w:p>
        </w:tc>
        <w:tc>
          <w:tcPr>
            <w:cnfStyle w:val="000001000000" w:firstRow="0" w:lastRow="0" w:firstColumn="0" w:lastColumn="0" w:oddVBand="0" w:evenVBand="1" w:oddHBand="0" w:evenHBand="0" w:firstRowFirstColumn="0" w:firstRowLastColumn="0" w:lastRowFirstColumn="0" w:lastRowLastColumn="0"/>
            <w:tcW w:w="1130" w:type="dxa"/>
            <w:tcBorders>
              <w:bottom w:val="single" w:sz="4" w:space="0" w:color="auto"/>
            </w:tcBorders>
          </w:tcPr>
          <w:p w14:paraId="621A257C" w14:textId="77777777" w:rsidR="00E0473E" w:rsidRPr="008E2FB3" w:rsidRDefault="00E0473E" w:rsidP="0004445E">
            <w:pPr>
              <w:pStyle w:val="TableParagraph"/>
              <w:spacing w:before="0" w:line="240" w:lineRule="auto"/>
              <w:ind w:right="144"/>
              <w:jc w:val="center"/>
              <w:rPr>
                <w:rFonts w:ascii="Times New Roman"/>
                <w:sz w:val="18"/>
              </w:rPr>
            </w:pPr>
          </w:p>
        </w:tc>
        <w:tc>
          <w:tcPr>
            <w:cnfStyle w:val="000100000000" w:firstRow="0" w:lastRow="0" w:firstColumn="0" w:lastColumn="1" w:oddVBand="0" w:evenVBand="0" w:oddHBand="0" w:evenHBand="0" w:firstRowFirstColumn="0" w:firstRowLastColumn="0" w:lastRowFirstColumn="0" w:lastRowLastColumn="0"/>
            <w:tcW w:w="1524" w:type="dxa"/>
            <w:tcBorders>
              <w:bottom w:val="single" w:sz="4" w:space="0" w:color="auto"/>
            </w:tcBorders>
          </w:tcPr>
          <w:p w14:paraId="201D0008" w14:textId="77777777" w:rsidR="00E0473E" w:rsidRPr="008E2FB3" w:rsidRDefault="00E0473E" w:rsidP="0004445E">
            <w:pPr>
              <w:pStyle w:val="TableParagraph"/>
              <w:spacing w:before="0" w:line="240" w:lineRule="auto"/>
              <w:jc w:val="center"/>
              <w:rPr>
                <w:rFonts w:ascii="Times New Roman"/>
                <w:sz w:val="18"/>
              </w:rPr>
            </w:pPr>
          </w:p>
        </w:tc>
      </w:tr>
    </w:tbl>
    <w:p w14:paraId="23276033" w14:textId="77777777" w:rsidR="006A58D2" w:rsidRPr="008E2FB3" w:rsidRDefault="006A58D2" w:rsidP="0015489F">
      <w:pPr>
        <w:spacing w:after="0"/>
        <w:rPr>
          <w:lang w:val="en-GB"/>
        </w:rPr>
      </w:pPr>
    </w:p>
    <w:p w14:paraId="38A25A05" w14:textId="77777777" w:rsidR="0012313F" w:rsidRPr="008E2FB3" w:rsidRDefault="0012313F" w:rsidP="0015489F">
      <w:pPr>
        <w:spacing w:after="0"/>
        <w:rPr>
          <w:lang w:val="en-GB"/>
        </w:rPr>
      </w:pPr>
    </w:p>
    <w:p w14:paraId="47645552" w14:textId="77777777" w:rsidR="0012313F" w:rsidRPr="008E2FB3" w:rsidRDefault="0012313F" w:rsidP="0012313F">
      <w:pPr>
        <w:widowControl w:val="0"/>
        <w:autoSpaceDE w:val="0"/>
        <w:autoSpaceDN w:val="0"/>
        <w:adjustRightInd w:val="0"/>
        <w:spacing w:line="240" w:lineRule="auto"/>
        <w:ind w:left="640" w:hanging="640"/>
        <w:rPr>
          <w:i/>
          <w:sz w:val="22"/>
          <w:szCs w:val="21"/>
          <w:lang w:val="en-GB"/>
        </w:rPr>
      </w:pPr>
      <w:r w:rsidRPr="008E2FB3">
        <w:rPr>
          <w:b/>
          <w:sz w:val="22"/>
          <w:szCs w:val="21"/>
          <w:lang w:val="en-GB"/>
        </w:rPr>
        <w:t>Table S2: Details of phospholipid supplementations</w:t>
      </w:r>
      <w:r w:rsidRPr="008E2FB3">
        <w:rPr>
          <w:b/>
          <w:i/>
          <w:sz w:val="22"/>
          <w:szCs w:val="21"/>
          <w:lang w:val="en-GB"/>
        </w:rPr>
        <w:t>.</w:t>
      </w:r>
    </w:p>
    <w:tbl>
      <w:tblPr>
        <w:tblW w:w="8931" w:type="dxa"/>
        <w:jc w:val="center"/>
        <w:tblLayout w:type="fixed"/>
        <w:tblCellMar>
          <w:left w:w="85" w:type="dxa"/>
          <w:right w:w="85" w:type="dxa"/>
        </w:tblCellMar>
        <w:tblLook w:val="04A0" w:firstRow="1" w:lastRow="0" w:firstColumn="1" w:lastColumn="0" w:noHBand="0" w:noVBand="1"/>
      </w:tblPr>
      <w:tblGrid>
        <w:gridCol w:w="1134"/>
        <w:gridCol w:w="1701"/>
        <w:gridCol w:w="1985"/>
        <w:gridCol w:w="1984"/>
        <w:gridCol w:w="2127"/>
      </w:tblGrid>
      <w:tr w:rsidR="008E2FB3" w:rsidRPr="008E2FB3" w14:paraId="5C721FB9" w14:textId="77777777" w:rsidTr="004348A3">
        <w:trPr>
          <w:jc w:val="center"/>
        </w:trPr>
        <w:tc>
          <w:tcPr>
            <w:tcW w:w="1134" w:type="dxa"/>
            <w:tcBorders>
              <w:bottom w:val="single" w:sz="4" w:space="0" w:color="auto"/>
              <w:right w:val="single" w:sz="4" w:space="0" w:color="auto"/>
            </w:tcBorders>
            <w:shd w:val="clear" w:color="auto" w:fill="auto"/>
          </w:tcPr>
          <w:p w14:paraId="6F2A0D04" w14:textId="77777777" w:rsidR="0012313F" w:rsidRPr="008E2FB3" w:rsidRDefault="0012313F" w:rsidP="004348A3">
            <w:pPr>
              <w:spacing w:after="0"/>
              <w:ind w:left="-89" w:right="-103"/>
              <w:jc w:val="center"/>
              <w:rPr>
                <w:b/>
                <w:bCs/>
                <w:sz w:val="21"/>
                <w:lang w:val="en-GB"/>
              </w:rPr>
            </w:pPr>
            <w:r w:rsidRPr="008E2FB3">
              <w:rPr>
                <w:b/>
                <w:bCs/>
                <w:sz w:val="21"/>
                <w:lang w:val="en-GB"/>
              </w:rPr>
              <w:t>Diet name</w:t>
            </w:r>
          </w:p>
        </w:tc>
        <w:tc>
          <w:tcPr>
            <w:tcW w:w="1701" w:type="dxa"/>
            <w:tcBorders>
              <w:left w:val="single" w:sz="4" w:space="0" w:color="auto"/>
              <w:bottom w:val="single" w:sz="4" w:space="0" w:color="auto"/>
              <w:right w:val="single" w:sz="4" w:space="0" w:color="auto"/>
            </w:tcBorders>
            <w:shd w:val="clear" w:color="auto" w:fill="auto"/>
          </w:tcPr>
          <w:p w14:paraId="3B4257AD" w14:textId="77777777" w:rsidR="0012313F" w:rsidRPr="008E2FB3" w:rsidRDefault="0012313F" w:rsidP="004348A3">
            <w:pPr>
              <w:spacing w:after="0"/>
              <w:ind w:left="-57" w:right="-60"/>
              <w:jc w:val="center"/>
              <w:rPr>
                <w:b/>
                <w:bCs/>
                <w:sz w:val="21"/>
                <w:lang w:val="en-GB"/>
              </w:rPr>
            </w:pPr>
            <w:r w:rsidRPr="008E2FB3">
              <w:rPr>
                <w:b/>
                <w:bCs/>
                <w:sz w:val="21"/>
                <w:lang w:val="en-GB"/>
              </w:rPr>
              <w:t>Daily phospholipid supplementation</w:t>
            </w:r>
          </w:p>
        </w:tc>
        <w:tc>
          <w:tcPr>
            <w:tcW w:w="1985" w:type="dxa"/>
            <w:tcBorders>
              <w:left w:val="single" w:sz="4" w:space="0" w:color="auto"/>
              <w:bottom w:val="single" w:sz="4" w:space="0" w:color="auto"/>
              <w:right w:val="single" w:sz="4" w:space="0" w:color="auto"/>
            </w:tcBorders>
            <w:shd w:val="clear" w:color="auto" w:fill="auto"/>
          </w:tcPr>
          <w:p w14:paraId="7B2A602F" w14:textId="77777777" w:rsidR="0012313F" w:rsidRPr="008E2FB3" w:rsidRDefault="0012313F" w:rsidP="004348A3">
            <w:pPr>
              <w:spacing w:after="0"/>
              <w:ind w:left="-118" w:right="-53"/>
              <w:jc w:val="center"/>
              <w:rPr>
                <w:b/>
                <w:bCs/>
                <w:sz w:val="21"/>
                <w:lang w:val="en-GB"/>
              </w:rPr>
            </w:pPr>
            <w:r w:rsidRPr="008E2FB3">
              <w:rPr>
                <w:b/>
                <w:bCs/>
                <w:sz w:val="21"/>
                <w:lang w:val="en-GB"/>
              </w:rPr>
              <w:t>Phospholipid amount in the powder</w:t>
            </w:r>
          </w:p>
        </w:tc>
        <w:tc>
          <w:tcPr>
            <w:tcW w:w="1984" w:type="dxa"/>
            <w:tcBorders>
              <w:left w:val="single" w:sz="4" w:space="0" w:color="auto"/>
              <w:bottom w:val="single" w:sz="4" w:space="0" w:color="auto"/>
              <w:right w:val="single" w:sz="4" w:space="0" w:color="auto"/>
            </w:tcBorders>
            <w:shd w:val="clear" w:color="auto" w:fill="auto"/>
          </w:tcPr>
          <w:p w14:paraId="23B8F133" w14:textId="77777777" w:rsidR="0012313F" w:rsidRPr="008E2FB3" w:rsidRDefault="0012313F" w:rsidP="004348A3">
            <w:pPr>
              <w:spacing w:after="0"/>
              <w:ind w:left="-107" w:right="-28"/>
              <w:jc w:val="center"/>
              <w:rPr>
                <w:b/>
                <w:bCs/>
                <w:sz w:val="21"/>
                <w:lang w:val="en-GB"/>
              </w:rPr>
            </w:pPr>
            <w:r w:rsidRPr="008E2FB3">
              <w:rPr>
                <w:b/>
                <w:bCs/>
                <w:sz w:val="21"/>
                <w:lang w:val="en-GB"/>
              </w:rPr>
              <w:t>Phospholipid amount per 100 g of chow</w:t>
            </w:r>
          </w:p>
        </w:tc>
        <w:tc>
          <w:tcPr>
            <w:tcW w:w="2127" w:type="dxa"/>
            <w:tcBorders>
              <w:left w:val="single" w:sz="4" w:space="0" w:color="auto"/>
              <w:bottom w:val="single" w:sz="4" w:space="0" w:color="auto"/>
            </w:tcBorders>
            <w:shd w:val="clear" w:color="auto" w:fill="auto"/>
          </w:tcPr>
          <w:p w14:paraId="0909EA67" w14:textId="77777777" w:rsidR="0012313F" w:rsidRPr="008E2FB3" w:rsidRDefault="0012313F" w:rsidP="004348A3">
            <w:pPr>
              <w:spacing w:after="0"/>
              <w:ind w:left="-132"/>
              <w:jc w:val="center"/>
              <w:rPr>
                <w:b/>
                <w:bCs/>
                <w:sz w:val="21"/>
                <w:lang w:val="en-GB"/>
              </w:rPr>
            </w:pPr>
            <w:r w:rsidRPr="008E2FB3">
              <w:rPr>
                <w:b/>
                <w:bCs/>
                <w:sz w:val="21"/>
                <w:lang w:val="en-GB"/>
              </w:rPr>
              <w:t>Powder weight added per 100 g of chow</w:t>
            </w:r>
          </w:p>
        </w:tc>
      </w:tr>
      <w:tr w:rsidR="008E2FB3" w:rsidRPr="008E2FB3" w14:paraId="599A51D7" w14:textId="77777777" w:rsidTr="004348A3">
        <w:trPr>
          <w:trHeight w:val="90"/>
          <w:jc w:val="center"/>
        </w:trPr>
        <w:tc>
          <w:tcPr>
            <w:tcW w:w="1134" w:type="dxa"/>
            <w:tcBorders>
              <w:top w:val="single" w:sz="4" w:space="0" w:color="auto"/>
              <w:bottom w:val="single" w:sz="4" w:space="0" w:color="auto"/>
              <w:right w:val="single" w:sz="4" w:space="0" w:color="auto"/>
            </w:tcBorders>
            <w:shd w:val="clear" w:color="auto" w:fill="auto"/>
          </w:tcPr>
          <w:p w14:paraId="2137DFCA" w14:textId="77777777" w:rsidR="0012313F" w:rsidRPr="008E2FB3" w:rsidRDefault="0012313F" w:rsidP="004348A3">
            <w:pPr>
              <w:spacing w:after="0"/>
              <w:ind w:left="-89" w:right="-103"/>
              <w:jc w:val="center"/>
              <w:rPr>
                <w:sz w:val="21"/>
                <w:lang w:val="en-GB"/>
              </w:rPr>
            </w:pPr>
            <w:r w:rsidRPr="008E2FB3">
              <w:rPr>
                <w:sz w:val="21"/>
                <w:lang w:val="en-GB"/>
              </w:rPr>
              <w:t>APC_PL</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7910B37" w14:textId="77777777" w:rsidR="0012313F" w:rsidRPr="008E2FB3" w:rsidRDefault="0012313F" w:rsidP="004348A3">
            <w:pPr>
              <w:spacing w:after="0"/>
              <w:ind w:left="-57" w:right="-60"/>
              <w:jc w:val="center"/>
              <w:rPr>
                <w:sz w:val="21"/>
                <w:lang w:val="en-GB"/>
              </w:rPr>
            </w:pPr>
            <w:r w:rsidRPr="008E2FB3">
              <w:rPr>
                <w:sz w:val="21"/>
                <w:lang w:val="en-GB"/>
              </w:rPr>
              <w:t>450 mg/kg</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2683E16" w14:textId="77777777" w:rsidR="0012313F" w:rsidRPr="008E2FB3" w:rsidRDefault="0012313F" w:rsidP="004348A3">
            <w:pPr>
              <w:spacing w:after="0"/>
              <w:ind w:left="-118" w:right="-53"/>
              <w:jc w:val="center"/>
              <w:rPr>
                <w:sz w:val="21"/>
                <w:lang w:val="en-GB"/>
              </w:rPr>
            </w:pPr>
            <w:r w:rsidRPr="008E2FB3">
              <w:rPr>
                <w:sz w:val="21"/>
                <w:lang w:val="en-GB"/>
              </w:rPr>
              <w:t>11.80%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4228445" w14:textId="77777777" w:rsidR="0012313F" w:rsidRPr="008E2FB3" w:rsidRDefault="0012313F" w:rsidP="004348A3">
            <w:pPr>
              <w:spacing w:after="0"/>
              <w:ind w:left="-107" w:right="-28"/>
              <w:jc w:val="center"/>
              <w:rPr>
                <w:sz w:val="21"/>
                <w:lang w:val="en-GB"/>
              </w:rPr>
            </w:pPr>
            <w:r w:rsidRPr="008E2FB3">
              <w:rPr>
                <w:sz w:val="21"/>
                <w:lang w:val="en-GB"/>
              </w:rPr>
              <w:t>360 mg</w:t>
            </w:r>
          </w:p>
        </w:tc>
        <w:tc>
          <w:tcPr>
            <w:tcW w:w="2127" w:type="dxa"/>
            <w:tcBorders>
              <w:top w:val="single" w:sz="4" w:space="0" w:color="auto"/>
              <w:left w:val="single" w:sz="4" w:space="0" w:color="auto"/>
              <w:bottom w:val="single" w:sz="4" w:space="0" w:color="auto"/>
            </w:tcBorders>
            <w:shd w:val="clear" w:color="auto" w:fill="auto"/>
          </w:tcPr>
          <w:p w14:paraId="7B392055" w14:textId="77777777" w:rsidR="0012313F" w:rsidRPr="008E2FB3" w:rsidRDefault="0012313F" w:rsidP="004348A3">
            <w:pPr>
              <w:spacing w:after="0"/>
              <w:ind w:left="-132"/>
              <w:jc w:val="center"/>
              <w:rPr>
                <w:sz w:val="21"/>
                <w:lang w:val="en-GB"/>
              </w:rPr>
            </w:pPr>
            <w:r w:rsidRPr="008E2FB3">
              <w:rPr>
                <w:sz w:val="21"/>
                <w:lang w:val="en-GB"/>
              </w:rPr>
              <w:t>3 g</w:t>
            </w:r>
          </w:p>
        </w:tc>
      </w:tr>
      <w:tr w:rsidR="0012313F" w:rsidRPr="008E2FB3" w14:paraId="19ADDB09" w14:textId="77777777" w:rsidTr="004348A3">
        <w:trPr>
          <w:jc w:val="center"/>
        </w:trPr>
        <w:tc>
          <w:tcPr>
            <w:tcW w:w="1134" w:type="dxa"/>
            <w:tcBorders>
              <w:top w:val="single" w:sz="4" w:space="0" w:color="auto"/>
              <w:right w:val="single" w:sz="4" w:space="0" w:color="auto"/>
            </w:tcBorders>
            <w:shd w:val="clear" w:color="auto" w:fill="auto"/>
          </w:tcPr>
          <w:p w14:paraId="104293C7" w14:textId="77777777" w:rsidR="0012313F" w:rsidRPr="008E2FB3" w:rsidRDefault="0012313F" w:rsidP="004348A3">
            <w:pPr>
              <w:spacing w:after="0"/>
              <w:ind w:left="-89" w:right="-103"/>
              <w:jc w:val="center"/>
              <w:rPr>
                <w:sz w:val="21"/>
                <w:lang w:val="en-GB"/>
              </w:rPr>
            </w:pPr>
            <w:proofErr w:type="spellStart"/>
            <w:r w:rsidRPr="008E2FB3">
              <w:rPr>
                <w:sz w:val="21"/>
                <w:lang w:val="en-GB"/>
              </w:rPr>
              <w:t>Lipamine</w:t>
            </w:r>
            <w:proofErr w:type="spellEnd"/>
          </w:p>
        </w:tc>
        <w:tc>
          <w:tcPr>
            <w:tcW w:w="1701" w:type="dxa"/>
            <w:tcBorders>
              <w:top w:val="single" w:sz="4" w:space="0" w:color="auto"/>
              <w:left w:val="single" w:sz="4" w:space="0" w:color="auto"/>
              <w:right w:val="single" w:sz="4" w:space="0" w:color="auto"/>
            </w:tcBorders>
            <w:shd w:val="clear" w:color="auto" w:fill="auto"/>
          </w:tcPr>
          <w:p w14:paraId="652BF7A2" w14:textId="77777777" w:rsidR="0012313F" w:rsidRPr="008E2FB3" w:rsidRDefault="0012313F" w:rsidP="004348A3">
            <w:pPr>
              <w:spacing w:after="0"/>
              <w:ind w:left="-57" w:right="-60"/>
              <w:jc w:val="center"/>
              <w:rPr>
                <w:sz w:val="21"/>
                <w:lang w:val="en-GB"/>
              </w:rPr>
            </w:pPr>
            <w:r w:rsidRPr="008E2FB3">
              <w:rPr>
                <w:sz w:val="21"/>
                <w:lang w:val="en-GB"/>
              </w:rPr>
              <w:t>450 mg/kg</w:t>
            </w:r>
          </w:p>
        </w:tc>
        <w:tc>
          <w:tcPr>
            <w:tcW w:w="1985" w:type="dxa"/>
            <w:tcBorders>
              <w:top w:val="single" w:sz="4" w:space="0" w:color="auto"/>
              <w:left w:val="single" w:sz="4" w:space="0" w:color="auto"/>
              <w:right w:val="single" w:sz="4" w:space="0" w:color="auto"/>
            </w:tcBorders>
            <w:shd w:val="clear" w:color="auto" w:fill="auto"/>
          </w:tcPr>
          <w:p w14:paraId="62C7E07C" w14:textId="77777777" w:rsidR="0012313F" w:rsidRPr="008E2FB3" w:rsidRDefault="0012313F" w:rsidP="004348A3">
            <w:pPr>
              <w:spacing w:after="0"/>
              <w:ind w:left="-118" w:right="-53"/>
              <w:jc w:val="center"/>
              <w:rPr>
                <w:sz w:val="21"/>
                <w:lang w:val="en-GB"/>
              </w:rPr>
            </w:pPr>
            <w:r w:rsidRPr="008E2FB3">
              <w:rPr>
                <w:sz w:val="21"/>
                <w:lang w:val="en-GB"/>
              </w:rPr>
              <w:t>16-21%</w:t>
            </w:r>
          </w:p>
        </w:tc>
        <w:tc>
          <w:tcPr>
            <w:tcW w:w="1984" w:type="dxa"/>
            <w:tcBorders>
              <w:top w:val="single" w:sz="4" w:space="0" w:color="auto"/>
              <w:left w:val="single" w:sz="4" w:space="0" w:color="auto"/>
              <w:right w:val="single" w:sz="4" w:space="0" w:color="auto"/>
            </w:tcBorders>
            <w:shd w:val="clear" w:color="auto" w:fill="auto"/>
          </w:tcPr>
          <w:p w14:paraId="28FBDEB3" w14:textId="77777777" w:rsidR="0012313F" w:rsidRPr="008E2FB3" w:rsidRDefault="0012313F" w:rsidP="004348A3">
            <w:pPr>
              <w:spacing w:after="0"/>
              <w:ind w:left="-107" w:right="-28"/>
              <w:jc w:val="center"/>
              <w:rPr>
                <w:sz w:val="21"/>
                <w:lang w:val="en-GB"/>
              </w:rPr>
            </w:pPr>
            <w:r w:rsidRPr="008E2FB3">
              <w:rPr>
                <w:sz w:val="21"/>
                <w:lang w:val="en-GB"/>
              </w:rPr>
              <w:t>360 mg</w:t>
            </w:r>
          </w:p>
        </w:tc>
        <w:tc>
          <w:tcPr>
            <w:tcW w:w="2127" w:type="dxa"/>
            <w:tcBorders>
              <w:top w:val="single" w:sz="4" w:space="0" w:color="auto"/>
              <w:left w:val="single" w:sz="4" w:space="0" w:color="auto"/>
            </w:tcBorders>
            <w:shd w:val="clear" w:color="auto" w:fill="auto"/>
          </w:tcPr>
          <w:p w14:paraId="619B30D9" w14:textId="77777777" w:rsidR="0012313F" w:rsidRPr="008E2FB3" w:rsidRDefault="0012313F" w:rsidP="004348A3">
            <w:pPr>
              <w:spacing w:after="0"/>
              <w:ind w:left="-132"/>
              <w:jc w:val="center"/>
              <w:rPr>
                <w:sz w:val="21"/>
                <w:lang w:val="en-GB"/>
              </w:rPr>
            </w:pPr>
            <w:r w:rsidRPr="008E2FB3">
              <w:rPr>
                <w:sz w:val="21"/>
                <w:lang w:val="en-GB"/>
              </w:rPr>
              <w:t>2.22 g</w:t>
            </w:r>
          </w:p>
        </w:tc>
      </w:tr>
    </w:tbl>
    <w:p w14:paraId="3DB8B8D1" w14:textId="1DEF444A" w:rsidR="0012313F" w:rsidRPr="008E2FB3" w:rsidRDefault="0012313F" w:rsidP="0015489F">
      <w:pPr>
        <w:spacing w:after="0"/>
        <w:rPr>
          <w:lang w:val="en-GB"/>
        </w:rPr>
      </w:pPr>
    </w:p>
    <w:p w14:paraId="7F1B7BA8" w14:textId="5C63E5C0" w:rsidR="00CE67EA" w:rsidRPr="008E2FB3" w:rsidRDefault="00CE67EA" w:rsidP="0015489F">
      <w:pPr>
        <w:spacing w:after="0"/>
        <w:rPr>
          <w:lang w:val="en-GB"/>
        </w:rPr>
      </w:pPr>
    </w:p>
    <w:p w14:paraId="7F71CB31" w14:textId="76D106AF" w:rsidR="00CE67EA" w:rsidRPr="008E2FB3" w:rsidRDefault="00CE67EA" w:rsidP="0015489F">
      <w:pPr>
        <w:spacing w:after="0"/>
        <w:rPr>
          <w:lang w:val="en-GB"/>
        </w:rPr>
      </w:pPr>
      <w:r w:rsidRPr="008E2FB3">
        <w:rPr>
          <w:lang w:val="en-GB"/>
        </w:rPr>
        <w:t>Supplementary Figure</w:t>
      </w:r>
    </w:p>
    <w:p w14:paraId="4B871194" w14:textId="77777777" w:rsidR="001E0179" w:rsidRPr="008E2FB3" w:rsidRDefault="00CE67EA" w:rsidP="0015489F">
      <w:pPr>
        <w:spacing w:after="0"/>
        <w:rPr>
          <w:b/>
          <w:bCs/>
          <w:lang w:val="en-GB"/>
        </w:rPr>
      </w:pPr>
      <w:r w:rsidRPr="008E2FB3">
        <w:rPr>
          <w:b/>
          <w:bCs/>
          <w:lang w:val="en-GB"/>
        </w:rPr>
        <w:t xml:space="preserve">Figure S1: </w:t>
      </w:r>
      <w:r w:rsidR="005F704D" w:rsidRPr="008E2FB3">
        <w:rPr>
          <w:b/>
          <w:bCs/>
          <w:lang w:val="en-GB"/>
        </w:rPr>
        <w:t>Phospholipid</w:t>
      </w:r>
      <w:r w:rsidRPr="008E2FB3">
        <w:rPr>
          <w:b/>
          <w:bCs/>
          <w:lang w:val="en-GB"/>
        </w:rPr>
        <w:t xml:space="preserve"> intake </w:t>
      </w:r>
      <w:r w:rsidR="001E0179" w:rsidRPr="008E2FB3">
        <w:rPr>
          <w:b/>
          <w:bCs/>
          <w:lang w:val="en-GB"/>
        </w:rPr>
        <w:t xml:space="preserve">over time. </w:t>
      </w:r>
    </w:p>
    <w:p w14:paraId="4BFA6BF9" w14:textId="66B7CF6C" w:rsidR="00CE67EA" w:rsidRPr="008E2FB3" w:rsidRDefault="001E0179" w:rsidP="001E0179">
      <w:pPr>
        <w:spacing w:after="0"/>
        <w:rPr>
          <w:lang w:val="en-GB"/>
        </w:rPr>
      </w:pPr>
      <w:r w:rsidRPr="008E2FB3">
        <w:rPr>
          <w:lang w:val="en-GB"/>
        </w:rPr>
        <w:t xml:space="preserve">Phospholipid intake was similar within each stress group (i.e., non-stressed or stressed) in the </w:t>
      </w:r>
      <w:r w:rsidR="005A742E" w:rsidRPr="008E2FB3">
        <w:rPr>
          <w:lang w:val="en-GB"/>
        </w:rPr>
        <w:t xml:space="preserve">early life (A) and adulthood (B) studies. </w:t>
      </w:r>
      <w:r w:rsidR="00940B3E" w:rsidRPr="008E2FB3">
        <w:rPr>
          <w:lang w:val="en-GB"/>
        </w:rPr>
        <w:t>Data are expressed as mean ± SEM (n=7-12 per group)</w:t>
      </w:r>
      <w:r w:rsidRPr="008E2FB3">
        <w:rPr>
          <w:lang w:val="en-GB"/>
        </w:rPr>
        <w:t xml:space="preserve"> and were analysed using a 2way ANOVA followed by a Fisher’s LSD post-hoc test</w:t>
      </w:r>
      <w:r w:rsidR="00940B3E" w:rsidRPr="008E2FB3">
        <w:rPr>
          <w:lang w:val="en-GB"/>
        </w:rPr>
        <w:t>.</w:t>
      </w:r>
    </w:p>
    <w:p w14:paraId="0F948094" w14:textId="77777777" w:rsidR="00CE67EA" w:rsidRPr="008E2FB3" w:rsidRDefault="00CE67EA" w:rsidP="0015489F">
      <w:pPr>
        <w:spacing w:after="0"/>
        <w:rPr>
          <w:lang w:val="en-GB"/>
        </w:rPr>
      </w:pPr>
    </w:p>
    <w:p w14:paraId="14AAB451" w14:textId="23BC3386" w:rsidR="00CE67EA" w:rsidRPr="008E2FB3" w:rsidRDefault="004253EA" w:rsidP="00CE67EA">
      <w:pPr>
        <w:spacing w:after="0"/>
        <w:ind w:left="-567" w:right="-573"/>
        <w:rPr>
          <w:lang w:val="en-GB"/>
        </w:rPr>
      </w:pPr>
      <w:r w:rsidRPr="008E2FB3">
        <w:rPr>
          <w:noProof/>
        </w:rPr>
        <w:lastRenderedPageBreak/>
        <w:drawing>
          <wp:inline distT="0" distB="0" distL="0" distR="0" wp14:anchorId="061160C4" wp14:editId="39A1F7B3">
            <wp:extent cx="6381553" cy="2080727"/>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404459" cy="2088196"/>
                    </a:xfrm>
                    <a:prstGeom prst="rect">
                      <a:avLst/>
                    </a:prstGeom>
                  </pic:spPr>
                </pic:pic>
              </a:graphicData>
            </a:graphic>
          </wp:inline>
        </w:drawing>
      </w:r>
    </w:p>
    <w:sectPr w:rsidR="00CE67EA" w:rsidRPr="008E2FB3" w:rsidSect="00D00C5F">
      <w:head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6FCCF" w14:textId="77777777" w:rsidR="00D00E0E" w:rsidRDefault="00D00E0E" w:rsidP="00AE0825">
      <w:pPr>
        <w:spacing w:after="0" w:line="240" w:lineRule="auto"/>
      </w:pPr>
      <w:r>
        <w:separator/>
      </w:r>
    </w:p>
  </w:endnote>
  <w:endnote w:type="continuationSeparator" w:id="0">
    <w:p w14:paraId="5FC9EFEE" w14:textId="77777777" w:rsidR="00D00E0E" w:rsidRDefault="00D00E0E" w:rsidP="00AE08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2B22C" w14:textId="77777777" w:rsidR="00D00E0E" w:rsidRDefault="00D00E0E" w:rsidP="00AE0825">
      <w:pPr>
        <w:spacing w:after="0" w:line="240" w:lineRule="auto"/>
      </w:pPr>
      <w:r>
        <w:separator/>
      </w:r>
    </w:p>
  </w:footnote>
  <w:footnote w:type="continuationSeparator" w:id="0">
    <w:p w14:paraId="24F00352" w14:textId="77777777" w:rsidR="00D00E0E" w:rsidRDefault="00D00E0E" w:rsidP="00AE08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7718D" w14:textId="77777777" w:rsidR="00AE0825" w:rsidRDefault="00AE0825" w:rsidP="006A58D2">
    <w:pPr>
      <w:pStyle w:val="Header"/>
      <w:jc w:val="right"/>
    </w:pPr>
    <w:r>
      <w:t>Supplementary data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157"/>
    <w:rsid w:val="0004445E"/>
    <w:rsid w:val="00094F6D"/>
    <w:rsid w:val="000A5364"/>
    <w:rsid w:val="0012313F"/>
    <w:rsid w:val="0015023D"/>
    <w:rsid w:val="0015489F"/>
    <w:rsid w:val="00185CD4"/>
    <w:rsid w:val="001D359B"/>
    <w:rsid w:val="001E0179"/>
    <w:rsid w:val="002C6401"/>
    <w:rsid w:val="003835C3"/>
    <w:rsid w:val="004253EA"/>
    <w:rsid w:val="00482321"/>
    <w:rsid w:val="004F7A66"/>
    <w:rsid w:val="005746A4"/>
    <w:rsid w:val="005A742E"/>
    <w:rsid w:val="005F704D"/>
    <w:rsid w:val="006639C9"/>
    <w:rsid w:val="00677BA0"/>
    <w:rsid w:val="006A58D2"/>
    <w:rsid w:val="006E76CB"/>
    <w:rsid w:val="006F38CE"/>
    <w:rsid w:val="006F563D"/>
    <w:rsid w:val="008E2FB3"/>
    <w:rsid w:val="00940B3E"/>
    <w:rsid w:val="00964327"/>
    <w:rsid w:val="00A834D1"/>
    <w:rsid w:val="00A867F0"/>
    <w:rsid w:val="00AD0AF0"/>
    <w:rsid w:val="00AE0825"/>
    <w:rsid w:val="00B01F4B"/>
    <w:rsid w:val="00B91DAF"/>
    <w:rsid w:val="00C01DB9"/>
    <w:rsid w:val="00C05E2A"/>
    <w:rsid w:val="00C3117C"/>
    <w:rsid w:val="00C86157"/>
    <w:rsid w:val="00CE67EA"/>
    <w:rsid w:val="00CF5026"/>
    <w:rsid w:val="00D00C5F"/>
    <w:rsid w:val="00D00E0E"/>
    <w:rsid w:val="00D47AF0"/>
    <w:rsid w:val="00D6199D"/>
    <w:rsid w:val="00D63D01"/>
    <w:rsid w:val="00DB3B91"/>
    <w:rsid w:val="00DF5DC1"/>
    <w:rsid w:val="00E0473E"/>
    <w:rsid w:val="00E20788"/>
    <w:rsid w:val="00EB3CAD"/>
    <w:rsid w:val="00EE7154"/>
    <w:rsid w:val="00EF55B6"/>
    <w:rsid w:val="00F01B1B"/>
    <w:rsid w:val="00F47A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8B015"/>
  <w15:chartTrackingRefBased/>
  <w15:docId w15:val="{4E594746-CDE1-FA4A-9FD8-C2964E0C1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157"/>
    <w:pPr>
      <w:spacing w:after="160" w:line="276" w:lineRule="auto"/>
      <w:jc w:val="both"/>
    </w:pPr>
    <w:rPr>
      <w:rFonts w:ascii="Calibri" w:eastAsia="Calibri" w:hAnsi="Calibri" w:cs="Times New Roman"/>
      <w:szCs w:val="22"/>
      <w:lang w:val="en-IE"/>
    </w:rPr>
  </w:style>
  <w:style w:type="paragraph" w:styleId="Heading1">
    <w:name w:val="heading 1"/>
    <w:basedOn w:val="Normal"/>
    <w:link w:val="Heading1Char"/>
    <w:uiPriority w:val="9"/>
    <w:qFormat/>
    <w:rsid w:val="00AD0AF0"/>
    <w:pPr>
      <w:widowControl w:val="0"/>
      <w:autoSpaceDE w:val="0"/>
      <w:autoSpaceDN w:val="0"/>
      <w:spacing w:after="0" w:line="260" w:lineRule="exact"/>
      <w:ind w:left="20"/>
      <w:jc w:val="left"/>
      <w:outlineLvl w:val="0"/>
    </w:pPr>
    <w:rPr>
      <w:rFonts w:ascii="Arial" w:eastAsia="Arial" w:hAnsi="Arial" w:cs="Arial"/>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6157"/>
    <w:pPr>
      <w:spacing w:after="0" w:line="240" w:lineRule="auto"/>
      <w:jc w:val="left"/>
    </w:pPr>
    <w:rPr>
      <w:rFonts w:ascii="Times New Roman" w:eastAsiaTheme="minorHAnsi" w:hAnsi="Times New Roman"/>
      <w:sz w:val="18"/>
      <w:szCs w:val="18"/>
      <w:lang w:val="en-US"/>
    </w:rPr>
  </w:style>
  <w:style w:type="character" w:customStyle="1" w:styleId="BalloonTextChar">
    <w:name w:val="Balloon Text Char"/>
    <w:basedOn w:val="DefaultParagraphFont"/>
    <w:link w:val="BalloonText"/>
    <w:uiPriority w:val="99"/>
    <w:semiHidden/>
    <w:rsid w:val="00C86157"/>
    <w:rPr>
      <w:rFonts w:ascii="Times New Roman" w:hAnsi="Times New Roman" w:cs="Times New Roman"/>
      <w:sz w:val="18"/>
      <w:szCs w:val="18"/>
      <w:lang w:val="en-US"/>
    </w:rPr>
  </w:style>
  <w:style w:type="paragraph" w:styleId="Header">
    <w:name w:val="header"/>
    <w:basedOn w:val="Normal"/>
    <w:link w:val="HeaderChar"/>
    <w:uiPriority w:val="99"/>
    <w:unhideWhenUsed/>
    <w:rsid w:val="00AE0825"/>
    <w:pPr>
      <w:tabs>
        <w:tab w:val="center" w:pos="4536"/>
        <w:tab w:val="right" w:pos="9072"/>
      </w:tabs>
      <w:spacing w:after="0" w:line="240" w:lineRule="auto"/>
    </w:pPr>
  </w:style>
  <w:style w:type="character" w:customStyle="1" w:styleId="HeaderChar">
    <w:name w:val="Header Char"/>
    <w:basedOn w:val="DefaultParagraphFont"/>
    <w:link w:val="Header"/>
    <w:uiPriority w:val="99"/>
    <w:rsid w:val="00AE0825"/>
    <w:rPr>
      <w:rFonts w:ascii="Calibri" w:eastAsia="Calibri" w:hAnsi="Calibri" w:cs="Times New Roman"/>
      <w:szCs w:val="22"/>
      <w:lang w:val="en-IE"/>
    </w:rPr>
  </w:style>
  <w:style w:type="paragraph" w:styleId="Footer">
    <w:name w:val="footer"/>
    <w:basedOn w:val="Normal"/>
    <w:link w:val="FooterChar"/>
    <w:uiPriority w:val="99"/>
    <w:unhideWhenUsed/>
    <w:rsid w:val="00AE0825"/>
    <w:pPr>
      <w:tabs>
        <w:tab w:val="center" w:pos="4536"/>
        <w:tab w:val="right" w:pos="9072"/>
      </w:tabs>
      <w:spacing w:after="0" w:line="240" w:lineRule="auto"/>
    </w:pPr>
  </w:style>
  <w:style w:type="character" w:customStyle="1" w:styleId="FooterChar">
    <w:name w:val="Footer Char"/>
    <w:basedOn w:val="DefaultParagraphFont"/>
    <w:link w:val="Footer"/>
    <w:uiPriority w:val="99"/>
    <w:rsid w:val="00AE0825"/>
    <w:rPr>
      <w:rFonts w:ascii="Calibri" w:eastAsia="Calibri" w:hAnsi="Calibri" w:cs="Times New Roman"/>
      <w:szCs w:val="22"/>
      <w:lang w:val="en-IE"/>
    </w:rPr>
  </w:style>
  <w:style w:type="character" w:customStyle="1" w:styleId="Heading1Char">
    <w:name w:val="Heading 1 Char"/>
    <w:basedOn w:val="DefaultParagraphFont"/>
    <w:link w:val="Heading1"/>
    <w:uiPriority w:val="9"/>
    <w:rsid w:val="00AD0AF0"/>
    <w:rPr>
      <w:rFonts w:ascii="Arial" w:eastAsia="Arial" w:hAnsi="Arial" w:cs="Arial"/>
      <w:lang w:val="en-US"/>
    </w:rPr>
  </w:style>
  <w:style w:type="paragraph" w:styleId="Caption">
    <w:name w:val="caption"/>
    <w:basedOn w:val="Normal"/>
    <w:next w:val="Normal"/>
    <w:uiPriority w:val="35"/>
    <w:semiHidden/>
    <w:unhideWhenUsed/>
    <w:qFormat/>
    <w:rsid w:val="00AD0AF0"/>
    <w:pPr>
      <w:spacing w:after="200" w:line="240" w:lineRule="auto"/>
      <w:jc w:val="left"/>
    </w:pPr>
    <w:rPr>
      <w:rFonts w:asciiTheme="minorHAnsi" w:eastAsiaTheme="minorHAnsi" w:hAnsiTheme="minorHAnsi" w:cstheme="minorBidi"/>
      <w:b/>
      <w:bCs/>
      <w:color w:val="4472C4" w:themeColor="accent1"/>
      <w:sz w:val="18"/>
      <w:szCs w:val="18"/>
    </w:rPr>
  </w:style>
  <w:style w:type="table" w:styleId="TableGrid">
    <w:name w:val="Table Grid"/>
    <w:basedOn w:val="TableNormal"/>
    <w:uiPriority w:val="59"/>
    <w:rsid w:val="00AD0AF0"/>
    <w:rPr>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E0473E"/>
    <w:pPr>
      <w:widowControl w:val="0"/>
      <w:autoSpaceDE w:val="0"/>
      <w:autoSpaceDN w:val="0"/>
      <w:spacing w:before="4" w:after="0" w:line="215" w:lineRule="exact"/>
      <w:jc w:val="right"/>
    </w:pPr>
    <w:rPr>
      <w:rFonts w:ascii="Arial" w:eastAsia="Arial" w:hAnsi="Arial" w:cs="Arial"/>
      <w:sz w:val="22"/>
      <w:lang w:val="en-US"/>
    </w:rPr>
  </w:style>
  <w:style w:type="table" w:styleId="PlainTable2">
    <w:name w:val="Plain Table 2"/>
    <w:basedOn w:val="TableNormal"/>
    <w:uiPriority w:val="42"/>
    <w:rsid w:val="0004445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6550533">
      <w:bodyDiv w:val="1"/>
      <w:marLeft w:val="0"/>
      <w:marRight w:val="0"/>
      <w:marTop w:val="0"/>
      <w:marBottom w:val="0"/>
      <w:divBdr>
        <w:top w:val="none" w:sz="0" w:space="0" w:color="auto"/>
        <w:left w:val="none" w:sz="0" w:space="0" w:color="auto"/>
        <w:bottom w:val="none" w:sz="0" w:space="0" w:color="auto"/>
        <w:right w:val="none" w:sz="0" w:space="0" w:color="auto"/>
      </w:divBdr>
      <w:divsChild>
        <w:div w:id="369767346">
          <w:marLeft w:val="0"/>
          <w:marRight w:val="0"/>
          <w:marTop w:val="0"/>
          <w:marBottom w:val="0"/>
          <w:divBdr>
            <w:top w:val="none" w:sz="0" w:space="0" w:color="auto"/>
            <w:left w:val="none" w:sz="0" w:space="0" w:color="auto"/>
            <w:bottom w:val="none" w:sz="0" w:space="0" w:color="auto"/>
            <w:right w:val="none" w:sz="0" w:space="0" w:color="auto"/>
          </w:divBdr>
          <w:divsChild>
            <w:div w:id="808286477">
              <w:marLeft w:val="0"/>
              <w:marRight w:val="0"/>
              <w:marTop w:val="0"/>
              <w:marBottom w:val="0"/>
              <w:divBdr>
                <w:top w:val="none" w:sz="0" w:space="0" w:color="auto"/>
                <w:left w:val="none" w:sz="0" w:space="0" w:color="auto"/>
                <w:bottom w:val="none" w:sz="0" w:space="0" w:color="auto"/>
                <w:right w:val="none" w:sz="0" w:space="0" w:color="auto"/>
              </w:divBdr>
              <w:divsChild>
                <w:div w:id="1603731646">
                  <w:marLeft w:val="0"/>
                  <w:marRight w:val="0"/>
                  <w:marTop w:val="0"/>
                  <w:marBottom w:val="0"/>
                  <w:divBdr>
                    <w:top w:val="none" w:sz="0" w:space="0" w:color="auto"/>
                    <w:left w:val="none" w:sz="0" w:space="0" w:color="auto"/>
                    <w:bottom w:val="none" w:sz="0" w:space="0" w:color="auto"/>
                    <w:right w:val="none" w:sz="0" w:space="0" w:color="auto"/>
                  </w:divBdr>
                  <w:divsChild>
                    <w:div w:id="686056020">
                      <w:marLeft w:val="0"/>
                      <w:marRight w:val="0"/>
                      <w:marTop w:val="0"/>
                      <w:marBottom w:val="0"/>
                      <w:divBdr>
                        <w:top w:val="none" w:sz="0" w:space="0" w:color="auto"/>
                        <w:left w:val="none" w:sz="0" w:space="0" w:color="auto"/>
                        <w:bottom w:val="none" w:sz="0" w:space="0" w:color="auto"/>
                        <w:right w:val="none" w:sz="0" w:space="0" w:color="auto"/>
                      </w:divBdr>
                    </w:div>
                  </w:divsChild>
                </w:div>
                <w:div w:id="1188980001">
                  <w:marLeft w:val="0"/>
                  <w:marRight w:val="0"/>
                  <w:marTop w:val="0"/>
                  <w:marBottom w:val="0"/>
                  <w:divBdr>
                    <w:top w:val="none" w:sz="0" w:space="0" w:color="auto"/>
                    <w:left w:val="none" w:sz="0" w:space="0" w:color="auto"/>
                    <w:bottom w:val="none" w:sz="0" w:space="0" w:color="auto"/>
                    <w:right w:val="none" w:sz="0" w:space="0" w:color="auto"/>
                  </w:divBdr>
                  <w:divsChild>
                    <w:div w:id="303891298">
                      <w:marLeft w:val="0"/>
                      <w:marRight w:val="0"/>
                      <w:marTop w:val="0"/>
                      <w:marBottom w:val="0"/>
                      <w:divBdr>
                        <w:top w:val="none" w:sz="0" w:space="0" w:color="auto"/>
                        <w:left w:val="none" w:sz="0" w:space="0" w:color="auto"/>
                        <w:bottom w:val="none" w:sz="0" w:space="0" w:color="auto"/>
                        <w:right w:val="none" w:sz="0" w:space="0" w:color="auto"/>
                      </w:divBdr>
                    </w:div>
                  </w:divsChild>
                </w:div>
                <w:div w:id="623001605">
                  <w:marLeft w:val="0"/>
                  <w:marRight w:val="0"/>
                  <w:marTop w:val="0"/>
                  <w:marBottom w:val="0"/>
                  <w:divBdr>
                    <w:top w:val="none" w:sz="0" w:space="0" w:color="auto"/>
                    <w:left w:val="none" w:sz="0" w:space="0" w:color="auto"/>
                    <w:bottom w:val="none" w:sz="0" w:space="0" w:color="auto"/>
                    <w:right w:val="none" w:sz="0" w:space="0" w:color="auto"/>
                  </w:divBdr>
                  <w:divsChild>
                    <w:div w:id="1215242577">
                      <w:marLeft w:val="0"/>
                      <w:marRight w:val="0"/>
                      <w:marTop w:val="0"/>
                      <w:marBottom w:val="0"/>
                      <w:divBdr>
                        <w:top w:val="none" w:sz="0" w:space="0" w:color="auto"/>
                        <w:left w:val="none" w:sz="0" w:space="0" w:color="auto"/>
                        <w:bottom w:val="none" w:sz="0" w:space="0" w:color="auto"/>
                        <w:right w:val="none" w:sz="0" w:space="0" w:color="auto"/>
                      </w:divBdr>
                    </w:div>
                  </w:divsChild>
                </w:div>
                <w:div w:id="1032414441">
                  <w:marLeft w:val="0"/>
                  <w:marRight w:val="0"/>
                  <w:marTop w:val="0"/>
                  <w:marBottom w:val="0"/>
                  <w:divBdr>
                    <w:top w:val="none" w:sz="0" w:space="0" w:color="auto"/>
                    <w:left w:val="none" w:sz="0" w:space="0" w:color="auto"/>
                    <w:bottom w:val="none" w:sz="0" w:space="0" w:color="auto"/>
                    <w:right w:val="none" w:sz="0" w:space="0" w:color="auto"/>
                  </w:divBdr>
                  <w:divsChild>
                    <w:div w:id="572084461">
                      <w:marLeft w:val="0"/>
                      <w:marRight w:val="0"/>
                      <w:marTop w:val="0"/>
                      <w:marBottom w:val="0"/>
                      <w:divBdr>
                        <w:top w:val="none" w:sz="0" w:space="0" w:color="auto"/>
                        <w:left w:val="none" w:sz="0" w:space="0" w:color="auto"/>
                        <w:bottom w:val="none" w:sz="0" w:space="0" w:color="auto"/>
                        <w:right w:val="none" w:sz="0" w:space="0" w:color="auto"/>
                      </w:divBdr>
                    </w:div>
                  </w:divsChild>
                </w:div>
                <w:div w:id="1214541626">
                  <w:marLeft w:val="0"/>
                  <w:marRight w:val="0"/>
                  <w:marTop w:val="0"/>
                  <w:marBottom w:val="0"/>
                  <w:divBdr>
                    <w:top w:val="none" w:sz="0" w:space="0" w:color="auto"/>
                    <w:left w:val="none" w:sz="0" w:space="0" w:color="auto"/>
                    <w:bottom w:val="none" w:sz="0" w:space="0" w:color="auto"/>
                    <w:right w:val="none" w:sz="0" w:space="0" w:color="auto"/>
                  </w:divBdr>
                  <w:divsChild>
                    <w:div w:id="1677489539">
                      <w:marLeft w:val="0"/>
                      <w:marRight w:val="0"/>
                      <w:marTop w:val="0"/>
                      <w:marBottom w:val="0"/>
                      <w:divBdr>
                        <w:top w:val="none" w:sz="0" w:space="0" w:color="auto"/>
                        <w:left w:val="none" w:sz="0" w:space="0" w:color="auto"/>
                        <w:bottom w:val="none" w:sz="0" w:space="0" w:color="auto"/>
                        <w:right w:val="none" w:sz="0" w:space="0" w:color="auto"/>
                      </w:divBdr>
                    </w:div>
                  </w:divsChild>
                </w:div>
                <w:div w:id="1877162522">
                  <w:marLeft w:val="0"/>
                  <w:marRight w:val="0"/>
                  <w:marTop w:val="0"/>
                  <w:marBottom w:val="0"/>
                  <w:divBdr>
                    <w:top w:val="none" w:sz="0" w:space="0" w:color="auto"/>
                    <w:left w:val="none" w:sz="0" w:space="0" w:color="auto"/>
                    <w:bottom w:val="none" w:sz="0" w:space="0" w:color="auto"/>
                    <w:right w:val="none" w:sz="0" w:space="0" w:color="auto"/>
                  </w:divBdr>
                  <w:divsChild>
                    <w:div w:id="938217913">
                      <w:marLeft w:val="0"/>
                      <w:marRight w:val="0"/>
                      <w:marTop w:val="0"/>
                      <w:marBottom w:val="0"/>
                      <w:divBdr>
                        <w:top w:val="none" w:sz="0" w:space="0" w:color="auto"/>
                        <w:left w:val="none" w:sz="0" w:space="0" w:color="auto"/>
                        <w:bottom w:val="none" w:sz="0" w:space="0" w:color="auto"/>
                        <w:right w:val="none" w:sz="0" w:space="0" w:color="auto"/>
                      </w:divBdr>
                    </w:div>
                  </w:divsChild>
                </w:div>
                <w:div w:id="1242177509">
                  <w:marLeft w:val="0"/>
                  <w:marRight w:val="0"/>
                  <w:marTop w:val="0"/>
                  <w:marBottom w:val="0"/>
                  <w:divBdr>
                    <w:top w:val="none" w:sz="0" w:space="0" w:color="auto"/>
                    <w:left w:val="none" w:sz="0" w:space="0" w:color="auto"/>
                    <w:bottom w:val="none" w:sz="0" w:space="0" w:color="auto"/>
                    <w:right w:val="none" w:sz="0" w:space="0" w:color="auto"/>
                  </w:divBdr>
                  <w:divsChild>
                    <w:div w:id="322121686">
                      <w:marLeft w:val="0"/>
                      <w:marRight w:val="0"/>
                      <w:marTop w:val="0"/>
                      <w:marBottom w:val="0"/>
                      <w:divBdr>
                        <w:top w:val="none" w:sz="0" w:space="0" w:color="auto"/>
                        <w:left w:val="none" w:sz="0" w:space="0" w:color="auto"/>
                        <w:bottom w:val="none" w:sz="0" w:space="0" w:color="auto"/>
                        <w:right w:val="none" w:sz="0" w:space="0" w:color="auto"/>
                      </w:divBdr>
                    </w:div>
                  </w:divsChild>
                </w:div>
                <w:div w:id="656760553">
                  <w:marLeft w:val="0"/>
                  <w:marRight w:val="0"/>
                  <w:marTop w:val="0"/>
                  <w:marBottom w:val="0"/>
                  <w:divBdr>
                    <w:top w:val="none" w:sz="0" w:space="0" w:color="auto"/>
                    <w:left w:val="none" w:sz="0" w:space="0" w:color="auto"/>
                    <w:bottom w:val="none" w:sz="0" w:space="0" w:color="auto"/>
                    <w:right w:val="none" w:sz="0" w:space="0" w:color="auto"/>
                  </w:divBdr>
                  <w:divsChild>
                    <w:div w:id="94889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9093</Words>
  <Characters>51831</Characters>
  <Application>Microsoft Office Word</Application>
  <DocSecurity>0</DocSecurity>
  <Lines>431</Lines>
  <Paragraphs>121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Schverer</dc:creator>
  <cp:keywords/>
  <dc:description/>
  <cp:lastModifiedBy>Cotter, Gillian</cp:lastModifiedBy>
  <cp:revision>2</cp:revision>
  <dcterms:created xsi:type="dcterms:W3CDTF">2022-02-17T11:19:00Z</dcterms:created>
  <dcterms:modified xsi:type="dcterms:W3CDTF">2022-02-17T11:19:00Z</dcterms:modified>
</cp:coreProperties>
</file>