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434E" w14:textId="6773EBEA" w:rsidR="00813B77" w:rsidRPr="00D5378C" w:rsidRDefault="0038512F" w:rsidP="00813B77">
      <w:pPr>
        <w:rPr>
          <w:rFonts w:cstheme="minorHAnsi"/>
          <w:b/>
          <w:bCs/>
          <w:sz w:val="28"/>
          <w:szCs w:val="28"/>
        </w:rPr>
      </w:pPr>
      <w:r w:rsidRPr="00D5378C">
        <w:rPr>
          <w:rFonts w:cstheme="minorHAnsi"/>
          <w:b/>
          <w:bCs/>
          <w:sz w:val="28"/>
          <w:szCs w:val="28"/>
        </w:rPr>
        <w:t>Supplementary data</w:t>
      </w:r>
    </w:p>
    <w:p w14:paraId="5215640E" w14:textId="77777777" w:rsidR="0038512F" w:rsidRDefault="0038512F" w:rsidP="00813B77">
      <w:pPr>
        <w:rPr>
          <w:rFonts w:cstheme="minorHAnsi"/>
          <w:b/>
          <w:bCs/>
        </w:rPr>
      </w:pPr>
    </w:p>
    <w:p w14:paraId="587DA151" w14:textId="58CFB98D" w:rsidR="00813B77" w:rsidRPr="0082788A" w:rsidRDefault="003E6254" w:rsidP="00813B77">
      <w:pPr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File S1</w:t>
      </w:r>
      <w:r w:rsidR="0092127B">
        <w:rPr>
          <w:rFonts w:cstheme="minorHAnsi"/>
          <w:b/>
          <w:bCs/>
        </w:rPr>
        <w:t>.</w:t>
      </w:r>
      <w:r w:rsidR="0038512F">
        <w:rPr>
          <w:rFonts w:cstheme="minorHAnsi"/>
          <w:b/>
          <w:bCs/>
        </w:rPr>
        <w:t xml:space="preserve"> </w:t>
      </w:r>
      <w:r w:rsidR="00813B77">
        <w:rPr>
          <w:rFonts w:cstheme="minorHAnsi"/>
          <w:b/>
          <w:bCs/>
        </w:rPr>
        <w:t>D</w:t>
      </w:r>
      <w:r w:rsidR="00813B77" w:rsidRPr="00B4740D">
        <w:rPr>
          <w:rFonts w:cstheme="minorHAnsi"/>
          <w:b/>
          <w:bCs/>
        </w:rPr>
        <w:t xml:space="preserve">ata </w:t>
      </w:r>
      <w:r w:rsidR="00813B77">
        <w:rPr>
          <w:rFonts w:cstheme="minorHAnsi"/>
          <w:b/>
          <w:bCs/>
        </w:rPr>
        <w:t>extraction</w:t>
      </w:r>
      <w:r w:rsidR="00813B77" w:rsidRPr="00B4740D">
        <w:rPr>
          <w:rFonts w:cstheme="minorHAnsi"/>
          <w:b/>
          <w:bCs/>
        </w:rPr>
        <w:t xml:space="preserve"> form</w:t>
      </w:r>
    </w:p>
    <w:p w14:paraId="66A28640" w14:textId="77777777" w:rsidR="00813B77" w:rsidRPr="00B4740D" w:rsidRDefault="00813B77" w:rsidP="00813B7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813B77" w14:paraId="57545199" w14:textId="77777777" w:rsidTr="00B542C4">
        <w:tc>
          <w:tcPr>
            <w:tcW w:w="3397" w:type="dxa"/>
          </w:tcPr>
          <w:p w14:paraId="04053FB0" w14:textId="77777777" w:rsidR="00813B77" w:rsidRPr="00B4740D" w:rsidRDefault="00813B77" w:rsidP="00B542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Reference: </w:t>
            </w:r>
          </w:p>
          <w:p w14:paraId="5868EEC5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4C9CDF5F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39321741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51B2E6FD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62281DF1" w14:textId="77777777" w:rsidTr="00B542C4">
        <w:tc>
          <w:tcPr>
            <w:tcW w:w="3397" w:type="dxa"/>
          </w:tcPr>
          <w:p w14:paraId="58CB44AE" w14:textId="77777777" w:rsidR="00813B77" w:rsidRDefault="00813B77" w:rsidP="00B542C4">
            <w:pPr>
              <w:rPr>
                <w:rFonts w:cstheme="minorHAnsi"/>
              </w:rPr>
            </w:pPr>
            <w:r w:rsidRPr="00B4740D">
              <w:rPr>
                <w:rFonts w:cstheme="minorHAnsi"/>
              </w:rPr>
              <w:t>Author</w:t>
            </w:r>
            <w:r>
              <w:rPr>
                <w:rFonts w:cstheme="minorHAnsi"/>
              </w:rPr>
              <w:t>:</w:t>
            </w:r>
          </w:p>
          <w:p w14:paraId="0916A8D9" w14:textId="77777777" w:rsidR="00813B77" w:rsidRDefault="00813B77" w:rsidP="00B542C4">
            <w:pPr>
              <w:rPr>
                <w:rFonts w:cstheme="minorHAnsi"/>
              </w:rPr>
            </w:pPr>
          </w:p>
          <w:p w14:paraId="455833F2" w14:textId="77777777" w:rsidR="00813B77" w:rsidRDefault="00813B77" w:rsidP="00B542C4">
            <w:pPr>
              <w:rPr>
                <w:rFonts w:cstheme="minorHAnsi"/>
              </w:rPr>
            </w:pPr>
          </w:p>
        </w:tc>
        <w:tc>
          <w:tcPr>
            <w:tcW w:w="5613" w:type="dxa"/>
          </w:tcPr>
          <w:p w14:paraId="63CD9DB5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3964C178" w14:textId="77777777" w:rsidTr="00B542C4">
        <w:tc>
          <w:tcPr>
            <w:tcW w:w="3397" w:type="dxa"/>
          </w:tcPr>
          <w:p w14:paraId="381183B0" w14:textId="77777777" w:rsidR="00813B77" w:rsidRPr="00B4740D" w:rsidRDefault="00813B77" w:rsidP="00B542C4">
            <w:pPr>
              <w:rPr>
                <w:rFonts w:cstheme="minorHAnsi"/>
              </w:rPr>
            </w:pPr>
            <w:r w:rsidRPr="00B4740D">
              <w:rPr>
                <w:rFonts w:cstheme="minorHAnsi"/>
              </w:rPr>
              <w:t>Year</w:t>
            </w:r>
            <w:r>
              <w:rPr>
                <w:rFonts w:cstheme="minorHAnsi"/>
              </w:rPr>
              <w:t xml:space="preserve"> published:</w:t>
            </w:r>
          </w:p>
          <w:p w14:paraId="12F5C850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7A126293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2E5CA67A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336B6093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5066F1A7" w14:textId="77777777" w:rsidTr="00B542C4">
        <w:tc>
          <w:tcPr>
            <w:tcW w:w="3397" w:type="dxa"/>
          </w:tcPr>
          <w:p w14:paraId="695ED8CE" w14:textId="77777777" w:rsidR="00813B77" w:rsidRDefault="00813B77" w:rsidP="00B542C4">
            <w:pPr>
              <w:rPr>
                <w:rFonts w:cstheme="minorHAnsi"/>
              </w:rPr>
            </w:pPr>
            <w:r>
              <w:rPr>
                <w:rFonts w:cstheme="minorHAnsi"/>
              </w:rPr>
              <w:t>Study location:</w:t>
            </w:r>
          </w:p>
          <w:p w14:paraId="76B04A39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641C626B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2FF88A80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6CE60BFE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72FC3097" w14:textId="77777777" w:rsidTr="00B542C4">
        <w:tc>
          <w:tcPr>
            <w:tcW w:w="3397" w:type="dxa"/>
          </w:tcPr>
          <w:p w14:paraId="1851808B" w14:textId="77777777" w:rsidR="00813B77" w:rsidRPr="00B4740D" w:rsidRDefault="00813B77" w:rsidP="00B542C4">
            <w:pPr>
              <w:rPr>
                <w:rFonts w:cstheme="minorHAnsi"/>
              </w:rPr>
            </w:pPr>
            <w:r w:rsidRPr="00B4740D">
              <w:rPr>
                <w:rFonts w:cstheme="minorHAnsi"/>
              </w:rPr>
              <w:t>Area of AMS applicable to</w:t>
            </w:r>
            <w:r>
              <w:rPr>
                <w:rFonts w:cstheme="minorHAnsi"/>
              </w:rPr>
              <w:t>:</w:t>
            </w:r>
          </w:p>
          <w:p w14:paraId="09BD050E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3377922C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0D2F82A5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72B3B38E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02AC04F3" w14:textId="77777777" w:rsidTr="00B542C4">
        <w:tc>
          <w:tcPr>
            <w:tcW w:w="3397" w:type="dxa"/>
          </w:tcPr>
          <w:p w14:paraId="4FE1012C" w14:textId="77777777" w:rsidR="00813B77" w:rsidRPr="00B4740D" w:rsidRDefault="00813B77" w:rsidP="00B542C4">
            <w:pPr>
              <w:rPr>
                <w:rFonts w:cstheme="minorHAnsi"/>
              </w:rPr>
            </w:pPr>
            <w:r w:rsidRPr="00B4740D">
              <w:rPr>
                <w:rFonts w:cstheme="minorHAnsi"/>
              </w:rPr>
              <w:t>Study design</w:t>
            </w:r>
            <w:r>
              <w:rPr>
                <w:rFonts w:cstheme="minorHAnsi"/>
              </w:rPr>
              <w:t>/ methodology to develop the QIs:</w:t>
            </w:r>
          </w:p>
          <w:p w14:paraId="05F6D99E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6A0733B3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315747CC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7C6A3AEB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12633319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4B31B89B" w14:textId="77777777" w:rsidTr="00B542C4">
        <w:tc>
          <w:tcPr>
            <w:tcW w:w="3397" w:type="dxa"/>
          </w:tcPr>
          <w:p w14:paraId="1C46A0F7" w14:textId="77777777" w:rsidR="00813B77" w:rsidRPr="00B4740D" w:rsidRDefault="00813B77" w:rsidP="00B542C4">
            <w:pPr>
              <w:rPr>
                <w:rFonts w:cstheme="minorHAnsi"/>
              </w:rPr>
            </w:pPr>
            <w:r w:rsidRPr="00B4740D">
              <w:rPr>
                <w:rFonts w:cstheme="minorHAnsi"/>
              </w:rPr>
              <w:t>Number of QI’s developed</w:t>
            </w:r>
          </w:p>
          <w:p w14:paraId="5C99F088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18AD8938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  <w:p w14:paraId="5475EDD4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380CEF2E" w14:textId="77777777" w:rsidTr="00B542C4">
        <w:tc>
          <w:tcPr>
            <w:tcW w:w="3397" w:type="dxa"/>
          </w:tcPr>
          <w:p w14:paraId="4D83DCF0" w14:textId="77777777" w:rsidR="00813B77" w:rsidRPr="00B4740D" w:rsidRDefault="00813B77" w:rsidP="00B542C4">
            <w:pPr>
              <w:rPr>
                <w:rFonts w:cstheme="minorHAnsi"/>
              </w:rPr>
            </w:pPr>
            <w:r w:rsidRPr="00B4740D">
              <w:rPr>
                <w:rFonts w:cstheme="minorHAnsi"/>
              </w:rPr>
              <w:t>Types of QI’s developed (i.e. Process, structure or outcome)</w:t>
            </w:r>
          </w:p>
          <w:p w14:paraId="56BFB9BB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14450CE8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0F342723" w14:textId="77777777" w:rsidTr="00B542C4">
        <w:tc>
          <w:tcPr>
            <w:tcW w:w="3397" w:type="dxa"/>
          </w:tcPr>
          <w:p w14:paraId="63409BD0" w14:textId="77777777" w:rsidR="00813B77" w:rsidRDefault="00813B77" w:rsidP="00B542C4">
            <w:pPr>
              <w:rPr>
                <w:rFonts w:cstheme="minorHAnsi"/>
              </w:rPr>
            </w:pPr>
            <w:r>
              <w:rPr>
                <w:rFonts w:cstheme="minorHAnsi"/>
              </w:rPr>
              <w:t>The QIs developed</w:t>
            </w:r>
          </w:p>
          <w:p w14:paraId="40A66E2D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  <w:tc>
          <w:tcPr>
            <w:tcW w:w="5613" w:type="dxa"/>
          </w:tcPr>
          <w:p w14:paraId="4BDD989A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  <w:tr w:rsidR="00813B77" w14:paraId="0D7A7683" w14:textId="77777777" w:rsidTr="00B542C4">
        <w:tc>
          <w:tcPr>
            <w:tcW w:w="3397" w:type="dxa"/>
          </w:tcPr>
          <w:p w14:paraId="0B314068" w14:textId="77777777" w:rsidR="00813B77" w:rsidRDefault="00813B77" w:rsidP="00B542C4">
            <w:pPr>
              <w:rPr>
                <w:rFonts w:cstheme="minorHAnsi"/>
              </w:rPr>
            </w:pPr>
            <w:r>
              <w:rPr>
                <w:rFonts w:cstheme="minorHAnsi"/>
              </w:rPr>
              <w:t>Methodological assessment with AIRE criteria completed</w:t>
            </w:r>
          </w:p>
        </w:tc>
        <w:tc>
          <w:tcPr>
            <w:tcW w:w="5613" w:type="dxa"/>
          </w:tcPr>
          <w:p w14:paraId="7B808BA7" w14:textId="77777777" w:rsidR="00813B77" w:rsidRDefault="00813B77" w:rsidP="00B542C4">
            <w:pPr>
              <w:rPr>
                <w:rFonts w:cstheme="minorHAnsi"/>
                <w:color w:val="2A2A2A"/>
                <w:shd w:val="clear" w:color="auto" w:fill="FFFFFF"/>
              </w:rPr>
            </w:pPr>
          </w:p>
        </w:tc>
      </w:tr>
    </w:tbl>
    <w:p w14:paraId="2E214859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4DE1401E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5565AB2B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38647C85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0209C360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4B98F12C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456900C6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23CC4A7E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148D2989" w14:textId="2BA611F3" w:rsidR="007D3621" w:rsidRPr="00D06DB2" w:rsidRDefault="00813B77">
      <w:pPr>
        <w:rPr>
          <w:b/>
          <w:bCs/>
        </w:rPr>
      </w:pPr>
      <w:r>
        <w:rPr>
          <w:b/>
          <w:bCs/>
        </w:rPr>
        <w:br w:type="page"/>
      </w:r>
      <w:r w:rsidR="003E625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lastRenderedPageBreak/>
        <w:t>File S2</w:t>
      </w:r>
      <w:r w:rsidR="0092127B">
        <w:rPr>
          <w:b/>
          <w:bCs/>
        </w:rPr>
        <w:t>.</w:t>
      </w:r>
      <w:r w:rsidR="00D06DB2" w:rsidRPr="00D06DB2">
        <w:rPr>
          <w:b/>
          <w:bCs/>
        </w:rPr>
        <w:t xml:space="preserve"> </w:t>
      </w:r>
      <w:r w:rsidR="007D3621" w:rsidRPr="00D06DB2">
        <w:rPr>
          <w:b/>
          <w:bCs/>
        </w:rPr>
        <w:t>AIRE</w:t>
      </w:r>
      <w:r w:rsidR="00902813" w:rsidRPr="00D06DB2">
        <w:rPr>
          <w:b/>
          <w:bCs/>
        </w:rPr>
        <w:t xml:space="preserve"> instrument description and scoring</w:t>
      </w:r>
      <w:r w:rsidR="007D3621" w:rsidRPr="00D06DB2">
        <w:rPr>
          <w:b/>
          <w:bCs/>
        </w:rPr>
        <w:t xml:space="preserve"> </w:t>
      </w:r>
    </w:p>
    <w:p w14:paraId="0650DD0B" w14:textId="2F05FCB6" w:rsidR="00902813" w:rsidRDefault="00902813">
      <w:pPr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>The</w:t>
      </w:r>
      <w:r w:rsidRPr="00902813">
        <w:t xml:space="preserve"> </w:t>
      </w:r>
      <w:r>
        <w:t xml:space="preserve">AIRE instrument is divided into </w:t>
      </w:r>
      <w:r w:rsidRPr="00983F15">
        <w:rPr>
          <w:color w:val="000000" w:themeColor="text1"/>
          <w:shd w:val="clear" w:color="auto" w:fill="FFFFFF"/>
        </w:rPr>
        <w:t>four quality domains</w:t>
      </w:r>
      <w:r>
        <w:rPr>
          <w:color w:val="000000" w:themeColor="text1"/>
          <w:shd w:val="clear" w:color="auto" w:fill="FFFFFF"/>
        </w:rPr>
        <w:t xml:space="preserve"> of a QI and</w:t>
      </w:r>
      <w:r>
        <w:rPr>
          <w:shd w:val="clear" w:color="auto" w:fill="FFFFFF"/>
        </w:rPr>
        <w:t xml:space="preserve"> </w:t>
      </w:r>
      <w:r w:rsidRPr="00983F15">
        <w:rPr>
          <w:color w:val="000000" w:themeColor="text1"/>
          <w:shd w:val="clear" w:color="auto" w:fill="FFFFFF"/>
        </w:rPr>
        <w:t xml:space="preserve">consists of 20 </w:t>
      </w:r>
      <w:r>
        <w:rPr>
          <w:color w:val="000000" w:themeColor="text1"/>
          <w:shd w:val="clear" w:color="auto" w:fill="FFFFFF"/>
        </w:rPr>
        <w:t>criteria which are applied to each completed set of QIs. Three domains ad</w:t>
      </w:r>
      <w:r w:rsidRPr="00983F15">
        <w:rPr>
          <w:color w:val="000000" w:themeColor="text1"/>
          <w:shd w:val="clear" w:color="auto" w:fill="FFFFFF"/>
        </w:rPr>
        <w:t>dress</w:t>
      </w:r>
      <w:r>
        <w:rPr>
          <w:color w:val="000000" w:themeColor="text1"/>
          <w:shd w:val="clear" w:color="auto" w:fill="FFFFFF"/>
        </w:rPr>
        <w:t xml:space="preserve"> the methodological quality of QIs and were used in this review</w:t>
      </w:r>
      <w:r w:rsidRPr="00983F15">
        <w:rPr>
          <w:color w:val="000000" w:themeColor="text1"/>
          <w:shd w:val="clear" w:color="auto" w:fill="FFFFFF"/>
        </w:rPr>
        <w:t xml:space="preserve">: ‘Stakeholder involvement’, ‘Scientific evidence’ and ‘Additional evidence, formulation and usage’. The fourth </w:t>
      </w:r>
      <w:r>
        <w:rPr>
          <w:color w:val="000000" w:themeColor="text1"/>
          <w:shd w:val="clear" w:color="auto" w:fill="FFFFFF"/>
        </w:rPr>
        <w:t>domain:</w:t>
      </w:r>
      <w:r w:rsidRPr="00983F15">
        <w:rPr>
          <w:color w:val="000000" w:themeColor="text1"/>
          <w:shd w:val="clear" w:color="auto" w:fill="FFFFFF"/>
        </w:rPr>
        <w:t xml:space="preserve"> ‘purpose, relevance and organisational context’ reflect the relevance of the QIs within a particular context </w:t>
      </w:r>
      <w:r>
        <w:rPr>
          <w:color w:val="000000" w:themeColor="text1"/>
          <w:shd w:val="clear" w:color="auto" w:fill="FFFFFF"/>
        </w:rPr>
        <w:t>rather than methodological quality so was not used</w:t>
      </w:r>
      <w:r w:rsidRPr="00983F15">
        <w:rPr>
          <w:color w:val="000000" w:themeColor="text1"/>
          <w:shd w:val="clear" w:color="auto" w:fill="FFFFFF"/>
        </w:rPr>
        <w:t>.</w:t>
      </w:r>
    </w:p>
    <w:p w14:paraId="7AB8D739" w14:textId="77777777" w:rsidR="00902813" w:rsidRDefault="00902813" w:rsidP="00902813">
      <w:pPr>
        <w:rPr>
          <w:color w:val="000000" w:themeColor="text1"/>
        </w:rPr>
      </w:pPr>
      <w:r>
        <w:rPr>
          <w:color w:val="000000" w:themeColor="text1"/>
        </w:rPr>
        <w:t>Scoring of the AIRE instrument items</w:t>
      </w:r>
    </w:p>
    <w:p w14:paraId="202592CE" w14:textId="53E58F64" w:rsidR="00902813" w:rsidRDefault="00902813" w:rsidP="00902813">
      <w:pPr>
        <w:rPr>
          <w:color w:val="000000" w:themeColor="text1"/>
          <w:shd w:val="clear" w:color="auto" w:fill="FFFFFF"/>
        </w:rPr>
      </w:pPr>
      <w:r w:rsidRPr="00983F15">
        <w:rPr>
          <w:color w:val="000000" w:themeColor="text1"/>
          <w:shd w:val="clear" w:color="auto" w:fill="FFFFFF"/>
        </w:rPr>
        <w:t>Each</w:t>
      </w:r>
      <w:r>
        <w:rPr>
          <w:color w:val="000000" w:themeColor="text1"/>
          <w:shd w:val="clear" w:color="auto" w:fill="FFFFFF"/>
        </w:rPr>
        <w:t xml:space="preserve"> of the included domains consisted of several</w:t>
      </w:r>
      <w:r w:rsidRPr="00983F15">
        <w:rPr>
          <w:color w:val="000000" w:themeColor="text1"/>
          <w:shd w:val="clear" w:color="auto" w:fill="FFFFFF"/>
        </w:rPr>
        <w:t xml:space="preserve"> item</w:t>
      </w:r>
      <w:r>
        <w:rPr>
          <w:color w:val="000000" w:themeColor="text1"/>
          <w:shd w:val="clear" w:color="auto" w:fill="FFFFFF"/>
        </w:rPr>
        <w:t xml:space="preserve"> statements</w:t>
      </w:r>
      <w:r w:rsidRPr="00983F15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and were </w:t>
      </w:r>
      <w:bookmarkStart w:id="0" w:name="_Hlk49949884"/>
      <w:r>
        <w:rPr>
          <w:color w:val="000000" w:themeColor="text1"/>
          <w:shd w:val="clear" w:color="auto" w:fill="FFFFFF"/>
        </w:rPr>
        <w:t xml:space="preserve">assigned a score by each reviewer </w:t>
      </w:r>
      <w:r w:rsidRPr="00983F15">
        <w:rPr>
          <w:color w:val="000000" w:themeColor="text1"/>
          <w:shd w:val="clear" w:color="auto" w:fill="FFFFFF"/>
        </w:rPr>
        <w:t>according to a 4-point</w:t>
      </w:r>
      <w:r>
        <w:rPr>
          <w:color w:val="000000" w:themeColor="text1"/>
          <w:shd w:val="clear" w:color="auto" w:fill="FFFFFF"/>
        </w:rPr>
        <w:t xml:space="preserve"> Likert</w:t>
      </w:r>
      <w:r w:rsidRPr="00983F15">
        <w:rPr>
          <w:color w:val="000000" w:themeColor="text1"/>
          <w:shd w:val="clear" w:color="auto" w:fill="FFFFFF"/>
        </w:rPr>
        <w:t xml:space="preserve"> scale</w:t>
      </w:r>
    </w:p>
    <w:p w14:paraId="5C7DAE4B" w14:textId="77777777" w:rsidR="00902813" w:rsidRDefault="00902813" w:rsidP="00902813">
      <w:pPr>
        <w:rPr>
          <w:color w:val="000000" w:themeColor="text1"/>
          <w:shd w:val="clear" w:color="auto" w:fill="FFFFFF"/>
        </w:rPr>
      </w:pPr>
      <w:r w:rsidRPr="00983F15">
        <w:rPr>
          <w:color w:val="000000" w:themeColor="text1"/>
          <w:shd w:val="clear" w:color="auto" w:fill="FFFFFF"/>
        </w:rPr>
        <w:t>1</w:t>
      </w:r>
      <w:proofErr w:type="gramStart"/>
      <w:r>
        <w:rPr>
          <w:color w:val="000000" w:themeColor="text1"/>
          <w:shd w:val="clear" w:color="auto" w:fill="FFFFFF"/>
        </w:rPr>
        <w:t>-</w:t>
      </w:r>
      <w:r w:rsidRPr="00983F15">
        <w:rPr>
          <w:color w:val="000000" w:themeColor="text1"/>
          <w:shd w:val="clear" w:color="auto" w:fill="FFFFFF"/>
        </w:rPr>
        <w:t>‘</w:t>
      </w:r>
      <w:proofErr w:type="gramEnd"/>
      <w:r w:rsidRPr="00983F15">
        <w:rPr>
          <w:color w:val="000000" w:themeColor="text1"/>
          <w:shd w:val="clear" w:color="auto" w:fill="FFFFFF"/>
        </w:rPr>
        <w:t>strongly disagree</w:t>
      </w:r>
      <w:r>
        <w:rPr>
          <w:color w:val="000000" w:themeColor="text1"/>
          <w:shd w:val="clear" w:color="auto" w:fill="FFFFFF"/>
        </w:rPr>
        <w:t>’</w:t>
      </w:r>
      <w:r w:rsidRPr="00983F15">
        <w:rPr>
          <w:color w:val="000000" w:themeColor="text1"/>
          <w:shd w:val="clear" w:color="auto" w:fill="FFFFFF"/>
        </w:rPr>
        <w:t xml:space="preserve"> (confident that the criterion has not been fulfilled or no information is available); </w:t>
      </w:r>
    </w:p>
    <w:p w14:paraId="5C945BB2" w14:textId="77777777" w:rsidR="00902813" w:rsidRDefault="00902813" w:rsidP="0090281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2- ‘disagree’ </w:t>
      </w:r>
      <w:r w:rsidRPr="00983F15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</w:rPr>
        <w:t xml:space="preserve">disagree or </w:t>
      </w:r>
      <w:r w:rsidRPr="00983F15">
        <w:rPr>
          <w:color w:val="000000" w:themeColor="text1"/>
          <w:shd w:val="clear" w:color="auto" w:fill="FFFFFF"/>
        </w:rPr>
        <w:t>unsure whether the criterion has been fulfilled)</w:t>
      </w:r>
    </w:p>
    <w:p w14:paraId="428E9D72" w14:textId="77777777" w:rsidR="00902813" w:rsidRDefault="00902813" w:rsidP="0090281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  <w:proofErr w:type="gramStart"/>
      <w:r>
        <w:rPr>
          <w:color w:val="000000" w:themeColor="text1"/>
          <w:shd w:val="clear" w:color="auto" w:fill="FFFFFF"/>
        </w:rPr>
        <w:t>-‘</w:t>
      </w:r>
      <w:proofErr w:type="gramEnd"/>
      <w:r w:rsidRPr="00983F15">
        <w:rPr>
          <w:color w:val="000000" w:themeColor="text1"/>
          <w:shd w:val="clear" w:color="auto" w:fill="FFFFFF"/>
        </w:rPr>
        <w:t>agree</w:t>
      </w:r>
      <w:r>
        <w:rPr>
          <w:color w:val="000000" w:themeColor="text1"/>
          <w:shd w:val="clear" w:color="auto" w:fill="FFFFFF"/>
        </w:rPr>
        <w:t xml:space="preserve">’ </w:t>
      </w:r>
      <w:r w:rsidRPr="00983F15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</w:rPr>
        <w:t>fairly confident</w:t>
      </w:r>
      <w:r w:rsidRPr="00983F15">
        <w:rPr>
          <w:color w:val="000000" w:themeColor="text1"/>
          <w:shd w:val="clear" w:color="auto" w:fill="FFFFFF"/>
        </w:rPr>
        <w:t xml:space="preserve"> the criterion has been fulfilled)</w:t>
      </w:r>
      <w:r w:rsidRPr="004605B1">
        <w:rPr>
          <w:color w:val="000000" w:themeColor="text1"/>
          <w:shd w:val="clear" w:color="auto" w:fill="FFFFFF"/>
        </w:rPr>
        <w:t xml:space="preserve"> </w:t>
      </w:r>
    </w:p>
    <w:p w14:paraId="743AF9D3" w14:textId="77777777" w:rsidR="00902813" w:rsidRDefault="00902813" w:rsidP="00902813">
      <w:pPr>
        <w:rPr>
          <w:color w:val="000000" w:themeColor="text1"/>
          <w:shd w:val="clear" w:color="auto" w:fill="FFFFFF"/>
        </w:rPr>
      </w:pPr>
      <w:r w:rsidRPr="00983F15">
        <w:rPr>
          <w:color w:val="000000" w:themeColor="text1"/>
          <w:shd w:val="clear" w:color="auto" w:fill="FFFFFF"/>
        </w:rPr>
        <w:t>4</w:t>
      </w:r>
      <w:proofErr w:type="gramStart"/>
      <w:r>
        <w:rPr>
          <w:color w:val="000000" w:themeColor="text1"/>
          <w:shd w:val="clear" w:color="auto" w:fill="FFFFFF"/>
        </w:rPr>
        <w:t>-</w:t>
      </w:r>
      <w:r w:rsidRPr="00983F15">
        <w:rPr>
          <w:color w:val="000000" w:themeColor="text1"/>
          <w:shd w:val="clear" w:color="auto" w:fill="FFFFFF"/>
        </w:rPr>
        <w:t>‘</w:t>
      </w:r>
      <w:proofErr w:type="gramEnd"/>
      <w:r w:rsidRPr="00983F15">
        <w:rPr>
          <w:color w:val="000000" w:themeColor="text1"/>
          <w:shd w:val="clear" w:color="auto" w:fill="FFFFFF"/>
        </w:rPr>
        <w:t>strongly agree’</w:t>
      </w:r>
      <w:r>
        <w:rPr>
          <w:color w:val="000000" w:themeColor="text1"/>
          <w:shd w:val="clear" w:color="auto" w:fill="FFFFFF"/>
        </w:rPr>
        <w:t xml:space="preserve"> </w:t>
      </w:r>
      <w:r w:rsidRPr="00983F15">
        <w:rPr>
          <w:color w:val="000000" w:themeColor="text1"/>
          <w:shd w:val="clear" w:color="auto" w:fill="FFFFFF"/>
        </w:rPr>
        <w:t xml:space="preserve">(confident that the criterion has been fulfilled). </w:t>
      </w:r>
      <w:bookmarkEnd w:id="0"/>
    </w:p>
    <w:p w14:paraId="158F0492" w14:textId="77777777" w:rsidR="00902813" w:rsidRDefault="00902813" w:rsidP="0090281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The scores from each reviewer were summed to provide a ‘total score’ per quality domains.</w:t>
      </w:r>
    </w:p>
    <w:p w14:paraId="2AAF24B1" w14:textId="77777777" w:rsidR="00902813" w:rsidRDefault="00902813" w:rsidP="0090281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 </w:t>
      </w:r>
      <w:r w:rsidRPr="00983F15">
        <w:rPr>
          <w:color w:val="000000" w:themeColor="text1"/>
          <w:shd w:val="clear" w:color="auto" w:fill="FFFFFF"/>
        </w:rPr>
        <w:t>standardised domain score was</w:t>
      </w:r>
      <w:r>
        <w:rPr>
          <w:color w:val="000000" w:themeColor="text1"/>
          <w:shd w:val="clear" w:color="auto" w:fill="FFFFFF"/>
        </w:rPr>
        <w:t xml:space="preserve"> then</w:t>
      </w:r>
      <w:r w:rsidRPr="00983F15">
        <w:rPr>
          <w:color w:val="000000" w:themeColor="text1"/>
          <w:shd w:val="clear" w:color="auto" w:fill="FFFFFF"/>
        </w:rPr>
        <w:t xml:space="preserve"> calculated according to the instrument’s guidelines with the following formula: (total score—minimum possible score) / (maximum score—minimum possible score) x 100%. </w:t>
      </w:r>
    </w:p>
    <w:p w14:paraId="353F83DF" w14:textId="1C1F5100" w:rsidR="00902813" w:rsidRDefault="00902813" w:rsidP="00902813">
      <w:r w:rsidRPr="00983F15">
        <w:rPr>
          <w:color w:val="000000" w:themeColor="text1"/>
          <w:shd w:val="clear" w:color="auto" w:fill="FFFFFF"/>
        </w:rPr>
        <w:t xml:space="preserve">A higher standardized score indicates a higher methodological level of quality (range 0–100%). QI sets were considered to have a high methodological quality </w:t>
      </w:r>
      <w:r>
        <w:rPr>
          <w:color w:val="000000" w:themeColor="text1"/>
          <w:shd w:val="clear" w:color="auto" w:fill="FFFFFF"/>
        </w:rPr>
        <w:t>for</w:t>
      </w:r>
      <w:r w:rsidRPr="00983F15">
        <w:rPr>
          <w:color w:val="000000" w:themeColor="text1"/>
          <w:shd w:val="clear" w:color="auto" w:fill="FFFFFF"/>
        </w:rPr>
        <w:t xml:space="preserve"> a domain if they scored 50% or higher, which correlates with an overall “agree” or “strongly agree”</w:t>
      </w:r>
      <w:r>
        <w:rPr>
          <w:color w:val="000000" w:themeColor="text1"/>
          <w:shd w:val="clear" w:color="auto" w:fill="FFFFFF"/>
        </w:rPr>
        <w:t>.</w:t>
      </w:r>
      <w:r w:rsidRPr="00983F1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983F15">
        <w:rPr>
          <w:color w:val="000000" w:themeColor="text1"/>
          <w:shd w:val="clear" w:color="auto" w:fill="FFFFFF"/>
        </w:rPr>
        <w:t>Domain scores are independent and should not be combined into a single quality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D3621" w14:paraId="3EA4A5AC" w14:textId="77777777" w:rsidTr="00F7328D">
        <w:tc>
          <w:tcPr>
            <w:tcW w:w="2263" w:type="dxa"/>
          </w:tcPr>
          <w:p w14:paraId="722985D9" w14:textId="1616DE7C" w:rsidR="007D3621" w:rsidRDefault="007D3621">
            <w:r>
              <w:t>AIRE domain</w:t>
            </w:r>
          </w:p>
        </w:tc>
        <w:tc>
          <w:tcPr>
            <w:tcW w:w="6753" w:type="dxa"/>
          </w:tcPr>
          <w:p w14:paraId="3E00C57A" w14:textId="05525BFD" w:rsidR="007D3621" w:rsidRDefault="007D3621">
            <w:r>
              <w:t>AIRE items</w:t>
            </w:r>
          </w:p>
        </w:tc>
      </w:tr>
      <w:tr w:rsidR="007D3621" w14:paraId="007F5EE8" w14:textId="77777777" w:rsidTr="00F7328D">
        <w:tc>
          <w:tcPr>
            <w:tcW w:w="2263" w:type="dxa"/>
            <w:vMerge w:val="restart"/>
          </w:tcPr>
          <w:p w14:paraId="4D7494D8" w14:textId="6BED0BFA" w:rsidR="007D3621" w:rsidRDefault="007D3621" w:rsidP="007D3621">
            <w:r w:rsidRPr="007D3621">
              <w:t>Stakeholder involvement</w:t>
            </w:r>
          </w:p>
        </w:tc>
        <w:tc>
          <w:tcPr>
            <w:tcW w:w="6753" w:type="dxa"/>
          </w:tcPr>
          <w:p w14:paraId="0C7F08C0" w14:textId="475F86A9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group developing the indicator includes individuals from relevant professional groups</w:t>
            </w:r>
          </w:p>
        </w:tc>
      </w:tr>
      <w:tr w:rsidR="007D3621" w14:paraId="02D89B69" w14:textId="77777777" w:rsidTr="00F7328D">
        <w:tc>
          <w:tcPr>
            <w:tcW w:w="2263" w:type="dxa"/>
            <w:vMerge/>
          </w:tcPr>
          <w:p w14:paraId="1A581F51" w14:textId="77777777" w:rsidR="007D3621" w:rsidRDefault="007D3621" w:rsidP="007D3621"/>
        </w:tc>
        <w:tc>
          <w:tcPr>
            <w:tcW w:w="6753" w:type="dxa"/>
          </w:tcPr>
          <w:p w14:paraId="41B61F39" w14:textId="3C7F2F28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Considering the purpose of the indicator, all relevant stakeholders have been involved at some stage of the development process</w:t>
            </w:r>
          </w:p>
        </w:tc>
      </w:tr>
      <w:tr w:rsidR="007D3621" w14:paraId="0DD0F5CC" w14:textId="77777777" w:rsidTr="00F7328D">
        <w:tc>
          <w:tcPr>
            <w:tcW w:w="2263" w:type="dxa"/>
            <w:vMerge/>
          </w:tcPr>
          <w:p w14:paraId="4DB38B14" w14:textId="77777777" w:rsidR="007D3621" w:rsidRDefault="007D3621" w:rsidP="007D3621"/>
        </w:tc>
        <w:tc>
          <w:tcPr>
            <w:tcW w:w="6753" w:type="dxa"/>
          </w:tcPr>
          <w:p w14:paraId="7BEB52B5" w14:textId="1ABF379F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indicator has been formally endorsed</w:t>
            </w:r>
          </w:p>
        </w:tc>
      </w:tr>
      <w:tr w:rsidR="007D3621" w14:paraId="2147F349" w14:textId="77777777" w:rsidTr="00F7328D">
        <w:tc>
          <w:tcPr>
            <w:tcW w:w="2263" w:type="dxa"/>
            <w:vMerge w:val="restart"/>
          </w:tcPr>
          <w:p w14:paraId="6510AFB4" w14:textId="69CC59D7" w:rsidR="007D3621" w:rsidRDefault="007D3621" w:rsidP="007D3621">
            <w:r w:rsidRPr="007D3621">
              <w:t>Scientific evidence</w:t>
            </w:r>
          </w:p>
        </w:tc>
        <w:tc>
          <w:tcPr>
            <w:tcW w:w="6753" w:type="dxa"/>
          </w:tcPr>
          <w:p w14:paraId="4C317AFC" w14:textId="49ED01E3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Systematic methods were used to search for scientific evidence </w:t>
            </w:r>
          </w:p>
        </w:tc>
      </w:tr>
      <w:tr w:rsidR="007D3621" w14:paraId="212B9C0F" w14:textId="77777777" w:rsidTr="00F7328D">
        <w:tc>
          <w:tcPr>
            <w:tcW w:w="2263" w:type="dxa"/>
            <w:vMerge/>
          </w:tcPr>
          <w:p w14:paraId="68DE63F0" w14:textId="77777777" w:rsidR="007D3621" w:rsidRDefault="007D3621" w:rsidP="007D3621"/>
        </w:tc>
        <w:tc>
          <w:tcPr>
            <w:tcW w:w="6753" w:type="dxa"/>
          </w:tcPr>
          <w:p w14:paraId="36ACE074" w14:textId="0F7AC557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indicator is based on recommendations from an evidence-based guideline or studies published in peer-reviewed scientific journals </w:t>
            </w:r>
          </w:p>
        </w:tc>
      </w:tr>
      <w:tr w:rsidR="007D3621" w14:paraId="75893A80" w14:textId="77777777" w:rsidTr="00F7328D">
        <w:tc>
          <w:tcPr>
            <w:tcW w:w="2263" w:type="dxa"/>
            <w:vMerge/>
          </w:tcPr>
          <w:p w14:paraId="0C509F51" w14:textId="77777777" w:rsidR="007D3621" w:rsidRDefault="007D3621" w:rsidP="007D3621"/>
        </w:tc>
        <w:tc>
          <w:tcPr>
            <w:tcW w:w="6753" w:type="dxa"/>
          </w:tcPr>
          <w:p w14:paraId="0BFC9FC0" w14:textId="7F259126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supporting evidence has been critically appraised </w:t>
            </w:r>
          </w:p>
        </w:tc>
      </w:tr>
      <w:tr w:rsidR="007D3621" w14:paraId="512FC6F3" w14:textId="77777777" w:rsidTr="00F7328D">
        <w:tc>
          <w:tcPr>
            <w:tcW w:w="2263" w:type="dxa"/>
            <w:vMerge w:val="restart"/>
          </w:tcPr>
          <w:p w14:paraId="3168A3C1" w14:textId="3D5D05B9" w:rsidR="007D3621" w:rsidRDefault="007D3621" w:rsidP="007D3621">
            <w:r w:rsidRPr="007D3621">
              <w:t>Additional evidence, formulation, usage</w:t>
            </w:r>
          </w:p>
        </w:tc>
        <w:tc>
          <w:tcPr>
            <w:tcW w:w="6753" w:type="dxa"/>
          </w:tcPr>
          <w:p w14:paraId="165EE2CE" w14:textId="6D65F4E2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numerator and denominator are described in detail </w:t>
            </w:r>
          </w:p>
        </w:tc>
      </w:tr>
      <w:tr w:rsidR="007D3621" w14:paraId="45220950" w14:textId="77777777" w:rsidTr="00F7328D">
        <w:tc>
          <w:tcPr>
            <w:tcW w:w="2263" w:type="dxa"/>
            <w:vMerge/>
          </w:tcPr>
          <w:p w14:paraId="30F02CC3" w14:textId="77777777" w:rsidR="007D3621" w:rsidRDefault="007D3621" w:rsidP="007D3621"/>
        </w:tc>
        <w:tc>
          <w:tcPr>
            <w:tcW w:w="6753" w:type="dxa"/>
          </w:tcPr>
          <w:p w14:paraId="08F1F3C9" w14:textId="462C2A1A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target patient population of the indicator is defined clearly </w:t>
            </w:r>
          </w:p>
        </w:tc>
      </w:tr>
      <w:tr w:rsidR="007D3621" w14:paraId="030C4749" w14:textId="77777777" w:rsidTr="00F7328D">
        <w:tc>
          <w:tcPr>
            <w:tcW w:w="2263" w:type="dxa"/>
            <w:vMerge/>
          </w:tcPr>
          <w:p w14:paraId="45CC0ABE" w14:textId="77777777" w:rsidR="007D3621" w:rsidRDefault="007D3621" w:rsidP="007D3621"/>
        </w:tc>
        <w:tc>
          <w:tcPr>
            <w:tcW w:w="6753" w:type="dxa"/>
          </w:tcPr>
          <w:p w14:paraId="3FC4FC35" w14:textId="0E27A201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A strategy for risk adjustment has been considered and described</w:t>
            </w:r>
            <w:r>
              <w:t xml:space="preserve"> (‘case-mix adjustment’)</w:t>
            </w:r>
          </w:p>
        </w:tc>
      </w:tr>
      <w:tr w:rsidR="007D3621" w14:paraId="3A57AB48" w14:textId="77777777" w:rsidTr="00F7328D">
        <w:tc>
          <w:tcPr>
            <w:tcW w:w="2263" w:type="dxa"/>
            <w:vMerge/>
          </w:tcPr>
          <w:p w14:paraId="091780AF" w14:textId="77777777" w:rsidR="007D3621" w:rsidRDefault="007D3621" w:rsidP="007D3621"/>
        </w:tc>
        <w:tc>
          <w:tcPr>
            <w:tcW w:w="6753" w:type="dxa"/>
          </w:tcPr>
          <w:p w14:paraId="65B05FCA" w14:textId="1C71859B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indicator measures what it is intended to measure (validity)</w:t>
            </w:r>
          </w:p>
        </w:tc>
      </w:tr>
      <w:tr w:rsidR="007D3621" w14:paraId="66E8E583" w14:textId="77777777" w:rsidTr="00F7328D">
        <w:tc>
          <w:tcPr>
            <w:tcW w:w="2263" w:type="dxa"/>
            <w:vMerge/>
          </w:tcPr>
          <w:p w14:paraId="5052AAB8" w14:textId="77777777" w:rsidR="007D3621" w:rsidRDefault="007D3621" w:rsidP="007D3621"/>
        </w:tc>
        <w:tc>
          <w:tcPr>
            <w:tcW w:w="6753" w:type="dxa"/>
          </w:tcPr>
          <w:p w14:paraId="0E6C2C37" w14:textId="4F960754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indicator measures accurately and consistently (reliability)</w:t>
            </w:r>
          </w:p>
        </w:tc>
      </w:tr>
      <w:tr w:rsidR="007D3621" w14:paraId="5F43FB91" w14:textId="77777777" w:rsidTr="00F7328D">
        <w:tc>
          <w:tcPr>
            <w:tcW w:w="2263" w:type="dxa"/>
            <w:vMerge/>
          </w:tcPr>
          <w:p w14:paraId="3D5A7AF7" w14:textId="77777777" w:rsidR="007D3621" w:rsidRDefault="007D3621" w:rsidP="007D3621"/>
        </w:tc>
        <w:tc>
          <w:tcPr>
            <w:tcW w:w="6753" w:type="dxa"/>
          </w:tcPr>
          <w:p w14:paraId="532C22E8" w14:textId="20A57B11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indicator has sufficient discriminative power</w:t>
            </w:r>
          </w:p>
        </w:tc>
      </w:tr>
      <w:tr w:rsidR="007D3621" w14:paraId="1F086247" w14:textId="77777777" w:rsidTr="00F7328D">
        <w:tc>
          <w:tcPr>
            <w:tcW w:w="2263" w:type="dxa"/>
            <w:vMerge/>
          </w:tcPr>
          <w:p w14:paraId="43069DA2" w14:textId="77777777" w:rsidR="007D3621" w:rsidRDefault="007D3621" w:rsidP="007D3621"/>
        </w:tc>
        <w:tc>
          <w:tcPr>
            <w:tcW w:w="6753" w:type="dxa"/>
          </w:tcPr>
          <w:p w14:paraId="6FDA269E" w14:textId="69CEA25F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indicator has been piloted in practice</w:t>
            </w:r>
          </w:p>
        </w:tc>
      </w:tr>
      <w:tr w:rsidR="007D3621" w14:paraId="71590403" w14:textId="77777777" w:rsidTr="00F7328D">
        <w:tc>
          <w:tcPr>
            <w:tcW w:w="2263" w:type="dxa"/>
            <w:vMerge/>
          </w:tcPr>
          <w:p w14:paraId="27D2CBBE" w14:textId="77777777" w:rsidR="007D3621" w:rsidRDefault="007D3621" w:rsidP="007D3621"/>
        </w:tc>
        <w:tc>
          <w:tcPr>
            <w:tcW w:w="6753" w:type="dxa"/>
          </w:tcPr>
          <w:p w14:paraId="5CDEFB3C" w14:textId="495AAA37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The efforts needed for data collection have been considered </w:t>
            </w:r>
          </w:p>
        </w:tc>
      </w:tr>
      <w:tr w:rsidR="007D3621" w14:paraId="75DF6712" w14:textId="77777777" w:rsidTr="00F7328D">
        <w:tc>
          <w:tcPr>
            <w:tcW w:w="2263" w:type="dxa"/>
            <w:vMerge/>
          </w:tcPr>
          <w:p w14:paraId="3967377D" w14:textId="77777777" w:rsidR="007D3621" w:rsidRDefault="007D3621" w:rsidP="007D3621"/>
        </w:tc>
        <w:tc>
          <w:tcPr>
            <w:tcW w:w="6753" w:type="dxa"/>
          </w:tcPr>
          <w:p w14:paraId="47C89A97" w14:textId="5EAB18AA" w:rsidR="007D3621" w:rsidRDefault="007D3621" w:rsidP="007D3621">
            <w:pPr>
              <w:pStyle w:val="ListParagraph"/>
              <w:numPr>
                <w:ilvl w:val="0"/>
                <w:numId w:val="1"/>
              </w:numPr>
            </w:pPr>
            <w:r w:rsidRPr="007D3621">
              <w:t>Specific instructions for presenting and interpreting the indicator results are provided</w:t>
            </w:r>
          </w:p>
        </w:tc>
      </w:tr>
    </w:tbl>
    <w:p w14:paraId="5649DF74" w14:textId="5AE73B25" w:rsidR="00F7328D" w:rsidRDefault="00F7328D"/>
    <w:p w14:paraId="73D4D46D" w14:textId="77777777" w:rsidR="00F7328D" w:rsidRDefault="00F7328D">
      <w:r>
        <w:br w:type="page"/>
      </w:r>
    </w:p>
    <w:p w14:paraId="14675294" w14:textId="06A4091B" w:rsidR="00F7328D" w:rsidRPr="00016E64" w:rsidRDefault="003E6254" w:rsidP="00F7328D">
      <w:pPr>
        <w:rPr>
          <w:b/>
          <w:lang w:val="en-US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lastRenderedPageBreak/>
        <w:t>File S3</w:t>
      </w:r>
      <w:r w:rsidR="00F7328D" w:rsidRPr="00016E64">
        <w:rPr>
          <w:b/>
          <w:lang w:val="en-US"/>
        </w:rPr>
        <w:t>. Inter rater reliability AIRE instrument</w:t>
      </w:r>
    </w:p>
    <w:p w14:paraId="5868D397" w14:textId="3BB818A4" w:rsidR="00D55EC9" w:rsidRDefault="00F7328D" w:rsidP="00F7328D">
      <w:pPr>
        <w:rPr>
          <w:lang w:val="en-US"/>
        </w:rPr>
      </w:pPr>
      <w:r w:rsidRPr="00D07736">
        <w:rPr>
          <w:lang w:val="en-US"/>
        </w:rPr>
        <w:t>Weighted Cohens Kappa (</w:t>
      </w:r>
      <w:r w:rsidR="00087D65">
        <w:rPr>
          <w:lang w:val="en-US"/>
        </w:rPr>
        <w:t>FOR &amp;</w:t>
      </w:r>
      <w:proofErr w:type="gramStart"/>
      <w:r w:rsidR="00087D65">
        <w:rPr>
          <w:lang w:val="en-US"/>
        </w:rPr>
        <w:t>AF)=</w:t>
      </w:r>
      <w:proofErr w:type="gramEnd"/>
      <w:r w:rsidR="00087D65">
        <w:rPr>
          <w:lang w:val="en-US"/>
        </w:rPr>
        <w:t xml:space="preserve"> 0.69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484"/>
        <w:gridCol w:w="486"/>
        <w:gridCol w:w="486"/>
        <w:gridCol w:w="486"/>
        <w:gridCol w:w="486"/>
        <w:gridCol w:w="486"/>
        <w:gridCol w:w="485"/>
        <w:gridCol w:w="485"/>
        <w:gridCol w:w="485"/>
        <w:gridCol w:w="510"/>
        <w:gridCol w:w="510"/>
        <w:gridCol w:w="510"/>
        <w:gridCol w:w="510"/>
        <w:gridCol w:w="510"/>
        <w:gridCol w:w="510"/>
      </w:tblGrid>
      <w:tr w:rsidR="00D55EC9" w14:paraId="1877D833" w14:textId="77777777" w:rsidTr="00B542C4">
        <w:tc>
          <w:tcPr>
            <w:tcW w:w="1126" w:type="dxa"/>
            <w:vMerge w:val="restart"/>
          </w:tcPr>
          <w:p w14:paraId="740B017D" w14:textId="28ADDBB1" w:rsidR="00087D65" w:rsidRPr="00087D65" w:rsidRDefault="00087D65" w:rsidP="00F7328D">
            <w:pPr>
              <w:rPr>
                <w:lang w:val="en-US"/>
              </w:rPr>
            </w:pPr>
            <w:r w:rsidRPr="00087D65">
              <w:rPr>
                <w:rFonts w:cstheme="minorHAnsi"/>
                <w:color w:val="2A2A2A"/>
                <w:shd w:val="clear" w:color="auto" w:fill="FFFFFF"/>
              </w:rPr>
              <w:t xml:space="preserve">Article </w:t>
            </w:r>
            <w:proofErr w:type="spellStart"/>
            <w:r w:rsidRPr="00087D65">
              <w:rPr>
                <w:rFonts w:cstheme="minorHAnsi"/>
                <w:color w:val="2A2A2A"/>
                <w:shd w:val="clear" w:color="auto" w:fill="FFFFFF"/>
              </w:rPr>
              <w:t>Berenholtz</w:t>
            </w:r>
            <w:proofErr w:type="spellEnd"/>
            <w:r w:rsidRPr="00087D65">
              <w:rPr>
                <w:lang w:val="en-US"/>
              </w:rPr>
              <w:t xml:space="preserve"> </w:t>
            </w:r>
          </w:p>
          <w:p w14:paraId="7DED4AFC" w14:textId="77777777" w:rsidR="00087D65" w:rsidRDefault="00087D65" w:rsidP="00F7328D">
            <w:pPr>
              <w:rPr>
                <w:lang w:val="en-US"/>
              </w:rPr>
            </w:pPr>
          </w:p>
          <w:p w14:paraId="7C040671" w14:textId="6A888188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Reviewer:</w:t>
            </w:r>
          </w:p>
        </w:tc>
        <w:tc>
          <w:tcPr>
            <w:tcW w:w="7429" w:type="dxa"/>
            <w:gridSpan w:val="15"/>
          </w:tcPr>
          <w:p w14:paraId="32807409" w14:textId="5967FB3D" w:rsidR="00D55EC9" w:rsidRDefault="00D55EC9" w:rsidP="00D5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AIRE domains and items</w:t>
            </w:r>
          </w:p>
        </w:tc>
      </w:tr>
      <w:tr w:rsidR="00D55EC9" w14:paraId="59B4C7C5" w14:textId="77777777" w:rsidTr="00B542C4">
        <w:tc>
          <w:tcPr>
            <w:tcW w:w="1126" w:type="dxa"/>
            <w:vMerge/>
          </w:tcPr>
          <w:p w14:paraId="48ADE296" w14:textId="77777777" w:rsidR="00D55EC9" w:rsidRDefault="00D55EC9" w:rsidP="00F7328D">
            <w:pPr>
              <w:rPr>
                <w:lang w:val="en-US"/>
              </w:rPr>
            </w:pPr>
          </w:p>
        </w:tc>
        <w:tc>
          <w:tcPr>
            <w:tcW w:w="1456" w:type="dxa"/>
            <w:gridSpan w:val="3"/>
          </w:tcPr>
          <w:p w14:paraId="3AD3C5E8" w14:textId="6042A712" w:rsidR="00D55EC9" w:rsidRDefault="00D55EC9" w:rsidP="00D5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Stakeholder involvement</w:t>
            </w:r>
          </w:p>
        </w:tc>
        <w:tc>
          <w:tcPr>
            <w:tcW w:w="1458" w:type="dxa"/>
            <w:gridSpan w:val="3"/>
          </w:tcPr>
          <w:p w14:paraId="166C4EA7" w14:textId="5C236B5D" w:rsidR="00D55EC9" w:rsidRDefault="00D55EC9" w:rsidP="00D55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Scientific evidence</w:t>
            </w:r>
          </w:p>
        </w:tc>
        <w:tc>
          <w:tcPr>
            <w:tcW w:w="4515" w:type="dxa"/>
            <w:gridSpan w:val="9"/>
          </w:tcPr>
          <w:p w14:paraId="1208AD55" w14:textId="12AB78B3" w:rsidR="00D55EC9" w:rsidRDefault="00D55EC9" w:rsidP="00D55EC9">
            <w:pPr>
              <w:jc w:val="center"/>
              <w:rPr>
                <w:lang w:val="en-US"/>
              </w:rPr>
            </w:pPr>
            <w:r w:rsidRPr="007D3621">
              <w:t>Additional evidence, formulation, usage</w:t>
            </w:r>
          </w:p>
        </w:tc>
      </w:tr>
      <w:tr w:rsidR="00D55EC9" w14:paraId="5535C4CB" w14:textId="77777777" w:rsidTr="00D55EC9">
        <w:tc>
          <w:tcPr>
            <w:tcW w:w="1126" w:type="dxa"/>
            <w:vMerge/>
          </w:tcPr>
          <w:p w14:paraId="0760AD2E" w14:textId="77777777" w:rsidR="00D55EC9" w:rsidRDefault="00D55EC9" w:rsidP="00F7328D">
            <w:pPr>
              <w:rPr>
                <w:lang w:val="en-US"/>
              </w:rPr>
            </w:pPr>
          </w:p>
        </w:tc>
        <w:tc>
          <w:tcPr>
            <w:tcW w:w="484" w:type="dxa"/>
          </w:tcPr>
          <w:p w14:paraId="22E084AC" w14:textId="6EFC9D6F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1A4E6E7D" w14:textId="6C309B7D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4DF16722" w14:textId="1FCA0778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410E6642" w14:textId="248D4037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075C2D3" w14:textId="59E54B9B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" w:type="dxa"/>
          </w:tcPr>
          <w:p w14:paraId="20BFF21E" w14:textId="4C925A0A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5" w:type="dxa"/>
          </w:tcPr>
          <w:p w14:paraId="7EB83E17" w14:textId="25951E95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5" w:type="dxa"/>
          </w:tcPr>
          <w:p w14:paraId="7D32E659" w14:textId="64C2F1A6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5" w:type="dxa"/>
          </w:tcPr>
          <w:p w14:paraId="1108BA03" w14:textId="6476E293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" w:type="dxa"/>
          </w:tcPr>
          <w:p w14:paraId="20A4A3F8" w14:textId="6C419E30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</w:tcPr>
          <w:p w14:paraId="4710D7D6" w14:textId="41A79A73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0" w:type="dxa"/>
          </w:tcPr>
          <w:p w14:paraId="0F8F250D" w14:textId="1AB972BD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0" w:type="dxa"/>
          </w:tcPr>
          <w:p w14:paraId="4BAAAE15" w14:textId="03B2D41B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0" w:type="dxa"/>
          </w:tcPr>
          <w:p w14:paraId="418BB968" w14:textId="0534878D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0" w:type="dxa"/>
          </w:tcPr>
          <w:p w14:paraId="5D9DB870" w14:textId="12542D65" w:rsidR="00D55EC9" w:rsidRDefault="00D55EC9" w:rsidP="00F7328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55EC9" w14:paraId="02849808" w14:textId="77777777" w:rsidTr="00D55EC9">
        <w:tc>
          <w:tcPr>
            <w:tcW w:w="1126" w:type="dxa"/>
          </w:tcPr>
          <w:p w14:paraId="0ACB8CFF" w14:textId="3055BC60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84" w:type="dxa"/>
          </w:tcPr>
          <w:p w14:paraId="3DECBFAB" w14:textId="3DFFE35D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3E81E354" w14:textId="312416B1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17FAF00D" w14:textId="3C8B8307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10D7D0BB" w14:textId="42738DF8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426F5DA4" w14:textId="6192E7DC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45682FE6" w14:textId="5BD5DE8D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5" w:type="dxa"/>
          </w:tcPr>
          <w:p w14:paraId="490263CB" w14:textId="278B45AC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7BBB4965" w14:textId="08014A51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78A850A1" w14:textId="30D67AB9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2F10468C" w14:textId="2F2ED9E2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49F3EC2C" w14:textId="5282669F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1E637E52" w14:textId="6FA7C796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0D1E8FD2" w14:textId="76AA15CA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51D1DE38" w14:textId="7612DC3E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141FE468" w14:textId="2578FA50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5EC9" w14:paraId="723A0A8B" w14:textId="77777777" w:rsidTr="00D55EC9">
        <w:tc>
          <w:tcPr>
            <w:tcW w:w="1126" w:type="dxa"/>
          </w:tcPr>
          <w:p w14:paraId="33C90D13" w14:textId="47185B82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AF</w:t>
            </w:r>
          </w:p>
        </w:tc>
        <w:tc>
          <w:tcPr>
            <w:tcW w:w="484" w:type="dxa"/>
          </w:tcPr>
          <w:p w14:paraId="43076526" w14:textId="1CC248B8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0DC04C15" w14:textId="646C7DD4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25337CF9" w14:textId="4F2E68B4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434E30E7" w14:textId="661A2EFE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29B6DC98" w14:textId="1589C68E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739826A" w14:textId="36C7BC30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5" w:type="dxa"/>
          </w:tcPr>
          <w:p w14:paraId="244D1C7D" w14:textId="24FC8EDC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3D4AA42D" w14:textId="348CC856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2AB75B52" w14:textId="17EE6CF4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2AD7DBCD" w14:textId="3369824D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0BC32059" w14:textId="71B89D96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7C9D50B3" w14:textId="12A0BFEE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17C70441" w14:textId="3BEFB972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69761333" w14:textId="4C982C16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1FAD4F51" w14:textId="04E021AF" w:rsidR="00D55EC9" w:rsidRDefault="00087D65" w:rsidP="00F73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78802135" w14:textId="1C5DF56A" w:rsidR="00D55EC9" w:rsidRDefault="00D55EC9" w:rsidP="00F7328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84"/>
        <w:gridCol w:w="486"/>
        <w:gridCol w:w="486"/>
        <w:gridCol w:w="486"/>
        <w:gridCol w:w="486"/>
        <w:gridCol w:w="486"/>
        <w:gridCol w:w="485"/>
        <w:gridCol w:w="485"/>
        <w:gridCol w:w="485"/>
        <w:gridCol w:w="510"/>
        <w:gridCol w:w="510"/>
        <w:gridCol w:w="510"/>
        <w:gridCol w:w="510"/>
        <w:gridCol w:w="510"/>
        <w:gridCol w:w="510"/>
      </w:tblGrid>
      <w:tr w:rsidR="00D55EC9" w14:paraId="164D83D3" w14:textId="77777777" w:rsidTr="00B542C4">
        <w:tc>
          <w:tcPr>
            <w:tcW w:w="1126" w:type="dxa"/>
            <w:vMerge w:val="restart"/>
          </w:tcPr>
          <w:p w14:paraId="21F7D142" w14:textId="6AE98E50" w:rsidR="00087D65" w:rsidRPr="00087D65" w:rsidRDefault="00087D65" w:rsidP="00087D65">
            <w:pPr>
              <w:rPr>
                <w:lang w:val="en-US"/>
              </w:rPr>
            </w:pPr>
            <w:r w:rsidRPr="00087D65">
              <w:rPr>
                <w:rFonts w:cstheme="minorHAnsi"/>
                <w:color w:val="2A2A2A"/>
                <w:shd w:val="clear" w:color="auto" w:fill="FFFFFF"/>
              </w:rPr>
              <w:t xml:space="preserve">Article </w:t>
            </w:r>
            <w:proofErr w:type="spellStart"/>
            <w:r>
              <w:rPr>
                <w:rFonts w:cstheme="minorHAnsi"/>
                <w:color w:val="2A2A2A"/>
                <w:shd w:val="clear" w:color="auto" w:fill="FFFFFF"/>
              </w:rPr>
              <w:t>Thern</w:t>
            </w:r>
            <w:proofErr w:type="spellEnd"/>
            <w:r w:rsidRPr="00087D65">
              <w:rPr>
                <w:lang w:val="en-US"/>
              </w:rPr>
              <w:t xml:space="preserve"> </w:t>
            </w:r>
          </w:p>
          <w:p w14:paraId="607FBB10" w14:textId="77777777" w:rsidR="00087D65" w:rsidRDefault="00087D65" w:rsidP="00B542C4">
            <w:pPr>
              <w:rPr>
                <w:lang w:val="en-US"/>
              </w:rPr>
            </w:pPr>
          </w:p>
          <w:p w14:paraId="5B4AE982" w14:textId="3B239E61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Reviewer:</w:t>
            </w:r>
          </w:p>
        </w:tc>
        <w:tc>
          <w:tcPr>
            <w:tcW w:w="7429" w:type="dxa"/>
            <w:gridSpan w:val="15"/>
          </w:tcPr>
          <w:p w14:paraId="63ED0108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AIRE domains and items</w:t>
            </w:r>
          </w:p>
        </w:tc>
      </w:tr>
      <w:tr w:rsidR="00D55EC9" w14:paraId="26841246" w14:textId="77777777" w:rsidTr="00B542C4">
        <w:tc>
          <w:tcPr>
            <w:tcW w:w="1126" w:type="dxa"/>
            <w:vMerge/>
          </w:tcPr>
          <w:p w14:paraId="36C6E90E" w14:textId="77777777" w:rsidR="00D55EC9" w:rsidRDefault="00D55EC9" w:rsidP="00B542C4">
            <w:pPr>
              <w:rPr>
                <w:lang w:val="en-US"/>
              </w:rPr>
            </w:pPr>
          </w:p>
        </w:tc>
        <w:tc>
          <w:tcPr>
            <w:tcW w:w="1456" w:type="dxa"/>
            <w:gridSpan w:val="3"/>
          </w:tcPr>
          <w:p w14:paraId="07E788CB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Stakeholder involvement</w:t>
            </w:r>
          </w:p>
        </w:tc>
        <w:tc>
          <w:tcPr>
            <w:tcW w:w="1458" w:type="dxa"/>
            <w:gridSpan w:val="3"/>
          </w:tcPr>
          <w:p w14:paraId="58778AE4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Scientific evidence</w:t>
            </w:r>
          </w:p>
        </w:tc>
        <w:tc>
          <w:tcPr>
            <w:tcW w:w="4515" w:type="dxa"/>
            <w:gridSpan w:val="9"/>
          </w:tcPr>
          <w:p w14:paraId="7D18410A" w14:textId="77777777" w:rsidR="00D55EC9" w:rsidRDefault="00D55EC9" w:rsidP="00B542C4">
            <w:pPr>
              <w:jc w:val="center"/>
              <w:rPr>
                <w:lang w:val="en-US"/>
              </w:rPr>
            </w:pPr>
            <w:r w:rsidRPr="007D3621">
              <w:t>Additional evidence, formulation, usage</w:t>
            </w:r>
          </w:p>
        </w:tc>
      </w:tr>
      <w:tr w:rsidR="00D55EC9" w14:paraId="20A8CF98" w14:textId="77777777" w:rsidTr="00B542C4">
        <w:tc>
          <w:tcPr>
            <w:tcW w:w="1126" w:type="dxa"/>
            <w:vMerge/>
          </w:tcPr>
          <w:p w14:paraId="33BDC1CD" w14:textId="77777777" w:rsidR="00D55EC9" w:rsidRDefault="00D55EC9" w:rsidP="00B542C4">
            <w:pPr>
              <w:rPr>
                <w:lang w:val="en-US"/>
              </w:rPr>
            </w:pPr>
          </w:p>
        </w:tc>
        <w:tc>
          <w:tcPr>
            <w:tcW w:w="484" w:type="dxa"/>
          </w:tcPr>
          <w:p w14:paraId="11C09C0F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252FA2F9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2F8BF4CA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273AA40E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0FB4692F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" w:type="dxa"/>
          </w:tcPr>
          <w:p w14:paraId="1733D71D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5" w:type="dxa"/>
          </w:tcPr>
          <w:p w14:paraId="3AD03F5D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5" w:type="dxa"/>
          </w:tcPr>
          <w:p w14:paraId="621BA5BB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5" w:type="dxa"/>
          </w:tcPr>
          <w:p w14:paraId="59B1D3B2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" w:type="dxa"/>
          </w:tcPr>
          <w:p w14:paraId="1613289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</w:tcPr>
          <w:p w14:paraId="7807C811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0" w:type="dxa"/>
          </w:tcPr>
          <w:p w14:paraId="5D93376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0" w:type="dxa"/>
          </w:tcPr>
          <w:p w14:paraId="73C039CF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0" w:type="dxa"/>
          </w:tcPr>
          <w:p w14:paraId="3076B588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0" w:type="dxa"/>
          </w:tcPr>
          <w:p w14:paraId="551EFBA5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55EC9" w14:paraId="023F08F7" w14:textId="77777777" w:rsidTr="00B542C4">
        <w:tc>
          <w:tcPr>
            <w:tcW w:w="1126" w:type="dxa"/>
          </w:tcPr>
          <w:p w14:paraId="0730CE38" w14:textId="65A50D5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84" w:type="dxa"/>
          </w:tcPr>
          <w:p w14:paraId="7663DF35" w14:textId="2D278A5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7076DC2D" w14:textId="58CAF1DA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1AE9A828" w14:textId="5C24551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10E4B91C" w14:textId="78E1D7A7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319E31F4" w14:textId="2B0BF878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1CEF1BC2" w14:textId="2E39A8E0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" w:type="dxa"/>
          </w:tcPr>
          <w:p w14:paraId="1C08AB35" w14:textId="118B88E4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" w:type="dxa"/>
          </w:tcPr>
          <w:p w14:paraId="139CDFE8" w14:textId="32D226F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04467DFC" w14:textId="3B8E795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1F5BD097" w14:textId="35A2D0AD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205DF27F" w14:textId="422C4C6C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4F2CAA1C" w14:textId="33FD8142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7F86C1F2" w14:textId="1F54A2D6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6FCB4F95" w14:textId="0CF7A7C3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65B8EBE8" w14:textId="13EBAA47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5EC9" w14:paraId="4C2372C7" w14:textId="77777777" w:rsidTr="00B542C4">
        <w:tc>
          <w:tcPr>
            <w:tcW w:w="1126" w:type="dxa"/>
          </w:tcPr>
          <w:p w14:paraId="47478B80" w14:textId="16BB408C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AF</w:t>
            </w:r>
          </w:p>
        </w:tc>
        <w:tc>
          <w:tcPr>
            <w:tcW w:w="484" w:type="dxa"/>
          </w:tcPr>
          <w:p w14:paraId="1EBF87F1" w14:textId="60F2AC5A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34CEFC3F" w14:textId="7CAD2D6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03AFD29C" w14:textId="1AB2E5BD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0B2F565C" w14:textId="0B1B22A0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3210B6ED" w14:textId="0547CABF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46468215" w14:textId="751068A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" w:type="dxa"/>
          </w:tcPr>
          <w:p w14:paraId="19F92D42" w14:textId="310F4B8D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" w:type="dxa"/>
          </w:tcPr>
          <w:p w14:paraId="0749F759" w14:textId="432D4A76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5" w:type="dxa"/>
          </w:tcPr>
          <w:p w14:paraId="3BA2D7EA" w14:textId="63D0FA3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" w:type="dxa"/>
          </w:tcPr>
          <w:p w14:paraId="714209E4" w14:textId="631B9EAA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0D826086" w14:textId="387CA154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" w:type="dxa"/>
          </w:tcPr>
          <w:p w14:paraId="5DBDAF59" w14:textId="2045E20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" w:type="dxa"/>
          </w:tcPr>
          <w:p w14:paraId="50FCCBC9" w14:textId="0E2CBB7C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0D22D1CA" w14:textId="5E8ACECF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0BD6D7DA" w14:textId="52F00F6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5B9CB088" w14:textId="21F1F9B6" w:rsidR="00D55EC9" w:rsidRDefault="00D55EC9" w:rsidP="00F7328D">
      <w:pPr>
        <w:rPr>
          <w:lang w:val="en-US"/>
        </w:rPr>
      </w:pPr>
    </w:p>
    <w:p w14:paraId="5B058A9D" w14:textId="67786116" w:rsidR="00087D65" w:rsidRDefault="00087D65" w:rsidP="00F7328D">
      <w:pPr>
        <w:rPr>
          <w:lang w:val="en-US"/>
        </w:rPr>
      </w:pPr>
      <w:r w:rsidRPr="00D07736">
        <w:rPr>
          <w:lang w:val="en-US"/>
        </w:rPr>
        <w:t>Weighted Cohens Kappa (</w:t>
      </w:r>
      <w:r>
        <w:rPr>
          <w:lang w:val="en-US"/>
        </w:rPr>
        <w:t>FOR &amp; FS)= 0.73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84"/>
        <w:gridCol w:w="486"/>
        <w:gridCol w:w="486"/>
        <w:gridCol w:w="486"/>
        <w:gridCol w:w="486"/>
        <w:gridCol w:w="486"/>
        <w:gridCol w:w="485"/>
        <w:gridCol w:w="485"/>
        <w:gridCol w:w="485"/>
        <w:gridCol w:w="510"/>
        <w:gridCol w:w="510"/>
        <w:gridCol w:w="510"/>
        <w:gridCol w:w="510"/>
        <w:gridCol w:w="510"/>
        <w:gridCol w:w="510"/>
      </w:tblGrid>
      <w:tr w:rsidR="00D55EC9" w14:paraId="73C31796" w14:textId="77777777" w:rsidTr="00B542C4">
        <w:tc>
          <w:tcPr>
            <w:tcW w:w="1126" w:type="dxa"/>
            <w:vMerge w:val="restart"/>
          </w:tcPr>
          <w:p w14:paraId="6137E669" w14:textId="132B9B0F" w:rsidR="00087D65" w:rsidRPr="00087D65" w:rsidRDefault="00087D65" w:rsidP="00B542C4">
            <w:pPr>
              <w:rPr>
                <w:lang w:val="en-US"/>
              </w:rPr>
            </w:pPr>
            <w:r w:rsidRPr="00087D65">
              <w:rPr>
                <w:rFonts w:cstheme="minorHAnsi"/>
                <w:color w:val="000000" w:themeColor="text1"/>
                <w:shd w:val="clear" w:color="auto" w:fill="FFFFFF"/>
              </w:rPr>
              <w:t>Schouten 2005</w:t>
            </w:r>
          </w:p>
          <w:p w14:paraId="41B5DDD9" w14:textId="78293DE1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Reviewer:</w:t>
            </w:r>
          </w:p>
        </w:tc>
        <w:tc>
          <w:tcPr>
            <w:tcW w:w="7429" w:type="dxa"/>
            <w:gridSpan w:val="15"/>
          </w:tcPr>
          <w:p w14:paraId="790C9BD4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AIRE domains and items</w:t>
            </w:r>
          </w:p>
        </w:tc>
      </w:tr>
      <w:tr w:rsidR="00D55EC9" w14:paraId="7F24DFD6" w14:textId="77777777" w:rsidTr="00B542C4">
        <w:tc>
          <w:tcPr>
            <w:tcW w:w="1126" w:type="dxa"/>
            <w:vMerge/>
          </w:tcPr>
          <w:p w14:paraId="1E6CD433" w14:textId="77777777" w:rsidR="00D55EC9" w:rsidRDefault="00D55EC9" w:rsidP="00B542C4">
            <w:pPr>
              <w:rPr>
                <w:lang w:val="en-US"/>
              </w:rPr>
            </w:pPr>
          </w:p>
        </w:tc>
        <w:tc>
          <w:tcPr>
            <w:tcW w:w="1456" w:type="dxa"/>
            <w:gridSpan w:val="3"/>
          </w:tcPr>
          <w:p w14:paraId="501561FF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Stakeholder involvement</w:t>
            </w:r>
          </w:p>
        </w:tc>
        <w:tc>
          <w:tcPr>
            <w:tcW w:w="1458" w:type="dxa"/>
            <w:gridSpan w:val="3"/>
          </w:tcPr>
          <w:p w14:paraId="5F5D59B0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Scientific evidence</w:t>
            </w:r>
          </w:p>
        </w:tc>
        <w:tc>
          <w:tcPr>
            <w:tcW w:w="4515" w:type="dxa"/>
            <w:gridSpan w:val="9"/>
          </w:tcPr>
          <w:p w14:paraId="1B469DEA" w14:textId="77777777" w:rsidR="00D55EC9" w:rsidRDefault="00D55EC9" w:rsidP="00B542C4">
            <w:pPr>
              <w:jc w:val="center"/>
              <w:rPr>
                <w:lang w:val="en-US"/>
              </w:rPr>
            </w:pPr>
            <w:r w:rsidRPr="007D3621">
              <w:t>Additional evidence, formulation, usage</w:t>
            </w:r>
          </w:p>
        </w:tc>
      </w:tr>
      <w:tr w:rsidR="00D55EC9" w14:paraId="77619593" w14:textId="77777777" w:rsidTr="00B542C4">
        <w:tc>
          <w:tcPr>
            <w:tcW w:w="1126" w:type="dxa"/>
            <w:vMerge/>
          </w:tcPr>
          <w:p w14:paraId="44AC2009" w14:textId="77777777" w:rsidR="00D55EC9" w:rsidRDefault="00D55EC9" w:rsidP="00B542C4">
            <w:pPr>
              <w:rPr>
                <w:lang w:val="en-US"/>
              </w:rPr>
            </w:pPr>
          </w:p>
        </w:tc>
        <w:tc>
          <w:tcPr>
            <w:tcW w:w="484" w:type="dxa"/>
          </w:tcPr>
          <w:p w14:paraId="1A55C686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67ADC092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0FC17C3B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0CC79916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048969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" w:type="dxa"/>
          </w:tcPr>
          <w:p w14:paraId="5BC50DA5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5" w:type="dxa"/>
          </w:tcPr>
          <w:p w14:paraId="31A94C08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5" w:type="dxa"/>
          </w:tcPr>
          <w:p w14:paraId="46D6A79F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5" w:type="dxa"/>
          </w:tcPr>
          <w:p w14:paraId="33E95B0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" w:type="dxa"/>
          </w:tcPr>
          <w:p w14:paraId="1A54D97B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</w:tcPr>
          <w:p w14:paraId="44280C4A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0" w:type="dxa"/>
          </w:tcPr>
          <w:p w14:paraId="4F6C4D19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0" w:type="dxa"/>
          </w:tcPr>
          <w:p w14:paraId="08D6863C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0" w:type="dxa"/>
          </w:tcPr>
          <w:p w14:paraId="28E87095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0" w:type="dxa"/>
          </w:tcPr>
          <w:p w14:paraId="7833D439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55EC9" w14:paraId="3C7CB6D2" w14:textId="77777777" w:rsidTr="00B542C4">
        <w:tc>
          <w:tcPr>
            <w:tcW w:w="1126" w:type="dxa"/>
          </w:tcPr>
          <w:p w14:paraId="75B426CE" w14:textId="23B5E108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84" w:type="dxa"/>
          </w:tcPr>
          <w:p w14:paraId="1B419729" w14:textId="6521472E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E50D025" w14:textId="48B4A652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3D4DE386" w14:textId="555D863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701E5B7A" w14:textId="25BD349D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57A84251" w14:textId="66984253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D0505F3" w14:textId="7A355B7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74C22406" w14:textId="2BDC9F53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dxa"/>
          </w:tcPr>
          <w:p w14:paraId="56ECF7FC" w14:textId="49D8F6F6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5BF2577C" w14:textId="238723F8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7B13212F" w14:textId="127BAA74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27ED12EB" w14:textId="2D46D0F3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4CFB8B2D" w14:textId="10CAC59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691713F6" w14:textId="4E0AADA9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3565C3AC" w14:textId="0AB4FFA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1C106844" w14:textId="5CC008D9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5EC9" w14:paraId="1E4FA1F8" w14:textId="77777777" w:rsidTr="00B542C4">
        <w:tc>
          <w:tcPr>
            <w:tcW w:w="1126" w:type="dxa"/>
          </w:tcPr>
          <w:p w14:paraId="177E6005" w14:textId="07CE7487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FS</w:t>
            </w:r>
          </w:p>
        </w:tc>
        <w:tc>
          <w:tcPr>
            <w:tcW w:w="484" w:type="dxa"/>
          </w:tcPr>
          <w:p w14:paraId="66366F77" w14:textId="7FF37B98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515F054A" w14:textId="3AD96138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455AD8A6" w14:textId="4073638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4936404E" w14:textId="2172ED29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414DCEAC" w14:textId="5100EEF9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0FE6A42" w14:textId="6C01F077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5" w:type="dxa"/>
          </w:tcPr>
          <w:p w14:paraId="1B3F54A6" w14:textId="4E20579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dxa"/>
          </w:tcPr>
          <w:p w14:paraId="679F22A5" w14:textId="49CDA8EE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5F00F293" w14:textId="71D6813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4266DB0D" w14:textId="4D27CAC9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7EEE5FE7" w14:textId="0A9B56A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19E22D7C" w14:textId="045882D7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14F7BE99" w14:textId="52A025B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7F57B12B" w14:textId="64D4568A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" w:type="dxa"/>
          </w:tcPr>
          <w:p w14:paraId="6234CAA9" w14:textId="4108E3A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508902FB" w14:textId="0F614EA6" w:rsidR="00D55EC9" w:rsidRDefault="00D55EC9" w:rsidP="00F7328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84"/>
        <w:gridCol w:w="486"/>
        <w:gridCol w:w="486"/>
        <w:gridCol w:w="486"/>
        <w:gridCol w:w="486"/>
        <w:gridCol w:w="486"/>
        <w:gridCol w:w="485"/>
        <w:gridCol w:w="485"/>
        <w:gridCol w:w="485"/>
        <w:gridCol w:w="510"/>
        <w:gridCol w:w="510"/>
        <w:gridCol w:w="510"/>
        <w:gridCol w:w="510"/>
        <w:gridCol w:w="510"/>
        <w:gridCol w:w="510"/>
      </w:tblGrid>
      <w:tr w:rsidR="00D55EC9" w14:paraId="589CA2C8" w14:textId="77777777" w:rsidTr="00B542C4">
        <w:tc>
          <w:tcPr>
            <w:tcW w:w="1126" w:type="dxa"/>
            <w:vMerge w:val="restart"/>
          </w:tcPr>
          <w:p w14:paraId="4ACFB222" w14:textId="612405D0" w:rsidR="00087D65" w:rsidRPr="00087D65" w:rsidRDefault="00087D65" w:rsidP="00B542C4">
            <w:pPr>
              <w:rPr>
                <w:lang w:val="en-US"/>
              </w:rPr>
            </w:pPr>
            <w:r w:rsidRPr="00087D65">
              <w:rPr>
                <w:rFonts w:cstheme="minorHAnsi"/>
                <w:color w:val="2A2A2A"/>
                <w:shd w:val="clear" w:color="auto" w:fill="FFFFFF"/>
              </w:rPr>
              <w:t>Van den Bosch 2015</w:t>
            </w:r>
          </w:p>
          <w:p w14:paraId="33A8D981" w14:textId="15BE910F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Reviewer:</w:t>
            </w:r>
          </w:p>
        </w:tc>
        <w:tc>
          <w:tcPr>
            <w:tcW w:w="7429" w:type="dxa"/>
            <w:gridSpan w:val="15"/>
          </w:tcPr>
          <w:p w14:paraId="6FACF0BE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AIRE domains and items</w:t>
            </w:r>
          </w:p>
        </w:tc>
      </w:tr>
      <w:tr w:rsidR="00D55EC9" w14:paraId="665D9543" w14:textId="77777777" w:rsidTr="00B542C4">
        <w:tc>
          <w:tcPr>
            <w:tcW w:w="1126" w:type="dxa"/>
            <w:vMerge/>
          </w:tcPr>
          <w:p w14:paraId="0C1DB2F1" w14:textId="77777777" w:rsidR="00D55EC9" w:rsidRDefault="00D55EC9" w:rsidP="00B542C4">
            <w:pPr>
              <w:rPr>
                <w:lang w:val="en-US"/>
              </w:rPr>
            </w:pPr>
          </w:p>
        </w:tc>
        <w:tc>
          <w:tcPr>
            <w:tcW w:w="1456" w:type="dxa"/>
            <w:gridSpan w:val="3"/>
          </w:tcPr>
          <w:p w14:paraId="6A668AAF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Stakeholder involvement</w:t>
            </w:r>
          </w:p>
        </w:tc>
        <w:tc>
          <w:tcPr>
            <w:tcW w:w="1458" w:type="dxa"/>
            <w:gridSpan w:val="3"/>
          </w:tcPr>
          <w:p w14:paraId="7AE3522F" w14:textId="77777777" w:rsidR="00D55EC9" w:rsidRDefault="00D55EC9" w:rsidP="00B54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Scientific evidence</w:t>
            </w:r>
          </w:p>
        </w:tc>
        <w:tc>
          <w:tcPr>
            <w:tcW w:w="4515" w:type="dxa"/>
            <w:gridSpan w:val="9"/>
          </w:tcPr>
          <w:p w14:paraId="7DD4C384" w14:textId="77777777" w:rsidR="00D55EC9" w:rsidRDefault="00D55EC9" w:rsidP="00B542C4">
            <w:pPr>
              <w:jc w:val="center"/>
              <w:rPr>
                <w:lang w:val="en-US"/>
              </w:rPr>
            </w:pPr>
            <w:r w:rsidRPr="007D3621">
              <w:t>Additional evidence, formulation, usage</w:t>
            </w:r>
          </w:p>
        </w:tc>
      </w:tr>
      <w:tr w:rsidR="00D55EC9" w14:paraId="6567A82B" w14:textId="77777777" w:rsidTr="00B542C4">
        <w:tc>
          <w:tcPr>
            <w:tcW w:w="1126" w:type="dxa"/>
            <w:vMerge/>
          </w:tcPr>
          <w:p w14:paraId="2F34245A" w14:textId="77777777" w:rsidR="00D55EC9" w:rsidRDefault="00D55EC9" w:rsidP="00B542C4">
            <w:pPr>
              <w:rPr>
                <w:lang w:val="en-US"/>
              </w:rPr>
            </w:pPr>
          </w:p>
        </w:tc>
        <w:tc>
          <w:tcPr>
            <w:tcW w:w="484" w:type="dxa"/>
          </w:tcPr>
          <w:p w14:paraId="7E635194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433DA682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2F2999ED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6A02E4A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0C09AB9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" w:type="dxa"/>
          </w:tcPr>
          <w:p w14:paraId="6A077A31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5" w:type="dxa"/>
          </w:tcPr>
          <w:p w14:paraId="3BE7A38F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5" w:type="dxa"/>
          </w:tcPr>
          <w:p w14:paraId="407A8528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5" w:type="dxa"/>
          </w:tcPr>
          <w:p w14:paraId="3753321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" w:type="dxa"/>
          </w:tcPr>
          <w:p w14:paraId="0DB4642F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</w:tcPr>
          <w:p w14:paraId="5C7426C7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0" w:type="dxa"/>
          </w:tcPr>
          <w:p w14:paraId="6F0099F9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0" w:type="dxa"/>
          </w:tcPr>
          <w:p w14:paraId="051FE51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0" w:type="dxa"/>
          </w:tcPr>
          <w:p w14:paraId="33A3572D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0" w:type="dxa"/>
          </w:tcPr>
          <w:p w14:paraId="1C543450" w14:textId="77777777" w:rsidR="00D55EC9" w:rsidRDefault="00D55EC9" w:rsidP="00B542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55EC9" w14:paraId="237B8F45" w14:textId="77777777" w:rsidTr="00B542C4">
        <w:tc>
          <w:tcPr>
            <w:tcW w:w="1126" w:type="dxa"/>
          </w:tcPr>
          <w:p w14:paraId="54AB61EC" w14:textId="1BEBE40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84" w:type="dxa"/>
          </w:tcPr>
          <w:p w14:paraId="4DD86E94" w14:textId="0D11FFE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0317076D" w14:textId="684AB1C2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2584840A" w14:textId="1492441C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67CA4A40" w14:textId="0A662386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568F6931" w14:textId="336A6DB0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56C364E0" w14:textId="14FEC0F2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2101CAAE" w14:textId="0C3CCCBF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5CC93EDD" w14:textId="06043A58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2F7D9355" w14:textId="6B3F0780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7F89DEB2" w14:textId="2FD01D1C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6731430E" w14:textId="5DF977A3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67E65B9B" w14:textId="07A1628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0B553C41" w14:textId="554CA97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5FF52F27" w14:textId="1115AD2D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5C1EC515" w14:textId="790DC8FD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5EC9" w14:paraId="3083FA2B" w14:textId="77777777" w:rsidTr="00B542C4">
        <w:tc>
          <w:tcPr>
            <w:tcW w:w="1126" w:type="dxa"/>
          </w:tcPr>
          <w:p w14:paraId="56341F55" w14:textId="7E20569E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AF</w:t>
            </w:r>
          </w:p>
        </w:tc>
        <w:tc>
          <w:tcPr>
            <w:tcW w:w="484" w:type="dxa"/>
          </w:tcPr>
          <w:p w14:paraId="28A2F4D8" w14:textId="06939F16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</w:tcPr>
          <w:p w14:paraId="0E97CAB4" w14:textId="5E7FBF6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704812C3" w14:textId="65DDD5F6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" w:type="dxa"/>
          </w:tcPr>
          <w:p w14:paraId="1804A599" w14:textId="0B6D8767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0551A1A6" w14:textId="03F024FB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27B30039" w14:textId="2EC76B41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191C56E9" w14:textId="1387842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6F3EF811" w14:textId="50E5413A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</w:tcPr>
          <w:p w14:paraId="5DBF92B2" w14:textId="6C0FA8EA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196B8D82" w14:textId="20E489CC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4E207BB5" w14:textId="7A87228F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4F36B388" w14:textId="2D45C4C8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00924E03" w14:textId="689AF7CF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07C78842" w14:textId="1C21A129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14:paraId="0CC3042D" w14:textId="51305705" w:rsidR="00D55EC9" w:rsidRDefault="00087D65" w:rsidP="00B54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2312F47F" w14:textId="77777777" w:rsidR="00D55EC9" w:rsidRDefault="00D55EC9" w:rsidP="00F7328D">
      <w:pPr>
        <w:rPr>
          <w:lang w:val="en-US"/>
        </w:rPr>
      </w:pPr>
    </w:p>
    <w:p w14:paraId="2EE6619F" w14:textId="77777777" w:rsidR="00813B77" w:rsidRDefault="00813B77">
      <w:pPr>
        <w:rPr>
          <w:lang w:val="en-US"/>
        </w:rPr>
      </w:pPr>
      <w:r>
        <w:rPr>
          <w:lang w:val="en-US"/>
        </w:rPr>
        <w:br w:type="page"/>
      </w:r>
    </w:p>
    <w:p w14:paraId="0E605E9C" w14:textId="1763F6A6" w:rsidR="00813B77" w:rsidRPr="00813B77" w:rsidRDefault="003E6254" w:rsidP="00813B77">
      <w:pPr>
        <w:rPr>
          <w:lang w:val="en-US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lastRenderedPageBreak/>
        <w:t>File S4.</w:t>
      </w:r>
      <w:r w:rsidR="00813B77">
        <w:rPr>
          <w:lang w:val="en-US"/>
        </w:rPr>
        <w:t xml:space="preserve"> </w:t>
      </w:r>
      <w:r w:rsidR="00813B77" w:rsidRPr="0038512F">
        <w:rPr>
          <w:b/>
          <w:bCs/>
          <w:lang w:val="en-US"/>
        </w:rPr>
        <w:t>Quality indicators extracted</w:t>
      </w:r>
    </w:p>
    <w:p w14:paraId="61E8247A" w14:textId="1030F8E1" w:rsidR="00813B77" w:rsidRPr="00813B77" w:rsidRDefault="00813B77" w:rsidP="00813B77">
      <w:proofErr w:type="spellStart"/>
      <w:r w:rsidRPr="00BA0E9C">
        <w:rPr>
          <w:rFonts w:cstheme="minorHAnsi"/>
          <w:b/>
          <w:color w:val="2A2A2A"/>
          <w:shd w:val="clear" w:color="auto" w:fill="FFFFFF"/>
        </w:rPr>
        <w:t>Berenholtz</w:t>
      </w:r>
      <w:proofErr w:type="spellEnd"/>
      <w:r w:rsidRPr="00BA0E9C">
        <w:rPr>
          <w:rFonts w:cstheme="minorHAnsi"/>
          <w:b/>
          <w:color w:val="2A2A2A"/>
          <w:shd w:val="clear" w:color="auto" w:fill="FFFFFF"/>
        </w:rPr>
        <w:t xml:space="preserve"> 2007</w:t>
      </w:r>
      <w:r w:rsidRPr="00931864">
        <w:rPr>
          <w:rFonts w:cstheme="minorHAnsi"/>
          <w:color w:val="2A2A2A"/>
          <w:shd w:val="clear" w:color="auto" w:fill="FFFFFF"/>
        </w:rPr>
        <w:t xml:space="preserve"> </w:t>
      </w:r>
      <w:r>
        <w:rPr>
          <w:rFonts w:cstheme="minorHAnsi"/>
          <w:color w:val="2A2A2A"/>
          <w:shd w:val="clear" w:color="auto" w:fill="FFFFFF"/>
        </w:rPr>
        <w:t>(</w:t>
      </w:r>
      <w:r w:rsidRPr="0087284B">
        <w:rPr>
          <w:rFonts w:cstheme="minorHAnsi"/>
          <w:color w:val="2A2A2A"/>
          <w:shd w:val="clear" w:color="auto" w:fill="FFFFFF"/>
        </w:rPr>
        <w:t>Sepsis-refers to severe sepsis or septic shock</w:t>
      </w:r>
      <w:r>
        <w:rPr>
          <w:rFonts w:cstheme="minorHAnsi"/>
          <w:color w:val="2A2A2A"/>
          <w:shd w:val="clear" w:color="auto" w:fill="FFFFFF"/>
        </w:rPr>
        <w:t>)</w:t>
      </w:r>
    </w:p>
    <w:p w14:paraId="21CC4765" w14:textId="77777777" w:rsidR="00813B77" w:rsidRPr="00931864" w:rsidRDefault="00813B77" w:rsidP="00813B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2A2A2A"/>
          <w:shd w:val="clear" w:color="auto" w:fill="FFFFFF"/>
        </w:rPr>
        <w:t>The percentage of patients with sepsis and an unidentified organism received v</w:t>
      </w:r>
      <w:r w:rsidRPr="00931864">
        <w:rPr>
          <w:rFonts w:cstheme="minorHAnsi"/>
          <w:color w:val="2A2A2A"/>
          <w:shd w:val="clear" w:color="auto" w:fill="FFFFFF"/>
        </w:rPr>
        <w:t>ancomycin</w:t>
      </w:r>
      <w:r>
        <w:rPr>
          <w:rFonts w:cstheme="minorHAnsi"/>
          <w:color w:val="2A2A2A"/>
          <w:shd w:val="clear" w:color="auto" w:fill="FFFFFF"/>
        </w:rPr>
        <w:t xml:space="preserve"> within 24 hours of identification</w:t>
      </w:r>
    </w:p>
    <w:p w14:paraId="34DBB6D3" w14:textId="77777777" w:rsidR="00813B77" w:rsidRPr="00931864" w:rsidRDefault="00813B77" w:rsidP="00813B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2A2A2A"/>
          <w:shd w:val="clear" w:color="auto" w:fill="FFFFFF"/>
        </w:rPr>
        <w:t>Median t</w:t>
      </w:r>
      <w:r w:rsidRPr="00931864">
        <w:rPr>
          <w:rFonts w:cstheme="minorHAnsi"/>
          <w:color w:val="2A2A2A"/>
          <w:shd w:val="clear" w:color="auto" w:fill="FFFFFF"/>
        </w:rPr>
        <w:t>ime to vancomycin initiation</w:t>
      </w:r>
      <w:r>
        <w:rPr>
          <w:rFonts w:cstheme="minorHAnsi"/>
          <w:color w:val="2A2A2A"/>
          <w:shd w:val="clear" w:color="auto" w:fill="FFFFFF"/>
        </w:rPr>
        <w:t xml:space="preserve"> following sepsis diagnosis  </w:t>
      </w:r>
    </w:p>
    <w:p w14:paraId="6C017AEA" w14:textId="77777777" w:rsidR="00813B77" w:rsidRPr="00931864" w:rsidRDefault="00813B77" w:rsidP="00813B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2A2A2A"/>
          <w:shd w:val="clear" w:color="auto" w:fill="FFFFFF"/>
        </w:rPr>
        <w:t xml:space="preserve">The percentage of patients with sepsis and an unidentified organism who received a recommended </w:t>
      </w:r>
      <w:proofErr w:type="gramStart"/>
      <w:r>
        <w:rPr>
          <w:rFonts w:cstheme="minorHAnsi"/>
          <w:color w:val="2A2A2A"/>
          <w:shd w:val="clear" w:color="auto" w:fill="FFFFFF"/>
        </w:rPr>
        <w:t>b</w:t>
      </w:r>
      <w:r w:rsidRPr="00931864">
        <w:rPr>
          <w:rFonts w:cstheme="minorHAnsi"/>
          <w:color w:val="2A2A2A"/>
          <w:shd w:val="clear" w:color="auto" w:fill="FFFFFF"/>
        </w:rPr>
        <w:t>road spectrum</w:t>
      </w:r>
      <w:proofErr w:type="gramEnd"/>
      <w:r w:rsidRPr="00931864">
        <w:rPr>
          <w:rFonts w:cstheme="minorHAnsi"/>
          <w:color w:val="2A2A2A"/>
          <w:shd w:val="clear" w:color="auto" w:fill="FFFFFF"/>
        </w:rPr>
        <w:t xml:space="preserve"> antibiotic </w:t>
      </w:r>
      <w:r>
        <w:rPr>
          <w:rFonts w:cstheme="minorHAnsi"/>
          <w:color w:val="2A2A2A"/>
          <w:shd w:val="clear" w:color="auto" w:fill="FFFFFF"/>
        </w:rPr>
        <w:t xml:space="preserve">within 24 hours of sepsis identification </w:t>
      </w:r>
    </w:p>
    <w:p w14:paraId="0FD5610A" w14:textId="77777777" w:rsidR="00813B77" w:rsidRDefault="00813B77" w:rsidP="00813B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2A2A2A"/>
          <w:shd w:val="clear" w:color="auto" w:fill="FFFFFF"/>
        </w:rPr>
        <w:t>Median t</w:t>
      </w:r>
      <w:r w:rsidRPr="00931864">
        <w:rPr>
          <w:rFonts w:cstheme="minorHAnsi"/>
          <w:color w:val="2A2A2A"/>
          <w:shd w:val="clear" w:color="auto" w:fill="FFFFFF"/>
        </w:rPr>
        <w:t>ime to broad spectrum antibiotic</w:t>
      </w:r>
      <w:r w:rsidRPr="0087284B">
        <w:rPr>
          <w:rFonts w:cstheme="minorHAnsi"/>
          <w:color w:val="2A2A2A"/>
          <w:shd w:val="clear" w:color="auto" w:fill="FFFFFF"/>
        </w:rPr>
        <w:t xml:space="preserve"> </w:t>
      </w:r>
      <w:r w:rsidRPr="00931864">
        <w:rPr>
          <w:rFonts w:cstheme="minorHAnsi"/>
          <w:color w:val="2A2A2A"/>
          <w:shd w:val="clear" w:color="auto" w:fill="FFFFFF"/>
        </w:rPr>
        <w:t>initiation</w:t>
      </w:r>
      <w:r w:rsidRPr="0087284B">
        <w:rPr>
          <w:rFonts w:cstheme="minorHAnsi"/>
          <w:color w:val="2A2A2A"/>
          <w:shd w:val="clear" w:color="auto" w:fill="FFFFFF"/>
        </w:rPr>
        <w:t xml:space="preserve"> </w:t>
      </w:r>
      <w:r>
        <w:rPr>
          <w:rFonts w:cstheme="minorHAnsi"/>
          <w:color w:val="2A2A2A"/>
          <w:shd w:val="clear" w:color="auto" w:fill="FFFFFF"/>
        </w:rPr>
        <w:t>following sepsis diagnosis</w:t>
      </w:r>
    </w:p>
    <w:p w14:paraId="07F88431" w14:textId="77777777" w:rsidR="00813B77" w:rsidRPr="00931864" w:rsidRDefault="00813B77" w:rsidP="00813B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2A2A2A"/>
          <w:shd w:val="clear" w:color="auto" w:fill="FFFFFF"/>
        </w:rPr>
        <w:t xml:space="preserve">The percentage of patients with sepsis who had 2 sets of blood cultures collected within 24 hours following sepsis identification </w:t>
      </w:r>
    </w:p>
    <w:p w14:paraId="4095427D" w14:textId="2E041925" w:rsidR="00813B77" w:rsidRPr="00813B77" w:rsidRDefault="00813B77" w:rsidP="00813B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2A2A2A"/>
          <w:shd w:val="clear" w:color="auto" w:fill="FFFFFF"/>
        </w:rPr>
        <w:t>The percentage of patients with sepsis and an organism other than MRSA or MRSE (</w:t>
      </w:r>
      <w:proofErr w:type="spellStart"/>
      <w:r>
        <w:rPr>
          <w:rFonts w:cstheme="minorHAnsi"/>
          <w:color w:val="2A2A2A"/>
          <w:shd w:val="clear" w:color="auto" w:fill="FFFFFF"/>
        </w:rPr>
        <w:t>metacillin</w:t>
      </w:r>
      <w:proofErr w:type="spellEnd"/>
      <w:r>
        <w:rPr>
          <w:rFonts w:cstheme="minorHAnsi"/>
          <w:color w:val="2A2A2A"/>
          <w:shd w:val="clear" w:color="auto" w:fill="FFFFFF"/>
        </w:rPr>
        <w:t xml:space="preserve">-resistant </w:t>
      </w:r>
      <w:proofErr w:type="spellStart"/>
      <w:r>
        <w:rPr>
          <w:rFonts w:cstheme="minorHAnsi"/>
          <w:color w:val="2A2A2A"/>
          <w:shd w:val="clear" w:color="auto" w:fill="FFFFFF"/>
        </w:rPr>
        <w:t>staphyloccus</w:t>
      </w:r>
      <w:proofErr w:type="spellEnd"/>
      <w:r>
        <w:rPr>
          <w:rFonts w:cstheme="minorHAnsi"/>
          <w:color w:val="2A2A2A"/>
          <w:shd w:val="clear" w:color="auto" w:fill="FFFFFF"/>
        </w:rPr>
        <w:t xml:space="preserve"> epidermis) who had v</w:t>
      </w:r>
      <w:r w:rsidRPr="00931864">
        <w:rPr>
          <w:rFonts w:cstheme="minorHAnsi"/>
          <w:color w:val="2A2A2A"/>
          <w:shd w:val="clear" w:color="auto" w:fill="FFFFFF"/>
        </w:rPr>
        <w:t>ancomycin discontin</w:t>
      </w:r>
      <w:r>
        <w:rPr>
          <w:rFonts w:cstheme="minorHAnsi"/>
          <w:color w:val="2A2A2A"/>
          <w:shd w:val="clear" w:color="auto" w:fill="FFFFFF"/>
        </w:rPr>
        <w:t>ued within 96 hours of diagnosis.</w:t>
      </w:r>
    </w:p>
    <w:p w14:paraId="39249073" w14:textId="0A69B463" w:rsidR="00813B77" w:rsidRPr="00931864" w:rsidRDefault="00813B77" w:rsidP="00813B77">
      <w:pPr>
        <w:tabs>
          <w:tab w:val="left" w:pos="1934"/>
        </w:tabs>
        <w:rPr>
          <w:rFonts w:cstheme="minorHAnsi"/>
          <w:color w:val="2A2A2A"/>
          <w:shd w:val="clear" w:color="auto" w:fill="FFFFFF"/>
        </w:rPr>
      </w:pPr>
      <w:bookmarkStart w:id="1" w:name="_Hlk43896549"/>
      <w:proofErr w:type="spellStart"/>
      <w:r w:rsidRPr="00BA0E9C">
        <w:rPr>
          <w:rFonts w:cstheme="minorHAnsi"/>
          <w:b/>
          <w:color w:val="2A2A2A"/>
          <w:shd w:val="clear" w:color="auto" w:fill="FFFFFF"/>
        </w:rPr>
        <w:t>Buyle</w:t>
      </w:r>
      <w:bookmarkEnd w:id="1"/>
      <w:proofErr w:type="spellEnd"/>
      <w:r w:rsidRPr="00BA0E9C">
        <w:rPr>
          <w:rFonts w:cstheme="minorHAnsi"/>
          <w:b/>
          <w:color w:val="2A2A2A"/>
          <w:shd w:val="clear" w:color="auto" w:fill="FFFFFF"/>
        </w:rPr>
        <w:t xml:space="preserve"> 2013</w:t>
      </w:r>
    </w:p>
    <w:p w14:paraId="4AC659DA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(</w:t>
      </w:r>
      <w:r w:rsidRPr="00931864">
        <w:rPr>
          <w:rFonts w:cstheme="minorHAnsi"/>
          <w:color w:val="000000" w:themeColor="text1"/>
          <w:shd w:val="clear" w:color="auto" w:fill="FFFFFF"/>
        </w:rPr>
        <w:t xml:space="preserve">Services) </w:t>
      </w: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Bedside expert consultant advice regarding antibiotics by microbiologist/infectious disease specialist/antibiotic officer on request available on the same day</w:t>
      </w:r>
    </w:p>
    <w:p w14:paraId="3671E460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(Services) Regular ward rounds by members of the AMT (multi-disciplinary antibiotic management team) performed (at least weekly)</w:t>
      </w:r>
    </w:p>
    <w:p w14:paraId="4A530B18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(Services) Clinical audit of prescribers’ compliance with local clinical guidelines/guide performed by AMT/AB officer</w:t>
      </w:r>
    </w:p>
    <w:p w14:paraId="6EDD77D9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(Tools) Antimicrobial formulary list biannually updated</w:t>
      </w:r>
    </w:p>
    <w:p w14:paraId="414BC1C2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(Tools) Local clinical practice guidelines for microbiologically documented therapy updated biannually</w:t>
      </w:r>
    </w:p>
    <w:p w14:paraId="1255081F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(Tools) Local clinical practice guidelines for empirical therapy available</w:t>
      </w:r>
    </w:p>
    <w:p w14:paraId="63253C2A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(Tools) Local clinical practice guidelines for surgical antimicrobial prophylaxis available</w:t>
      </w:r>
    </w:p>
    <w:p w14:paraId="26820C39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 xml:space="preserve">(Human resources and mandate) </w:t>
      </w: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Formal mandate for hospital multi-disciplinary antibiotic management team (AMT) existing</w:t>
      </w:r>
    </w:p>
    <w:p w14:paraId="661BAEF0" w14:textId="77777777" w:rsidR="00813B77" w:rsidRPr="00931864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 xml:space="preserve">(Human resources and mandate) </w:t>
      </w: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 xml:space="preserve">AB officer or AMT member </w:t>
      </w:r>
      <w:proofErr w:type="gramStart"/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is</w:t>
      </w:r>
      <w:proofErr w:type="gramEnd"/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 xml:space="preserve"> member of the drugs and therapeutics committee</w:t>
      </w:r>
    </w:p>
    <w:p w14:paraId="4F130AEC" w14:textId="77777777" w:rsidR="00813B77" w:rsidRPr="00882288" w:rsidRDefault="00813B77" w:rsidP="00813B77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eastAsia="Times New Roman" w:cstheme="minorHAnsi"/>
          <w:color w:val="000000" w:themeColor="text1"/>
          <w:spacing w:val="2"/>
          <w:shd w:val="clear" w:color="auto" w:fill="FFFFFF"/>
          <w:lang w:eastAsia="en-GB"/>
        </w:rPr>
        <w:t>(Personnel development) Prescriber education by personalised interactive methods (like daily ward rounds) performed</w:t>
      </w:r>
    </w:p>
    <w:p w14:paraId="2896E27E" w14:textId="77777777" w:rsidR="00813B77" w:rsidRDefault="00813B77" w:rsidP="00813B77">
      <w:pPr>
        <w:rPr>
          <w:rFonts w:cstheme="minorHAnsi"/>
          <w:b/>
          <w:bCs/>
          <w:color w:val="2A2A2A"/>
          <w:shd w:val="clear" w:color="auto" w:fill="FFFFFF"/>
        </w:rPr>
      </w:pPr>
      <w:r w:rsidRPr="009B35F6">
        <w:rPr>
          <w:rFonts w:cstheme="minorHAnsi"/>
          <w:b/>
          <w:bCs/>
          <w:color w:val="2A2A2A"/>
          <w:shd w:val="clear" w:color="auto" w:fill="FFFFFF"/>
        </w:rPr>
        <w:t>Coll 2012</w:t>
      </w:r>
    </w:p>
    <w:p w14:paraId="3F7BBEAF" w14:textId="77777777" w:rsidR="00813B77" w:rsidRPr="009B1B92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B1B92">
        <w:rPr>
          <w:rFonts w:cstheme="minorHAnsi"/>
          <w:color w:val="2A2A2A"/>
          <w:shd w:val="clear" w:color="auto" w:fill="FFFFFF"/>
        </w:rPr>
        <w:t>Bacterial specimens</w:t>
      </w:r>
    </w:p>
    <w:p w14:paraId="094F2149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9B1B92">
        <w:rPr>
          <w:rFonts w:cstheme="minorHAnsi"/>
          <w:color w:val="2A2A2A"/>
          <w:shd w:val="clear" w:color="auto" w:fill="FFFFFF"/>
        </w:rPr>
        <w:t xml:space="preserve">Bacterial specimens </w:t>
      </w:r>
      <w:r w:rsidRPr="009B1B92">
        <w:rPr>
          <w:rFonts w:cstheme="minorHAnsi"/>
          <w:color w:val="333333"/>
          <w:shd w:val="clear" w:color="auto" w:fill="FCFCFC"/>
        </w:rPr>
        <w:t>are taken before initiation of antimicrobial treatment and there is evidence of analysis at the laboratory</w:t>
      </w:r>
    </w:p>
    <w:p w14:paraId="3BBC9B9A" w14:textId="77777777" w:rsidR="00813B77" w:rsidRPr="009B1B92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B1B92">
        <w:rPr>
          <w:rFonts w:cstheme="minorHAnsi"/>
          <w:color w:val="2A2A2A"/>
          <w:shd w:val="clear" w:color="auto" w:fill="FFFFFF"/>
        </w:rPr>
        <w:t>Allergy status</w:t>
      </w:r>
    </w:p>
    <w:p w14:paraId="4DAA319F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color w:val="333333"/>
          <w:shd w:val="clear" w:color="auto" w:fill="FCFCFC"/>
        </w:rPr>
      </w:pPr>
      <w:r w:rsidRPr="009B1B92">
        <w:rPr>
          <w:rFonts w:cstheme="minorHAnsi"/>
          <w:color w:val="333333"/>
          <w:shd w:val="clear" w:color="auto" w:fill="FCFCFC"/>
        </w:rPr>
        <w:t>Patients allergy status is documented at the time antimicrobial(s) to be prescribed</w:t>
      </w:r>
    </w:p>
    <w:p w14:paraId="153E6FF7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nature and severity of the past allergic reaction is documented</w:t>
      </w:r>
    </w:p>
    <w:p w14:paraId="175A09FC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Patients with a history of anaphylaxis (wheezing, collapse or an itchy rapid onset, urticarial rash) immediately after penicillin therapy should not receive antimicrobial treatment with a beta lactam antimicrobial is prescribed alternative drug class</w:t>
      </w:r>
    </w:p>
    <w:p w14:paraId="743DC550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Patients with a history of minor rash (non-confluent, non-pruritic, restricted to a small area of the body, or occurring more than 72 h after penicillin administration) is prescribed a cephalosporin or carbapenem if indicated</w:t>
      </w:r>
    </w:p>
    <w:p w14:paraId="00C773D2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lastRenderedPageBreak/>
        <w:t>Guideline compliance</w:t>
      </w:r>
    </w:p>
    <w:p w14:paraId="7EB2E62C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Choice of antimicrobial treatment is compliant with local policy</w:t>
      </w:r>
    </w:p>
    <w:p w14:paraId="3035309B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route of administration of antimicrobial is compliant with local policy</w:t>
      </w:r>
    </w:p>
    <w:p w14:paraId="03966AAD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dosage regimen of prescribed antimicrobial is compliant with local policy</w:t>
      </w:r>
    </w:p>
    <w:p w14:paraId="3C872373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Renal impairment</w:t>
      </w:r>
    </w:p>
    <w:p w14:paraId="2767B9E3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Review and adjustment of dosage regimen as recommended in the guidelines is documented in mild renal impairment (</w:t>
      </w:r>
      <w:proofErr w:type="spellStart"/>
      <w:r w:rsidRPr="009B1B92">
        <w:rPr>
          <w:rFonts w:cstheme="minorHAnsi"/>
          <w:color w:val="333333"/>
          <w:shd w:val="clear" w:color="auto" w:fill="FCFCFC"/>
        </w:rPr>
        <w:t>CrCl</w:t>
      </w:r>
      <w:proofErr w:type="spellEnd"/>
      <w:r w:rsidRPr="009B1B92">
        <w:rPr>
          <w:rFonts w:cstheme="minorHAnsi"/>
          <w:color w:val="333333"/>
          <w:shd w:val="clear" w:color="auto" w:fill="FCFCFC"/>
        </w:rPr>
        <w:t> = 20–50 ml/min)</w:t>
      </w:r>
    </w:p>
    <w:p w14:paraId="5152FB67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Review and adjustment of dosage regimen as recommended in the guidelines is documented in moderate renal impairment (</w:t>
      </w:r>
      <w:proofErr w:type="spellStart"/>
      <w:r w:rsidRPr="009B1B92">
        <w:rPr>
          <w:rFonts w:cstheme="minorHAnsi"/>
          <w:color w:val="333333"/>
          <w:shd w:val="clear" w:color="auto" w:fill="FCFCFC"/>
        </w:rPr>
        <w:t>CrCl</w:t>
      </w:r>
      <w:proofErr w:type="spellEnd"/>
      <w:r w:rsidRPr="009B1B92">
        <w:rPr>
          <w:rFonts w:cstheme="minorHAnsi"/>
          <w:color w:val="333333"/>
          <w:shd w:val="clear" w:color="auto" w:fill="FCFCFC"/>
        </w:rPr>
        <w:t> = 10–20 ml/min)</w:t>
      </w:r>
    </w:p>
    <w:p w14:paraId="77837242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Review and adjustment of dosage regimen as recommended in the guidelines is documented in severe renal impairment (</w:t>
      </w:r>
      <w:proofErr w:type="spellStart"/>
      <w:r w:rsidRPr="009B1B92">
        <w:rPr>
          <w:rFonts w:cstheme="minorHAnsi"/>
          <w:color w:val="333333"/>
          <w:shd w:val="clear" w:color="auto" w:fill="FCFCFC"/>
        </w:rPr>
        <w:t>CrCl</w:t>
      </w:r>
      <w:proofErr w:type="spellEnd"/>
      <w:r w:rsidRPr="009B1B92">
        <w:rPr>
          <w:rFonts w:cstheme="minorHAnsi"/>
          <w:color w:val="333333"/>
          <w:shd w:val="clear" w:color="auto" w:fill="FCFCFC"/>
        </w:rPr>
        <w:t xml:space="preserve"> &lt;10 ml/min)</w:t>
      </w:r>
    </w:p>
    <w:p w14:paraId="08C35800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Interaction management plan</w:t>
      </w:r>
    </w:p>
    <w:p w14:paraId="49139B97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Identified interactions between antimicrobial regimen and concurrent medications are documented with a recommended management plan of the interaction</w:t>
      </w:r>
    </w:p>
    <w:p w14:paraId="1044D46A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Documentation</w:t>
      </w:r>
    </w:p>
    <w:p w14:paraId="3B9590D8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indication for prescribing of antimicrobial treatment is documented</w:t>
      </w:r>
    </w:p>
    <w:p w14:paraId="73E279FE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intended duration of antimicrobial treatment</w:t>
      </w:r>
      <w:r w:rsidRPr="009B1B92">
        <w:rPr>
          <w:rFonts w:cstheme="minorHAnsi"/>
        </w:rPr>
        <w:t xml:space="preserve"> </w:t>
      </w:r>
      <w:r w:rsidRPr="009B1B92">
        <w:rPr>
          <w:rFonts w:cstheme="minorHAnsi"/>
          <w:color w:val="333333"/>
          <w:shd w:val="clear" w:color="auto" w:fill="FCFCFC"/>
        </w:rPr>
        <w:t>is documented</w:t>
      </w:r>
    </w:p>
    <w:p w14:paraId="526F0912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Therapeutic drug monitoring</w:t>
      </w:r>
    </w:p>
    <w:p w14:paraId="08BBE4DD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gentamicin level is taken at the correct time recommended by the antimicrobial guidelines</w:t>
      </w:r>
    </w:p>
    <w:p w14:paraId="2B47A649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measured gentamicin level is documented</w:t>
      </w:r>
    </w:p>
    <w:p w14:paraId="76C31A9A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gentamicin dosage regimen is managed according to the guideline and a management plan is documented</w:t>
      </w:r>
    </w:p>
    <w:p w14:paraId="35E08F37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vancomycin level is taken at the correct time</w:t>
      </w:r>
    </w:p>
    <w:p w14:paraId="02E301D5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measured vancomycin level is documented</w:t>
      </w:r>
    </w:p>
    <w:p w14:paraId="59C9FB7B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vancomycin dosage regimen is managed according to the guideline and a management plan is documented</w:t>
      </w:r>
    </w:p>
    <w:p w14:paraId="34C172E1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Improvement in renal impairment</w:t>
      </w:r>
    </w:p>
    <w:p w14:paraId="7C61005F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Due to an improvement in mild renal impairment review and adjustment of dosage regimen is documented</w:t>
      </w:r>
    </w:p>
    <w:p w14:paraId="30582629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Due to an improvement in moderate renal impairment) review and adjustment of dosage regimen is documented</w:t>
      </w:r>
    </w:p>
    <w:p w14:paraId="40BCD13B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Due to an improvement in severe renal impairment review and adjustment of dosage regimen is documented</w:t>
      </w:r>
    </w:p>
    <w:p w14:paraId="26B39236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Interactions</w:t>
      </w:r>
    </w:p>
    <w:p w14:paraId="51FCE9EC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Documented interaction management plan (criteria 12) is followed</w:t>
      </w:r>
    </w:p>
    <w:p w14:paraId="6EA6E76F" w14:textId="77777777" w:rsidR="00813B77" w:rsidRPr="009B1B92" w:rsidRDefault="00813B77" w:rsidP="00813B77">
      <w:pPr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De-escalation</w:t>
      </w:r>
    </w:p>
    <w:p w14:paraId="14099253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 xml:space="preserve">The results of bacteriological sensitivity(s) </w:t>
      </w:r>
      <w:proofErr w:type="gramStart"/>
      <w:r w:rsidRPr="009B1B92">
        <w:rPr>
          <w:rFonts w:cstheme="minorHAnsi"/>
          <w:color w:val="333333"/>
          <w:shd w:val="clear" w:color="auto" w:fill="FCFCFC"/>
        </w:rPr>
        <w:t>is</w:t>
      </w:r>
      <w:proofErr w:type="gramEnd"/>
      <w:r w:rsidRPr="009B1B92">
        <w:rPr>
          <w:rFonts w:cstheme="minorHAnsi"/>
          <w:color w:val="333333"/>
          <w:shd w:val="clear" w:color="auto" w:fill="FCFCFC"/>
        </w:rPr>
        <w:t xml:space="preserve"> documented</w:t>
      </w:r>
    </w:p>
    <w:p w14:paraId="4E3F3D83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choice of antimicrobial treatment is reviewed according to clinical response and/or sensitivities</w:t>
      </w:r>
    </w:p>
    <w:p w14:paraId="6B27AFBE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lastRenderedPageBreak/>
        <w:t>The intravenous route of administration is switched to the oral route at an appropriate time (48 h after initiation and if not clinically indicated, requirement for intravenous route is reviewed every 24 h)</w:t>
      </w:r>
    </w:p>
    <w:p w14:paraId="6C8DEE1A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indication for prescribing an oral antimicrobial as a result of an intravenous to oral switch is documented in the case notes or the inpatient medication administration chart</w:t>
      </w:r>
    </w:p>
    <w:p w14:paraId="1BF452CF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The intended duration of oral antimicrobial treatment as a result of an intravenous to oral switch is documented</w:t>
      </w:r>
    </w:p>
    <w:p w14:paraId="07199051" w14:textId="77777777" w:rsidR="00813B77" w:rsidRPr="009B1B92" w:rsidRDefault="00813B77" w:rsidP="00813B77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B1B92">
        <w:rPr>
          <w:rFonts w:cstheme="minorHAnsi"/>
          <w:color w:val="333333"/>
          <w:shd w:val="clear" w:color="auto" w:fill="FCFCFC"/>
        </w:rPr>
        <w:t>Antimicrobial treatment is discontinued on completion of the documented course</w:t>
      </w:r>
    </w:p>
    <w:p w14:paraId="7AC220FB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047827CF" w14:textId="6B4CA025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r w:rsidRPr="00BA0E9C">
        <w:rPr>
          <w:rFonts w:cstheme="minorHAnsi"/>
          <w:b/>
          <w:color w:val="2A2A2A"/>
          <w:shd w:val="clear" w:color="auto" w:fill="FFFFFF"/>
        </w:rPr>
        <w:t>Farida 2014</w:t>
      </w:r>
    </w:p>
    <w:p w14:paraId="109BF5F6" w14:textId="77777777" w:rsidR="00813B77" w:rsidRPr="00931864" w:rsidRDefault="00813B77" w:rsidP="00813B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1C1D1E"/>
          <w:shd w:val="clear" w:color="auto" w:fill="FFFFFF"/>
          <w:lang w:eastAsia="en-GB"/>
        </w:rPr>
      </w:pPr>
      <w:r w:rsidRPr="00931864">
        <w:rPr>
          <w:rFonts w:eastAsia="Times New Roman" w:cstheme="minorHAnsi"/>
          <w:color w:val="1C1D1E"/>
          <w:shd w:val="clear" w:color="auto" w:fill="FFFFFF"/>
          <w:lang w:eastAsia="en-GB"/>
        </w:rPr>
        <w:t>Take two sets of blood samples for culture</w:t>
      </w:r>
    </w:p>
    <w:p w14:paraId="4A3795F7" w14:textId="77777777" w:rsidR="00813B77" w:rsidRPr="00931864" w:rsidRDefault="00813B77" w:rsidP="00813B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1C1D1E"/>
          <w:shd w:val="clear" w:color="auto" w:fill="FFFFFF"/>
          <w:lang w:eastAsia="en-GB"/>
        </w:rPr>
      </w:pPr>
      <w:r w:rsidRPr="00931864">
        <w:rPr>
          <w:rFonts w:eastAsia="Times New Roman" w:cstheme="minorHAnsi"/>
          <w:color w:val="1C1D1E"/>
          <w:shd w:val="clear" w:color="auto" w:fill="FFFFFF"/>
          <w:lang w:eastAsia="en-GB"/>
        </w:rPr>
        <w:t>Obtain sputum samples for Gram stain and culture</w:t>
      </w:r>
    </w:p>
    <w:p w14:paraId="5180F607" w14:textId="77777777" w:rsidR="00813B77" w:rsidRPr="00931864" w:rsidRDefault="00813B77" w:rsidP="00813B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color w:val="1C1D1E"/>
          <w:shd w:val="clear" w:color="auto" w:fill="FFFFFF"/>
          <w:lang w:eastAsia="en-GB"/>
        </w:rPr>
        <w:t>Obtain sputum sample and start antibiotic therapy in the emergency department</w:t>
      </w:r>
    </w:p>
    <w:p w14:paraId="5B6B4774" w14:textId="77777777" w:rsidR="00813B77" w:rsidRPr="00931864" w:rsidRDefault="00813B77" w:rsidP="00813B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color w:val="1C1D1E"/>
          <w:shd w:val="clear" w:color="auto" w:fill="FFFFFF"/>
          <w:lang w:eastAsia="en-GB"/>
        </w:rPr>
        <w:t>Timely initiation of antibiotic therapy within four hours after presentation</w:t>
      </w:r>
    </w:p>
    <w:p w14:paraId="3DA10FF9" w14:textId="77777777" w:rsidR="00813B77" w:rsidRPr="00931864" w:rsidRDefault="00813B77" w:rsidP="00813B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Switching from iv to oral therapy when clinically stable</w:t>
      </w:r>
    </w:p>
    <w:p w14:paraId="66EE8D56" w14:textId="77777777" w:rsidR="00813B77" w:rsidRPr="00931864" w:rsidRDefault="00813B77" w:rsidP="00813B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Length of therapy is five days for uncomplicated CAP (CURB score ≤ 2)</w:t>
      </w:r>
    </w:p>
    <w:p w14:paraId="68B0F9D3" w14:textId="7777777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686D0ED5" w14:textId="68D98A1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proofErr w:type="spellStart"/>
      <w:r w:rsidRPr="00BA0E9C">
        <w:rPr>
          <w:rFonts w:cstheme="minorHAnsi"/>
          <w:b/>
          <w:color w:val="2A2A2A"/>
          <w:shd w:val="clear" w:color="auto" w:fill="FFFFFF"/>
        </w:rPr>
        <w:t>Thern</w:t>
      </w:r>
      <w:proofErr w:type="spellEnd"/>
      <w:r w:rsidRPr="00BA0E9C">
        <w:rPr>
          <w:rFonts w:cstheme="minorHAnsi"/>
          <w:b/>
          <w:color w:val="2A2A2A"/>
          <w:shd w:val="clear" w:color="auto" w:fill="FFFFFF"/>
        </w:rPr>
        <w:t xml:space="preserve"> 2014</w:t>
      </w:r>
    </w:p>
    <w:p w14:paraId="3ADEF2E5" w14:textId="77777777" w:rsidR="00813B77" w:rsidRPr="00BA0E9C" w:rsidRDefault="00813B77" w:rsidP="00813B77">
      <w:pPr>
        <w:rPr>
          <w:rFonts w:cstheme="minorHAnsi"/>
          <w:color w:val="2A2A2A"/>
          <w:shd w:val="clear" w:color="auto" w:fill="FFFFFF"/>
        </w:rPr>
      </w:pPr>
      <w:r w:rsidRPr="00BA0E9C">
        <w:rPr>
          <w:rFonts w:cstheme="minorHAnsi"/>
          <w:color w:val="2A2A2A"/>
          <w:shd w:val="clear" w:color="auto" w:fill="FFFFFF"/>
        </w:rPr>
        <w:t xml:space="preserve">Structural indicators </w:t>
      </w:r>
    </w:p>
    <w:p w14:paraId="16191C27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 xml:space="preserve">(Prerequisites) MDT AMS team authorised by hospital </w:t>
      </w:r>
      <w:proofErr w:type="gramStart"/>
      <w:r w:rsidRPr="00931864">
        <w:rPr>
          <w:rFonts w:cstheme="minorHAnsi"/>
          <w:color w:val="2A2A2A"/>
          <w:shd w:val="clear" w:color="auto" w:fill="FFFFFF"/>
        </w:rPr>
        <w:t>management ,</w:t>
      </w:r>
      <w:proofErr w:type="gramEnd"/>
      <w:r w:rsidRPr="00931864">
        <w:rPr>
          <w:rFonts w:cstheme="minorHAnsi"/>
          <w:color w:val="2A2A2A"/>
          <w:shd w:val="clear" w:color="auto" w:fill="FFFFFF"/>
        </w:rPr>
        <w:t xml:space="preserve"> headed by ID physician (or trained </w:t>
      </w:r>
      <w:proofErr w:type="spellStart"/>
      <w:r w:rsidRPr="00931864">
        <w:rPr>
          <w:rFonts w:cstheme="minorHAnsi"/>
          <w:color w:val="2A2A2A"/>
          <w:shd w:val="clear" w:color="auto" w:fill="FFFFFF"/>
        </w:rPr>
        <w:t>abx</w:t>
      </w:r>
      <w:proofErr w:type="spellEnd"/>
      <w:r w:rsidRPr="00931864">
        <w:rPr>
          <w:rFonts w:cstheme="minorHAnsi"/>
          <w:color w:val="2A2A2A"/>
          <w:shd w:val="clear" w:color="auto" w:fill="FFFFFF"/>
        </w:rPr>
        <w:t xml:space="preserve"> expert) plus a pharmacist</w:t>
      </w:r>
    </w:p>
    <w:p w14:paraId="5C59B94A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AMS team represented in the drugs and therapeutic committee</w:t>
      </w:r>
    </w:p>
    <w:p w14:paraId="792643C4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Minimum of 2 AMS team meetings annually (</w:t>
      </w:r>
      <w:proofErr w:type="spellStart"/>
      <w:r w:rsidRPr="00931864">
        <w:rPr>
          <w:rFonts w:cstheme="minorHAnsi"/>
          <w:color w:val="2A2A2A"/>
          <w:shd w:val="clear" w:color="auto" w:fill="FFFFFF"/>
        </w:rPr>
        <w:t>minuted</w:t>
      </w:r>
      <w:proofErr w:type="spellEnd"/>
      <w:r w:rsidRPr="00931864">
        <w:rPr>
          <w:rFonts w:cstheme="minorHAnsi"/>
          <w:color w:val="2A2A2A"/>
          <w:shd w:val="clear" w:color="auto" w:fill="FFFFFF"/>
        </w:rPr>
        <w:t>)</w:t>
      </w:r>
    </w:p>
    <w:p w14:paraId="4C02A805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ABS strategic report to D&amp;T and hospital management includes quantitative objectives with selected performance indicators </w:t>
      </w:r>
    </w:p>
    <w:p w14:paraId="1CF49E5C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Written in-house preanalytical requirements for microbiologic samples (including rejection criteria) </w:t>
      </w:r>
    </w:p>
    <w:p w14:paraId="6F6C0164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cstheme="minorHAnsi"/>
          <w:color w:val="000000" w:themeColor="text1"/>
        </w:rPr>
        <w:t xml:space="preserve">Antimicrobial drug use data (as DDD/RDD or PDD per 100 occupied bed [patient] days and/or admission) available for several clinical divisions or departments (division-specific or aggregated for surgical and nonsurgical services and/or for general wards vs intensive care units) at least annually (in total and detailing the most important antibiotic classes) </w:t>
      </w:r>
    </w:p>
    <w:p w14:paraId="1D7E4E98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931864">
        <w:rPr>
          <w:rFonts w:cstheme="minorHAnsi"/>
          <w:color w:val="000000" w:themeColor="text1"/>
        </w:rPr>
        <w:t xml:space="preserve">Rate of oral vs. parenteral dispensed or prescribed daily doses of the most important and relevant drugs or drug classes available at least once per year for several clinical services </w:t>
      </w:r>
    </w:p>
    <w:p w14:paraId="1199DB0A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Other resistance rates and corresponding incidence figures (for clinical isolates) available at least once per year for several clinical services (divisions/departments) </w:t>
      </w:r>
    </w:p>
    <w:p w14:paraId="5674BC7D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Incidence figures for </w:t>
      </w:r>
      <w:r w:rsidRPr="00931864">
        <w:rPr>
          <w:rFonts w:eastAsia="Times New Roman" w:cstheme="minorHAnsi"/>
          <w:i/>
          <w:iCs/>
          <w:color w:val="000000" w:themeColor="text1"/>
          <w:lang w:eastAsia="en-GB"/>
        </w:rPr>
        <w:t xml:space="preserve">C. difficile </w:t>
      </w:r>
      <w:r w:rsidRPr="00931864">
        <w:rPr>
          <w:rFonts w:eastAsia="Times New Roman" w:cstheme="minorHAnsi"/>
          <w:color w:val="000000" w:themeColor="text1"/>
          <w:lang w:eastAsia="en-GB"/>
        </w:rPr>
        <w:t xml:space="preserve">associated diarrhoea available for several clinical services (division-specific and/or general wards vs. intensive care units) at least once per year </w:t>
      </w:r>
    </w:p>
    <w:p w14:paraId="576FE78B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Hospital-wide incidence figures for nosocomial sepsis/bacteraemia available at least once per year </w:t>
      </w:r>
    </w:p>
    <w:p w14:paraId="7B129B0E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>In-house list of anti</w:t>
      </w:r>
      <w:r>
        <w:rPr>
          <w:rFonts w:eastAsia="Times New Roman" w:cstheme="minorHAnsi"/>
          <w:color w:val="000000" w:themeColor="text1"/>
          <w:lang w:eastAsia="en-GB"/>
        </w:rPr>
        <w:t>-</w:t>
      </w:r>
      <w:r w:rsidRPr="00931864">
        <w:rPr>
          <w:rFonts w:eastAsia="Times New Roman" w:cstheme="minorHAnsi"/>
          <w:color w:val="000000" w:themeColor="text1"/>
          <w:lang w:eastAsia="en-GB"/>
        </w:rPr>
        <w:t xml:space="preserve">infectives (formulary, see above) which is up to date (not older than 2 years) available </w:t>
      </w:r>
    </w:p>
    <w:p w14:paraId="13D366F1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>Prescriptions concerning restricted / alert anti</w:t>
      </w:r>
      <w:r>
        <w:rPr>
          <w:rFonts w:eastAsia="Times New Roman" w:cstheme="minorHAnsi"/>
          <w:color w:val="000000" w:themeColor="text1"/>
          <w:lang w:eastAsia="en-GB"/>
        </w:rPr>
        <w:t>-</w:t>
      </w:r>
      <w:r w:rsidRPr="00931864">
        <w:rPr>
          <w:rFonts w:eastAsia="Times New Roman" w:cstheme="minorHAnsi"/>
          <w:color w:val="000000" w:themeColor="text1"/>
          <w:lang w:eastAsia="en-GB"/>
        </w:rPr>
        <w:t xml:space="preserve">infectives from a defined list are approved for specific patients, not generically </w:t>
      </w:r>
    </w:p>
    <w:p w14:paraId="3020F2F5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Written, locally consented practice guidelines (see above) available and updated (not older than 2 years) </w:t>
      </w:r>
    </w:p>
    <w:p w14:paraId="7B157ED0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Written, locally consented practice guidelines for surgical prophylaxis available and updated (not older than 2 years) available </w:t>
      </w:r>
    </w:p>
    <w:p w14:paraId="02AEDB4A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lastRenderedPageBreak/>
        <w:t xml:space="preserve">Written recommendation for parenteral-to-oral switch antimicrobial therapy (prerequisites / criteria and drugs) available and updated (not older than 2 years) </w:t>
      </w:r>
    </w:p>
    <w:p w14:paraId="091F64C0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Regular ward rounds of members of ABS team together with the attending physicians (at least 3 clinical services/departments, at least 3 times each in the previous 12 months) </w:t>
      </w:r>
    </w:p>
    <w:p w14:paraId="1468DC71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cstheme="minorHAnsi"/>
          <w:color w:val="000000" w:themeColor="text1"/>
        </w:rPr>
        <w:t xml:space="preserve">Educational sessions by the ABS team and/or ABS representatives about locally consented guidelines (tailored to division or at least differentiating conservative vs. surgical specialities) at least every other year </w:t>
      </w:r>
    </w:p>
    <w:p w14:paraId="15DD987C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In-house and/or extramural ABS-relevant continuing medical education about antimicrobial therapy and prophylaxis for at least 10% of medical staff who are not ABS representatives (at least 4 documented CME credits relevant for ABS per year) </w:t>
      </w:r>
    </w:p>
    <w:p w14:paraId="712F958A" w14:textId="77777777" w:rsidR="00813B77" w:rsidRPr="00931864" w:rsidRDefault="00813B77" w:rsidP="00813B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ABS-relevant continuing medical education for ABS team members and ABS representatives from clinical services (at least 8 documented CME credits relevant for ABS per year) </w:t>
      </w:r>
    </w:p>
    <w:p w14:paraId="4988B213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Use of selected antibiograms (adapted according to local guidelines) </w:t>
      </w:r>
    </w:p>
    <w:p w14:paraId="1C246A88" w14:textId="77777777" w:rsidR="00813B77" w:rsidRPr="00931864" w:rsidRDefault="00813B77" w:rsidP="00813B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>Locally consented guidelines / decision-making aids electronically available (e.g. via physician's computer, PDA or smartphone)</w:t>
      </w:r>
    </w:p>
    <w:p w14:paraId="3C179EE6" w14:textId="7777777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Process indicators CAP</w:t>
      </w:r>
    </w:p>
    <w:p w14:paraId="7137BFEF" w14:textId="77777777" w:rsidR="00813B77" w:rsidRPr="00931864" w:rsidRDefault="00813B77" w:rsidP="00813B77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Initial therapy (drugs and dosing) according to local / national guideline </w:t>
      </w:r>
    </w:p>
    <w:p w14:paraId="02CB20A0" w14:textId="77777777" w:rsidR="00813B77" w:rsidRPr="00931864" w:rsidRDefault="00813B77" w:rsidP="00813B77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Obtain blood cultures (2 sets) on the day of initialization of antibiotic therapy </w:t>
      </w:r>
    </w:p>
    <w:p w14:paraId="45AF43B6" w14:textId="77777777" w:rsidR="00813B77" w:rsidRPr="00931864" w:rsidRDefault="00813B77" w:rsidP="00813B7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Combination therapy, if any, no longer than three days (patients on general ward) </w:t>
      </w:r>
    </w:p>
    <w:p w14:paraId="6FC56FB0" w14:textId="77777777" w:rsidR="00813B77" w:rsidRPr="00931864" w:rsidRDefault="00813B77" w:rsidP="00813B7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Duration of therapy no longer than 7 days (patients on general ward) </w:t>
      </w:r>
    </w:p>
    <w:p w14:paraId="045AAA3A" w14:textId="7777777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Process indicators HAP</w:t>
      </w:r>
    </w:p>
    <w:p w14:paraId="25412D24" w14:textId="77777777" w:rsidR="00813B77" w:rsidRPr="00931864" w:rsidRDefault="00813B77" w:rsidP="00813B7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Initial therapy (drugs) according to local / national guideline </w:t>
      </w:r>
    </w:p>
    <w:p w14:paraId="506D8F26" w14:textId="77777777" w:rsidR="00813B77" w:rsidRPr="00931864" w:rsidRDefault="00813B77" w:rsidP="00813B7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lang w:eastAsia="en-GB"/>
        </w:rPr>
        <w:t xml:space="preserve">Obtain blood cultures (2 sets) on the day of start of therapy </w:t>
      </w:r>
    </w:p>
    <w:p w14:paraId="1619932D" w14:textId="77777777" w:rsidR="00813B77" w:rsidRPr="00931864" w:rsidRDefault="00813B77" w:rsidP="00813B7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lang w:eastAsia="en-GB"/>
        </w:rPr>
        <w:t xml:space="preserve">Duration of therapy no longer than 10 days </w:t>
      </w:r>
    </w:p>
    <w:p w14:paraId="6E2FEE2D" w14:textId="7777777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Process indicators BSI</w:t>
      </w:r>
    </w:p>
    <w:p w14:paraId="3FD12377" w14:textId="77777777" w:rsidR="00813B77" w:rsidRPr="00931864" w:rsidRDefault="00813B77" w:rsidP="00813B7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>Heart ultrasound (TEE) within 10 days of collection of first blood culture that became positive (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etiologies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 of 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bacteremia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/sepsis: </w:t>
      </w:r>
      <w:r w:rsidRPr="00931864">
        <w:rPr>
          <w:rFonts w:eastAsia="Times New Roman" w:cstheme="minorHAnsi"/>
          <w:i/>
          <w:iCs/>
          <w:color w:val="000000" w:themeColor="text1"/>
          <w:lang w:eastAsia="en-GB"/>
        </w:rPr>
        <w:t>Staphylococcus aureus</w:t>
      </w:r>
      <w:r w:rsidRPr="00931864">
        <w:rPr>
          <w:rFonts w:eastAsia="Times New Roman" w:cstheme="minorHAnsi"/>
          <w:color w:val="000000" w:themeColor="text1"/>
          <w:lang w:eastAsia="en-GB"/>
        </w:rPr>
        <w:t xml:space="preserve">, streptococci, enterococci (non-nosocomial), HACEK) </w:t>
      </w:r>
    </w:p>
    <w:p w14:paraId="554A7474" w14:textId="77777777" w:rsidR="00813B77" w:rsidRPr="00931864" w:rsidRDefault="00813B77" w:rsidP="00813B7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>Collection of follow-up blood cultures 4-7 days after collection of first blood culture that became positive (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etiology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 of 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bacteremia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/sepsis: </w:t>
      </w:r>
      <w:r w:rsidRPr="00931864">
        <w:rPr>
          <w:rFonts w:eastAsia="Times New Roman" w:cstheme="minorHAnsi"/>
          <w:i/>
          <w:iCs/>
          <w:color w:val="000000" w:themeColor="text1"/>
          <w:lang w:eastAsia="en-GB"/>
        </w:rPr>
        <w:t xml:space="preserve">Staphylococcus aureus </w:t>
      </w:r>
      <w:r w:rsidRPr="00931864">
        <w:rPr>
          <w:rFonts w:eastAsia="Times New Roman" w:cstheme="minorHAnsi"/>
          <w:color w:val="000000" w:themeColor="text1"/>
          <w:lang w:eastAsia="en-GB"/>
        </w:rPr>
        <w:t xml:space="preserve">or patients with fungemia) </w:t>
      </w:r>
    </w:p>
    <w:p w14:paraId="24627962" w14:textId="7777777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Process indicators UTI</w:t>
      </w:r>
    </w:p>
    <w:p w14:paraId="70D76603" w14:textId="77777777" w:rsidR="00813B77" w:rsidRPr="00931864" w:rsidRDefault="00813B77" w:rsidP="00813B7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Documented positive urine culture (significant bacteriuria, no mixed flora) </w:t>
      </w:r>
    </w:p>
    <w:p w14:paraId="127170E3" w14:textId="77777777" w:rsidR="00813B77" w:rsidRPr="00931864" w:rsidRDefault="00813B77" w:rsidP="00813B7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Initial therapy (drugs and dosing) according to local / national guideline </w:t>
      </w:r>
    </w:p>
    <w:p w14:paraId="2504683E" w14:textId="77777777" w:rsidR="00813B77" w:rsidRPr="00931864" w:rsidRDefault="00813B77" w:rsidP="00813B7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Duration of pyelonephritis therapy not longer than 10 days (patients on general ward) </w:t>
      </w:r>
    </w:p>
    <w:p w14:paraId="351FD9B5" w14:textId="77777777" w:rsidR="00813B77" w:rsidRPr="00931864" w:rsidRDefault="00813B77" w:rsidP="00813B7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Oral antimicrobial drugs initiated not later than day 5 (pyelonephritis, patients on normal wards only) </w:t>
      </w:r>
    </w:p>
    <w:p w14:paraId="21EFBDA9" w14:textId="77777777" w:rsidR="00813B77" w:rsidRPr="00931864" w:rsidRDefault="00813B77" w:rsidP="00813B7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No antimicrobials for asymptomatic, catheter- associated 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bacteruria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054BCC1F" w14:textId="7777777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Process indicators (Other empiric therapy, iv/po switching, renal adjustment)</w:t>
      </w:r>
    </w:p>
    <w:p w14:paraId="47E27EED" w14:textId="77777777" w:rsidR="00813B77" w:rsidRPr="00931864" w:rsidRDefault="00813B77" w:rsidP="00813B7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Initial empiric therapy (drugs, before/without knowledge of 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etiology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) according to local guideline </w:t>
      </w:r>
    </w:p>
    <w:p w14:paraId="572C36BE" w14:textId="77777777" w:rsidR="00813B77" w:rsidRPr="00931864" w:rsidRDefault="00813B77" w:rsidP="00813B7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lastRenderedPageBreak/>
        <w:t>Oral administration of drugs with high bioavailability (fluoroquinolones [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exept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 norfloxacin], clindamycin, doxycycline, linezolid, metronidazole, </w:t>
      </w:r>
      <w:proofErr w:type="spellStart"/>
      <w:r w:rsidRPr="00931864">
        <w:rPr>
          <w:rFonts w:eastAsia="Times New Roman" w:cstheme="minorHAnsi"/>
          <w:color w:val="000000" w:themeColor="text1"/>
          <w:lang w:eastAsia="en-GB"/>
        </w:rPr>
        <w:t>rifampin</w:t>
      </w:r>
      <w:proofErr w:type="spellEnd"/>
      <w:r w:rsidRPr="00931864">
        <w:rPr>
          <w:rFonts w:eastAsia="Times New Roman" w:cstheme="minorHAnsi"/>
          <w:color w:val="000000" w:themeColor="text1"/>
          <w:lang w:eastAsia="en-GB"/>
        </w:rPr>
        <w:t xml:space="preserve">, fluconazole, voriconazole) (not for patients with resorption disorders, short bowel syndrome, emesis, severe sepsis / septic shock) </w:t>
      </w:r>
    </w:p>
    <w:p w14:paraId="563CFF66" w14:textId="77777777" w:rsidR="00813B77" w:rsidRPr="00931864" w:rsidRDefault="00813B77" w:rsidP="00813B7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931864">
        <w:rPr>
          <w:rFonts w:eastAsia="Times New Roman" w:cstheme="minorHAnsi"/>
          <w:color w:val="000000" w:themeColor="text1"/>
          <w:lang w:eastAsia="en-GB"/>
        </w:rPr>
        <w:t xml:space="preserve">Dosing adjustments for patients with reduced renal function within 2 days </w:t>
      </w:r>
    </w:p>
    <w:p w14:paraId="7D1EC6DD" w14:textId="77777777" w:rsidR="00813B77" w:rsidRPr="00931864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31864">
        <w:rPr>
          <w:rFonts w:cstheme="minorHAnsi"/>
          <w:color w:val="2A2A2A"/>
          <w:shd w:val="clear" w:color="auto" w:fill="FFFFFF"/>
        </w:rPr>
        <w:t>Process indicators (Surgical antimicrobial prophylaxis)</w:t>
      </w:r>
    </w:p>
    <w:p w14:paraId="20C0122F" w14:textId="77777777" w:rsidR="00813B77" w:rsidRPr="00931864" w:rsidRDefault="00813B77" w:rsidP="00813B7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lang w:eastAsia="en-GB"/>
        </w:rPr>
        <w:t xml:space="preserve">Antibiotic prophylaxis (drugs, dosage) administered according to local guideline </w:t>
      </w:r>
    </w:p>
    <w:p w14:paraId="03865F55" w14:textId="77777777" w:rsidR="00813B77" w:rsidRPr="00931864" w:rsidRDefault="00813B77" w:rsidP="00813B7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lang w:eastAsia="en-GB"/>
        </w:rPr>
        <w:t xml:space="preserve">Antibiotic prophylaxis administered within 1h before incision </w:t>
      </w:r>
    </w:p>
    <w:p w14:paraId="5503F394" w14:textId="77777777" w:rsidR="00813B77" w:rsidRPr="00931864" w:rsidRDefault="00813B77" w:rsidP="00813B7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lang w:eastAsia="en-GB"/>
        </w:rPr>
        <w:t xml:space="preserve">Antibiotic prophylaxis stopped within 1 day (&lt;24 h) </w:t>
      </w:r>
    </w:p>
    <w:p w14:paraId="13A45B58" w14:textId="77777777" w:rsidR="00813B77" w:rsidRPr="00931864" w:rsidRDefault="00813B77" w:rsidP="00813B77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931864">
        <w:rPr>
          <w:rFonts w:cstheme="minorHAnsi"/>
        </w:rPr>
        <w:t>Process indicators (MDR management)</w:t>
      </w:r>
    </w:p>
    <w:p w14:paraId="23510BFF" w14:textId="77777777" w:rsidR="00813B77" w:rsidRPr="00F53871" w:rsidRDefault="00813B77" w:rsidP="00813B7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31864">
        <w:rPr>
          <w:rFonts w:eastAsia="Times New Roman" w:cstheme="minorHAnsi"/>
          <w:lang w:eastAsia="en-GB"/>
        </w:rPr>
        <w:t xml:space="preserve">Infection and/or colonization by multidrug- resistant (MDR) organisms explicitly listed in discharge summary </w:t>
      </w:r>
    </w:p>
    <w:p w14:paraId="774604FC" w14:textId="3A2642B2" w:rsidR="00813B77" w:rsidRPr="000D4FCC" w:rsidRDefault="00813B77" w:rsidP="00813B77">
      <w:pPr>
        <w:rPr>
          <w:rFonts w:cstheme="minorHAnsi"/>
          <w:b/>
          <w:color w:val="2A2A2A"/>
          <w:shd w:val="clear" w:color="auto" w:fill="FFFFFF"/>
        </w:rPr>
      </w:pPr>
      <w:proofErr w:type="spellStart"/>
      <w:r w:rsidRPr="000D4FCC">
        <w:rPr>
          <w:rFonts w:cstheme="minorHAnsi"/>
          <w:b/>
          <w:color w:val="2A2A2A"/>
          <w:shd w:val="clear" w:color="auto" w:fill="FFFFFF"/>
        </w:rPr>
        <w:t>Hermanides</w:t>
      </w:r>
      <w:proofErr w:type="spellEnd"/>
      <w:r w:rsidRPr="000D4FCC">
        <w:rPr>
          <w:rFonts w:cstheme="minorHAnsi"/>
          <w:b/>
          <w:color w:val="2A2A2A"/>
          <w:shd w:val="clear" w:color="auto" w:fill="FFFFFF"/>
        </w:rPr>
        <w:t xml:space="preserve"> 2008 </w:t>
      </w:r>
    </w:p>
    <w:p w14:paraId="543A1F19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 w:rsidRPr="00E940C2">
        <w:rPr>
          <w:rFonts w:cstheme="minorHAnsi"/>
          <w:color w:val="333333"/>
          <w:shd w:val="clear" w:color="auto" w:fill="FFFFFF"/>
        </w:rPr>
        <w:t>Performance of urine culture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54C7DD1E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</w:t>
      </w:r>
      <w:r w:rsidRPr="00E940C2">
        <w:rPr>
          <w:rFonts w:cstheme="minorHAnsi"/>
          <w:color w:val="333333"/>
          <w:shd w:val="clear" w:color="auto" w:fill="FFFFFF"/>
        </w:rPr>
        <w:t>rescription of treatment in accordance with empiric guidelines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127ABC57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</w:t>
      </w:r>
      <w:r w:rsidRPr="00E940C2">
        <w:rPr>
          <w:rFonts w:cstheme="minorHAnsi"/>
          <w:color w:val="333333"/>
          <w:shd w:val="clear" w:color="auto" w:fill="FFFFFF"/>
        </w:rPr>
        <w:t>ailoring of treatment on the basis of culture results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0998136D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</w:t>
      </w:r>
      <w:r w:rsidRPr="00E940C2">
        <w:rPr>
          <w:rFonts w:cstheme="minorHAnsi"/>
          <w:color w:val="333333"/>
          <w:shd w:val="clear" w:color="auto" w:fill="FFFFFF"/>
        </w:rPr>
        <w:t>witch to oral treatment when possible (after 48-72 hours based on clinical condition)</w:t>
      </w:r>
    </w:p>
    <w:p w14:paraId="2A2DEA75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</w:t>
      </w:r>
      <w:r w:rsidRPr="00E940C2">
        <w:rPr>
          <w:rFonts w:cstheme="minorHAnsi"/>
          <w:color w:val="333333"/>
          <w:shd w:val="clear" w:color="auto" w:fill="FFFFFF"/>
        </w:rPr>
        <w:t xml:space="preserve">elective use of fluoroquinolones (only as oral or in beta-lactam allergy/anaphylaxis) </w:t>
      </w:r>
    </w:p>
    <w:p w14:paraId="3E884446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D</w:t>
      </w:r>
      <w:r w:rsidRPr="00E940C2">
        <w:rPr>
          <w:rFonts w:cstheme="minorHAnsi"/>
          <w:color w:val="333333"/>
          <w:shd w:val="clear" w:color="auto" w:fill="FFFFFF"/>
        </w:rPr>
        <w:t>uration of treatment for at least 10 days (in accordance with national guideline)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0CB00CFF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</w:t>
      </w:r>
      <w:r w:rsidRPr="00E940C2">
        <w:rPr>
          <w:rFonts w:cstheme="minorHAnsi"/>
          <w:color w:val="333333"/>
          <w:shd w:val="clear" w:color="auto" w:fill="FFFFFF"/>
        </w:rPr>
        <w:t>nitiation of treatment within 4 hours after clinical presentation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58EF44C3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</w:t>
      </w:r>
      <w:r w:rsidRPr="00E940C2">
        <w:rPr>
          <w:rFonts w:cstheme="minorHAnsi"/>
          <w:color w:val="333333"/>
          <w:shd w:val="clear" w:color="auto" w:fill="FFFFFF"/>
        </w:rPr>
        <w:t>rescription of treatment for men in accordance with national guidelines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6E2DDA88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 w:rsidRPr="00E940C2">
        <w:rPr>
          <w:rFonts w:cstheme="minorHAnsi"/>
          <w:color w:val="333333"/>
          <w:shd w:val="clear" w:color="auto" w:fill="FFFFFF"/>
        </w:rPr>
        <w:t>Start iv antibiotics in pregnant women with pyelonephritis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7025909C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 w:rsidRPr="00E940C2">
        <w:rPr>
          <w:rFonts w:cstheme="minorHAnsi"/>
          <w:color w:val="333333"/>
          <w:shd w:val="clear" w:color="auto" w:fill="FFFFFF"/>
        </w:rPr>
        <w:t xml:space="preserve">Do not prescribe antibiotic prophylaxis to patients with a urinary catheter </w:t>
      </w:r>
      <w:r>
        <w:rPr>
          <w:rFonts w:cstheme="minorHAnsi"/>
          <w:color w:val="333333"/>
          <w:shd w:val="clear" w:color="auto" w:fill="FFFFFF"/>
        </w:rPr>
        <w:t>in place</w:t>
      </w:r>
    </w:p>
    <w:p w14:paraId="6C299E97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Change urinary</w:t>
      </w:r>
      <w:r w:rsidRPr="00E940C2">
        <w:rPr>
          <w:rFonts w:cstheme="minorHAnsi"/>
          <w:color w:val="333333"/>
          <w:shd w:val="clear" w:color="auto" w:fill="FFFFFF"/>
        </w:rPr>
        <w:t xml:space="preserve"> catheter within 24 hours of initiation of antibiotic treatment</w:t>
      </w:r>
    </w:p>
    <w:p w14:paraId="13B5F2AE" w14:textId="77777777" w:rsidR="00813B77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 w:rsidRPr="00E940C2">
        <w:rPr>
          <w:rFonts w:cstheme="minorHAnsi"/>
          <w:color w:val="333333"/>
          <w:shd w:val="clear" w:color="auto" w:fill="FFFFFF"/>
        </w:rPr>
        <w:t>Consider all diabetic patients with cystitis as having a complicated UTI and treat with empiric treatment according to</w:t>
      </w:r>
      <w:r>
        <w:rPr>
          <w:rFonts w:cstheme="minorHAnsi"/>
          <w:color w:val="333333"/>
          <w:shd w:val="clear" w:color="auto" w:fill="FFFFFF"/>
        </w:rPr>
        <w:t xml:space="preserve"> national</w:t>
      </w:r>
      <w:r w:rsidRPr="00E940C2">
        <w:rPr>
          <w:rFonts w:cstheme="minorHAnsi"/>
          <w:color w:val="333333"/>
          <w:shd w:val="clear" w:color="auto" w:fill="FFFFFF"/>
        </w:rPr>
        <w:t xml:space="preserve"> guidelines</w:t>
      </w:r>
    </w:p>
    <w:p w14:paraId="462BBF5F" w14:textId="77777777" w:rsidR="00813B77" w:rsidRPr="00B6188B" w:rsidRDefault="00813B77" w:rsidP="00813B77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</w:t>
      </w:r>
      <w:r w:rsidRPr="00E940C2">
        <w:rPr>
          <w:rFonts w:cstheme="minorHAnsi"/>
          <w:color w:val="333333"/>
          <w:shd w:val="clear" w:color="auto" w:fill="FFFFFF"/>
        </w:rPr>
        <w:t>daptation of the dosage on the basis of renal function</w:t>
      </w:r>
    </w:p>
    <w:p w14:paraId="17598844" w14:textId="77777777" w:rsidR="00813B77" w:rsidRDefault="00813B77" w:rsidP="00B542C4">
      <w:pPr>
        <w:spacing w:line="240" w:lineRule="auto"/>
        <w:rPr>
          <w:rFonts w:cstheme="minorHAnsi"/>
          <w:b/>
          <w:color w:val="2A2A2A"/>
          <w:shd w:val="clear" w:color="auto" w:fill="FFFFFF"/>
        </w:rPr>
      </w:pPr>
    </w:p>
    <w:p w14:paraId="60CD49A1" w14:textId="6A2575D4" w:rsidR="00813B77" w:rsidRDefault="00813B77" w:rsidP="00B542C4">
      <w:pPr>
        <w:spacing w:line="240" w:lineRule="auto"/>
        <w:contextualSpacing/>
        <w:rPr>
          <w:rFonts w:cstheme="minorHAnsi"/>
          <w:color w:val="2A2A2A"/>
          <w:shd w:val="clear" w:color="auto" w:fill="FFFFFF"/>
        </w:rPr>
      </w:pPr>
      <w:proofErr w:type="spellStart"/>
      <w:r w:rsidRPr="003F6CE4">
        <w:rPr>
          <w:rFonts w:cstheme="minorHAnsi"/>
          <w:b/>
          <w:color w:val="2A2A2A"/>
          <w:shd w:val="clear" w:color="auto" w:fill="FFFFFF"/>
        </w:rPr>
        <w:t>Kallen</w:t>
      </w:r>
      <w:proofErr w:type="spellEnd"/>
      <w:r w:rsidRPr="003F6CE4">
        <w:rPr>
          <w:rFonts w:cstheme="minorHAnsi"/>
          <w:b/>
          <w:color w:val="2A2A2A"/>
          <w:shd w:val="clear" w:color="auto" w:fill="FFFFFF"/>
        </w:rPr>
        <w:t xml:space="preserve"> 2018</w:t>
      </w:r>
      <w:r>
        <w:rPr>
          <w:rFonts w:cstheme="minorHAnsi"/>
          <w:color w:val="2A2A2A"/>
          <w:shd w:val="clear" w:color="auto" w:fill="FFFFFF"/>
        </w:rPr>
        <w:t xml:space="preserve"> </w:t>
      </w:r>
    </w:p>
    <w:p w14:paraId="3E8E96C8" w14:textId="77777777" w:rsidR="00813B77" w:rsidRDefault="00813B77" w:rsidP="00B542C4">
      <w:pPr>
        <w:spacing w:line="240" w:lineRule="auto"/>
        <w:contextualSpacing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1. P</w:t>
      </w:r>
      <w:r w:rsidRPr="009E2D2A">
        <w:rPr>
          <w:rFonts w:cstheme="minorHAnsi"/>
          <w:color w:val="202020"/>
          <w:shd w:val="clear" w:color="auto" w:fill="FFFFFF"/>
        </w:rPr>
        <w:t xml:space="preserve">erform at least two sets of blood cultures before start of empirical systemic therapy </w:t>
      </w:r>
    </w:p>
    <w:p w14:paraId="7F3B42B4" w14:textId="77777777" w:rsidR="00813B77" w:rsidRDefault="00813B77" w:rsidP="00B542C4">
      <w:pPr>
        <w:spacing w:line="240" w:lineRule="auto"/>
        <w:contextualSpacing/>
        <w:rPr>
          <w:rFonts w:cstheme="minorHAnsi"/>
          <w:color w:val="202020"/>
          <w:shd w:val="clear" w:color="auto" w:fill="FFFFFF"/>
        </w:rPr>
      </w:pPr>
      <w:r w:rsidRPr="009E2D2A">
        <w:rPr>
          <w:rFonts w:cstheme="minorHAnsi"/>
          <w:color w:val="202020"/>
          <w:shd w:val="clear" w:color="auto" w:fill="FFFFFF"/>
        </w:rPr>
        <w:t>2</w:t>
      </w:r>
      <w:r>
        <w:rPr>
          <w:rFonts w:cstheme="minorHAnsi"/>
          <w:color w:val="202020"/>
          <w:shd w:val="clear" w:color="auto" w:fill="FFFFFF"/>
        </w:rPr>
        <w:t>. P</w:t>
      </w:r>
      <w:r w:rsidRPr="009E2D2A">
        <w:rPr>
          <w:rFonts w:cstheme="minorHAnsi"/>
          <w:color w:val="202020"/>
          <w:shd w:val="clear" w:color="auto" w:fill="FFFFFF"/>
        </w:rPr>
        <w:t xml:space="preserve">erform therapeutic drug monitoring in patients treated with vancomycin or aminoglycosides </w:t>
      </w:r>
    </w:p>
    <w:p w14:paraId="1F7B019B" w14:textId="77777777" w:rsidR="00813B77" w:rsidRDefault="00813B77" w:rsidP="00B542C4">
      <w:pPr>
        <w:spacing w:line="240" w:lineRule="auto"/>
        <w:contextualSpacing/>
        <w:rPr>
          <w:rFonts w:cstheme="minorHAnsi"/>
          <w:color w:val="202020"/>
          <w:shd w:val="clear" w:color="auto" w:fill="FFFFFF"/>
        </w:rPr>
      </w:pPr>
      <w:r w:rsidRPr="009E2D2A">
        <w:rPr>
          <w:rFonts w:cstheme="minorHAnsi"/>
          <w:color w:val="202020"/>
          <w:shd w:val="clear" w:color="auto" w:fill="FFFFFF"/>
        </w:rPr>
        <w:t>3</w:t>
      </w:r>
      <w:r>
        <w:rPr>
          <w:rFonts w:cstheme="minorHAnsi"/>
          <w:color w:val="202020"/>
          <w:shd w:val="clear" w:color="auto" w:fill="FFFFFF"/>
        </w:rPr>
        <w:t>. P</w:t>
      </w:r>
      <w:r w:rsidRPr="009E2D2A">
        <w:rPr>
          <w:rFonts w:cstheme="minorHAnsi"/>
          <w:color w:val="202020"/>
          <w:shd w:val="clear" w:color="auto" w:fill="FFFFFF"/>
        </w:rPr>
        <w:t xml:space="preserve">erform surveillance cultures if selective digestive or oropharyngeal decontamination is applied at the ICU </w:t>
      </w:r>
    </w:p>
    <w:p w14:paraId="4CF967DB" w14:textId="77777777" w:rsidR="00813B77" w:rsidRDefault="00813B77" w:rsidP="00B542C4">
      <w:pPr>
        <w:spacing w:line="240" w:lineRule="auto"/>
        <w:contextualSpacing/>
        <w:rPr>
          <w:rFonts w:cstheme="minorHAnsi"/>
          <w:color w:val="202020"/>
          <w:shd w:val="clear" w:color="auto" w:fill="FFFFFF"/>
        </w:rPr>
      </w:pPr>
      <w:r w:rsidRPr="009E2D2A">
        <w:rPr>
          <w:rFonts w:cstheme="minorHAnsi"/>
          <w:color w:val="202020"/>
          <w:shd w:val="clear" w:color="auto" w:fill="FFFFFF"/>
        </w:rPr>
        <w:t>4</w:t>
      </w:r>
      <w:r>
        <w:rPr>
          <w:rFonts w:cstheme="minorHAnsi"/>
          <w:color w:val="202020"/>
          <w:shd w:val="clear" w:color="auto" w:fill="FFFFFF"/>
        </w:rPr>
        <w:t>. B</w:t>
      </w:r>
      <w:r w:rsidRPr="009E2D2A">
        <w:rPr>
          <w:rFonts w:cstheme="minorHAnsi"/>
          <w:color w:val="202020"/>
          <w:shd w:val="clear" w:color="auto" w:fill="FFFFFF"/>
        </w:rPr>
        <w:t>iannual face-to-face meetings between ICU and microbiology staff in which local resistance rates are discussed</w:t>
      </w:r>
    </w:p>
    <w:p w14:paraId="17122084" w14:textId="77777777" w:rsidR="00813B77" w:rsidRDefault="00813B77" w:rsidP="00B542C4">
      <w:pPr>
        <w:spacing w:line="240" w:lineRule="auto"/>
        <w:contextualSpacing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Quantity metric</w:t>
      </w:r>
    </w:p>
    <w:p w14:paraId="2D762745" w14:textId="77777777" w:rsidR="00813B77" w:rsidRPr="00824A48" w:rsidRDefault="00813B77" w:rsidP="00B542C4">
      <w:pPr>
        <w:spacing w:line="240" w:lineRule="auto"/>
        <w:contextualSpacing/>
        <w:rPr>
          <w:rFonts w:cstheme="minorHAnsi"/>
        </w:rPr>
      </w:pPr>
      <w:r w:rsidRPr="009E2D2A">
        <w:rPr>
          <w:rFonts w:cstheme="minorHAnsi"/>
          <w:color w:val="202020"/>
          <w:shd w:val="clear" w:color="auto" w:fill="FFFFFF"/>
        </w:rPr>
        <w:t>5</w:t>
      </w:r>
      <w:r>
        <w:rPr>
          <w:rFonts w:cstheme="minorHAnsi"/>
          <w:color w:val="202020"/>
          <w:shd w:val="clear" w:color="auto" w:fill="FFFFFF"/>
        </w:rPr>
        <w:t>. Q</w:t>
      </w:r>
      <w:r w:rsidRPr="009E2D2A">
        <w:rPr>
          <w:rFonts w:cstheme="minorHAnsi"/>
          <w:color w:val="202020"/>
          <w:shd w:val="clear" w:color="auto" w:fill="FFFFFF"/>
        </w:rPr>
        <w:t>uantitative antibiotic use at the ICU expressed in days of therapy (DOT). </w:t>
      </w:r>
      <w:r>
        <w:rPr>
          <w:rFonts w:cstheme="minorHAnsi"/>
        </w:rPr>
        <w:t xml:space="preserve">  </w:t>
      </w:r>
    </w:p>
    <w:p w14:paraId="42F06637" w14:textId="77777777" w:rsidR="004A4863" w:rsidRDefault="004A4863" w:rsidP="00813B77">
      <w:pPr>
        <w:contextualSpacing/>
        <w:rPr>
          <w:rFonts w:ascii="Calibri" w:eastAsia="Calibri" w:hAnsi="Calibri" w:cs="Calibri"/>
          <w:b/>
        </w:rPr>
      </w:pPr>
    </w:p>
    <w:p w14:paraId="6657A6F7" w14:textId="120773C1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  <w:b/>
        </w:rPr>
        <w:t>Monnier 2018</w:t>
      </w:r>
      <w:r w:rsidRPr="00FE3C4F">
        <w:rPr>
          <w:rFonts w:ascii="Calibri" w:eastAsia="Calibri" w:hAnsi="Calibri" w:cs="Calibri"/>
        </w:rPr>
        <w:t xml:space="preserve"> </w:t>
      </w:r>
    </w:p>
    <w:p w14:paraId="4BAD34C9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 Prescribing </w:t>
      </w:r>
    </w:p>
    <w:p w14:paraId="4ECEE1CE" w14:textId="77777777" w:rsidR="00813B77" w:rsidRPr="00FE3C4F" w:rsidRDefault="00813B77" w:rsidP="00813B77">
      <w:pPr>
        <w:numPr>
          <w:ilvl w:val="0"/>
          <w:numId w:val="15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Antibiotics should be prescribed according to local practice guidelines. </w:t>
      </w:r>
    </w:p>
    <w:p w14:paraId="71B96D0E" w14:textId="77777777" w:rsidR="00813B77" w:rsidRPr="00FE3C4F" w:rsidRDefault="00813B77" w:rsidP="00813B77">
      <w:pPr>
        <w:numPr>
          <w:ilvl w:val="0"/>
          <w:numId w:val="15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Antibiotics should be prescribed according to national guidelines when no local guidelines are available. </w:t>
      </w:r>
    </w:p>
    <w:p w14:paraId="7199AE64" w14:textId="77777777" w:rsidR="00813B77" w:rsidRPr="00FE3C4F" w:rsidRDefault="00813B77" w:rsidP="00813B77">
      <w:pPr>
        <w:numPr>
          <w:ilvl w:val="0"/>
          <w:numId w:val="15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 prescriptions that deviate from guidelines should be justified. </w:t>
      </w:r>
    </w:p>
    <w:p w14:paraId="2FC4195B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lastRenderedPageBreak/>
        <w:t xml:space="preserve">Antibiotic Stewardship </w:t>
      </w:r>
    </w:p>
    <w:p w14:paraId="110D889C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Surveillance of antibiotic use and resistance should be performed at least once per year at the health care facility. </w:t>
      </w:r>
    </w:p>
    <w:p w14:paraId="4F3E8643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 antibiotic formulary should be available and updated continuously at the health care facility. </w:t>
      </w:r>
    </w:p>
    <w:p w14:paraId="2CB19E05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 approval system should be in place for prescriptions of restricted antibiotics at the health care facility. </w:t>
      </w:r>
    </w:p>
    <w:p w14:paraId="3507EBF3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 antibiotic stewardship programme (antibiotic prescribing control programme and/or antibiotic prescribing policy) should be in place at the health care facility. </w:t>
      </w:r>
    </w:p>
    <w:p w14:paraId="0BF3A3B8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 prescribing should be compliant with recommendations from infectious disease and/or microbiology specialist(s). </w:t>
      </w:r>
    </w:p>
    <w:p w14:paraId="1CDC868A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Audits of antibiotic use by the antibiotic stewardship team should be performed regularly at the health care facility. </w:t>
      </w:r>
    </w:p>
    <w:p w14:paraId="5322148E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 multidisciplinary antibiotic stewardship team appointed by the health care facility management should have meetings at least twice a year and make a report with objectives and selected performance indicators. </w:t>
      </w:r>
    </w:p>
    <w:p w14:paraId="5D7B5CCF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Availability </w:t>
      </w:r>
    </w:p>
    <w:p w14:paraId="60A44724" w14:textId="77777777" w:rsidR="00813B77" w:rsidRPr="00FE3C4F" w:rsidRDefault="00813B77" w:rsidP="00813B77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Antibiotics from the antibiotic formulary should not be out of stock at the health care facility. </w:t>
      </w:r>
    </w:p>
    <w:p w14:paraId="194A1708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Diagnostics </w:t>
      </w:r>
    </w:p>
    <w:p w14:paraId="4A625769" w14:textId="77777777" w:rsidR="00813B77" w:rsidRPr="00FE3C4F" w:rsidRDefault="00813B77" w:rsidP="00813B77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Two sets of blood culture should be taken before antibiotic administration when bacteraemia is suspected. </w:t>
      </w:r>
    </w:p>
    <w:p w14:paraId="39C03841" w14:textId="77777777" w:rsidR="00813B77" w:rsidRPr="00FE3C4F" w:rsidRDefault="00813B77" w:rsidP="00813B77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Specimens for culture from suspected sites of infection should be collected before antibiotic administration. </w:t>
      </w:r>
    </w:p>
    <w:p w14:paraId="1E3AD8AD" w14:textId="77777777" w:rsidR="00813B77" w:rsidRPr="00FE3C4F" w:rsidRDefault="00813B77" w:rsidP="00813B77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Microbiological investigations should be performed according to guidelines. </w:t>
      </w:r>
    </w:p>
    <w:p w14:paraId="52972E20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Documentation </w:t>
      </w:r>
    </w:p>
    <w:p w14:paraId="0CD17432" w14:textId="77777777" w:rsidR="00813B77" w:rsidRPr="00FE3C4F" w:rsidRDefault="00813B77" w:rsidP="00813B77">
      <w:pPr>
        <w:numPr>
          <w:ilvl w:val="0"/>
          <w:numId w:val="18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 antibiotic plan should be documented in the medical record at the start of the antibiotic treatment. Antibiotic plan </w:t>
      </w:r>
      <w:proofErr w:type="gramStart"/>
      <w:r w:rsidRPr="00FE3C4F">
        <w:rPr>
          <w:rFonts w:ascii="Calibri" w:eastAsia="Calibri" w:hAnsi="Calibri" w:cs="Calibri"/>
        </w:rPr>
        <w:t>includes:</w:t>
      </w:r>
      <w:proofErr w:type="gramEnd"/>
      <w:r w:rsidRPr="00FE3C4F">
        <w:rPr>
          <w:rFonts w:ascii="Calibri" w:eastAsia="Calibri" w:hAnsi="Calibri" w:cs="Calibri"/>
        </w:rPr>
        <w:t xml:space="preserve"> indication, name, doses, duration, route, and interval of administration. </w:t>
      </w:r>
    </w:p>
    <w:p w14:paraId="5A634B39" w14:textId="77777777" w:rsidR="00813B77" w:rsidRPr="00FE3C4F" w:rsidRDefault="00813B77" w:rsidP="00813B77">
      <w:pPr>
        <w:numPr>
          <w:ilvl w:val="0"/>
          <w:numId w:val="18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Clinical and laboratory sepsis parameters should be documented in the medical records when prescribing antibiotics. </w:t>
      </w:r>
    </w:p>
    <w:p w14:paraId="2E49B83A" w14:textId="77777777" w:rsidR="00813B77" w:rsidRPr="00FE3C4F" w:rsidRDefault="00813B77" w:rsidP="00813B77">
      <w:pPr>
        <w:numPr>
          <w:ilvl w:val="0"/>
          <w:numId w:val="18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 results of bacteriological sensitivities should be documented in the medical records. </w:t>
      </w:r>
    </w:p>
    <w:p w14:paraId="5D2D5FD6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Dosing </w:t>
      </w:r>
    </w:p>
    <w:p w14:paraId="30C27B9F" w14:textId="77777777" w:rsidR="00813B77" w:rsidRPr="00FE3C4F" w:rsidRDefault="00813B77" w:rsidP="00813B77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Dosing and dosing interval of antibiotics should be prescribed according to guidelines. </w:t>
      </w:r>
    </w:p>
    <w:p w14:paraId="300D454D" w14:textId="77777777" w:rsidR="00813B77" w:rsidRPr="00FE3C4F" w:rsidRDefault="00813B77" w:rsidP="00813B77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Dosing and dosing interval of renally eliminated antibiotics should be adapted to the patient’s renal function. </w:t>
      </w:r>
    </w:p>
    <w:p w14:paraId="082859D7" w14:textId="77777777" w:rsidR="00813B77" w:rsidRPr="00FE3C4F" w:rsidRDefault="00813B77" w:rsidP="00813B77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 dosage regimen of antibiotics with an increased risk of toxicity (such as vancomycin or gentamicin) should be managed according to guidelines. </w:t>
      </w:r>
    </w:p>
    <w:p w14:paraId="0F0B4FCC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Duration-Discontinuation </w:t>
      </w:r>
    </w:p>
    <w:p w14:paraId="4000EB8C" w14:textId="77777777" w:rsidR="00813B77" w:rsidRPr="00FE3C4F" w:rsidRDefault="00813B77" w:rsidP="00813B77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Duration of antibiotic therapy should be compliant with guidelines. </w:t>
      </w:r>
    </w:p>
    <w:p w14:paraId="7E593AAA" w14:textId="77777777" w:rsidR="00813B77" w:rsidRPr="00FE3C4F" w:rsidRDefault="00813B77" w:rsidP="00813B77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 therapy should be discontinued based on the lack of clinical evidence of infection. </w:t>
      </w:r>
    </w:p>
    <w:p w14:paraId="402C7FAC" w14:textId="77777777" w:rsidR="00813B77" w:rsidRPr="00FE3C4F" w:rsidRDefault="00813B77" w:rsidP="00813B77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 therapy should be discontinued on completion of the documented antibiotic course. </w:t>
      </w:r>
    </w:p>
    <w:p w14:paraId="062AC354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Education </w:t>
      </w:r>
    </w:p>
    <w:p w14:paraId="319418D3" w14:textId="77777777" w:rsidR="00813B77" w:rsidRPr="00FE3C4F" w:rsidRDefault="00813B77" w:rsidP="00813B77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Educational sessions about practical guidelines should be organized for medical staff and should have a predetermined attendance target. </w:t>
      </w:r>
    </w:p>
    <w:p w14:paraId="1989300B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Guidelines </w:t>
      </w:r>
    </w:p>
    <w:p w14:paraId="3F04E439" w14:textId="77777777" w:rsidR="00813B77" w:rsidRPr="00FE3C4F" w:rsidRDefault="00813B77" w:rsidP="00813B77">
      <w:pPr>
        <w:numPr>
          <w:ilvl w:val="0"/>
          <w:numId w:val="21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 local antibiotic guideline should be present at the health care facility. </w:t>
      </w:r>
    </w:p>
    <w:p w14:paraId="39B42A76" w14:textId="77777777" w:rsidR="00813B77" w:rsidRPr="00FE3C4F" w:rsidRDefault="00813B77" w:rsidP="00813B77">
      <w:pPr>
        <w:numPr>
          <w:ilvl w:val="0"/>
          <w:numId w:val="21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 evaluation whether an update should be considered for the local antibiotic guideline should be done once a year. </w:t>
      </w:r>
    </w:p>
    <w:p w14:paraId="4FCDBCD8" w14:textId="77777777" w:rsidR="00813B77" w:rsidRPr="00FE3C4F" w:rsidRDefault="00813B77" w:rsidP="00813B77">
      <w:pPr>
        <w:numPr>
          <w:ilvl w:val="0"/>
          <w:numId w:val="21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lastRenderedPageBreak/>
        <w:t xml:space="preserve">The local guidelines should correspond to the national guideline but should be adapted based on local resistance patterns. </w:t>
      </w:r>
    </w:p>
    <w:p w14:paraId="22D28B5A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Outcome </w:t>
      </w:r>
    </w:p>
    <w:p w14:paraId="0238D038" w14:textId="77777777" w:rsidR="00813B77" w:rsidRPr="00FE3C4F" w:rsidRDefault="00813B77" w:rsidP="00813B77">
      <w:pPr>
        <w:numPr>
          <w:ilvl w:val="0"/>
          <w:numId w:val="22"/>
        </w:numPr>
        <w:spacing w:line="240" w:lineRule="auto"/>
        <w:contextualSpacing/>
        <w:rPr>
          <w:rFonts w:ascii="Calibri" w:eastAsia="Calibri" w:hAnsi="Calibri" w:cs="Calibri"/>
        </w:rPr>
      </w:pPr>
      <w:bookmarkStart w:id="2" w:name="_Hlk44075337"/>
      <w:r w:rsidRPr="00FE3C4F">
        <w:rPr>
          <w:rFonts w:ascii="Calibri" w:eastAsia="Calibri" w:hAnsi="Calibri" w:cs="Calibri"/>
        </w:rPr>
        <w:t xml:space="preserve">Clinical outcomes of patients receiving antibiotics should be monitored at the health care facility. </w:t>
      </w:r>
    </w:p>
    <w:p w14:paraId="5898A39F" w14:textId="77777777" w:rsidR="00813B77" w:rsidRPr="00FE3C4F" w:rsidRDefault="00813B77" w:rsidP="00813B77">
      <w:pPr>
        <w:numPr>
          <w:ilvl w:val="0"/>
          <w:numId w:val="22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>Rates of nosocomial Clostridium difficile should be monitored at the health care facility</w:t>
      </w:r>
      <w:bookmarkEnd w:id="2"/>
      <w:r w:rsidRPr="00FE3C4F">
        <w:rPr>
          <w:rFonts w:ascii="Calibri" w:eastAsia="Calibri" w:hAnsi="Calibri" w:cs="Calibri"/>
        </w:rPr>
        <w:t xml:space="preserve">. </w:t>
      </w:r>
    </w:p>
    <w:p w14:paraId="72C9FC34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Prescribing-Administration </w:t>
      </w:r>
    </w:p>
    <w:p w14:paraId="49DD47E2" w14:textId="77777777" w:rsidR="00813B77" w:rsidRPr="00FE3C4F" w:rsidRDefault="00813B77" w:rsidP="00813B77">
      <w:pPr>
        <w:numPr>
          <w:ilvl w:val="0"/>
          <w:numId w:val="22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Prescribed antibiotics should actually be administered to the patients. </w:t>
      </w:r>
    </w:p>
    <w:p w14:paraId="491B7FA5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Route </w:t>
      </w:r>
    </w:p>
    <w:p w14:paraId="3EFCAEEA" w14:textId="77777777" w:rsidR="00813B77" w:rsidRPr="00FE3C4F" w:rsidRDefault="00813B77" w:rsidP="00813B77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 route of administration of antibiotics should be compliant with guidelines. </w:t>
      </w:r>
    </w:p>
    <w:p w14:paraId="7ECF15E7" w14:textId="77777777" w:rsidR="00813B77" w:rsidRPr="00FE3C4F" w:rsidRDefault="00813B77" w:rsidP="00813B77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 therapy in adult patients with sepsis should be started intravenously. </w:t>
      </w:r>
    </w:p>
    <w:p w14:paraId="69884962" w14:textId="77777777" w:rsidR="00813B77" w:rsidRPr="00FE3C4F" w:rsidRDefault="00813B77" w:rsidP="00813B77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Switching from intravenous to oral antibiotic(s) should be performed according to guidelines. </w:t>
      </w:r>
    </w:p>
    <w:p w14:paraId="2C742838" w14:textId="77777777" w:rsidR="00813B77" w:rsidRPr="00FE3C4F" w:rsidRDefault="00813B77" w:rsidP="00813B77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Switching from intravenous to oral antibiotic(s) should be done within 48–72 hours based on the clinical condition and when oral treatment is adequate. </w:t>
      </w:r>
    </w:p>
    <w:p w14:paraId="7F37AA3B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Safety/General </w:t>
      </w:r>
    </w:p>
    <w:p w14:paraId="158A9AFD" w14:textId="77777777" w:rsidR="00813B77" w:rsidRPr="00FE3C4F" w:rsidRDefault="00813B77" w:rsidP="00813B77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Contraindications should be taken into account when prescribing antibiotics. </w:t>
      </w:r>
    </w:p>
    <w:p w14:paraId="016891A3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Safety/Allergy </w:t>
      </w:r>
    </w:p>
    <w:p w14:paraId="23A7D6C2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Allergy status should be taken into account when antibiotics are prescribed. </w:t>
      </w:r>
    </w:p>
    <w:p w14:paraId="78E6A152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Allergy status (including nature and severity) of the patient should be documented in the medical records when antibiotics are prescribed. </w:t>
      </w:r>
    </w:p>
    <w:p w14:paraId="42C7D21E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>Patients with a history of anaphylaxis after penicillin therapy should be prescribed an alternative drug class</w:t>
      </w:r>
    </w:p>
    <w:p w14:paraId="06D4ACC8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Medical staff should be educated regarding cross-allergy with cephalosporins in patients with penicillin allergy. </w:t>
      </w:r>
    </w:p>
    <w:p w14:paraId="27F52D01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Safety/Interaction </w:t>
      </w:r>
    </w:p>
    <w:p w14:paraId="03CC499F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Identified interactions between antibiotic regimen and concurrent medications should be documented in the medical record with a recommended management plan to deal with the interaction. </w:t>
      </w:r>
    </w:p>
    <w:p w14:paraId="4F310C76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Safety/Toxicity </w:t>
      </w:r>
    </w:p>
    <w:p w14:paraId="27B7F172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Duration of administration of intravenous antibiotics should be compliant with guidelines. </w:t>
      </w:r>
    </w:p>
    <w:p w14:paraId="56B66F70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Selective Reporting </w:t>
      </w:r>
    </w:p>
    <w:p w14:paraId="2FDE1167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>The microbiological laboratory should report individual selective susceptibly reports* (or antibiograms) adapted to local guidelines.</w:t>
      </w:r>
      <w:r w:rsidRPr="00FE3C4F">
        <w:rPr>
          <w:rFonts w:ascii="Calibri" w:eastAsia="Calibri" w:hAnsi="Calibri" w:cs="Calibri"/>
        </w:rPr>
        <w:br/>
        <w:t xml:space="preserve">A selective susceptibly report (or antibiogram) is a report of a selection of antibiotic sensitivities, based on bacteriological activity, broadness of spectrum or toxicity. </w:t>
      </w:r>
    </w:p>
    <w:p w14:paraId="754E5D9A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Spectrum </w:t>
      </w:r>
    </w:p>
    <w:p w14:paraId="5A69DE32" w14:textId="77777777" w:rsidR="00813B77" w:rsidRPr="00FE3C4F" w:rsidRDefault="00813B77" w:rsidP="00813B7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 prescribed antibiotic should be active against all the likely causative pathogens. </w:t>
      </w:r>
    </w:p>
    <w:p w14:paraId="2A7E0ABE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Streamlining/De-escalation </w:t>
      </w:r>
    </w:p>
    <w:p w14:paraId="406EE80D" w14:textId="77777777" w:rsidR="00813B77" w:rsidRPr="00FE3C4F" w:rsidRDefault="00813B77" w:rsidP="00813B77">
      <w:pPr>
        <w:numPr>
          <w:ilvl w:val="0"/>
          <w:numId w:val="25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Broad-spectrum empirical antibiotic therapy should be changed to pathogen-directed therapy as soon as culture results become available. </w:t>
      </w:r>
    </w:p>
    <w:p w14:paraId="79C90A12" w14:textId="77777777" w:rsidR="00813B77" w:rsidRPr="00FE3C4F" w:rsidRDefault="00813B77" w:rsidP="00813B77">
      <w:pPr>
        <w:numPr>
          <w:ilvl w:val="0"/>
          <w:numId w:val="25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 choice of antibiotic treatment should be reviewed and modified based on clinical response. </w:t>
      </w:r>
    </w:p>
    <w:p w14:paraId="30943C17" w14:textId="77777777" w:rsidR="00813B77" w:rsidRPr="00FE3C4F" w:rsidRDefault="00813B77" w:rsidP="00813B77">
      <w:pPr>
        <w:numPr>
          <w:ilvl w:val="0"/>
          <w:numId w:val="25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Antibiotics for empirical therapy should be reviewed within the third day of treatment or when microbiological results become available. </w:t>
      </w:r>
    </w:p>
    <w:p w14:paraId="41D21965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Surgical prophylaxis </w:t>
      </w:r>
    </w:p>
    <w:p w14:paraId="342505C5" w14:textId="77777777" w:rsidR="00813B77" w:rsidRPr="00FE3C4F" w:rsidRDefault="00813B77" w:rsidP="00813B77">
      <w:pPr>
        <w:numPr>
          <w:ilvl w:val="0"/>
          <w:numId w:val="25"/>
        </w:numPr>
        <w:spacing w:line="240" w:lineRule="auto"/>
        <w:ind w:left="714" w:hanging="357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 Prophylactic antibiotics should be added to a pre-operative checklist.</w:t>
      </w:r>
    </w:p>
    <w:p w14:paraId="0B5B1463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Therapeutic Drug Monitoring </w:t>
      </w:r>
    </w:p>
    <w:p w14:paraId="4029C7D2" w14:textId="77777777" w:rsidR="00813B77" w:rsidRPr="00FE3C4F" w:rsidRDefault="00813B77" w:rsidP="00813B77">
      <w:pPr>
        <w:numPr>
          <w:ilvl w:val="0"/>
          <w:numId w:val="2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Therapeutic Drug Monitoring should be performed for antibiotics with a narrow therapeutic spectrum and an increased risk of toxicity according to guidelines. </w:t>
      </w:r>
    </w:p>
    <w:p w14:paraId="1DE3A36D" w14:textId="77777777" w:rsidR="00813B77" w:rsidRPr="00FE3C4F" w:rsidRDefault="00813B77" w:rsidP="00813B77">
      <w:pPr>
        <w:numPr>
          <w:ilvl w:val="0"/>
          <w:numId w:val="2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lastRenderedPageBreak/>
        <w:t xml:space="preserve">If antibiotic Therapeutic Drug Monitoring levels are not in the reference range, doses should be adjusted appropriately after the results become available. </w:t>
      </w:r>
    </w:p>
    <w:p w14:paraId="410141CC" w14:textId="77777777" w:rsidR="00813B77" w:rsidRPr="00FE3C4F" w:rsidRDefault="00813B77" w:rsidP="00813B77">
      <w:pPr>
        <w:numPr>
          <w:ilvl w:val="0"/>
          <w:numId w:val="2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Therapeutic Drug Monitoring levels of antibiotics should be documented in the medical records. </w:t>
      </w:r>
    </w:p>
    <w:p w14:paraId="68460799" w14:textId="77777777" w:rsidR="00813B77" w:rsidRPr="00FE3C4F" w:rsidRDefault="00813B77" w:rsidP="00813B77">
      <w:pPr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Timing </w:t>
      </w:r>
    </w:p>
    <w:p w14:paraId="1F749CB3" w14:textId="16E1A5AF" w:rsidR="00813B77" w:rsidRPr="00813B77" w:rsidRDefault="00813B77" w:rsidP="00813B77">
      <w:pPr>
        <w:numPr>
          <w:ilvl w:val="0"/>
          <w:numId w:val="26"/>
        </w:numPr>
        <w:spacing w:line="240" w:lineRule="auto"/>
        <w:contextualSpacing/>
        <w:rPr>
          <w:rFonts w:ascii="Calibri" w:eastAsia="Calibri" w:hAnsi="Calibri" w:cs="Calibri"/>
        </w:rPr>
      </w:pPr>
      <w:r w:rsidRPr="00FE3C4F">
        <w:rPr>
          <w:rFonts w:ascii="Calibri" w:eastAsia="Calibri" w:hAnsi="Calibri" w:cs="Calibri"/>
        </w:rPr>
        <w:t xml:space="preserve">Timeliness of administration of antibiotic therapy and prophylaxis should be compliant with guidelines. </w:t>
      </w:r>
    </w:p>
    <w:p w14:paraId="57AC3D71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05BDFDA8" w14:textId="712615BD" w:rsidR="00813B77" w:rsidRDefault="00813B77" w:rsidP="00813B77">
      <w:pPr>
        <w:rPr>
          <w:rFonts w:cstheme="minorHAnsi"/>
          <w:color w:val="2A2A2A"/>
          <w:shd w:val="clear" w:color="auto" w:fill="FFFFFF"/>
        </w:rPr>
      </w:pPr>
      <w:r w:rsidRPr="003F6CE4">
        <w:rPr>
          <w:rFonts w:cstheme="minorHAnsi"/>
          <w:b/>
          <w:color w:val="2A2A2A"/>
          <w:shd w:val="clear" w:color="auto" w:fill="FFFFFF"/>
        </w:rPr>
        <w:t>Pollack 2016</w:t>
      </w:r>
      <w:r>
        <w:rPr>
          <w:rFonts w:cstheme="minorHAnsi"/>
          <w:color w:val="2A2A2A"/>
          <w:shd w:val="clear" w:color="auto" w:fill="FFFFFF"/>
        </w:rPr>
        <w:t xml:space="preserve"> </w:t>
      </w:r>
    </w:p>
    <w:p w14:paraId="64B8D532" w14:textId="77777777" w:rsidR="00813B77" w:rsidRPr="00C23B62" w:rsidRDefault="00813B77" w:rsidP="00813B77">
      <w:pPr>
        <w:rPr>
          <w:rFonts w:cstheme="minorHAnsi"/>
          <w:b/>
          <w:bCs/>
        </w:rPr>
      </w:pPr>
      <w:r w:rsidRPr="00C23B62">
        <w:rPr>
          <w:rFonts w:cstheme="minorHAnsi"/>
          <w:b/>
          <w:bCs/>
        </w:rPr>
        <w:t>Infrastructure</w:t>
      </w:r>
    </w:p>
    <w:p w14:paraId="21D7BDBA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</w:rPr>
        <w:t xml:space="preserve">Does your facility have a formal antimicrobial stewardship program accountable for ensuring appropriate antimicrobial use? </w:t>
      </w:r>
    </w:p>
    <w:p w14:paraId="6C9644E3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Does your facility have a formal organizational structure responsible for antimicrobial stewardship (</w:t>
      </w:r>
      <w:proofErr w:type="spellStart"/>
      <w:r w:rsidRPr="00FE3C4F">
        <w:rPr>
          <w:rFonts w:cstheme="minorHAnsi"/>
        </w:rPr>
        <w:t>eg</w:t>
      </w:r>
      <w:proofErr w:type="spellEnd"/>
      <w:r w:rsidRPr="00FE3C4F">
        <w:rPr>
          <w:rFonts w:cstheme="minorHAnsi"/>
        </w:rPr>
        <w:t>, a multidisciplinary committee focused on appropriate antimicrobial use, pharmacy committee, patient safety committee, or other relevant structure)?</w:t>
      </w:r>
    </w:p>
    <w:p w14:paraId="5BDD9AC5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</w:rPr>
        <w:t>Is an antimicrobial stewardship team available at your facility (</w:t>
      </w:r>
      <w:proofErr w:type="spellStart"/>
      <w:r w:rsidRPr="00FE3C4F">
        <w:rPr>
          <w:rFonts w:cstheme="minorHAnsi"/>
        </w:rPr>
        <w:t>eg</w:t>
      </w:r>
      <w:proofErr w:type="spellEnd"/>
      <w:r w:rsidRPr="00FE3C4F">
        <w:rPr>
          <w:rFonts w:cstheme="minorHAnsi"/>
        </w:rPr>
        <w:t xml:space="preserve">, greater than one staff member supporting clinical decisions to ensure appropriate antimicrobial use)? </w:t>
      </w:r>
    </w:p>
    <w:p w14:paraId="5F875D64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</w:rPr>
        <w:t xml:space="preserve">Is there a physician identified as a leader for antimicrobial stewardship activities at your facility? </w:t>
      </w:r>
    </w:p>
    <w:p w14:paraId="6716BFC2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</w:rPr>
        <w:t xml:space="preserve">Is there a pharmacist responsible for ensuring appropriate antimicrobial use at your facility? </w:t>
      </w:r>
    </w:p>
    <w:p w14:paraId="6EC76E09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Does your facility provide any salary support for dedicated time for antimicrobial stewardship activities (</w:t>
      </w:r>
      <w:proofErr w:type="spellStart"/>
      <w:r w:rsidRPr="00FE3C4F">
        <w:rPr>
          <w:rFonts w:cstheme="minorHAnsi"/>
        </w:rPr>
        <w:t>eg</w:t>
      </w:r>
      <w:proofErr w:type="spellEnd"/>
      <w:r w:rsidRPr="00FE3C4F">
        <w:rPr>
          <w:rFonts w:cstheme="minorHAnsi"/>
        </w:rPr>
        <w:t>, percentage of full-time equivalent [FTE] staff for ensuring appropriate antimicrobial use)?</w:t>
      </w:r>
    </w:p>
    <w:p w14:paraId="73D53312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</w:rPr>
        <w:t xml:space="preserve">Does your facility have the information technology (IT) capability to support the needs of the antimicrobial stewardship activities? </w:t>
      </w:r>
    </w:p>
    <w:p w14:paraId="551537A4" w14:textId="77777777" w:rsidR="00813B77" w:rsidRPr="00C23B62" w:rsidRDefault="00813B77" w:rsidP="00813B77">
      <w:pPr>
        <w:rPr>
          <w:rFonts w:cstheme="minorHAnsi"/>
          <w:b/>
          <w:bCs/>
        </w:rPr>
      </w:pPr>
      <w:r w:rsidRPr="00C23B62">
        <w:rPr>
          <w:rFonts w:cstheme="minorHAnsi"/>
          <w:b/>
          <w:bCs/>
        </w:rPr>
        <w:t>Policy and practice</w:t>
      </w:r>
    </w:p>
    <w:p w14:paraId="2A048365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Does your facility have facility-specific treatment recommendations based on local antimicrobial susceptibility to assist with antimicrobial selection for common clinical conditions?</w:t>
      </w:r>
    </w:p>
    <w:p w14:paraId="0A3173FD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</w:rPr>
        <w:t xml:space="preserve">Does your facility have a written policy that requires prescribers to document an indication in the medical record or during order entry for all antimicrobial prescriptions? </w:t>
      </w:r>
    </w:p>
    <w:p w14:paraId="263B7087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</w:rPr>
        <w:t xml:space="preserve">Is </w:t>
      </w:r>
      <w:proofErr w:type="gramStart"/>
      <w:r w:rsidRPr="00FE3C4F">
        <w:rPr>
          <w:rFonts w:cstheme="minorHAnsi"/>
        </w:rPr>
        <w:t>it</w:t>
      </w:r>
      <w:proofErr w:type="gramEnd"/>
      <w:r w:rsidRPr="00FE3C4F">
        <w:rPr>
          <w:rFonts w:cstheme="minorHAnsi"/>
        </w:rPr>
        <w:t xml:space="preserve"> routine practice for specified antimicrobial agents to be approved by a physician or pharmacist in your facility (</w:t>
      </w:r>
      <w:proofErr w:type="spellStart"/>
      <w:r w:rsidRPr="00FE3C4F">
        <w:rPr>
          <w:rFonts w:cstheme="minorHAnsi"/>
        </w:rPr>
        <w:t>eg</w:t>
      </w:r>
      <w:proofErr w:type="spellEnd"/>
      <w:r w:rsidRPr="00FE3C4F">
        <w:rPr>
          <w:rFonts w:cstheme="minorHAnsi"/>
        </w:rPr>
        <w:t xml:space="preserve">, preauthorization)? </w:t>
      </w:r>
    </w:p>
    <w:p w14:paraId="5158A6AF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 xml:space="preserve">Is there a formal procedure for a physician, pharmacist, or other staff member to review the appropriateness of an antimicrobial at or after 48 hours from the initial order (post-prescription review)? </w:t>
      </w:r>
    </w:p>
    <w:p w14:paraId="50FF77E4" w14:textId="77777777" w:rsidR="00813B77" w:rsidRPr="00C23B62" w:rsidRDefault="00813B77" w:rsidP="00813B77">
      <w:pPr>
        <w:rPr>
          <w:rFonts w:cstheme="minorHAnsi"/>
          <w:b/>
          <w:bCs/>
          <w:color w:val="2A2A2A"/>
          <w:shd w:val="clear" w:color="auto" w:fill="FFFFFF"/>
        </w:rPr>
      </w:pPr>
      <w:r w:rsidRPr="00C23B62">
        <w:rPr>
          <w:rFonts w:cstheme="minorHAnsi"/>
          <w:b/>
          <w:bCs/>
        </w:rPr>
        <w:t xml:space="preserve">Monitoring and feedback </w:t>
      </w:r>
    </w:p>
    <w:p w14:paraId="73A74A61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Has your facility produced a cumulative antimicrobial susceptibility report in the past year?</w:t>
      </w:r>
    </w:p>
    <w:p w14:paraId="73DD624C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Does your facility monitor if the indication is captured in the medical record for all antimicrobial prescriptions?</w:t>
      </w:r>
    </w:p>
    <w:p w14:paraId="0F10EF94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Does your facility audit or review surgical antimicrobial prophylaxis choice and duration?</w:t>
      </w:r>
    </w:p>
    <w:p w14:paraId="17C3BEE2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Are results of antimicrobial audits or reviews communicated directly with prescribers?</w:t>
      </w:r>
    </w:p>
    <w:p w14:paraId="4B7EADD5" w14:textId="77777777" w:rsidR="00813B77" w:rsidRPr="00FE3C4F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>Does your facility monitor antimicrobial use by grams (Defined Daily Dose [DDD]) or counts (Days of Therapy [DOT]) of antimicrobial(s) by patients per days?</w:t>
      </w:r>
    </w:p>
    <w:p w14:paraId="7D3EAD9A" w14:textId="49FDF642" w:rsidR="00813B77" w:rsidRPr="00AA2E14" w:rsidRDefault="00813B77" w:rsidP="00813B77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FE3C4F">
        <w:rPr>
          <w:rFonts w:cstheme="minorHAnsi"/>
        </w:rPr>
        <w:t xml:space="preserve">Has an annual report focused on antimicrobial stewardship (summary antimicrobial use and/or practices improvement initiatives) been produced for your facility in the past year? </w:t>
      </w:r>
    </w:p>
    <w:p w14:paraId="6896DDB6" w14:textId="20D223E7" w:rsidR="00813B77" w:rsidRDefault="00813B77" w:rsidP="00813B77">
      <w:pPr>
        <w:rPr>
          <w:rFonts w:cstheme="minorHAnsi"/>
          <w:color w:val="2A2A2A"/>
          <w:shd w:val="clear" w:color="auto" w:fill="FFFFFF"/>
        </w:rPr>
      </w:pPr>
      <w:r w:rsidRPr="003F6CE4">
        <w:rPr>
          <w:rFonts w:cstheme="minorHAnsi"/>
          <w:b/>
          <w:color w:val="2A2A2A"/>
          <w:shd w:val="clear" w:color="auto" w:fill="FFFFFF"/>
        </w:rPr>
        <w:lastRenderedPageBreak/>
        <w:t>Schouten 2005</w:t>
      </w:r>
      <w:r>
        <w:rPr>
          <w:rFonts w:cstheme="minorHAnsi"/>
          <w:color w:val="2A2A2A"/>
          <w:shd w:val="clear" w:color="auto" w:fill="FFFFFF"/>
        </w:rPr>
        <w:t xml:space="preserve"> </w:t>
      </w:r>
    </w:p>
    <w:p w14:paraId="7EC47730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2A2A2A"/>
          <w:shd w:val="clear" w:color="auto" w:fill="FFFFFF"/>
        </w:rPr>
        <w:t>CAP</w:t>
      </w:r>
    </w:p>
    <w:p w14:paraId="521D781A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Timely initiation of antibiotic therapy (within 4 h after presentation)</w:t>
      </w:r>
    </w:p>
    <w:p w14:paraId="4F956D76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Empirical antibiotic regimen at correct indication and according to guidelines</w:t>
      </w:r>
    </w:p>
    <w:p w14:paraId="329536E9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Stop antibiotic therapy if no fever for 3 consecutive days</w:t>
      </w:r>
    </w:p>
    <w:p w14:paraId="216869D4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Obtaining two sets of blood samples for culture</w:t>
      </w:r>
    </w:p>
    <w:p w14:paraId="3EF7F585" w14:textId="41B2FC38" w:rsidR="00813B77" w:rsidRPr="004A4863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Urine antigen testing for Legionella species on clinical suspicion</w:t>
      </w:r>
    </w:p>
    <w:p w14:paraId="4992BBE5" w14:textId="77777777" w:rsidR="00813B77" w:rsidRDefault="00813B77" w:rsidP="00813B77">
      <w:pPr>
        <w:rPr>
          <w:rFonts w:cstheme="minorHAnsi"/>
          <w:color w:val="000000" w:themeColor="text1"/>
          <w:shd w:val="clear" w:color="auto" w:fill="FFFFFF"/>
        </w:rPr>
      </w:pPr>
      <w:r w:rsidRPr="00ED5E57">
        <w:rPr>
          <w:rFonts w:cstheme="minorHAnsi"/>
          <w:color w:val="000000" w:themeColor="text1"/>
          <w:shd w:val="clear" w:color="auto" w:fill="FFFFFF"/>
        </w:rPr>
        <w:t>COPD alon</w:t>
      </w:r>
      <w:r>
        <w:rPr>
          <w:rFonts w:cstheme="minorHAnsi"/>
          <w:color w:val="000000" w:themeColor="text1"/>
          <w:shd w:val="clear" w:color="auto" w:fill="FFFFFF"/>
        </w:rPr>
        <w:t>e</w:t>
      </w:r>
    </w:p>
    <w:p w14:paraId="1D3F0C19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Prescribe antibiotic therapy for exacerbations only when indicated</w:t>
      </w:r>
    </w:p>
    <w:p w14:paraId="5766F57E" w14:textId="1FD28F09" w:rsidR="00813B77" w:rsidRPr="004A4863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Optimal duration of antibiotic therapy from 5-7 days</w:t>
      </w:r>
    </w:p>
    <w:p w14:paraId="23E4B80B" w14:textId="77777777" w:rsidR="00813B77" w:rsidRPr="00ED5E57" w:rsidRDefault="00813B77" w:rsidP="00813B77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Both CAP &amp; COPD</w:t>
      </w:r>
    </w:p>
    <w:p w14:paraId="18754C99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Adapting dose and dose interval of antibiotics according to renal function</w:t>
      </w:r>
    </w:p>
    <w:p w14:paraId="670851D0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Switch from intravenous to oral therapy according to existing criteria and clinical stability</w:t>
      </w:r>
    </w:p>
    <w:p w14:paraId="4537764C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Changing broad-spectrum, empirical therapy to pathogen-directed therapy (streamlining therapy)</w:t>
      </w:r>
    </w:p>
    <w:p w14:paraId="7BC2245D" w14:textId="77777777" w:rsidR="00813B77" w:rsidRPr="00FE3C4F" w:rsidRDefault="00813B77" w:rsidP="00813B77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000000" w:themeColor="text1"/>
        </w:rPr>
      </w:pPr>
      <w:r w:rsidRPr="00FE3C4F">
        <w:rPr>
          <w:rFonts w:cstheme="minorHAnsi"/>
          <w:color w:val="000000" w:themeColor="text1"/>
          <w:shd w:val="clear" w:color="auto" w:fill="FFFFFF"/>
        </w:rPr>
        <w:t>Obtaining sputum samples for Gram staining and culture</w:t>
      </w:r>
    </w:p>
    <w:p w14:paraId="61F9ED0F" w14:textId="77777777" w:rsidR="00813B77" w:rsidRPr="00ED5E57" w:rsidRDefault="00813B77" w:rsidP="00813B77">
      <w:pPr>
        <w:rPr>
          <w:rFonts w:cstheme="minorHAnsi"/>
          <w:color w:val="000000" w:themeColor="text1"/>
          <w:shd w:val="clear" w:color="auto" w:fill="FFFFFF"/>
        </w:rPr>
      </w:pPr>
    </w:p>
    <w:p w14:paraId="4C083A3B" w14:textId="61B0A15B" w:rsidR="00813B77" w:rsidRDefault="00813B77" w:rsidP="00813B77">
      <w:pPr>
        <w:rPr>
          <w:rFonts w:cstheme="minorHAnsi"/>
          <w:color w:val="2A2A2A"/>
          <w:shd w:val="clear" w:color="auto" w:fill="FFFFFF"/>
        </w:rPr>
      </w:pPr>
      <w:r w:rsidRPr="003F6CE4">
        <w:rPr>
          <w:rFonts w:cstheme="minorHAnsi"/>
          <w:b/>
          <w:color w:val="2A2A2A"/>
          <w:shd w:val="clear" w:color="auto" w:fill="FFFFFF"/>
        </w:rPr>
        <w:t>Schouten 2012</w:t>
      </w:r>
      <w:r>
        <w:rPr>
          <w:rFonts w:cstheme="minorHAnsi"/>
          <w:color w:val="2A2A2A"/>
          <w:shd w:val="clear" w:color="auto" w:fill="FFFFFF"/>
        </w:rPr>
        <w:t xml:space="preserve"> </w:t>
      </w:r>
    </w:p>
    <w:p w14:paraId="72AEC4D8" w14:textId="77777777" w:rsidR="00813B77" w:rsidRDefault="00813B77" w:rsidP="00813B77">
      <w:pPr>
        <w:rPr>
          <w:rFonts w:cstheme="minorHAnsi"/>
        </w:rPr>
      </w:pPr>
      <w:r w:rsidRPr="00913F45">
        <w:rPr>
          <w:rFonts w:cstheme="minorHAnsi"/>
        </w:rPr>
        <w:t>1. Clinical rationale of starting AB documented in the chart (day 1)</w:t>
      </w:r>
    </w:p>
    <w:p w14:paraId="35C28363" w14:textId="77777777" w:rsidR="00813B77" w:rsidRDefault="00813B77" w:rsidP="00813B77">
      <w:pPr>
        <w:rPr>
          <w:rFonts w:cstheme="minorHAnsi"/>
        </w:rPr>
      </w:pPr>
      <w:r w:rsidRPr="00913F45">
        <w:rPr>
          <w:rFonts w:cstheme="minorHAnsi"/>
        </w:rPr>
        <w:t xml:space="preserve">2. Appropriate microbiological cultures according to local and/or </w:t>
      </w:r>
      <w:proofErr w:type="spellStart"/>
      <w:r w:rsidRPr="00913F45">
        <w:rPr>
          <w:rFonts w:cstheme="minorHAnsi"/>
        </w:rPr>
        <w:t>internaional</w:t>
      </w:r>
      <w:proofErr w:type="spellEnd"/>
      <w:r w:rsidRPr="00913F45">
        <w:rPr>
          <w:rFonts w:cstheme="minorHAnsi"/>
        </w:rPr>
        <w:t xml:space="preserve"> guidelines (day 1); </w:t>
      </w:r>
    </w:p>
    <w:p w14:paraId="02373C9E" w14:textId="77777777" w:rsidR="00813B77" w:rsidRDefault="00813B77" w:rsidP="00813B77">
      <w:pPr>
        <w:rPr>
          <w:rFonts w:cstheme="minorHAnsi"/>
        </w:rPr>
      </w:pPr>
      <w:r w:rsidRPr="00913F45">
        <w:rPr>
          <w:rFonts w:cstheme="minorHAnsi"/>
        </w:rPr>
        <w:t>3. Choice of empiric therapy according to local and/or international guidelines (day 1)</w:t>
      </w:r>
    </w:p>
    <w:p w14:paraId="1C1D3019" w14:textId="77777777" w:rsidR="00813B77" w:rsidRDefault="00813B77" w:rsidP="00813B77">
      <w:pPr>
        <w:rPr>
          <w:rFonts w:cstheme="minorHAnsi"/>
        </w:rPr>
      </w:pPr>
      <w:r w:rsidRPr="00913F45">
        <w:rPr>
          <w:rFonts w:cstheme="minorHAnsi"/>
        </w:rPr>
        <w:t>4</w:t>
      </w:r>
      <w:r>
        <w:rPr>
          <w:rFonts w:cstheme="minorHAnsi"/>
        </w:rPr>
        <w:t>.</w:t>
      </w:r>
      <w:r w:rsidRPr="00913F45">
        <w:rPr>
          <w:rFonts w:cstheme="minorHAnsi"/>
        </w:rPr>
        <w:t xml:space="preserve"> Review of diagnosis according to microbiological results (day 2, 3, 4, 5)</w:t>
      </w:r>
    </w:p>
    <w:p w14:paraId="26CAF97D" w14:textId="77777777" w:rsidR="00813B77" w:rsidRDefault="00813B77" w:rsidP="00813B77">
      <w:pPr>
        <w:rPr>
          <w:rFonts w:cstheme="minorHAnsi"/>
        </w:rPr>
      </w:pPr>
      <w:r w:rsidRPr="00913F45">
        <w:rPr>
          <w:rFonts w:cstheme="minorHAnsi"/>
        </w:rPr>
        <w:t>5. De-escalation therapy to be considered in patients with microbiological diagnosis according to the susceptibility pattern of the isolate (day 2, 3, 4, 5)</w:t>
      </w:r>
    </w:p>
    <w:p w14:paraId="38A93AE0" w14:textId="6B0DF005" w:rsidR="00813B77" w:rsidRPr="00813B77" w:rsidRDefault="00813B77" w:rsidP="00813B77">
      <w:pPr>
        <w:rPr>
          <w:rFonts w:cstheme="minorHAnsi"/>
          <w:color w:val="2A2A2A"/>
          <w:shd w:val="clear" w:color="auto" w:fill="FFFFFF"/>
        </w:rPr>
      </w:pPr>
      <w:r w:rsidRPr="00913F45">
        <w:rPr>
          <w:rFonts w:cstheme="minorHAnsi"/>
        </w:rPr>
        <w:t xml:space="preserve">6. Withdrawal of therapy to be considered in patients with a definitive non-infectious diagnosis (day 3, 4, 5) </w:t>
      </w:r>
    </w:p>
    <w:p w14:paraId="4F446B9B" w14:textId="598554AA" w:rsidR="00813B77" w:rsidRDefault="00813B77" w:rsidP="00813B77">
      <w:pPr>
        <w:rPr>
          <w:rFonts w:cstheme="minorHAnsi"/>
          <w:color w:val="2A2A2A"/>
          <w:shd w:val="clear" w:color="auto" w:fill="FFFFFF"/>
        </w:rPr>
      </w:pPr>
      <w:r w:rsidRPr="003F6CE4">
        <w:rPr>
          <w:rFonts w:cstheme="minorHAnsi"/>
          <w:b/>
          <w:color w:val="2A2A2A"/>
          <w:shd w:val="clear" w:color="auto" w:fill="FFFFFF"/>
        </w:rPr>
        <w:t>Sneddon 2012</w:t>
      </w:r>
      <w:r w:rsidRPr="00EA5A26">
        <w:rPr>
          <w:rFonts w:cstheme="minorHAnsi"/>
          <w:color w:val="2A2A2A"/>
          <w:shd w:val="clear" w:color="auto" w:fill="FFFFFF"/>
        </w:rPr>
        <w:t xml:space="preserve"> </w:t>
      </w:r>
    </w:p>
    <w:p w14:paraId="0EE0F70C" w14:textId="77777777" w:rsidR="00813B77" w:rsidRDefault="00813B77" w:rsidP="00813B77">
      <w:pPr>
        <w:rPr>
          <w:rFonts w:cstheme="minorHAnsi"/>
          <w:color w:val="2E2E2E"/>
        </w:rPr>
      </w:pPr>
      <w:r w:rsidRPr="00EA5A26">
        <w:rPr>
          <w:rFonts w:cstheme="minorHAnsi"/>
          <w:color w:val="2E2E2E"/>
        </w:rPr>
        <w:t xml:space="preserve">1. Indication recorded and empirical antibiotic choice compliant with local policy. Target ≥95% compliance. </w:t>
      </w:r>
    </w:p>
    <w:p w14:paraId="677243C0" w14:textId="77777777" w:rsidR="00813B77" w:rsidRDefault="00813B77" w:rsidP="00813B77">
      <w:pPr>
        <w:rPr>
          <w:rFonts w:cstheme="minorHAnsi"/>
          <w:color w:val="2E2E2E"/>
        </w:rPr>
      </w:pPr>
      <w:r w:rsidRPr="00EA5A26">
        <w:rPr>
          <w:rFonts w:cstheme="minorHAnsi"/>
          <w:color w:val="2E2E2E"/>
        </w:rPr>
        <w:t>2. Duration of surgical prophylaxis &lt;24 hours and choice compliant with local policy. Target ≥95% compliance.</w:t>
      </w:r>
    </w:p>
    <w:p w14:paraId="259E0607" w14:textId="77777777" w:rsidR="00813B77" w:rsidRDefault="00813B77" w:rsidP="00813B77">
      <w:pPr>
        <w:rPr>
          <w:rFonts w:cstheme="minorHAnsi"/>
          <w:color w:val="2A2A2A"/>
          <w:shd w:val="clear" w:color="auto" w:fill="FFFFFF"/>
        </w:rPr>
      </w:pPr>
    </w:p>
    <w:p w14:paraId="3A59F5E3" w14:textId="471A40ED" w:rsidR="00813B77" w:rsidRPr="00E53F82" w:rsidRDefault="00813B77" w:rsidP="00813B77">
      <w:pPr>
        <w:rPr>
          <w:rFonts w:cstheme="minorHAnsi"/>
          <w:color w:val="2A2A2A"/>
          <w:shd w:val="clear" w:color="auto" w:fill="FFFFFF"/>
        </w:rPr>
      </w:pPr>
      <w:r w:rsidRPr="003F6CE4">
        <w:rPr>
          <w:rFonts w:cstheme="minorHAnsi"/>
          <w:b/>
          <w:color w:val="2A2A2A"/>
          <w:shd w:val="clear" w:color="auto" w:fill="FFFFFF"/>
        </w:rPr>
        <w:t xml:space="preserve">Ten </w:t>
      </w:r>
      <w:proofErr w:type="spellStart"/>
      <w:r w:rsidRPr="003F6CE4">
        <w:rPr>
          <w:rFonts w:cstheme="minorHAnsi"/>
          <w:b/>
          <w:color w:val="2A2A2A"/>
          <w:shd w:val="clear" w:color="auto" w:fill="FFFFFF"/>
        </w:rPr>
        <w:t>Oever</w:t>
      </w:r>
      <w:proofErr w:type="spellEnd"/>
      <w:r w:rsidRPr="003F6CE4">
        <w:rPr>
          <w:rFonts w:cstheme="minorHAnsi"/>
          <w:b/>
          <w:color w:val="2A2A2A"/>
          <w:shd w:val="clear" w:color="auto" w:fill="FFFFFF"/>
        </w:rPr>
        <w:t xml:space="preserve"> 2019</w:t>
      </w:r>
      <w:r w:rsidRPr="00EA5A26">
        <w:rPr>
          <w:rFonts w:cstheme="minorHAnsi"/>
          <w:color w:val="2A2A2A"/>
          <w:shd w:val="clear" w:color="auto" w:fill="FFFFFF"/>
        </w:rPr>
        <w:t xml:space="preserve"> </w:t>
      </w:r>
      <w:r>
        <w:rPr>
          <w:rFonts w:cstheme="minorHAnsi"/>
          <w:color w:val="2A2A2A"/>
          <w:shd w:val="clear" w:color="auto" w:fill="FFFFFF"/>
        </w:rPr>
        <w:t>(</w:t>
      </w:r>
      <w:r w:rsidR="0038512F">
        <w:rPr>
          <w:rStyle w:val="Strong"/>
          <w:rFonts w:cstheme="minorHAnsi"/>
          <w:color w:val="2A2A2A"/>
          <w:bdr w:val="none" w:sz="0" w:space="0" w:color="auto" w:frame="1"/>
        </w:rPr>
        <w:t>A</w:t>
      </w:r>
      <w:r w:rsidRPr="00E53F82">
        <w:rPr>
          <w:rStyle w:val="Strong"/>
          <w:rFonts w:cstheme="minorHAnsi"/>
          <w:color w:val="2A2A2A"/>
          <w:bdr w:val="none" w:sz="0" w:space="0" w:color="auto" w:frame="1"/>
        </w:rPr>
        <w:t>nti</w:t>
      </w:r>
      <w:r w:rsidR="0038512F">
        <w:rPr>
          <w:rStyle w:val="Strong"/>
          <w:rFonts w:cstheme="minorHAnsi"/>
          <w:color w:val="2A2A2A"/>
          <w:bdr w:val="none" w:sz="0" w:space="0" w:color="auto" w:frame="1"/>
        </w:rPr>
        <w:t>microbial</w:t>
      </w:r>
      <w:r w:rsidRPr="00E53F82">
        <w:rPr>
          <w:rStyle w:val="Strong"/>
          <w:rFonts w:cstheme="minorHAnsi"/>
          <w:color w:val="2A2A2A"/>
          <w:bdr w:val="none" w:sz="0" w:space="0" w:color="auto" w:frame="1"/>
        </w:rPr>
        <w:t xml:space="preserve"> therapeutic</w:t>
      </w:r>
      <w:r>
        <w:rPr>
          <w:rStyle w:val="Strong"/>
          <w:rFonts w:cstheme="minorHAnsi"/>
          <w:color w:val="2A2A2A"/>
          <w:bdr w:val="none" w:sz="0" w:space="0" w:color="auto" w:frame="1"/>
        </w:rPr>
        <w:t xml:space="preserve"> </w:t>
      </w:r>
      <w:r w:rsidRPr="00E53F82">
        <w:rPr>
          <w:rStyle w:val="Strong"/>
          <w:rFonts w:cstheme="minorHAnsi"/>
          <w:color w:val="2A2A2A"/>
          <w:bdr w:val="none" w:sz="0" w:space="0" w:color="auto" w:frame="1"/>
        </w:rPr>
        <w:t>intervention</w:t>
      </w:r>
      <w:r w:rsidR="0038512F">
        <w:rPr>
          <w:rStyle w:val="Strong"/>
          <w:rFonts w:cstheme="minorHAnsi"/>
          <w:color w:val="2A2A2A"/>
          <w:bdr w:val="none" w:sz="0" w:space="0" w:color="auto" w:frame="1"/>
        </w:rPr>
        <w:t>s only</w:t>
      </w:r>
      <w:r w:rsidRPr="00E53F82">
        <w:rPr>
          <w:rStyle w:val="Strong"/>
          <w:rFonts w:cstheme="minorHAnsi"/>
          <w:color w:val="2A2A2A"/>
          <w:bdr w:val="none" w:sz="0" w:space="0" w:color="auto" w:frame="1"/>
        </w:rPr>
        <w:t>)</w:t>
      </w:r>
    </w:p>
    <w:p w14:paraId="283AD9E9" w14:textId="77777777" w:rsidR="00813B77" w:rsidRPr="00E53F82" w:rsidRDefault="00813B77" w:rsidP="00813B77">
      <w:pPr>
        <w:rPr>
          <w:rFonts w:cstheme="minorHAnsi"/>
          <w:color w:val="000000" w:themeColor="text1"/>
          <w:shd w:val="clear" w:color="auto" w:fill="FFFFFF"/>
        </w:rPr>
      </w:pPr>
      <w:r w:rsidRPr="00E53F82">
        <w:rPr>
          <w:rFonts w:cstheme="minorHAnsi"/>
          <w:color w:val="000000" w:themeColor="text1"/>
          <w:shd w:val="clear" w:color="auto" w:fill="FFFFFF"/>
        </w:rPr>
        <w:t>Blood cultures</w:t>
      </w:r>
    </w:p>
    <w:p w14:paraId="74C68E51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Follow-up blood cultures after initiation of antimicrobial therapy should be done regardless of clinical evolution.</w:t>
      </w:r>
    </w:p>
    <w:p w14:paraId="004EAEFE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Collection of repeat blood cultures should be performed until first negative blood culture.</w:t>
      </w:r>
    </w:p>
    <w:p w14:paraId="659BF999" w14:textId="77777777" w:rsidR="00813B77" w:rsidRPr="00E53F82" w:rsidRDefault="00813B77" w:rsidP="00813B77">
      <w:pPr>
        <w:rPr>
          <w:rFonts w:cstheme="minorHAnsi"/>
          <w:color w:val="000000" w:themeColor="text1"/>
          <w:shd w:val="clear" w:color="auto" w:fill="FFFFFF"/>
        </w:rPr>
      </w:pPr>
      <w:r w:rsidRPr="00E53F82">
        <w:rPr>
          <w:rFonts w:cstheme="minorHAnsi"/>
          <w:color w:val="000000" w:themeColor="text1"/>
          <w:shd w:val="clear" w:color="auto" w:fill="FFFFFF"/>
        </w:rPr>
        <w:lastRenderedPageBreak/>
        <w:t xml:space="preserve">Antibiotic treatment </w:t>
      </w:r>
    </w:p>
    <w:p w14:paraId="2BC34CAF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Initial antibiotic therapy should be administered intravenously in patients with SAB. </w:t>
      </w:r>
    </w:p>
    <w:p w14:paraId="7E619F3A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Initial therapy should be intravenous (flu)cloxacillin (or nafcillin or oxacillin) or cefazolin in the case of methicillin-susceptible strains in patients with SAB. </w:t>
      </w:r>
    </w:p>
    <w:p w14:paraId="0226631E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Antibiotic therapy should be initiated within 24 h after first positive blood culture.</w:t>
      </w:r>
    </w:p>
    <w:p w14:paraId="15B530DF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Appropriate treatment should be adapted within the first 24 h after a methicillin susceptibility result is available, if so required.</w:t>
      </w:r>
    </w:p>
    <w:p w14:paraId="63208C9D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The dosage of antibiotic treatment should be according to (national) guidelines in patients with SAB. </w:t>
      </w:r>
    </w:p>
    <w:p w14:paraId="72BF5D51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Appropriate duration of intravenous antibiotic treatment should be at least 14 days for uncomplicated SAB. </w:t>
      </w:r>
    </w:p>
    <w:p w14:paraId="326BD70D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Appropriate duration of intravenous antibiotic treatment should be at least 28 days for SAB complicated by metastatic abscesses or deep foci of infection</w:t>
      </w:r>
    </w:p>
    <w:p w14:paraId="6E25D37A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Therapeutic drug monitoring should be performed when SAB is treated with vancomycin. </w:t>
      </w:r>
    </w:p>
    <w:p w14:paraId="3C2EF3A5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Antibiotic treatment therapy for patients with SAB should be adjusted according renal function. </w:t>
      </w:r>
    </w:p>
    <w:p w14:paraId="7045D263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Intravenous-to-oral switch should not be performed in uncomplicated SAB after 48–72 h. </w:t>
      </w:r>
    </w:p>
    <w:p w14:paraId="41A50AD0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Intravenous-to-oral switch should not be performed in complicated SAB after 48–72 h. </w:t>
      </w:r>
    </w:p>
    <w:p w14:paraId="739CA84C" w14:textId="77777777" w:rsidR="00813B77" w:rsidRPr="00E53F82" w:rsidRDefault="00813B77" w:rsidP="00813B77">
      <w:pPr>
        <w:rPr>
          <w:rFonts w:cstheme="minorHAnsi"/>
          <w:color w:val="000000" w:themeColor="text1"/>
          <w:shd w:val="clear" w:color="auto" w:fill="FFFFFF"/>
        </w:rPr>
      </w:pPr>
      <w:r w:rsidRPr="00E53F82">
        <w:rPr>
          <w:rFonts w:cstheme="minorHAnsi"/>
          <w:color w:val="000000" w:themeColor="text1"/>
          <w:shd w:val="clear" w:color="auto" w:fill="FFFFFF"/>
        </w:rPr>
        <w:t>Other management aspects</w:t>
      </w:r>
    </w:p>
    <w:p w14:paraId="5BF16A89" w14:textId="77777777" w:rsidR="00813B77" w:rsidRPr="00FE3C4F" w:rsidRDefault="00813B77" w:rsidP="00813B7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2A2A2A"/>
          <w:shd w:val="clear" w:color="auto" w:fill="FFFFFF"/>
        </w:rPr>
      </w:pPr>
      <w:r w:rsidRPr="00FE3C4F">
        <w:rPr>
          <w:rFonts w:cstheme="minorHAnsi"/>
          <w:color w:val="2A2A2A"/>
          <w:shd w:val="clear" w:color="auto" w:fill="FFFFFF"/>
        </w:rPr>
        <w:t>Infectious disease specialist consultation should be performed in patients with SAB. </w:t>
      </w:r>
    </w:p>
    <w:p w14:paraId="44668D27" w14:textId="3B9A4B63" w:rsidR="00AA2E14" w:rsidRPr="00AA2E14" w:rsidRDefault="00813B77" w:rsidP="00AA2E14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FE3C4F">
        <w:rPr>
          <w:rFonts w:cstheme="minorHAnsi"/>
          <w:color w:val="2A2A2A"/>
          <w:shd w:val="clear" w:color="auto" w:fill="FFFFFF"/>
        </w:rPr>
        <w:t>SAB should be documented in the medical discharge summary.</w:t>
      </w:r>
    </w:p>
    <w:p w14:paraId="294AEBE2" w14:textId="77777777" w:rsidR="00AA2E14" w:rsidRPr="00AA2E14" w:rsidRDefault="00AA2E14" w:rsidP="00AA2E14">
      <w:pPr>
        <w:pStyle w:val="ListParagraph"/>
        <w:spacing w:line="240" w:lineRule="auto"/>
        <w:rPr>
          <w:rFonts w:cstheme="minorHAnsi"/>
        </w:rPr>
      </w:pPr>
    </w:p>
    <w:p w14:paraId="7F0A56FE" w14:textId="5A4D71A1" w:rsidR="00813B77" w:rsidRPr="009370D8" w:rsidRDefault="00813B77" w:rsidP="00813B77">
      <w:pPr>
        <w:rPr>
          <w:rFonts w:cstheme="minorHAnsi"/>
          <w:color w:val="2A2A2A"/>
          <w:shd w:val="clear" w:color="auto" w:fill="FFFFFF"/>
        </w:rPr>
      </w:pPr>
      <w:r w:rsidRPr="003F6CE4">
        <w:rPr>
          <w:rFonts w:cstheme="minorHAnsi"/>
          <w:b/>
          <w:color w:val="2A2A2A"/>
          <w:shd w:val="clear" w:color="auto" w:fill="FFFFFF"/>
        </w:rPr>
        <w:t>Van der Bosch</w:t>
      </w:r>
      <w:r>
        <w:rPr>
          <w:rFonts w:cstheme="minorHAnsi"/>
          <w:b/>
          <w:color w:val="2A2A2A"/>
          <w:shd w:val="clear" w:color="auto" w:fill="FFFFFF"/>
        </w:rPr>
        <w:t xml:space="preserve"> </w:t>
      </w:r>
      <w:r w:rsidRPr="00813B77">
        <w:rPr>
          <w:rFonts w:cstheme="minorHAnsi"/>
          <w:b/>
          <w:bCs/>
          <w:color w:val="2A2A2A"/>
          <w:shd w:val="clear" w:color="auto" w:fill="FFFFFF"/>
        </w:rPr>
        <w:t xml:space="preserve">2014 </w:t>
      </w:r>
    </w:p>
    <w:p w14:paraId="4AB856B8" w14:textId="77777777" w:rsidR="00813B77" w:rsidRPr="009370D8" w:rsidRDefault="00813B77" w:rsidP="00813B77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9370D8">
        <w:rPr>
          <w:rFonts w:cstheme="minorHAnsi"/>
          <w:color w:val="333333"/>
          <w:shd w:val="clear" w:color="auto" w:fill="FFFFFF"/>
        </w:rPr>
        <w:t>Antimicrobial therapy in adult patients with sepsis should be started intravenously.</w:t>
      </w:r>
    </w:p>
    <w:p w14:paraId="1CE3A1D8" w14:textId="77777777" w:rsidR="00813B77" w:rsidRPr="009370D8" w:rsidRDefault="00813B77" w:rsidP="00813B77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9370D8">
        <w:rPr>
          <w:rFonts w:cstheme="minorHAnsi"/>
          <w:color w:val="333333"/>
          <w:shd w:val="clear" w:color="auto" w:fill="FFFFFF"/>
        </w:rPr>
        <w:t>Antimicrobial therapy should be started as soon as possible, preferably within the first hour in adult patients with severe sepsis and septic shock.</w:t>
      </w:r>
    </w:p>
    <w:p w14:paraId="63C49C81" w14:textId="77777777" w:rsidR="00813B77" w:rsidRPr="009370D8" w:rsidRDefault="00813B77" w:rsidP="00813B77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9370D8">
        <w:rPr>
          <w:rFonts w:cstheme="minorHAnsi"/>
          <w:color w:val="333333"/>
          <w:shd w:val="clear" w:color="auto" w:fill="FFFFFF"/>
        </w:rPr>
        <w:t>Before starting antimicrobial therapy, at least two sets of blood cultures and specimens for culture from suspected sites of infection should be taken.</w:t>
      </w:r>
    </w:p>
    <w:p w14:paraId="08B4F42E" w14:textId="77777777" w:rsidR="00813B77" w:rsidRPr="009370D8" w:rsidRDefault="00813B77" w:rsidP="00813B77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9370D8">
        <w:rPr>
          <w:rFonts w:cstheme="minorHAnsi"/>
          <w:color w:val="333333"/>
          <w:shd w:val="clear" w:color="auto" w:fill="FFFFFF"/>
        </w:rPr>
        <w:t>Empiric systemic antimicrobial therapy should be changed to pathogen-directed therapy if culture results become available.</w:t>
      </w:r>
    </w:p>
    <w:p w14:paraId="60B1C257" w14:textId="67C09961" w:rsidR="004A4863" w:rsidRPr="00AA2E14" w:rsidRDefault="00813B77" w:rsidP="00813B77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9370D8">
        <w:rPr>
          <w:rFonts w:cstheme="minorHAnsi"/>
          <w:color w:val="333333"/>
          <w:shd w:val="clear" w:color="auto" w:fill="FFFFFF"/>
        </w:rPr>
        <w:t xml:space="preserve">Empiric systemic antimicrobial therapy (only choice of antimicrobial agent) should be prescribed according to the national guideline. The local guidelines should correspond to the national </w:t>
      </w:r>
      <w:r w:rsidR="00AA2E14" w:rsidRPr="009370D8">
        <w:rPr>
          <w:rFonts w:cstheme="minorHAnsi"/>
          <w:color w:val="333333"/>
          <w:shd w:val="clear" w:color="auto" w:fill="FFFFFF"/>
        </w:rPr>
        <w:t>guideline but</w:t>
      </w:r>
      <w:r w:rsidRPr="009370D8">
        <w:rPr>
          <w:rFonts w:cstheme="minorHAnsi"/>
          <w:color w:val="333333"/>
          <w:shd w:val="clear" w:color="auto" w:fill="FFFFFF"/>
        </w:rPr>
        <w:t xml:space="preserve"> should deviate based on local resistance patterns.</w:t>
      </w:r>
    </w:p>
    <w:p w14:paraId="5E17511C" w14:textId="3726A5C2" w:rsidR="00813B77" w:rsidRDefault="00813B77" w:rsidP="00813B77">
      <w:pPr>
        <w:rPr>
          <w:rFonts w:cstheme="minorHAnsi"/>
          <w:color w:val="2A2A2A"/>
          <w:shd w:val="clear" w:color="auto" w:fill="FFFFFF"/>
        </w:rPr>
      </w:pPr>
      <w:r w:rsidRPr="003F6CE4">
        <w:rPr>
          <w:rFonts w:cstheme="minorHAnsi"/>
          <w:b/>
          <w:color w:val="2A2A2A"/>
          <w:shd w:val="clear" w:color="auto" w:fill="FFFFFF"/>
        </w:rPr>
        <w:t>Van der Bosch 2015</w:t>
      </w:r>
      <w:r>
        <w:rPr>
          <w:rFonts w:cstheme="minorHAnsi"/>
          <w:color w:val="2A2A2A"/>
          <w:shd w:val="clear" w:color="auto" w:fill="FFFFFF"/>
        </w:rPr>
        <w:t xml:space="preserve">  </w:t>
      </w:r>
    </w:p>
    <w:p w14:paraId="304562E4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FB673E">
        <w:rPr>
          <w:rFonts w:cstheme="minorHAnsi"/>
        </w:rPr>
        <w:t>Before starting systemic antibiotic therapy, at least two sets of blood cultures should be taken.</w:t>
      </w:r>
    </w:p>
    <w:p w14:paraId="70EF9034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2. </w:t>
      </w:r>
      <w:r w:rsidRPr="00FB673E">
        <w:rPr>
          <w:rFonts w:cstheme="minorHAnsi"/>
        </w:rPr>
        <w:t>When starting systemic antibiotic therapy, specimens for culture from suspected sites of infection should be taken as soon as possible, preferably before antibiotics are started (cultures should be taken until a maximum of 24 h after antibiotics are started).</w:t>
      </w:r>
    </w:p>
    <w:p w14:paraId="317C10C1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FB673E">
        <w:rPr>
          <w:rFonts w:cstheme="minorHAnsi"/>
        </w:rPr>
        <w:t xml:space="preserve">Empirical systemic antibiotic therapy should be prescribed according to the local guidelines. </w:t>
      </w:r>
    </w:p>
    <w:p w14:paraId="7F9B8B4F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4. </w:t>
      </w:r>
      <w:r w:rsidRPr="00FB673E">
        <w:rPr>
          <w:rFonts w:cstheme="minorHAnsi"/>
        </w:rPr>
        <w:t>A current local antibiotic guideline should be present in the hospital and an evaluation whether an update should be considered should be done every three years.</w:t>
      </w:r>
    </w:p>
    <w:p w14:paraId="0D3C55AE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5. </w:t>
      </w:r>
      <w:r w:rsidRPr="00FB673E">
        <w:rPr>
          <w:rFonts w:cstheme="minorHAnsi"/>
        </w:rPr>
        <w:t xml:space="preserve">Local antibiotic guidelines should correspond to the national antibiotic </w:t>
      </w:r>
      <w:proofErr w:type="gramStart"/>
      <w:r w:rsidRPr="00FB673E">
        <w:rPr>
          <w:rFonts w:cstheme="minorHAnsi"/>
        </w:rPr>
        <w:t>guidelines, but</w:t>
      </w:r>
      <w:proofErr w:type="gramEnd"/>
      <w:r w:rsidRPr="00FB673E">
        <w:rPr>
          <w:rFonts w:cstheme="minorHAnsi"/>
        </w:rPr>
        <w:t xml:space="preserve"> should deviate based on local resistance patterns. </w:t>
      </w:r>
    </w:p>
    <w:p w14:paraId="5EAFB0FA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lastRenderedPageBreak/>
        <w:t xml:space="preserve">6. </w:t>
      </w:r>
      <w:r w:rsidRPr="00FB673E">
        <w:rPr>
          <w:rFonts w:cstheme="minorHAnsi"/>
        </w:rPr>
        <w:t>Empirical antibiotics should be changed to pathogen-directed therapy if culture results become available.</w:t>
      </w:r>
    </w:p>
    <w:p w14:paraId="15254C93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7. </w:t>
      </w:r>
      <w:r w:rsidRPr="00FB673E">
        <w:rPr>
          <w:rFonts w:cstheme="minorHAnsi"/>
        </w:rPr>
        <w:t>Dose and dosing intervals of systemic antibiotics should be adapted to renal function.</w:t>
      </w:r>
    </w:p>
    <w:p w14:paraId="52F77081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8. </w:t>
      </w:r>
      <w:r w:rsidRPr="00FB673E">
        <w:rPr>
          <w:rFonts w:cstheme="minorHAnsi"/>
        </w:rPr>
        <w:t>Systemic antibiotic therapy should be switched from intravenous to oral antibiotic therapy within 48–72 h on the basis of the clinical condition and when oral treatment is adequate.</w:t>
      </w:r>
    </w:p>
    <w:p w14:paraId="79A3DB2D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9. </w:t>
      </w:r>
      <w:r w:rsidRPr="00FB673E">
        <w:rPr>
          <w:rFonts w:cstheme="minorHAnsi"/>
        </w:rPr>
        <w:t>An antibiotic plan should be documented on the case notes at the start of systemic antibiotic treatment.</w:t>
      </w:r>
    </w:p>
    <w:p w14:paraId="1E1C5725" w14:textId="77777777" w:rsidR="00813B77" w:rsidRPr="00FB673E" w:rsidRDefault="00813B77" w:rsidP="00813B77">
      <w:pPr>
        <w:rPr>
          <w:rFonts w:cstheme="minorHAnsi"/>
        </w:rPr>
      </w:pPr>
      <w:r>
        <w:rPr>
          <w:rFonts w:cstheme="minorHAnsi"/>
        </w:rPr>
        <w:t xml:space="preserve">10. </w:t>
      </w:r>
      <w:r w:rsidRPr="00FB673E">
        <w:rPr>
          <w:rFonts w:cstheme="minorHAnsi"/>
        </w:rPr>
        <w:t>Therapeutic drug monitoring should be performed when the treatment duration is more than three days for aminoglycosides and more than five days for vancomycin.</w:t>
      </w:r>
    </w:p>
    <w:p w14:paraId="4047DB6B" w14:textId="77777777" w:rsidR="00813B77" w:rsidRDefault="00813B77" w:rsidP="00813B77">
      <w:pPr>
        <w:rPr>
          <w:rFonts w:cstheme="minorHAnsi"/>
        </w:rPr>
      </w:pPr>
      <w:r>
        <w:rPr>
          <w:rFonts w:cstheme="minorHAnsi"/>
        </w:rPr>
        <w:t xml:space="preserve">11. </w:t>
      </w:r>
      <w:r w:rsidRPr="00FB673E">
        <w:rPr>
          <w:rFonts w:cstheme="minorHAnsi"/>
        </w:rPr>
        <w:t>Empirical antibiotic therapy for presumed bacterial infection should be discontinued based on the lack of clinical and/or microbiological evidence of infection. The maximum duration of empirical systemic antibiotic treatment should be seven days.</w:t>
      </w:r>
    </w:p>
    <w:p w14:paraId="1FB95B75" w14:textId="77777777" w:rsidR="00813B77" w:rsidRDefault="00813B77" w:rsidP="00813B77">
      <w:pPr>
        <w:rPr>
          <w:rFonts w:cstheme="minorHAnsi"/>
          <w:b/>
          <w:color w:val="2A2A2A"/>
          <w:shd w:val="clear" w:color="auto" w:fill="FFFFFF"/>
        </w:rPr>
      </w:pPr>
    </w:p>
    <w:p w14:paraId="24F66B33" w14:textId="12AD1AD0" w:rsidR="00813B77" w:rsidRPr="00F4457D" w:rsidRDefault="00813B77" w:rsidP="00813B77">
      <w:pPr>
        <w:rPr>
          <w:rFonts w:cstheme="minorHAnsi"/>
        </w:rPr>
      </w:pPr>
      <w:r w:rsidRPr="003F6CE4">
        <w:rPr>
          <w:rFonts w:cstheme="minorHAnsi"/>
          <w:b/>
          <w:color w:val="2A2A2A"/>
          <w:shd w:val="clear" w:color="auto" w:fill="FFFFFF"/>
        </w:rPr>
        <w:t>Vera 2014</w:t>
      </w:r>
      <w:r>
        <w:rPr>
          <w:rFonts w:cstheme="minorHAnsi"/>
          <w:color w:val="2A2A2A"/>
          <w:shd w:val="clear" w:color="auto" w:fill="FFFFFF"/>
        </w:rPr>
        <w:t xml:space="preserve"> </w:t>
      </w:r>
    </w:p>
    <w:p w14:paraId="1C7B593F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55" w:lineRule="atLeast"/>
        <w:textAlignment w:val="baseline"/>
        <w:rPr>
          <w:rFonts w:cstheme="minorHAnsi"/>
          <w:color w:val="737373"/>
        </w:rPr>
      </w:pPr>
      <w:r w:rsidRPr="00FE3C4F">
        <w:rPr>
          <w:rFonts w:cstheme="minorHAnsi"/>
          <w:b/>
          <w:bCs/>
        </w:rPr>
        <w:t>Antimicrobial use in the intensive care unit Formula</w:t>
      </w:r>
      <w:r w:rsidRPr="00FE3C4F">
        <w:rPr>
          <w:rFonts w:cstheme="minorHAnsi"/>
        </w:rPr>
        <w:t>: Total number of days of use of antimicrobial agent /Total number of days of ICU patients ×100</w:t>
      </w:r>
    </w:p>
    <w:p w14:paraId="431B97EF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>Non-empirical antimicrobial use Formula</w:t>
      </w:r>
      <w:r w:rsidRPr="00FE3C4F">
        <w:rPr>
          <w:rFonts w:cstheme="minorHAnsi"/>
        </w:rPr>
        <w:t>: Total antimicrobials used to treat infections in a directed manner /Total of antimicrobials used to treat infections ×100</w:t>
      </w:r>
    </w:p>
    <w:p w14:paraId="14A081B2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 xml:space="preserve">Changes in antimicrobials used as treatment Formula: </w:t>
      </w:r>
      <w:r w:rsidRPr="00FE3C4F">
        <w:rPr>
          <w:rFonts w:cstheme="minorHAnsi"/>
        </w:rPr>
        <w:t>Total number of antimicrobials changed to another antimicrobial / Total of antimicrobials used to treat infections × 100</w:t>
      </w:r>
    </w:p>
    <w:p w14:paraId="6C9C4348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 xml:space="preserve">Days without antimicrobial use in ICU Formula: </w:t>
      </w:r>
      <w:r w:rsidRPr="00FE3C4F">
        <w:rPr>
          <w:rFonts w:cstheme="minorHAnsi"/>
        </w:rPr>
        <w:t>Total number of ICU days without antimicrobials / Total number of days of ICU patients × 100</w:t>
      </w:r>
    </w:p>
    <w:p w14:paraId="41CE1525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>Days free of antimicrobials in patients on antimicrobial treatment Formula</w:t>
      </w:r>
      <w:r w:rsidRPr="00FE3C4F">
        <w:rPr>
          <w:rFonts w:cstheme="minorHAnsi"/>
        </w:rPr>
        <w:t xml:space="preserve">: Number of days free of antimicrobials in patients on antimicrobial treatment / Total days in ICU of patients on antimicrobial treatment × 100 </w:t>
      </w:r>
    </w:p>
    <w:p w14:paraId="1A0E0D2D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>Number of days of antimicrobials for surgical prophylaxis Formula</w:t>
      </w:r>
      <w:r w:rsidRPr="00FE3C4F">
        <w:rPr>
          <w:rFonts w:cstheme="minorHAnsi"/>
        </w:rPr>
        <w:t>: Number of days of use of antimicrobials for surgical prophylaxis / Total number of patients with surgical prophylaxis treatment × 100</w:t>
      </w:r>
    </w:p>
    <w:p w14:paraId="281C3DEF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>Inappropriate empirical antimicrobial treatment Formula:</w:t>
      </w:r>
      <w:r w:rsidRPr="00FE3C4F">
        <w:rPr>
          <w:rFonts w:cstheme="minorHAnsi"/>
        </w:rPr>
        <w:t xml:space="preserve"> Total number of inappropriate empirical antimicrobials / Total number of empirical antimicrobials used to treat infections × 100</w:t>
      </w:r>
    </w:p>
    <w:p w14:paraId="5E80B158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>Empirical antimicrobials changed because they are inadequate Formula:</w:t>
      </w:r>
      <w:r w:rsidRPr="00FE3C4F">
        <w:rPr>
          <w:rFonts w:cstheme="minorHAnsi"/>
        </w:rPr>
        <w:t xml:space="preserve"> Number of empirical antimicrobials changed because they are inadequate Total number of empirical antimicrobials used to treat infections × 100</w:t>
      </w:r>
    </w:p>
    <w:p w14:paraId="0A206DAA" w14:textId="77777777" w:rsidR="00813B77" w:rsidRPr="00FE3C4F" w:rsidRDefault="00813B77" w:rsidP="00813B77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FE3C4F">
        <w:rPr>
          <w:rFonts w:cstheme="minorHAnsi"/>
          <w:b/>
          <w:bCs/>
        </w:rPr>
        <w:t>Empirical antimicrobial changed for de-escalation Formula:</w:t>
      </w:r>
      <w:r w:rsidRPr="00FE3C4F">
        <w:rPr>
          <w:rFonts w:cstheme="minorHAnsi"/>
        </w:rPr>
        <w:t xml:space="preserve"> Number of empirical antimicrobials changed by adjustment or de-escalation Total number of empirical antimicrobials used to treat infections × 100</w:t>
      </w:r>
    </w:p>
    <w:p w14:paraId="5CDAA87C" w14:textId="40FCBCD3" w:rsidR="001529FB" w:rsidRPr="00813B77" w:rsidRDefault="00813B77" w:rsidP="00F7328D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  <w:sectPr w:rsidR="001529FB" w:rsidRPr="00813B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E3C4F">
        <w:rPr>
          <w:rFonts w:cstheme="minorHAnsi"/>
          <w:b/>
          <w:bCs/>
        </w:rPr>
        <w:t>Patients with severe sepsis/septic shock treated with antimicrobials in the first three hours Formula:</w:t>
      </w:r>
      <w:r w:rsidRPr="00FE3C4F">
        <w:rPr>
          <w:rFonts w:cstheme="minorHAnsi"/>
        </w:rPr>
        <w:t xml:space="preserve"> Number of patients with severe sepsis/septic shock, treated with antimicrobials in the first 3 hours / Total number of patients with severe sepsis/septic</w:t>
      </w:r>
      <w:r w:rsidR="00AA2E14">
        <w:rPr>
          <w:rFonts w:cstheme="minorHAnsi"/>
        </w:rPr>
        <w:t xml:space="preserve"> shock</w:t>
      </w:r>
    </w:p>
    <w:p w14:paraId="04A6D26D" w14:textId="77777777" w:rsidR="00AA2E14" w:rsidRDefault="00AA2E14" w:rsidP="00813B77">
      <w:pPr>
        <w:rPr>
          <w:lang w:val="en-US"/>
        </w:rPr>
      </w:pPr>
    </w:p>
    <w:sectPr w:rsidR="00AA2E14" w:rsidSect="0081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24E"/>
    <w:multiLevelType w:val="hybridMultilevel"/>
    <w:tmpl w:val="810E8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881"/>
    <w:multiLevelType w:val="hybridMultilevel"/>
    <w:tmpl w:val="4BA21AA8"/>
    <w:lvl w:ilvl="0" w:tplc="2D8CD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980"/>
    <w:multiLevelType w:val="multilevel"/>
    <w:tmpl w:val="AFF851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00C01"/>
    <w:multiLevelType w:val="hybridMultilevel"/>
    <w:tmpl w:val="3510F5A2"/>
    <w:lvl w:ilvl="0" w:tplc="D4D6AC22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5FD8"/>
    <w:multiLevelType w:val="hybridMultilevel"/>
    <w:tmpl w:val="589A6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BAE"/>
    <w:multiLevelType w:val="multilevel"/>
    <w:tmpl w:val="00006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328C8"/>
    <w:multiLevelType w:val="hybridMultilevel"/>
    <w:tmpl w:val="BCD49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3A6"/>
    <w:multiLevelType w:val="hybridMultilevel"/>
    <w:tmpl w:val="F87A1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859"/>
    <w:multiLevelType w:val="hybridMultilevel"/>
    <w:tmpl w:val="A21A3A36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D6136"/>
    <w:multiLevelType w:val="hybridMultilevel"/>
    <w:tmpl w:val="E7CACE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E5548"/>
    <w:multiLevelType w:val="multilevel"/>
    <w:tmpl w:val="ADF29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D3DB2"/>
    <w:multiLevelType w:val="hybridMultilevel"/>
    <w:tmpl w:val="485C5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8004C"/>
    <w:multiLevelType w:val="hybridMultilevel"/>
    <w:tmpl w:val="26BE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2DDA"/>
    <w:multiLevelType w:val="hybridMultilevel"/>
    <w:tmpl w:val="A89279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40A9"/>
    <w:multiLevelType w:val="hybridMultilevel"/>
    <w:tmpl w:val="6694D9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F619E"/>
    <w:multiLevelType w:val="multilevel"/>
    <w:tmpl w:val="B12435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D10586"/>
    <w:multiLevelType w:val="multilevel"/>
    <w:tmpl w:val="5F1291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252E2"/>
    <w:multiLevelType w:val="multilevel"/>
    <w:tmpl w:val="568A62C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80544"/>
    <w:multiLevelType w:val="hybridMultilevel"/>
    <w:tmpl w:val="EAC4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4D8E"/>
    <w:multiLevelType w:val="multilevel"/>
    <w:tmpl w:val="FC8E8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52AD0"/>
    <w:multiLevelType w:val="hybridMultilevel"/>
    <w:tmpl w:val="0C7A2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822D3"/>
    <w:multiLevelType w:val="multilevel"/>
    <w:tmpl w:val="5E5C73A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60A21"/>
    <w:multiLevelType w:val="hybridMultilevel"/>
    <w:tmpl w:val="DE7E3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3EF0"/>
    <w:multiLevelType w:val="hybridMultilevel"/>
    <w:tmpl w:val="C0F058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3531"/>
    <w:multiLevelType w:val="multilevel"/>
    <w:tmpl w:val="D062F3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D5105"/>
    <w:multiLevelType w:val="multilevel"/>
    <w:tmpl w:val="242400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A34ED"/>
    <w:multiLevelType w:val="hybridMultilevel"/>
    <w:tmpl w:val="5664C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1F34"/>
    <w:multiLevelType w:val="hybridMultilevel"/>
    <w:tmpl w:val="64EC0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D3166"/>
    <w:multiLevelType w:val="hybridMultilevel"/>
    <w:tmpl w:val="66927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124FB"/>
    <w:multiLevelType w:val="hybridMultilevel"/>
    <w:tmpl w:val="B816B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F5F23"/>
    <w:multiLevelType w:val="multilevel"/>
    <w:tmpl w:val="7FB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B43958"/>
    <w:multiLevelType w:val="multilevel"/>
    <w:tmpl w:val="2138C0E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51124"/>
    <w:multiLevelType w:val="hybridMultilevel"/>
    <w:tmpl w:val="A21A3A36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8"/>
  </w:num>
  <w:num w:numId="4">
    <w:abstractNumId w:val="28"/>
  </w:num>
  <w:num w:numId="5">
    <w:abstractNumId w:val="20"/>
  </w:num>
  <w:num w:numId="6">
    <w:abstractNumId w:val="12"/>
  </w:num>
  <w:num w:numId="7">
    <w:abstractNumId w:val="4"/>
  </w:num>
  <w:num w:numId="8">
    <w:abstractNumId w:val="27"/>
  </w:num>
  <w:num w:numId="9">
    <w:abstractNumId w:val="7"/>
  </w:num>
  <w:num w:numId="10">
    <w:abstractNumId w:val="29"/>
  </w:num>
  <w:num w:numId="11">
    <w:abstractNumId w:val="26"/>
  </w:num>
  <w:num w:numId="12">
    <w:abstractNumId w:val="11"/>
  </w:num>
  <w:num w:numId="13">
    <w:abstractNumId w:val="0"/>
  </w:num>
  <w:num w:numId="14">
    <w:abstractNumId w:val="6"/>
  </w:num>
  <w:num w:numId="15">
    <w:abstractNumId w:val="30"/>
  </w:num>
  <w:num w:numId="16">
    <w:abstractNumId w:val="19"/>
  </w:num>
  <w:num w:numId="17">
    <w:abstractNumId w:val="10"/>
  </w:num>
  <w:num w:numId="18">
    <w:abstractNumId w:val="5"/>
  </w:num>
  <w:num w:numId="19">
    <w:abstractNumId w:val="15"/>
  </w:num>
  <w:num w:numId="20">
    <w:abstractNumId w:val="2"/>
  </w:num>
  <w:num w:numId="21">
    <w:abstractNumId w:val="24"/>
  </w:num>
  <w:num w:numId="22">
    <w:abstractNumId w:val="25"/>
  </w:num>
  <w:num w:numId="23">
    <w:abstractNumId w:val="16"/>
  </w:num>
  <w:num w:numId="24">
    <w:abstractNumId w:val="31"/>
  </w:num>
  <w:num w:numId="25">
    <w:abstractNumId w:val="17"/>
  </w:num>
  <w:num w:numId="26">
    <w:abstractNumId w:val="21"/>
  </w:num>
  <w:num w:numId="27">
    <w:abstractNumId w:val="18"/>
  </w:num>
  <w:num w:numId="28">
    <w:abstractNumId w:val="22"/>
  </w:num>
  <w:num w:numId="29">
    <w:abstractNumId w:val="23"/>
  </w:num>
  <w:num w:numId="30">
    <w:abstractNumId w:val="14"/>
  </w:num>
  <w:num w:numId="31">
    <w:abstractNumId w:val="9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21"/>
    <w:rsid w:val="00087D65"/>
    <w:rsid w:val="001529FB"/>
    <w:rsid w:val="00175055"/>
    <w:rsid w:val="001D74DE"/>
    <w:rsid w:val="002B7D88"/>
    <w:rsid w:val="0038512F"/>
    <w:rsid w:val="003E6254"/>
    <w:rsid w:val="00434CC5"/>
    <w:rsid w:val="004A4863"/>
    <w:rsid w:val="0062138E"/>
    <w:rsid w:val="007D3621"/>
    <w:rsid w:val="00813B77"/>
    <w:rsid w:val="00834454"/>
    <w:rsid w:val="00902813"/>
    <w:rsid w:val="0092127B"/>
    <w:rsid w:val="009D0AC7"/>
    <w:rsid w:val="00A56AEC"/>
    <w:rsid w:val="00AA2E14"/>
    <w:rsid w:val="00B542C4"/>
    <w:rsid w:val="00C46413"/>
    <w:rsid w:val="00D06DB2"/>
    <w:rsid w:val="00D5378C"/>
    <w:rsid w:val="00D55EC9"/>
    <w:rsid w:val="00F7328D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C5A8"/>
  <w15:chartTrackingRefBased/>
  <w15:docId w15:val="{C533C204-6031-4FFD-848A-9A18DAF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8D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81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D5915D-D57E-4D22-8088-5F091AA5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o'riordan</dc:creator>
  <cp:keywords/>
  <dc:description/>
  <cp:lastModifiedBy>Suzanne Brockhouse</cp:lastModifiedBy>
  <cp:revision>3</cp:revision>
  <dcterms:created xsi:type="dcterms:W3CDTF">2021-01-25T12:28:00Z</dcterms:created>
  <dcterms:modified xsi:type="dcterms:W3CDTF">2021-01-25T12:29:00Z</dcterms:modified>
</cp:coreProperties>
</file>