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C67C73" w14:textId="2DB0FAC7" w:rsidR="00DD2C70" w:rsidRPr="00131E91" w:rsidRDefault="00374FB8" w:rsidP="00E646AB">
      <w:pPr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131E91">
        <w:rPr>
          <w:rFonts w:ascii="Times New Roman" w:hAnsi="Times New Roman" w:cs="Times New Roman"/>
          <w:b/>
          <w:bCs/>
          <w:sz w:val="24"/>
          <w:szCs w:val="24"/>
        </w:rPr>
        <w:t xml:space="preserve">Online </w:t>
      </w:r>
      <w:r w:rsidR="00E646AB" w:rsidRPr="00131E9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131E91">
        <w:rPr>
          <w:rFonts w:ascii="Times New Roman" w:hAnsi="Times New Roman" w:cs="Times New Roman"/>
          <w:b/>
          <w:bCs/>
          <w:sz w:val="24"/>
          <w:szCs w:val="24"/>
        </w:rPr>
        <w:t xml:space="preserve">esource </w:t>
      </w:r>
      <w:r w:rsidR="00E646AB" w:rsidRPr="00131E9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31E9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16DAF" w:rsidRPr="00131E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628B" w:rsidRPr="00131E91">
        <w:rPr>
          <w:rFonts w:ascii="Times New Roman" w:eastAsia="Times New Roman" w:hAnsi="Times New Roman" w:cs="Times New Roman"/>
          <w:sz w:val="24"/>
          <w:szCs w:val="24"/>
        </w:rPr>
        <w:t>Specialist staff available in clinical sites (respondents could select multiple options) mapped by country, with pathway data also shown for comparison. A team was defined as two or more staff members with dedicated time for this work.</w:t>
      </w:r>
      <w:r w:rsidR="00697EAC" w:rsidRPr="00131E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7EAC" w:rsidRPr="00131E91">
        <w:rPr>
          <w:rFonts w:ascii="Times New Roman" w:eastAsia="Times New Roman" w:hAnsi="Times New Roman" w:cs="Times New Roman"/>
          <w:bCs/>
          <w:sz w:val="24"/>
          <w:szCs w:val="24"/>
        </w:rPr>
        <w:t>In error, “non</w:t>
      </w:r>
      <w:bookmarkStart w:id="0" w:name="_GoBack"/>
      <w:bookmarkEnd w:id="0"/>
      <w:r w:rsidR="00697EAC" w:rsidRPr="00131E91">
        <w:rPr>
          <w:rFonts w:ascii="Times New Roman" w:eastAsia="Times New Roman" w:hAnsi="Times New Roman" w:cs="Times New Roman"/>
          <w:bCs/>
          <w:sz w:val="24"/>
          <w:szCs w:val="24"/>
        </w:rPr>
        <w:t xml:space="preserve">e” was not given as an </w:t>
      </w:r>
      <w:r w:rsidR="006C5411" w:rsidRPr="00131E91">
        <w:rPr>
          <w:rFonts w:ascii="Times New Roman" w:eastAsia="Times New Roman" w:hAnsi="Times New Roman" w:cs="Times New Roman"/>
          <w:bCs/>
          <w:sz w:val="24"/>
          <w:szCs w:val="24"/>
        </w:rPr>
        <w:t xml:space="preserve">answer </w:t>
      </w:r>
      <w:r w:rsidR="00697EAC" w:rsidRPr="00131E91">
        <w:rPr>
          <w:rFonts w:ascii="Times New Roman" w:eastAsia="Times New Roman" w:hAnsi="Times New Roman" w:cs="Times New Roman"/>
          <w:bCs/>
          <w:sz w:val="24"/>
          <w:szCs w:val="24"/>
        </w:rPr>
        <w:t xml:space="preserve">option </w:t>
      </w:r>
      <w:r w:rsidR="006C5411" w:rsidRPr="00131E91">
        <w:rPr>
          <w:rFonts w:ascii="Times New Roman" w:eastAsia="Times New Roman" w:hAnsi="Times New Roman" w:cs="Times New Roman"/>
          <w:bCs/>
          <w:sz w:val="24"/>
          <w:szCs w:val="24"/>
        </w:rPr>
        <w:t>for</w:t>
      </w:r>
      <w:r w:rsidR="00697EAC" w:rsidRPr="00131E91">
        <w:rPr>
          <w:rFonts w:ascii="Times New Roman" w:eastAsia="Times New Roman" w:hAnsi="Times New Roman" w:cs="Times New Roman"/>
          <w:bCs/>
          <w:sz w:val="24"/>
          <w:szCs w:val="24"/>
        </w:rPr>
        <w:t xml:space="preserve"> this survey question. </w:t>
      </w:r>
      <w:r w:rsidR="00697EAC" w:rsidRPr="00131E91">
        <w:rPr>
          <w:rFonts w:ascii="Times New Roman" w:eastAsia="Times New Roman" w:hAnsi="Times New Roman" w:cs="Times New Roman"/>
          <w:sz w:val="24"/>
          <w:szCs w:val="24"/>
        </w:rPr>
        <w:t xml:space="preserve">Responses (n=230) exclude the ten respondents who </w:t>
      </w:r>
      <w:r w:rsidR="00697EAC" w:rsidRPr="00131E91">
        <w:rPr>
          <w:rFonts w:ascii="Times New Roman" w:eastAsia="Times New Roman" w:hAnsi="Times New Roman" w:cs="Times New Roman"/>
          <w:bCs/>
          <w:sz w:val="24"/>
          <w:szCs w:val="24"/>
        </w:rPr>
        <w:t xml:space="preserve">clearly indicated they had “no staff” in the </w:t>
      </w:r>
      <w:r w:rsidR="00AF44B6" w:rsidRPr="00131E91">
        <w:rPr>
          <w:rFonts w:ascii="Times New Roman" w:eastAsia="Times New Roman" w:hAnsi="Times New Roman" w:cs="Times New Roman"/>
          <w:bCs/>
          <w:sz w:val="24"/>
          <w:szCs w:val="24"/>
        </w:rPr>
        <w:t>linked</w:t>
      </w:r>
      <w:r w:rsidR="00697EAC" w:rsidRPr="00131E91">
        <w:rPr>
          <w:rFonts w:ascii="Times New Roman" w:eastAsia="Times New Roman" w:hAnsi="Times New Roman" w:cs="Times New Roman"/>
          <w:bCs/>
          <w:sz w:val="24"/>
          <w:szCs w:val="24"/>
        </w:rPr>
        <w:t xml:space="preserve"> open text response.</w:t>
      </w:r>
      <w:r w:rsidR="00847F7A" w:rsidRPr="00131E91">
        <w:rPr>
          <w:noProof/>
          <w:sz w:val="24"/>
          <w:szCs w:val="24"/>
        </w:rPr>
        <w:t xml:space="preserve"> </w:t>
      </w:r>
    </w:p>
    <w:p w14:paraId="46B50C7D" w14:textId="49EA546A" w:rsidR="00847F7A" w:rsidRDefault="00847F7A" w:rsidP="006C5411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31E91">
        <w:rPr>
          <w:rFonts w:ascii="Times New Roman" w:eastAsia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3DB53196" wp14:editId="3BABA4BB">
            <wp:extent cx="8229600" cy="3672840"/>
            <wp:effectExtent l="0" t="0" r="0" b="3810"/>
            <wp:docPr id="856616558" name="Picture 1" descr="A table of information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616558" name="Picture 1" descr="A table of information with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67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EA966" w14:textId="77777777" w:rsidR="00697EAC" w:rsidRDefault="00697EAC" w:rsidP="002D628B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E2770AE" w14:textId="02FD68B0" w:rsidR="009E6CBE" w:rsidRPr="00D17CD4" w:rsidRDefault="009E6CBE" w:rsidP="00E646AB">
      <w:pPr>
        <w:rPr>
          <w:rFonts w:ascii="Times New Roman" w:eastAsia="Calibri" w:hAnsi="Times New Roman" w:cs="Times New Roman"/>
          <w:kern w:val="2"/>
          <w:lang w:val="en-GB"/>
          <w14:ligatures w14:val="standardContextual"/>
        </w:rPr>
      </w:pPr>
    </w:p>
    <w:sectPr w:rsidR="009E6CBE" w:rsidRPr="00D17CD4" w:rsidSect="00131E91">
      <w:footerReference w:type="default" r:id="rId8"/>
      <w:pgSz w:w="15840" w:h="12240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5F3490" w14:textId="77777777" w:rsidR="00950831" w:rsidRDefault="00950831">
      <w:pPr>
        <w:spacing w:line="240" w:lineRule="auto"/>
      </w:pPr>
      <w:r>
        <w:separator/>
      </w:r>
    </w:p>
  </w:endnote>
  <w:endnote w:type="continuationSeparator" w:id="0">
    <w:p w14:paraId="4A5A92E1" w14:textId="77777777" w:rsidR="00950831" w:rsidRDefault="009508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30B2FA" w14:textId="77777777" w:rsidR="00D17CD4" w:rsidRDefault="00D17C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68839D" w14:textId="77777777" w:rsidR="00950831" w:rsidRDefault="00950831">
      <w:pPr>
        <w:spacing w:line="240" w:lineRule="auto"/>
      </w:pPr>
      <w:r>
        <w:separator/>
      </w:r>
    </w:p>
  </w:footnote>
  <w:footnote w:type="continuationSeparator" w:id="0">
    <w:p w14:paraId="66F189ED" w14:textId="77777777" w:rsidR="00950831" w:rsidRDefault="0095083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B15"/>
    <w:rsid w:val="00011DBB"/>
    <w:rsid w:val="00016DAF"/>
    <w:rsid w:val="000817CD"/>
    <w:rsid w:val="000836A0"/>
    <w:rsid w:val="000953FF"/>
    <w:rsid w:val="000A7073"/>
    <w:rsid w:val="000B6B78"/>
    <w:rsid w:val="00131E91"/>
    <w:rsid w:val="00136054"/>
    <w:rsid w:val="001846B6"/>
    <w:rsid w:val="001A52B2"/>
    <w:rsid w:val="001C62F3"/>
    <w:rsid w:val="00212174"/>
    <w:rsid w:val="002D628B"/>
    <w:rsid w:val="003135ED"/>
    <w:rsid w:val="003163CB"/>
    <w:rsid w:val="00321AB2"/>
    <w:rsid w:val="00346656"/>
    <w:rsid w:val="00374FB8"/>
    <w:rsid w:val="00381FB9"/>
    <w:rsid w:val="0041003E"/>
    <w:rsid w:val="004319CB"/>
    <w:rsid w:val="004E6418"/>
    <w:rsid w:val="004F52BA"/>
    <w:rsid w:val="00516A95"/>
    <w:rsid w:val="00580489"/>
    <w:rsid w:val="00596CC6"/>
    <w:rsid w:val="005C6C0C"/>
    <w:rsid w:val="005F5666"/>
    <w:rsid w:val="00620032"/>
    <w:rsid w:val="00636DCD"/>
    <w:rsid w:val="00650B74"/>
    <w:rsid w:val="00697EAC"/>
    <w:rsid w:val="006C5411"/>
    <w:rsid w:val="006F27B0"/>
    <w:rsid w:val="00722BF4"/>
    <w:rsid w:val="00725FB5"/>
    <w:rsid w:val="00727F6B"/>
    <w:rsid w:val="00737277"/>
    <w:rsid w:val="007415B8"/>
    <w:rsid w:val="007570B6"/>
    <w:rsid w:val="00757D1D"/>
    <w:rsid w:val="00776314"/>
    <w:rsid w:val="007B0D53"/>
    <w:rsid w:val="00841B55"/>
    <w:rsid w:val="00847F7A"/>
    <w:rsid w:val="008867FF"/>
    <w:rsid w:val="008A380A"/>
    <w:rsid w:val="008C24E0"/>
    <w:rsid w:val="008E009B"/>
    <w:rsid w:val="008E30BB"/>
    <w:rsid w:val="009004DA"/>
    <w:rsid w:val="00904E67"/>
    <w:rsid w:val="00916BB2"/>
    <w:rsid w:val="00950831"/>
    <w:rsid w:val="00956636"/>
    <w:rsid w:val="0097242B"/>
    <w:rsid w:val="00976482"/>
    <w:rsid w:val="009C542B"/>
    <w:rsid w:val="009E6CBE"/>
    <w:rsid w:val="00A00D50"/>
    <w:rsid w:val="00A0609D"/>
    <w:rsid w:val="00A45AAF"/>
    <w:rsid w:val="00A61F8C"/>
    <w:rsid w:val="00A71E5E"/>
    <w:rsid w:val="00A9160D"/>
    <w:rsid w:val="00AD4E23"/>
    <w:rsid w:val="00AF44B6"/>
    <w:rsid w:val="00B5585F"/>
    <w:rsid w:val="00B70267"/>
    <w:rsid w:val="00B80C9D"/>
    <w:rsid w:val="00BA10A7"/>
    <w:rsid w:val="00C17569"/>
    <w:rsid w:val="00C67C05"/>
    <w:rsid w:val="00C71EAD"/>
    <w:rsid w:val="00D002E9"/>
    <w:rsid w:val="00D01A4F"/>
    <w:rsid w:val="00D10B96"/>
    <w:rsid w:val="00D15233"/>
    <w:rsid w:val="00D17CD4"/>
    <w:rsid w:val="00D4180B"/>
    <w:rsid w:val="00D575A7"/>
    <w:rsid w:val="00D64D78"/>
    <w:rsid w:val="00D73A01"/>
    <w:rsid w:val="00DD2C70"/>
    <w:rsid w:val="00E311A1"/>
    <w:rsid w:val="00E646AB"/>
    <w:rsid w:val="00E654D1"/>
    <w:rsid w:val="00E767D7"/>
    <w:rsid w:val="00EA063F"/>
    <w:rsid w:val="00EE4B6E"/>
    <w:rsid w:val="00F1330E"/>
    <w:rsid w:val="00F22B15"/>
    <w:rsid w:val="00F7702D"/>
    <w:rsid w:val="00FA5857"/>
    <w:rsid w:val="00FC1336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FC5CB"/>
  <w15:docId w15:val="{352BF8DA-12C8-47F7-B297-35B8BB01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n-GB" w:eastAsia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  <w:lang w:val="en-GB" w:eastAsia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n-GB" w:eastAsia="en-GB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table" w:styleId="PlainTable2">
    <w:name w:val="Plain Table 2"/>
    <w:basedOn w:val="TableNormal"/>
    <w:uiPriority w:val="42"/>
    <w:rsid w:val="00A61F8C"/>
    <w:pPr>
      <w:spacing w:line="240" w:lineRule="auto"/>
    </w:pPr>
    <w:rPr>
      <w:rFonts w:eastAsiaTheme="minorHAnsi"/>
      <w:kern w:val="2"/>
      <w:lang w:val="en-GB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E00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00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00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00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009B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E641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5585F"/>
    <w:pPr>
      <w:spacing w:line="240" w:lineRule="auto"/>
    </w:pPr>
  </w:style>
  <w:style w:type="table" w:styleId="GridTable1Light-Accent1">
    <w:name w:val="Grid Table 1 Light Accent 1"/>
    <w:basedOn w:val="TableNormal"/>
    <w:uiPriority w:val="46"/>
    <w:rsid w:val="00B5585F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B5585F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B5585F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QQuestionTable1">
    <w:name w:val="QQuestionTable1"/>
    <w:uiPriority w:val="99"/>
    <w:qFormat/>
    <w:rsid w:val="00650B74"/>
    <w:pPr>
      <w:spacing w:line="240" w:lineRule="auto"/>
      <w:jc w:val="center"/>
    </w:pPr>
    <w:rPr>
      <w:sz w:val="18"/>
      <w:szCs w:val="20"/>
      <w:lang w:val="en-GB" w:eastAsia="en-GB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5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The relationships between dementia, delirium and frailty as perceived by geriatricians across Europe</vt:lpstr>
      <vt:lpstr>The relationships between dementia, delirium and frailty as perceived by geriatricians across Europe</vt:lpstr>
    </vt:vector>
  </TitlesOfParts>
  <Company>Qualtrics</Company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relationships between dementia, delirium and frailty as perceived by geriatricians across Europe</dc:title>
  <dc:subject/>
  <dc:creator>Qualtrics</dc:creator>
  <cp:keywords/>
  <dc:description/>
  <cp:lastModifiedBy>Vignesh G</cp:lastModifiedBy>
  <cp:revision>10</cp:revision>
  <dcterms:created xsi:type="dcterms:W3CDTF">2025-07-17T10:44:00Z</dcterms:created>
  <dcterms:modified xsi:type="dcterms:W3CDTF">2025-12-04T17:52:00Z</dcterms:modified>
</cp:coreProperties>
</file>