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ACB9E" w14:textId="77777777" w:rsidR="0064046F" w:rsidRDefault="0064046F" w:rsidP="0064046F">
      <w:pPr>
        <w:pStyle w:val="Heading1"/>
        <w:jc w:val="both"/>
      </w:pPr>
      <w:bookmarkStart w:id="0" w:name="_GoBack"/>
      <w:bookmarkEnd w:id="0"/>
      <w:r>
        <w:t>Supplementary Material</w:t>
      </w:r>
    </w:p>
    <w:p w14:paraId="5DE95FDF" w14:textId="3B05C8CA" w:rsidR="00010B6D" w:rsidRDefault="00010B6D" w:rsidP="0064046F">
      <w:pPr>
        <w:jc w:val="both"/>
        <w:rPr>
          <w:i/>
          <w:iCs/>
        </w:rPr>
      </w:pPr>
      <w:r>
        <w:rPr>
          <w:i/>
          <w:iCs/>
        </w:rPr>
        <w:t xml:space="preserve">Table </w:t>
      </w:r>
      <w:r w:rsidR="0041332B">
        <w:rPr>
          <w:i/>
          <w:iCs/>
        </w:rPr>
        <w:t xml:space="preserve">S1: Dimensions of the vessel and stirrers </w:t>
      </w:r>
      <w:r w:rsidR="00B42008">
        <w:rPr>
          <w:i/>
          <w:iCs/>
        </w:rPr>
        <w:t xml:space="preserve">on the </w:t>
      </w:r>
      <w:proofErr w:type="spellStart"/>
      <w:r w:rsidR="00B42008">
        <w:rPr>
          <w:i/>
          <w:iCs/>
        </w:rPr>
        <w:t>in</w:t>
      </w:r>
      <w:r w:rsidR="004A37AE">
        <w:rPr>
          <w:i/>
          <w:iCs/>
        </w:rPr>
        <w:t>F</w:t>
      </w:r>
      <w:r w:rsidR="00B42008">
        <w:rPr>
          <w:i/>
          <w:iCs/>
        </w:rPr>
        <w:t>orm</w:t>
      </w:r>
      <w:proofErr w:type="spellEnd"/>
      <w:r w:rsidR="00B42008">
        <w:rPr>
          <w:i/>
          <w:iCs/>
        </w:rPr>
        <w:t xml:space="preserve"> </w:t>
      </w:r>
    </w:p>
    <w:tbl>
      <w:tblPr>
        <w:tblStyle w:val="TableGrid"/>
        <w:tblW w:w="0" w:type="auto"/>
        <w:tblLook w:val="04A0" w:firstRow="1" w:lastRow="0" w:firstColumn="1" w:lastColumn="0" w:noHBand="0" w:noVBand="1"/>
      </w:tblPr>
      <w:tblGrid>
        <w:gridCol w:w="2263"/>
        <w:gridCol w:w="1276"/>
        <w:gridCol w:w="5477"/>
      </w:tblGrid>
      <w:tr w:rsidR="007603F4" w14:paraId="25354FD3" w14:textId="77777777" w:rsidTr="00E96694">
        <w:tc>
          <w:tcPr>
            <w:tcW w:w="2263" w:type="dxa"/>
          </w:tcPr>
          <w:p w14:paraId="684D832A" w14:textId="7F19A024" w:rsidR="007603F4" w:rsidRPr="003F73A9" w:rsidRDefault="007603F4" w:rsidP="001A6DAD">
            <w:pPr>
              <w:rPr>
                <w:b/>
                <w:bCs/>
              </w:rPr>
            </w:pPr>
            <w:r w:rsidRPr="003F73A9">
              <w:rPr>
                <w:b/>
                <w:bCs/>
              </w:rPr>
              <w:t>Component</w:t>
            </w:r>
          </w:p>
        </w:tc>
        <w:tc>
          <w:tcPr>
            <w:tcW w:w="1276" w:type="dxa"/>
          </w:tcPr>
          <w:p w14:paraId="2DCF5A34" w14:textId="6F80783B" w:rsidR="007603F4" w:rsidRPr="003F73A9" w:rsidRDefault="007603F4" w:rsidP="001A6DAD">
            <w:pPr>
              <w:rPr>
                <w:b/>
                <w:bCs/>
              </w:rPr>
            </w:pPr>
            <w:r w:rsidRPr="003F73A9">
              <w:rPr>
                <w:b/>
                <w:bCs/>
              </w:rPr>
              <w:t>Shape</w:t>
            </w:r>
          </w:p>
        </w:tc>
        <w:tc>
          <w:tcPr>
            <w:tcW w:w="5477" w:type="dxa"/>
          </w:tcPr>
          <w:p w14:paraId="00ADC398" w14:textId="0F46E517" w:rsidR="007603F4" w:rsidRPr="003F73A9" w:rsidRDefault="007603F4" w:rsidP="001A6DAD">
            <w:pPr>
              <w:rPr>
                <w:b/>
                <w:bCs/>
              </w:rPr>
            </w:pPr>
            <w:r w:rsidRPr="003F73A9">
              <w:rPr>
                <w:b/>
                <w:bCs/>
              </w:rPr>
              <w:t xml:space="preserve">Dimensions </w:t>
            </w:r>
          </w:p>
        </w:tc>
      </w:tr>
      <w:tr w:rsidR="007603F4" w14:paraId="15064B29" w14:textId="77777777" w:rsidTr="00E96694">
        <w:tc>
          <w:tcPr>
            <w:tcW w:w="2263" w:type="dxa"/>
          </w:tcPr>
          <w:p w14:paraId="09440E93" w14:textId="479F23EC" w:rsidR="007603F4" w:rsidRDefault="007603F4" w:rsidP="001A6DAD">
            <w:r>
              <w:t>Vessel</w:t>
            </w:r>
          </w:p>
        </w:tc>
        <w:tc>
          <w:tcPr>
            <w:tcW w:w="1276" w:type="dxa"/>
          </w:tcPr>
          <w:p w14:paraId="59EFC132" w14:textId="5FA85CAA" w:rsidR="007603F4" w:rsidRPr="00574270" w:rsidRDefault="00E96694" w:rsidP="001A6DAD">
            <w:pPr>
              <w:rPr>
                <w:spacing w:val="-2"/>
              </w:rPr>
            </w:pPr>
            <w:r>
              <w:rPr>
                <w:spacing w:val="-2"/>
              </w:rPr>
              <w:t xml:space="preserve">Cylindrical </w:t>
            </w:r>
          </w:p>
        </w:tc>
        <w:tc>
          <w:tcPr>
            <w:tcW w:w="5477" w:type="dxa"/>
          </w:tcPr>
          <w:p w14:paraId="12EFCFDF" w14:textId="00DF7275" w:rsidR="007603F4" w:rsidRDefault="003A230C" w:rsidP="001A6DAD">
            <w:r>
              <w:rPr>
                <w:spacing w:val="-2"/>
              </w:rPr>
              <w:t>D</w:t>
            </w:r>
            <w:r w:rsidR="007603F4" w:rsidRPr="00574270">
              <w:rPr>
                <w:spacing w:val="-2"/>
              </w:rPr>
              <w:t>iameter 50.0 mm, height 74.9 mm</w:t>
            </w:r>
          </w:p>
        </w:tc>
      </w:tr>
      <w:tr w:rsidR="007603F4" w14:paraId="5E4D01E8" w14:textId="77777777" w:rsidTr="00E96694">
        <w:tc>
          <w:tcPr>
            <w:tcW w:w="2263" w:type="dxa"/>
          </w:tcPr>
          <w:p w14:paraId="2D7E1503" w14:textId="763D1626" w:rsidR="007603F4" w:rsidRDefault="007603F4" w:rsidP="001A6DAD">
            <w:r>
              <w:t>Aqueous Layer paddle</w:t>
            </w:r>
          </w:p>
        </w:tc>
        <w:tc>
          <w:tcPr>
            <w:tcW w:w="1276" w:type="dxa"/>
          </w:tcPr>
          <w:p w14:paraId="72157D48" w14:textId="58413435" w:rsidR="007603F4" w:rsidRDefault="00E96694" w:rsidP="001A6DAD">
            <w:r>
              <w:t>C</w:t>
            </w:r>
            <w:r w:rsidRPr="00E96694">
              <w:t>uboid</w:t>
            </w:r>
          </w:p>
        </w:tc>
        <w:tc>
          <w:tcPr>
            <w:tcW w:w="5477" w:type="dxa"/>
          </w:tcPr>
          <w:p w14:paraId="58F8DD42" w14:textId="7AED675C" w:rsidR="007603F4" w:rsidRDefault="003A230C" w:rsidP="001A6DAD">
            <w:r>
              <w:t>H</w:t>
            </w:r>
            <w:r w:rsidR="001E1C3D">
              <w:t>eight</w:t>
            </w:r>
            <w:r>
              <w:t xml:space="preserve"> </w:t>
            </w:r>
            <w:r w:rsidR="00A63DE5">
              <w:t xml:space="preserve">20 </w:t>
            </w:r>
            <w:r>
              <w:t xml:space="preserve">mm, </w:t>
            </w:r>
            <w:r w:rsidR="003F73A9">
              <w:t xml:space="preserve">length </w:t>
            </w:r>
            <w:r w:rsidR="00A63DE5">
              <w:t xml:space="preserve">22 </w:t>
            </w:r>
            <w:r w:rsidR="003F73A9">
              <w:t xml:space="preserve">mm, depth </w:t>
            </w:r>
            <w:r w:rsidR="006A05D3">
              <w:t xml:space="preserve">1 </w:t>
            </w:r>
            <w:r w:rsidR="003F73A9">
              <w:t>mm</w:t>
            </w:r>
          </w:p>
        </w:tc>
      </w:tr>
      <w:tr w:rsidR="007603F4" w14:paraId="2897A80C" w14:textId="77777777" w:rsidTr="00E96694">
        <w:tc>
          <w:tcPr>
            <w:tcW w:w="2263" w:type="dxa"/>
          </w:tcPr>
          <w:p w14:paraId="1B207070" w14:textId="155F1AD8" w:rsidR="007603F4" w:rsidRDefault="007603F4" w:rsidP="001A6DAD">
            <w:proofErr w:type="spellStart"/>
            <w:r>
              <w:t>Decanol</w:t>
            </w:r>
            <w:proofErr w:type="spellEnd"/>
            <w:r>
              <w:t xml:space="preserve"> Layer paddle</w:t>
            </w:r>
          </w:p>
        </w:tc>
        <w:tc>
          <w:tcPr>
            <w:tcW w:w="1276" w:type="dxa"/>
          </w:tcPr>
          <w:p w14:paraId="43DC9CEC" w14:textId="3F691784" w:rsidR="007603F4" w:rsidRDefault="00E96694" w:rsidP="001A6DAD">
            <w:r>
              <w:t>C</w:t>
            </w:r>
            <w:r w:rsidRPr="00E96694">
              <w:t>uboid</w:t>
            </w:r>
          </w:p>
        </w:tc>
        <w:tc>
          <w:tcPr>
            <w:tcW w:w="5477" w:type="dxa"/>
          </w:tcPr>
          <w:p w14:paraId="4686487C" w14:textId="6F679285" w:rsidR="007603F4" w:rsidRDefault="003F73A9" w:rsidP="001A6DAD">
            <w:r w:rsidRPr="003F73A9">
              <w:t xml:space="preserve">Height </w:t>
            </w:r>
            <w:r w:rsidR="00B83BFD">
              <w:t xml:space="preserve">5 </w:t>
            </w:r>
            <w:r w:rsidRPr="003F73A9">
              <w:t xml:space="preserve">mm, length </w:t>
            </w:r>
            <w:r w:rsidR="00B83BFD">
              <w:t xml:space="preserve">22 </w:t>
            </w:r>
            <w:r w:rsidRPr="003F73A9">
              <w:t xml:space="preserve">mm, depth </w:t>
            </w:r>
            <w:r w:rsidR="006A05D3">
              <w:t xml:space="preserve">1 </w:t>
            </w:r>
            <w:r w:rsidRPr="003F73A9">
              <w:t>mm</w:t>
            </w:r>
          </w:p>
        </w:tc>
      </w:tr>
    </w:tbl>
    <w:p w14:paraId="67F4CFB0" w14:textId="77777777" w:rsidR="004A37AE" w:rsidRDefault="004A37AE" w:rsidP="0064046F">
      <w:pPr>
        <w:jc w:val="both"/>
        <w:rPr>
          <w:i/>
          <w:iCs/>
        </w:rPr>
      </w:pPr>
    </w:p>
    <w:p w14:paraId="223BF0E1" w14:textId="77777777" w:rsidR="0041332B" w:rsidRDefault="0041332B" w:rsidP="0064046F">
      <w:pPr>
        <w:jc w:val="both"/>
        <w:rPr>
          <w:i/>
          <w:iCs/>
        </w:rPr>
      </w:pPr>
    </w:p>
    <w:p w14:paraId="42CBB859" w14:textId="77777777" w:rsidR="00010B6D" w:rsidRDefault="00010B6D" w:rsidP="0064046F">
      <w:pPr>
        <w:jc w:val="both"/>
        <w:rPr>
          <w:i/>
          <w:iCs/>
        </w:rPr>
      </w:pPr>
    </w:p>
    <w:p w14:paraId="78120B30" w14:textId="77777777" w:rsidR="00010B6D" w:rsidRDefault="00010B6D">
      <w:pPr>
        <w:rPr>
          <w:i/>
          <w:iCs/>
        </w:rPr>
      </w:pPr>
      <w:r>
        <w:rPr>
          <w:i/>
          <w:iCs/>
        </w:rPr>
        <w:br w:type="page"/>
      </w:r>
    </w:p>
    <w:p w14:paraId="083237DB" w14:textId="07D0AB89" w:rsidR="0064046F" w:rsidRPr="002E4E2E" w:rsidRDefault="0064046F" w:rsidP="0064046F">
      <w:pPr>
        <w:jc w:val="both"/>
        <w:rPr>
          <w:i/>
          <w:iCs/>
        </w:rPr>
      </w:pPr>
      <w:r w:rsidRPr="002E4E2E">
        <w:rPr>
          <w:i/>
          <w:iCs/>
        </w:rPr>
        <w:lastRenderedPageBreak/>
        <w:t>Table S</w:t>
      </w:r>
      <w:r w:rsidR="009D06EE">
        <w:rPr>
          <w:i/>
          <w:iCs/>
        </w:rPr>
        <w:t>2</w:t>
      </w:r>
      <w:r w:rsidRPr="002E4E2E">
        <w:rPr>
          <w:i/>
          <w:iCs/>
        </w:rPr>
        <w:t xml:space="preserve">: Detection </w:t>
      </w:r>
      <w:r>
        <w:rPr>
          <w:i/>
          <w:iCs/>
        </w:rPr>
        <w:t>w</w:t>
      </w:r>
      <w:r w:rsidRPr="002E4E2E">
        <w:rPr>
          <w:i/>
          <w:iCs/>
        </w:rPr>
        <w:t xml:space="preserve">avelengths used to quantify drugs with the fibre optic UV dip probes  </w:t>
      </w:r>
    </w:p>
    <w:tbl>
      <w:tblPr>
        <w:tblStyle w:val="TableGrid"/>
        <w:tblW w:w="5000" w:type="pct"/>
        <w:tblLook w:val="04A0" w:firstRow="1" w:lastRow="0" w:firstColumn="1" w:lastColumn="0" w:noHBand="0" w:noVBand="1"/>
      </w:tblPr>
      <w:tblGrid>
        <w:gridCol w:w="3114"/>
        <w:gridCol w:w="5902"/>
      </w:tblGrid>
      <w:tr w:rsidR="0064046F" w:rsidRPr="006541C9" w14:paraId="0D131BDD" w14:textId="77777777" w:rsidTr="002A305E">
        <w:tc>
          <w:tcPr>
            <w:tcW w:w="1727" w:type="pct"/>
          </w:tcPr>
          <w:p w14:paraId="09957CAB" w14:textId="77777777" w:rsidR="0064046F" w:rsidRPr="00EB2FAA" w:rsidRDefault="0064046F" w:rsidP="002A305E">
            <w:pPr>
              <w:jc w:val="both"/>
              <w:rPr>
                <w:rFonts w:cstheme="minorHAnsi"/>
                <w:b/>
              </w:rPr>
            </w:pPr>
            <w:r w:rsidRPr="00EB2FAA">
              <w:rPr>
                <w:rFonts w:cstheme="minorHAnsi"/>
                <w:b/>
              </w:rPr>
              <w:t>API</w:t>
            </w:r>
          </w:p>
        </w:tc>
        <w:tc>
          <w:tcPr>
            <w:tcW w:w="3273" w:type="pct"/>
          </w:tcPr>
          <w:p w14:paraId="46DC50C3" w14:textId="77777777" w:rsidR="0064046F" w:rsidRPr="00EB2FAA" w:rsidRDefault="0064046F" w:rsidP="002A305E">
            <w:pPr>
              <w:jc w:val="both"/>
              <w:rPr>
                <w:rFonts w:cstheme="minorHAnsi"/>
                <w:b/>
              </w:rPr>
            </w:pPr>
            <w:r w:rsidRPr="00EB2FAA">
              <w:rPr>
                <w:rFonts w:cstheme="minorHAnsi"/>
                <w:b/>
              </w:rPr>
              <w:t xml:space="preserve">Fibre optic detection spectral range in </w:t>
            </w:r>
            <w:proofErr w:type="spellStart"/>
            <w:r w:rsidRPr="00EB2FAA">
              <w:rPr>
                <w:rFonts w:cstheme="minorHAnsi"/>
                <w:b/>
              </w:rPr>
              <w:t>decanol</w:t>
            </w:r>
            <w:proofErr w:type="spellEnd"/>
            <w:r w:rsidRPr="00EB2FAA">
              <w:rPr>
                <w:rFonts w:cstheme="minorHAnsi"/>
                <w:b/>
              </w:rPr>
              <w:t xml:space="preserve"> (nm)</w:t>
            </w:r>
          </w:p>
        </w:tc>
      </w:tr>
      <w:tr w:rsidR="0064046F" w:rsidRPr="006541C9" w14:paraId="1BEE568D" w14:textId="77777777" w:rsidTr="002A305E">
        <w:tc>
          <w:tcPr>
            <w:tcW w:w="1727" w:type="pct"/>
          </w:tcPr>
          <w:p w14:paraId="3120AAA7" w14:textId="77777777" w:rsidR="0064046F" w:rsidRPr="006541C9" w:rsidRDefault="0064046F" w:rsidP="002A305E">
            <w:pPr>
              <w:jc w:val="both"/>
              <w:rPr>
                <w:rFonts w:cstheme="minorHAnsi"/>
                <w:bCs/>
              </w:rPr>
            </w:pPr>
            <w:r w:rsidRPr="006541C9">
              <w:rPr>
                <w:rFonts w:cstheme="minorHAnsi"/>
                <w:bCs/>
              </w:rPr>
              <w:t>Nilotinib</w:t>
            </w:r>
          </w:p>
        </w:tc>
        <w:tc>
          <w:tcPr>
            <w:tcW w:w="3273" w:type="pct"/>
          </w:tcPr>
          <w:p w14:paraId="4D3F9971" w14:textId="77777777" w:rsidR="0064046F" w:rsidRPr="006541C9" w:rsidRDefault="0064046F" w:rsidP="002A305E">
            <w:pPr>
              <w:jc w:val="both"/>
              <w:rPr>
                <w:rFonts w:eastAsiaTheme="majorEastAsia" w:cstheme="minorHAnsi"/>
              </w:rPr>
            </w:pPr>
            <w:r w:rsidRPr="006541C9">
              <w:rPr>
                <w:rFonts w:eastAsiaTheme="majorEastAsia" w:cstheme="minorHAnsi"/>
              </w:rPr>
              <w:t>305 - 350</w:t>
            </w:r>
          </w:p>
        </w:tc>
      </w:tr>
      <w:tr w:rsidR="0064046F" w:rsidRPr="006541C9" w14:paraId="6AE47D2E" w14:textId="77777777" w:rsidTr="002A305E">
        <w:tc>
          <w:tcPr>
            <w:tcW w:w="1727" w:type="pct"/>
          </w:tcPr>
          <w:p w14:paraId="217B122D" w14:textId="77777777" w:rsidR="0064046F" w:rsidRPr="006541C9" w:rsidRDefault="0064046F" w:rsidP="002A305E">
            <w:pPr>
              <w:jc w:val="both"/>
              <w:rPr>
                <w:rFonts w:cstheme="minorHAnsi"/>
                <w:bCs/>
              </w:rPr>
            </w:pPr>
            <w:r w:rsidRPr="006541C9">
              <w:rPr>
                <w:rFonts w:cstheme="minorHAnsi"/>
                <w:bCs/>
              </w:rPr>
              <w:t>Fenofibrate</w:t>
            </w:r>
          </w:p>
        </w:tc>
        <w:tc>
          <w:tcPr>
            <w:tcW w:w="3273" w:type="pct"/>
          </w:tcPr>
          <w:p w14:paraId="09750F9C" w14:textId="77777777" w:rsidR="0064046F" w:rsidRPr="006541C9" w:rsidRDefault="0064046F" w:rsidP="002A305E">
            <w:pPr>
              <w:jc w:val="both"/>
              <w:rPr>
                <w:rFonts w:eastAsiaTheme="majorEastAsia" w:cstheme="minorHAnsi"/>
              </w:rPr>
            </w:pPr>
            <w:r w:rsidRPr="006541C9">
              <w:rPr>
                <w:rFonts w:eastAsiaTheme="majorEastAsia" w:cstheme="minorHAnsi"/>
              </w:rPr>
              <w:t>310 - 330</w:t>
            </w:r>
          </w:p>
        </w:tc>
      </w:tr>
      <w:tr w:rsidR="0064046F" w:rsidRPr="006541C9" w14:paraId="6BE8C43E" w14:textId="77777777" w:rsidTr="002A305E">
        <w:tc>
          <w:tcPr>
            <w:tcW w:w="1727" w:type="pct"/>
          </w:tcPr>
          <w:p w14:paraId="5AA33FAD" w14:textId="77777777" w:rsidR="0064046F" w:rsidRPr="006541C9" w:rsidRDefault="0064046F" w:rsidP="002A305E">
            <w:pPr>
              <w:jc w:val="both"/>
              <w:rPr>
                <w:rFonts w:cstheme="minorHAnsi"/>
                <w:bCs/>
              </w:rPr>
            </w:pPr>
            <w:r w:rsidRPr="006541C9">
              <w:rPr>
                <w:rFonts w:cstheme="minorHAnsi"/>
                <w:bCs/>
              </w:rPr>
              <w:t>Danazol</w:t>
            </w:r>
          </w:p>
        </w:tc>
        <w:tc>
          <w:tcPr>
            <w:tcW w:w="3273" w:type="pct"/>
          </w:tcPr>
          <w:p w14:paraId="43CEB454" w14:textId="77777777" w:rsidR="0064046F" w:rsidRPr="006541C9" w:rsidRDefault="0064046F" w:rsidP="002A305E">
            <w:pPr>
              <w:jc w:val="both"/>
              <w:rPr>
                <w:rFonts w:eastAsiaTheme="majorEastAsia" w:cstheme="minorHAnsi"/>
              </w:rPr>
            </w:pPr>
            <w:r w:rsidRPr="006541C9">
              <w:rPr>
                <w:rFonts w:eastAsiaTheme="majorEastAsia" w:cstheme="minorHAnsi"/>
              </w:rPr>
              <w:t>300 - 330</w:t>
            </w:r>
          </w:p>
        </w:tc>
      </w:tr>
    </w:tbl>
    <w:p w14:paraId="5BBD7489" w14:textId="77777777" w:rsidR="0064046F" w:rsidRDefault="0064046F" w:rsidP="0064046F">
      <w:pPr>
        <w:jc w:val="both"/>
      </w:pPr>
    </w:p>
    <w:p w14:paraId="0E2C88E9" w14:textId="77777777" w:rsidR="0064046F" w:rsidRDefault="0064046F" w:rsidP="0064046F"/>
    <w:p w14:paraId="5D8CFDA7" w14:textId="77777777" w:rsidR="0064046F" w:rsidRDefault="0064046F" w:rsidP="0064046F">
      <w:r>
        <w:br w:type="page"/>
      </w:r>
    </w:p>
    <w:p w14:paraId="04EBD38D" w14:textId="2CA9616B" w:rsidR="0064046F" w:rsidRPr="005078D0" w:rsidRDefault="0064046F" w:rsidP="0064046F">
      <w:pPr>
        <w:rPr>
          <w:i/>
          <w:iCs/>
        </w:rPr>
      </w:pPr>
      <w:r w:rsidRPr="005078D0">
        <w:rPr>
          <w:i/>
          <w:iCs/>
        </w:rPr>
        <w:lastRenderedPageBreak/>
        <w:t>Table S</w:t>
      </w:r>
      <w:r w:rsidR="009D06EE">
        <w:rPr>
          <w:i/>
          <w:iCs/>
        </w:rPr>
        <w:t>3</w:t>
      </w:r>
      <w:r w:rsidRPr="005078D0">
        <w:rPr>
          <w:i/>
          <w:iCs/>
        </w:rPr>
        <w:t xml:space="preserve">: Digestion rankings from the </w:t>
      </w:r>
      <w:r w:rsidR="00A95ED2">
        <w:rPr>
          <w:i/>
          <w:iCs/>
        </w:rPr>
        <w:t>b</w:t>
      </w:r>
      <w:r w:rsidRPr="005078D0">
        <w:rPr>
          <w:i/>
          <w:iCs/>
        </w:rPr>
        <w:t xml:space="preserve">iphasic </w:t>
      </w:r>
      <w:r w:rsidR="00A95ED2">
        <w:rPr>
          <w:i/>
          <w:iCs/>
        </w:rPr>
        <w:t>l</w:t>
      </w:r>
      <w:r w:rsidRPr="005078D0">
        <w:rPr>
          <w:i/>
          <w:iCs/>
        </w:rPr>
        <w:t xml:space="preserve">ipolysis experiments and pH stat experiments based on the amount of fatty acids liberated after 60 minutes digestion, where 1 = largest amount of digestion. Note digestion information was not provided in the literature for the danazol pH stat experiments so it was not possible to compare the rank-order.  </w:t>
      </w:r>
    </w:p>
    <w:tbl>
      <w:tblPr>
        <w:tblStyle w:val="TableGrid"/>
        <w:tblW w:w="5000" w:type="pct"/>
        <w:jc w:val="center"/>
        <w:tblLook w:val="04A0" w:firstRow="1" w:lastRow="0" w:firstColumn="1" w:lastColumn="0" w:noHBand="0" w:noVBand="1"/>
      </w:tblPr>
      <w:tblGrid>
        <w:gridCol w:w="1697"/>
        <w:gridCol w:w="3659"/>
        <w:gridCol w:w="3660"/>
      </w:tblGrid>
      <w:tr w:rsidR="0064046F" w:rsidRPr="005078D0" w14:paraId="0C4DB650" w14:textId="77777777" w:rsidTr="002A305E">
        <w:trPr>
          <w:trHeight w:val="300"/>
          <w:jc w:val="center"/>
        </w:trPr>
        <w:tc>
          <w:tcPr>
            <w:tcW w:w="941" w:type="pct"/>
            <w:vMerge w:val="restart"/>
            <w:noWrap/>
            <w:vAlign w:val="center"/>
            <w:hideMark/>
          </w:tcPr>
          <w:p w14:paraId="661F8091" w14:textId="77777777" w:rsidR="0064046F" w:rsidRPr="00EB2FAA" w:rsidRDefault="0064046F" w:rsidP="002A305E">
            <w:pPr>
              <w:jc w:val="center"/>
              <w:rPr>
                <w:b/>
                <w:bCs/>
              </w:rPr>
            </w:pPr>
            <w:r w:rsidRPr="00EB2FAA">
              <w:rPr>
                <w:b/>
                <w:bCs/>
              </w:rPr>
              <w:t>Formulation</w:t>
            </w:r>
          </w:p>
        </w:tc>
        <w:tc>
          <w:tcPr>
            <w:tcW w:w="4059" w:type="pct"/>
            <w:gridSpan w:val="2"/>
            <w:noWrap/>
            <w:vAlign w:val="center"/>
            <w:hideMark/>
          </w:tcPr>
          <w:p w14:paraId="61942B4B" w14:textId="77777777" w:rsidR="0064046F" w:rsidRPr="00EB2FAA" w:rsidRDefault="0064046F" w:rsidP="002A305E">
            <w:pPr>
              <w:jc w:val="center"/>
              <w:rPr>
                <w:b/>
                <w:bCs/>
              </w:rPr>
            </w:pPr>
            <w:r w:rsidRPr="00EB2FAA">
              <w:rPr>
                <w:b/>
                <w:bCs/>
              </w:rPr>
              <w:t>Digestion ranking</w:t>
            </w:r>
          </w:p>
        </w:tc>
      </w:tr>
      <w:tr w:rsidR="0064046F" w:rsidRPr="005078D0" w14:paraId="61AB56D7" w14:textId="77777777" w:rsidTr="002A305E">
        <w:trPr>
          <w:trHeight w:val="300"/>
          <w:jc w:val="center"/>
        </w:trPr>
        <w:tc>
          <w:tcPr>
            <w:tcW w:w="941" w:type="pct"/>
            <w:vMerge/>
            <w:vAlign w:val="center"/>
            <w:hideMark/>
          </w:tcPr>
          <w:p w14:paraId="1C57DB47" w14:textId="77777777" w:rsidR="0064046F" w:rsidRPr="00EB2FAA" w:rsidRDefault="0064046F" w:rsidP="002A305E">
            <w:pPr>
              <w:jc w:val="center"/>
              <w:rPr>
                <w:b/>
                <w:bCs/>
              </w:rPr>
            </w:pPr>
          </w:p>
        </w:tc>
        <w:tc>
          <w:tcPr>
            <w:tcW w:w="2029" w:type="pct"/>
            <w:noWrap/>
            <w:vAlign w:val="center"/>
            <w:hideMark/>
          </w:tcPr>
          <w:p w14:paraId="7183FFD1" w14:textId="77777777" w:rsidR="0064046F" w:rsidRPr="00EB2FAA" w:rsidRDefault="0064046F" w:rsidP="002A305E">
            <w:pPr>
              <w:jc w:val="center"/>
              <w:rPr>
                <w:b/>
                <w:bCs/>
              </w:rPr>
            </w:pPr>
            <w:r w:rsidRPr="00EB2FAA">
              <w:rPr>
                <w:b/>
                <w:bCs/>
              </w:rPr>
              <w:t>Biphasic lipolysis</w:t>
            </w:r>
          </w:p>
        </w:tc>
        <w:tc>
          <w:tcPr>
            <w:tcW w:w="2030" w:type="pct"/>
            <w:noWrap/>
            <w:vAlign w:val="center"/>
            <w:hideMark/>
          </w:tcPr>
          <w:p w14:paraId="6FF9EAA3" w14:textId="77777777" w:rsidR="0064046F" w:rsidRPr="00EB2FAA" w:rsidRDefault="0064046F" w:rsidP="002A305E">
            <w:pPr>
              <w:jc w:val="center"/>
              <w:rPr>
                <w:b/>
                <w:bCs/>
              </w:rPr>
            </w:pPr>
            <w:r w:rsidRPr="00EB2FAA">
              <w:rPr>
                <w:b/>
                <w:bCs/>
              </w:rPr>
              <w:t>pH stat</w:t>
            </w:r>
          </w:p>
        </w:tc>
      </w:tr>
      <w:tr w:rsidR="0064046F" w:rsidRPr="005078D0" w14:paraId="04513A9F" w14:textId="77777777" w:rsidTr="002A305E">
        <w:trPr>
          <w:trHeight w:val="300"/>
          <w:jc w:val="center"/>
        </w:trPr>
        <w:tc>
          <w:tcPr>
            <w:tcW w:w="5000" w:type="pct"/>
            <w:gridSpan w:val="3"/>
            <w:noWrap/>
            <w:vAlign w:val="center"/>
            <w:hideMark/>
          </w:tcPr>
          <w:p w14:paraId="052F580A" w14:textId="77777777" w:rsidR="0064046F" w:rsidRPr="00EB2FAA" w:rsidRDefault="0064046F" w:rsidP="002A305E">
            <w:pPr>
              <w:jc w:val="center"/>
              <w:rPr>
                <w:b/>
                <w:bCs/>
              </w:rPr>
            </w:pPr>
            <w:r w:rsidRPr="00EB2FAA">
              <w:rPr>
                <w:b/>
                <w:bCs/>
              </w:rPr>
              <w:t xml:space="preserve">Nilotinib LBFs from Koehl </w:t>
            </w:r>
            <w:r w:rsidRPr="00EB2FAA">
              <w:rPr>
                <w:b/>
                <w:bCs/>
                <w:i/>
                <w:iCs/>
              </w:rPr>
              <w:t>et al.</w:t>
            </w:r>
            <w:r w:rsidRPr="00EB2FAA">
              <w:rPr>
                <w:b/>
                <w:bCs/>
                <w:i/>
                <w:iCs/>
              </w:rPr>
              <w:fldChar w:fldCharType="begin" w:fldLock="1"/>
            </w:r>
            <w:r w:rsidRPr="00EB2FAA">
              <w:rPr>
                <w:b/>
                <w:bCs/>
                <w:i/>
                <w:iCs/>
              </w:rPr>
              <w:instrText>ADDIN CSL_CITATION {"citationItems":[{"id":"ITEM-1","itemData":{"author":[{"dropping-particle":"","family":"Koehl","given":"Niklas J","non-dropping-particle":"","parse-names":false,"suffix":""},{"dropping-particle":"","family":"Holm","given":"René","non-dropping-particle":"","parse-names":false,"suffix":""},{"dropping-particle":"","family":"Kuentz","given":"Martin","non-dropping-particle":"","parse-names":false,"suffix":""},{"dropping-particle":"","family":"Griffin","given":"Brendan T","non-dropping-particle":"","parse-names":false,"suffix":""}],"container-title":"Pharm Res","id":"ITEM-1","issue":"56","issued":{"date-parts":[["2019"]]},"publisher":"Pharmaceutical Research","title":"New Insights into Using Lipid Based Suspensions for ‘ Brick Dust ’ Molecules : Case Study of Nilotinib","type":"article-journal","volume":"36"},"uris":["http://www.mendeley.com/documents/?uuid=438c8680-64c4-49b7-a320-b831d96aa14b"]}],"mendeley":{"formattedCitation":"&lt;sup&gt;27&lt;/sup&gt;","plainTextFormattedCitation":"27","previouslyFormattedCitation":"&lt;sup&gt;27&lt;/sup&gt;"},"properties":{"noteIndex":0},"schema":"https://github.com/citation-style-language/schema/raw/master/csl-citation.json"}</w:instrText>
            </w:r>
            <w:r w:rsidRPr="00EB2FAA">
              <w:rPr>
                <w:b/>
                <w:bCs/>
                <w:i/>
                <w:iCs/>
              </w:rPr>
              <w:fldChar w:fldCharType="separate"/>
            </w:r>
            <w:r w:rsidRPr="00EB2FAA">
              <w:rPr>
                <w:b/>
                <w:bCs/>
                <w:iCs/>
                <w:noProof/>
                <w:vertAlign w:val="superscript"/>
              </w:rPr>
              <w:t>27</w:t>
            </w:r>
            <w:r w:rsidRPr="00EB2FAA">
              <w:rPr>
                <w:b/>
                <w:bCs/>
                <w:i/>
                <w:iCs/>
              </w:rPr>
              <w:fldChar w:fldCharType="end"/>
            </w:r>
          </w:p>
        </w:tc>
      </w:tr>
      <w:tr w:rsidR="0064046F" w:rsidRPr="005078D0" w14:paraId="3C7EE9F1" w14:textId="77777777" w:rsidTr="002A305E">
        <w:trPr>
          <w:trHeight w:val="300"/>
          <w:jc w:val="center"/>
        </w:trPr>
        <w:tc>
          <w:tcPr>
            <w:tcW w:w="941" w:type="pct"/>
            <w:noWrap/>
            <w:vAlign w:val="center"/>
            <w:hideMark/>
          </w:tcPr>
          <w:p w14:paraId="3B42A813" w14:textId="77777777" w:rsidR="0064046F" w:rsidRPr="005078D0" w:rsidRDefault="0064046F" w:rsidP="002A305E">
            <w:pPr>
              <w:jc w:val="center"/>
            </w:pPr>
            <w:proofErr w:type="spellStart"/>
            <w:r w:rsidRPr="005078D0">
              <w:t>Peceol</w:t>
            </w:r>
            <w:proofErr w:type="spellEnd"/>
          </w:p>
        </w:tc>
        <w:tc>
          <w:tcPr>
            <w:tcW w:w="2029" w:type="pct"/>
            <w:noWrap/>
            <w:vAlign w:val="center"/>
            <w:hideMark/>
          </w:tcPr>
          <w:p w14:paraId="0736B13B" w14:textId="77777777" w:rsidR="0064046F" w:rsidRPr="005078D0" w:rsidRDefault="0064046F" w:rsidP="002A305E">
            <w:pPr>
              <w:jc w:val="center"/>
            </w:pPr>
            <w:r w:rsidRPr="005078D0">
              <w:t>2</w:t>
            </w:r>
          </w:p>
        </w:tc>
        <w:tc>
          <w:tcPr>
            <w:tcW w:w="2030" w:type="pct"/>
            <w:noWrap/>
            <w:vAlign w:val="center"/>
            <w:hideMark/>
          </w:tcPr>
          <w:p w14:paraId="5839CD1E" w14:textId="77777777" w:rsidR="0064046F" w:rsidRPr="005078D0" w:rsidRDefault="0064046F" w:rsidP="002A305E">
            <w:pPr>
              <w:jc w:val="center"/>
            </w:pPr>
            <w:r w:rsidRPr="005078D0">
              <w:t>3</w:t>
            </w:r>
          </w:p>
        </w:tc>
      </w:tr>
      <w:tr w:rsidR="0064046F" w:rsidRPr="005078D0" w14:paraId="3550512F" w14:textId="77777777" w:rsidTr="002A305E">
        <w:trPr>
          <w:trHeight w:val="300"/>
          <w:jc w:val="center"/>
        </w:trPr>
        <w:tc>
          <w:tcPr>
            <w:tcW w:w="941" w:type="pct"/>
            <w:noWrap/>
            <w:vAlign w:val="center"/>
            <w:hideMark/>
          </w:tcPr>
          <w:p w14:paraId="6BE1878F" w14:textId="77777777" w:rsidR="0064046F" w:rsidRPr="005078D0" w:rsidRDefault="0064046F" w:rsidP="002A305E">
            <w:pPr>
              <w:jc w:val="center"/>
            </w:pPr>
            <w:proofErr w:type="spellStart"/>
            <w:r w:rsidRPr="005078D0">
              <w:t>Capmul</w:t>
            </w:r>
            <w:proofErr w:type="spellEnd"/>
            <w:r w:rsidRPr="005078D0">
              <w:t xml:space="preserve"> MCM</w:t>
            </w:r>
          </w:p>
        </w:tc>
        <w:tc>
          <w:tcPr>
            <w:tcW w:w="2029" w:type="pct"/>
            <w:noWrap/>
            <w:vAlign w:val="center"/>
            <w:hideMark/>
          </w:tcPr>
          <w:p w14:paraId="461A5DF4" w14:textId="77777777" w:rsidR="0064046F" w:rsidRPr="005078D0" w:rsidRDefault="0064046F" w:rsidP="002A305E">
            <w:pPr>
              <w:jc w:val="center"/>
            </w:pPr>
            <w:r w:rsidRPr="005078D0">
              <w:t>1</w:t>
            </w:r>
          </w:p>
        </w:tc>
        <w:tc>
          <w:tcPr>
            <w:tcW w:w="2030" w:type="pct"/>
            <w:noWrap/>
            <w:vAlign w:val="center"/>
            <w:hideMark/>
          </w:tcPr>
          <w:p w14:paraId="7C932DC8" w14:textId="77777777" w:rsidR="0064046F" w:rsidRPr="005078D0" w:rsidRDefault="0064046F" w:rsidP="002A305E">
            <w:pPr>
              <w:jc w:val="center"/>
            </w:pPr>
            <w:r w:rsidRPr="005078D0">
              <w:t>1</w:t>
            </w:r>
          </w:p>
        </w:tc>
      </w:tr>
      <w:tr w:rsidR="0064046F" w:rsidRPr="005078D0" w14:paraId="0C47B578" w14:textId="77777777" w:rsidTr="002A305E">
        <w:trPr>
          <w:trHeight w:val="300"/>
          <w:jc w:val="center"/>
        </w:trPr>
        <w:tc>
          <w:tcPr>
            <w:tcW w:w="941" w:type="pct"/>
            <w:noWrap/>
            <w:vAlign w:val="center"/>
            <w:hideMark/>
          </w:tcPr>
          <w:p w14:paraId="654757E8" w14:textId="77777777" w:rsidR="0064046F" w:rsidRPr="005078D0" w:rsidRDefault="0064046F" w:rsidP="002A305E">
            <w:pPr>
              <w:jc w:val="center"/>
            </w:pPr>
            <w:proofErr w:type="spellStart"/>
            <w:r w:rsidRPr="005078D0">
              <w:t>Captex</w:t>
            </w:r>
            <w:proofErr w:type="spellEnd"/>
            <w:r w:rsidRPr="005078D0">
              <w:t xml:space="preserve"> 1000</w:t>
            </w:r>
          </w:p>
        </w:tc>
        <w:tc>
          <w:tcPr>
            <w:tcW w:w="2029" w:type="pct"/>
            <w:noWrap/>
            <w:vAlign w:val="center"/>
            <w:hideMark/>
          </w:tcPr>
          <w:p w14:paraId="7D044555" w14:textId="77777777" w:rsidR="0064046F" w:rsidRPr="005078D0" w:rsidRDefault="0064046F" w:rsidP="002A305E">
            <w:pPr>
              <w:jc w:val="center"/>
            </w:pPr>
            <w:r w:rsidRPr="005078D0">
              <w:t>3</w:t>
            </w:r>
          </w:p>
        </w:tc>
        <w:tc>
          <w:tcPr>
            <w:tcW w:w="2030" w:type="pct"/>
            <w:noWrap/>
            <w:vAlign w:val="center"/>
            <w:hideMark/>
          </w:tcPr>
          <w:p w14:paraId="27E4B6DB" w14:textId="77777777" w:rsidR="0064046F" w:rsidRPr="005078D0" w:rsidRDefault="0064046F" w:rsidP="002A305E">
            <w:pPr>
              <w:jc w:val="center"/>
            </w:pPr>
            <w:r w:rsidRPr="005078D0">
              <w:t>2</w:t>
            </w:r>
          </w:p>
        </w:tc>
      </w:tr>
      <w:tr w:rsidR="0064046F" w:rsidRPr="005078D0" w14:paraId="1597FCD2" w14:textId="77777777" w:rsidTr="002A305E">
        <w:trPr>
          <w:trHeight w:val="300"/>
          <w:jc w:val="center"/>
        </w:trPr>
        <w:tc>
          <w:tcPr>
            <w:tcW w:w="941" w:type="pct"/>
            <w:noWrap/>
            <w:vAlign w:val="center"/>
            <w:hideMark/>
          </w:tcPr>
          <w:p w14:paraId="36098221" w14:textId="77777777" w:rsidR="0064046F" w:rsidRPr="005078D0" w:rsidRDefault="0064046F" w:rsidP="002A305E">
            <w:pPr>
              <w:jc w:val="center"/>
            </w:pPr>
            <w:r w:rsidRPr="005078D0">
              <w:t>Olive Oil</w:t>
            </w:r>
          </w:p>
        </w:tc>
        <w:tc>
          <w:tcPr>
            <w:tcW w:w="2029" w:type="pct"/>
            <w:noWrap/>
            <w:vAlign w:val="center"/>
            <w:hideMark/>
          </w:tcPr>
          <w:p w14:paraId="25D1F50C" w14:textId="77777777" w:rsidR="0064046F" w:rsidRPr="005078D0" w:rsidRDefault="0064046F" w:rsidP="002A305E">
            <w:pPr>
              <w:jc w:val="center"/>
            </w:pPr>
            <w:r w:rsidRPr="005078D0">
              <w:t>4</w:t>
            </w:r>
          </w:p>
        </w:tc>
        <w:tc>
          <w:tcPr>
            <w:tcW w:w="2030" w:type="pct"/>
            <w:noWrap/>
            <w:vAlign w:val="center"/>
            <w:hideMark/>
          </w:tcPr>
          <w:p w14:paraId="02B284A9" w14:textId="77777777" w:rsidR="0064046F" w:rsidRPr="005078D0" w:rsidRDefault="0064046F" w:rsidP="002A305E">
            <w:pPr>
              <w:jc w:val="center"/>
            </w:pPr>
            <w:r w:rsidRPr="005078D0">
              <w:t>4</w:t>
            </w:r>
          </w:p>
        </w:tc>
      </w:tr>
      <w:tr w:rsidR="0064046F" w:rsidRPr="005078D0" w14:paraId="38E70120" w14:textId="77777777" w:rsidTr="002A305E">
        <w:trPr>
          <w:trHeight w:val="300"/>
          <w:jc w:val="center"/>
        </w:trPr>
        <w:tc>
          <w:tcPr>
            <w:tcW w:w="5000" w:type="pct"/>
            <w:gridSpan w:val="3"/>
            <w:noWrap/>
            <w:vAlign w:val="center"/>
            <w:hideMark/>
          </w:tcPr>
          <w:p w14:paraId="02CACB54" w14:textId="77777777" w:rsidR="0064046F" w:rsidRPr="00EB2FAA" w:rsidRDefault="0064046F" w:rsidP="002A305E">
            <w:pPr>
              <w:jc w:val="center"/>
              <w:rPr>
                <w:b/>
                <w:bCs/>
              </w:rPr>
            </w:pPr>
            <w:r w:rsidRPr="00EB2FAA">
              <w:rPr>
                <w:b/>
                <w:bCs/>
              </w:rPr>
              <w:t xml:space="preserve">Fenofibrate LBFs from Griffin </w:t>
            </w:r>
            <w:r w:rsidRPr="00EB2FAA">
              <w:rPr>
                <w:b/>
                <w:bCs/>
                <w:i/>
                <w:iCs/>
              </w:rPr>
              <w:t>et al.</w:t>
            </w:r>
            <w:r w:rsidRPr="00EB2FAA">
              <w:rPr>
                <w:b/>
                <w:bCs/>
                <w:i/>
                <w:iCs/>
              </w:rPr>
              <w:fldChar w:fldCharType="begin" w:fldLock="1"/>
            </w:r>
            <w:r w:rsidRPr="00EB2FAA">
              <w:rPr>
                <w:b/>
                <w:bCs/>
                <w:i/>
                <w:iCs/>
              </w:rPr>
              <w:instrText>ADDIN CSL_CITATION {"citationItems":[{"id":"ITEM-1","itemData":{"DOI":"10.1111/jphp.12767","abstract":"Abstract Objectives Mesoporous silicas (SLC) have demonstrated considerable potential to improve bioavailability of poorly soluble drugs by facilitating rapid dissolution and generating supersaturation. The addition of certain polymers can further enhance the dissolution of these formulations by preventing drug precipitation. This study uses fenofibrate as a model drug to investigate the performance of an SLC-based formulation, delivered with hydroxypropyl methylcellulose acetate succinate (HPMCAS) as a precipitation inhibitor, in pigs. The ability of biorelevant dissolution testing to predict the in vivo performance was also assessed. Key findings Fenofibrate-loaded mesoporous silica (FF-SLC), together with HPMCAS, displayed significant improvements in biorelevant dissolution tests relative to a reference formulation consisting of a physical mixture of crystalline fenofibrate with HPMCAS. In vivo assessment in fasted pigs demonstrated bioavailabilities of 86.69 ± 35.37% with combination of FF-SLC and HPMCAS in capsule form and 75.47 ± 14.58% as a suspension, compared to 19.92 ± 9.89% with the reference formulation. A positive correlation was identified between bioavailability and dissolution efficiency. Conclusions The substantial improvements in bioavailability of fenofibrate from the SLC-based formulations confirm the ability of this formulation strategy to overcome the dissolution and solubility limitations, further raising the prospects of a future commercially available SLC-based formulation.","author":[{"dropping-particle":"","family":"O'Shea","given":"Joseph P","non-dropping-particle":"","parse-names":false,"suffix":""},{"dropping-particle":"","family":"Nagarsekar","given":"Kalpa","non-dropping-particle":"","parse-names":false,"suffix":""},{"dropping-particle":"","family":"Wieber","given":"Alena","non-dropping-particle":"","parse-names":false,"suffix":""},{"dropping-particle":"","family":"Witt","given":"Vanessa","non-dropping-particle":"","parse-names":false,"suffix":""},{"dropping-particle":"","family":"Herbert","given":"Elisabeth","non-dropping-particle":"","parse-names":false,"suffix":""},{"dropping-particle":"","family":"O'Driscoll","given":"Caitriona M","non-dropping-particle":"","parse-names":false,"suffix":""},{"dropping-particle":"","family":"Saal","given":"Christoph","non-dropping-particle":"","parse-names":false,"suffix":""},{"dropping-particle":"","family":"Lubda","given":"Dieter","non-dropping-particle":"","parse-names":false,"suffix":""},{"dropping-particle":"","family":"Griffin","given":"Brendan T","non-dropping-particle":"","parse-names":false,"suffix":""},{"dropping-particle":"","family":"Dressman","given":"Jennifer B","non-dropping-particle":"","parse-names":false,"suffix":""}],"container-title":"Journal of Pharmacy and Pharmacology","id":"ITEM-1","issue":"10","issued":{"date-parts":[["2017"]]},"page":"1284-1292","title":"Mesoporous silica-based dosage forms improve bioavailability of poorly soluble drugs in pigs: case example fenofibrate","type":"article-journal","volume":"69"},"uris":["http://www.mendeley.com/documents/?uuid=cace6704-ffc2-4793-b87a-a3fe8999374e"]}],"mendeley":{"formattedCitation":"&lt;sup&gt;37&lt;/sup&gt;","plainTextFormattedCitation":"37","previouslyFormattedCitation":"&lt;sup&gt;37&lt;/sup&gt;"},"properties":{"noteIndex":0},"schema":"https://github.com/citation-style-language/schema/raw/master/csl-citation.json"}</w:instrText>
            </w:r>
            <w:r w:rsidRPr="00EB2FAA">
              <w:rPr>
                <w:b/>
                <w:bCs/>
                <w:i/>
                <w:iCs/>
              </w:rPr>
              <w:fldChar w:fldCharType="separate"/>
            </w:r>
            <w:r w:rsidRPr="00EB2FAA">
              <w:rPr>
                <w:b/>
                <w:bCs/>
                <w:iCs/>
                <w:noProof/>
                <w:vertAlign w:val="superscript"/>
              </w:rPr>
              <w:t>37</w:t>
            </w:r>
            <w:r w:rsidRPr="00EB2FAA">
              <w:rPr>
                <w:b/>
                <w:bCs/>
                <w:i/>
                <w:iCs/>
              </w:rPr>
              <w:fldChar w:fldCharType="end"/>
            </w:r>
          </w:p>
        </w:tc>
      </w:tr>
      <w:tr w:rsidR="0064046F" w:rsidRPr="005078D0" w14:paraId="7EC97EC0" w14:textId="77777777" w:rsidTr="002A305E">
        <w:trPr>
          <w:trHeight w:val="300"/>
          <w:jc w:val="center"/>
        </w:trPr>
        <w:tc>
          <w:tcPr>
            <w:tcW w:w="941" w:type="pct"/>
            <w:noWrap/>
            <w:vAlign w:val="center"/>
            <w:hideMark/>
          </w:tcPr>
          <w:p w14:paraId="1122F788" w14:textId="77777777" w:rsidR="0064046F" w:rsidRPr="005078D0" w:rsidRDefault="0064046F" w:rsidP="002A305E">
            <w:pPr>
              <w:jc w:val="center"/>
            </w:pPr>
            <w:r w:rsidRPr="005078D0">
              <w:t>Type IIIA MC</w:t>
            </w:r>
          </w:p>
        </w:tc>
        <w:tc>
          <w:tcPr>
            <w:tcW w:w="2029" w:type="pct"/>
            <w:noWrap/>
            <w:vAlign w:val="center"/>
            <w:hideMark/>
          </w:tcPr>
          <w:p w14:paraId="057ECACA" w14:textId="77777777" w:rsidR="0064046F" w:rsidRPr="005078D0" w:rsidRDefault="0064046F" w:rsidP="002A305E">
            <w:pPr>
              <w:jc w:val="center"/>
            </w:pPr>
            <w:r w:rsidRPr="005078D0">
              <w:t>1</w:t>
            </w:r>
          </w:p>
        </w:tc>
        <w:tc>
          <w:tcPr>
            <w:tcW w:w="2030" w:type="pct"/>
            <w:noWrap/>
            <w:vAlign w:val="center"/>
            <w:hideMark/>
          </w:tcPr>
          <w:p w14:paraId="6C366B91" w14:textId="77777777" w:rsidR="0064046F" w:rsidRPr="005078D0" w:rsidRDefault="0064046F" w:rsidP="002A305E">
            <w:pPr>
              <w:jc w:val="center"/>
            </w:pPr>
            <w:r w:rsidRPr="005078D0">
              <w:t>1</w:t>
            </w:r>
          </w:p>
        </w:tc>
      </w:tr>
      <w:tr w:rsidR="0064046F" w:rsidRPr="005078D0" w14:paraId="1696A4E9" w14:textId="77777777" w:rsidTr="002A305E">
        <w:trPr>
          <w:trHeight w:val="300"/>
          <w:jc w:val="center"/>
        </w:trPr>
        <w:tc>
          <w:tcPr>
            <w:tcW w:w="941" w:type="pct"/>
            <w:noWrap/>
            <w:vAlign w:val="center"/>
            <w:hideMark/>
          </w:tcPr>
          <w:p w14:paraId="13108D4E" w14:textId="77777777" w:rsidR="0064046F" w:rsidRPr="005078D0" w:rsidRDefault="0064046F" w:rsidP="002A305E">
            <w:pPr>
              <w:jc w:val="center"/>
            </w:pPr>
            <w:r w:rsidRPr="005078D0">
              <w:t>Type IIIA LC</w:t>
            </w:r>
          </w:p>
        </w:tc>
        <w:tc>
          <w:tcPr>
            <w:tcW w:w="2029" w:type="pct"/>
            <w:noWrap/>
            <w:vAlign w:val="center"/>
            <w:hideMark/>
          </w:tcPr>
          <w:p w14:paraId="7D099F0E" w14:textId="77777777" w:rsidR="0064046F" w:rsidRPr="005078D0" w:rsidRDefault="0064046F" w:rsidP="002A305E">
            <w:pPr>
              <w:jc w:val="center"/>
            </w:pPr>
            <w:r w:rsidRPr="005078D0">
              <w:t>2</w:t>
            </w:r>
          </w:p>
        </w:tc>
        <w:tc>
          <w:tcPr>
            <w:tcW w:w="2030" w:type="pct"/>
            <w:noWrap/>
            <w:vAlign w:val="center"/>
            <w:hideMark/>
          </w:tcPr>
          <w:p w14:paraId="7527E55A" w14:textId="77777777" w:rsidR="0064046F" w:rsidRPr="005078D0" w:rsidRDefault="0064046F" w:rsidP="002A305E">
            <w:pPr>
              <w:jc w:val="center"/>
            </w:pPr>
            <w:r w:rsidRPr="005078D0">
              <w:t>2</w:t>
            </w:r>
          </w:p>
        </w:tc>
      </w:tr>
      <w:tr w:rsidR="0064046F" w:rsidRPr="005078D0" w14:paraId="58F72D65" w14:textId="77777777" w:rsidTr="002A305E">
        <w:trPr>
          <w:trHeight w:val="300"/>
          <w:jc w:val="center"/>
        </w:trPr>
        <w:tc>
          <w:tcPr>
            <w:tcW w:w="941" w:type="pct"/>
            <w:noWrap/>
            <w:vAlign w:val="center"/>
            <w:hideMark/>
          </w:tcPr>
          <w:p w14:paraId="2C4131D2" w14:textId="77777777" w:rsidR="0064046F" w:rsidRPr="005078D0" w:rsidRDefault="0064046F" w:rsidP="002A305E">
            <w:pPr>
              <w:jc w:val="center"/>
            </w:pPr>
            <w:r w:rsidRPr="005078D0">
              <w:t>Type IIIB/IV</w:t>
            </w:r>
          </w:p>
        </w:tc>
        <w:tc>
          <w:tcPr>
            <w:tcW w:w="2029" w:type="pct"/>
            <w:noWrap/>
            <w:vAlign w:val="center"/>
            <w:hideMark/>
          </w:tcPr>
          <w:p w14:paraId="5C212173" w14:textId="77777777" w:rsidR="0064046F" w:rsidRPr="005078D0" w:rsidRDefault="0064046F" w:rsidP="002A305E">
            <w:pPr>
              <w:jc w:val="center"/>
            </w:pPr>
            <w:r w:rsidRPr="005078D0">
              <w:t>3</w:t>
            </w:r>
          </w:p>
        </w:tc>
        <w:tc>
          <w:tcPr>
            <w:tcW w:w="2030" w:type="pct"/>
            <w:noWrap/>
            <w:vAlign w:val="center"/>
            <w:hideMark/>
          </w:tcPr>
          <w:p w14:paraId="7E0D22A6" w14:textId="77777777" w:rsidR="0064046F" w:rsidRPr="005078D0" w:rsidRDefault="0064046F" w:rsidP="002A305E">
            <w:pPr>
              <w:jc w:val="center"/>
            </w:pPr>
            <w:r w:rsidRPr="005078D0">
              <w:t>3</w:t>
            </w:r>
          </w:p>
        </w:tc>
      </w:tr>
      <w:tr w:rsidR="0064046F" w:rsidRPr="005078D0" w14:paraId="04FF1415" w14:textId="77777777" w:rsidTr="002A305E">
        <w:trPr>
          <w:trHeight w:val="300"/>
          <w:jc w:val="center"/>
        </w:trPr>
        <w:tc>
          <w:tcPr>
            <w:tcW w:w="5000" w:type="pct"/>
            <w:gridSpan w:val="3"/>
            <w:noWrap/>
            <w:vAlign w:val="center"/>
            <w:hideMark/>
          </w:tcPr>
          <w:p w14:paraId="1D955588" w14:textId="77777777" w:rsidR="0064046F" w:rsidRPr="00EB2FAA" w:rsidRDefault="0064046F" w:rsidP="002A305E">
            <w:pPr>
              <w:jc w:val="center"/>
              <w:rPr>
                <w:b/>
                <w:bCs/>
              </w:rPr>
            </w:pPr>
            <w:r w:rsidRPr="00EB2FAA">
              <w:rPr>
                <w:b/>
                <w:bCs/>
              </w:rPr>
              <w:t xml:space="preserve">Fenofibrate LBFs from Fei </w:t>
            </w:r>
            <w:r w:rsidRPr="00EB2FAA">
              <w:rPr>
                <w:b/>
                <w:bCs/>
                <w:i/>
                <w:iCs/>
              </w:rPr>
              <w:t>et al.</w:t>
            </w:r>
            <w:r w:rsidRPr="00EB2FAA">
              <w:rPr>
                <w:b/>
                <w:bCs/>
                <w:i/>
                <w:iCs/>
              </w:rPr>
              <w:fldChar w:fldCharType="begin" w:fldLock="1"/>
            </w:r>
            <w:r w:rsidRPr="00EB2FAA">
              <w:rPr>
                <w:b/>
                <w:bCs/>
                <w:i/>
                <w:iCs/>
              </w:rPr>
              <w:instrText>ADDIN CSL_CITATION {"citationItems":[{"id":"ITEM-1","itemData":{"DOI":"10.1016/j.ejpb.2013.03.001","ISSN":"09396411","PMID":"23500116","abstract":"Lipid-based formulations have established a significant role in the formulation of poorly soluble drugs for oral administration. In order to better understand their potential advantages over solid oral dosage forms, we studied the solubility and dissolution/precipitation characteristics of three self-microemulsifying drug delivery system (SMEDDS) formulations and one suspension of micronized fenofibrate in lipid excipients, for which pharmacokinetic studies had already been reported in the open literature. The in vitro dispersion/dissolution studies were carried out in biorelevant media using USP II apparatus. These were followed up by in silico simulations using STELLA® software, in which not only dispersion/dissolution, but also the precipitation and re-dissolution of fenofibrate was taken into account. While unformulated drug exhibited poor solubility (0.22 μg/mL in FaSSGF and 4.31 μg/mL in FaSSIF-V2(PO4)) and dissolved less than 2% in dissolution tests, the solubility of fenofibrate in the presence of the lipid excipients increased dramatically (e.g., to 65.44 μg/mL in the presence of the Myritol 318/TPGS/Tween 80 SMEDDS) and there was an attendant increase in the dissolution (over 80% from capsules containing the Myritol 318/TPGS/Tween 80 SMEDDS and about 20% from the dispersion of fenofibrate in lipid excipients). For the four lipid-based fenofibrate formulations studied, combining in vitro data in biorelevant media with in silico simulation resulted in accurate prediction of the in vivo human plasma profiles. The point estimates of C(max) and AUC ratio calculated from the in silico and in vivo plasma profiles fell within the 0.8-1.25 range for the SMEDDS solution and capsule formulations, suggesting an accurate simulation of the in vivo profiles. This similarity was confirmed by calculation of the respective f2 factors. Sensitivity analysis of the simulation profiles revealed that the SMEDDS formulations had virtually removed any dependency of absorption on the dissolution rate in the small intestine, whereas for the dispersion in lipid excipients, this barrier remained. Such results pave the way to optimizing the performance of oral lipid-based formulations via an in vitro-in silico-in vivo approach.","author":[{"dropping-particle":"","family":"Fei","given":"Yang","non-dropping-particle":"","parse-names":false,"suffix":""},{"dropping-particle":"","family":"Kostewicz","given":"Edmund S.","non-dropping-particle":"","parse-names":false,"suffix":""},{"dropping-particle":"","family":"Sheu","given":"Ming-Thau","non-dropping-particle":"","parse-names":false,"suffix":""},{"dropping-particle":"","family":"Dressman","given":"Jennifer B.","non-dropping-particle":"","parse-names":false,"suffix":""}],"container-title":"European Journal of Pharmaceutics and Biopharmaceutics","id":"ITEM-1","issue":"3","issued":{"date-parts":[["2013","11"]]},"page":"1274-1284","title":"Analysis of the enhanced oral bioavailability of fenofibrate lipid formulations in fasted humans using an in vitro–in silico–in vivo approach","type":"article-journal","volume":"85"},"uris":["http://www.mendeley.com/documents/?uuid=d67f5f54-e0e3-4e28-bc32-92489a733cbb"]}],"mendeley":{"formattedCitation":"&lt;sup&gt;29&lt;/sup&gt;","plainTextFormattedCitation":"29","previouslyFormattedCitation":"&lt;sup&gt;29&lt;/sup&gt;"},"properties":{"noteIndex":0},"schema":"https://github.com/citation-style-language/schema/raw/master/csl-citation.json"}</w:instrText>
            </w:r>
            <w:r w:rsidRPr="00EB2FAA">
              <w:rPr>
                <w:b/>
                <w:bCs/>
                <w:i/>
                <w:iCs/>
              </w:rPr>
              <w:fldChar w:fldCharType="separate"/>
            </w:r>
            <w:r w:rsidRPr="00EB2FAA">
              <w:rPr>
                <w:b/>
                <w:bCs/>
                <w:iCs/>
                <w:noProof/>
                <w:vertAlign w:val="superscript"/>
              </w:rPr>
              <w:t>29</w:t>
            </w:r>
            <w:r w:rsidRPr="00EB2FAA">
              <w:rPr>
                <w:b/>
                <w:bCs/>
                <w:i/>
                <w:iCs/>
              </w:rPr>
              <w:fldChar w:fldCharType="end"/>
            </w:r>
          </w:p>
        </w:tc>
      </w:tr>
      <w:tr w:rsidR="0064046F" w:rsidRPr="005078D0" w14:paraId="15DC03FD" w14:textId="77777777" w:rsidTr="002A305E">
        <w:trPr>
          <w:trHeight w:val="300"/>
          <w:jc w:val="center"/>
        </w:trPr>
        <w:tc>
          <w:tcPr>
            <w:tcW w:w="941" w:type="pct"/>
            <w:noWrap/>
            <w:vAlign w:val="center"/>
            <w:hideMark/>
          </w:tcPr>
          <w:p w14:paraId="48B21CA8" w14:textId="77777777" w:rsidR="0064046F" w:rsidRPr="005078D0" w:rsidRDefault="0064046F" w:rsidP="002A305E">
            <w:pPr>
              <w:jc w:val="center"/>
            </w:pPr>
            <w:r w:rsidRPr="005078D0">
              <w:t>E5 (80)</w:t>
            </w:r>
          </w:p>
        </w:tc>
        <w:tc>
          <w:tcPr>
            <w:tcW w:w="2029" w:type="pct"/>
            <w:noWrap/>
            <w:vAlign w:val="center"/>
            <w:hideMark/>
          </w:tcPr>
          <w:p w14:paraId="74022741" w14:textId="77777777" w:rsidR="0064046F" w:rsidRPr="005078D0" w:rsidRDefault="0064046F" w:rsidP="002A305E">
            <w:pPr>
              <w:jc w:val="center"/>
            </w:pPr>
            <w:r w:rsidRPr="005078D0">
              <w:t>1</w:t>
            </w:r>
          </w:p>
        </w:tc>
        <w:tc>
          <w:tcPr>
            <w:tcW w:w="2030" w:type="pct"/>
            <w:noWrap/>
            <w:vAlign w:val="center"/>
            <w:hideMark/>
          </w:tcPr>
          <w:p w14:paraId="11A8DABB" w14:textId="77777777" w:rsidR="0064046F" w:rsidRPr="005078D0" w:rsidRDefault="0064046F" w:rsidP="002A305E">
            <w:pPr>
              <w:jc w:val="center"/>
            </w:pPr>
            <w:r w:rsidRPr="005078D0">
              <w:t>1</w:t>
            </w:r>
          </w:p>
        </w:tc>
      </w:tr>
      <w:tr w:rsidR="0064046F" w:rsidRPr="005078D0" w14:paraId="6C4AAF73" w14:textId="77777777" w:rsidTr="002A305E">
        <w:trPr>
          <w:trHeight w:val="70"/>
          <w:jc w:val="center"/>
        </w:trPr>
        <w:tc>
          <w:tcPr>
            <w:tcW w:w="941" w:type="pct"/>
            <w:noWrap/>
            <w:vAlign w:val="center"/>
            <w:hideMark/>
          </w:tcPr>
          <w:p w14:paraId="3491C266" w14:textId="77777777" w:rsidR="0064046F" w:rsidRPr="005078D0" w:rsidRDefault="0064046F" w:rsidP="002A305E">
            <w:pPr>
              <w:jc w:val="center"/>
            </w:pPr>
            <w:r w:rsidRPr="005078D0">
              <w:t>E5 (20)</w:t>
            </w:r>
          </w:p>
        </w:tc>
        <w:tc>
          <w:tcPr>
            <w:tcW w:w="2029" w:type="pct"/>
            <w:noWrap/>
            <w:vAlign w:val="center"/>
            <w:hideMark/>
          </w:tcPr>
          <w:p w14:paraId="56DB9374" w14:textId="77777777" w:rsidR="0064046F" w:rsidRPr="005078D0" w:rsidRDefault="0064046F" w:rsidP="002A305E">
            <w:pPr>
              <w:jc w:val="center"/>
            </w:pPr>
            <w:r w:rsidRPr="005078D0">
              <w:t>2</w:t>
            </w:r>
          </w:p>
        </w:tc>
        <w:tc>
          <w:tcPr>
            <w:tcW w:w="2030" w:type="pct"/>
            <w:noWrap/>
            <w:vAlign w:val="center"/>
            <w:hideMark/>
          </w:tcPr>
          <w:p w14:paraId="40B49F29" w14:textId="77777777" w:rsidR="0064046F" w:rsidRPr="005078D0" w:rsidRDefault="0064046F" w:rsidP="002A305E">
            <w:pPr>
              <w:jc w:val="center"/>
            </w:pPr>
            <w:r w:rsidRPr="005078D0">
              <w:t>2</w:t>
            </w:r>
          </w:p>
        </w:tc>
      </w:tr>
      <w:tr w:rsidR="0064046F" w:rsidRPr="005078D0" w14:paraId="5E0EAAED" w14:textId="77777777" w:rsidTr="002A305E">
        <w:trPr>
          <w:trHeight w:val="300"/>
          <w:jc w:val="center"/>
        </w:trPr>
        <w:tc>
          <w:tcPr>
            <w:tcW w:w="941" w:type="pct"/>
            <w:noWrap/>
            <w:vAlign w:val="center"/>
            <w:hideMark/>
          </w:tcPr>
          <w:p w14:paraId="0839BA87" w14:textId="77777777" w:rsidR="0064046F" w:rsidRPr="005078D0" w:rsidRDefault="0064046F" w:rsidP="002A305E">
            <w:pPr>
              <w:jc w:val="center"/>
            </w:pPr>
            <w:r w:rsidRPr="005078D0">
              <w:t>MDS</w:t>
            </w:r>
          </w:p>
        </w:tc>
        <w:tc>
          <w:tcPr>
            <w:tcW w:w="2029" w:type="pct"/>
            <w:noWrap/>
            <w:vAlign w:val="center"/>
            <w:hideMark/>
          </w:tcPr>
          <w:p w14:paraId="29B58850" w14:textId="77777777" w:rsidR="0064046F" w:rsidRPr="005078D0" w:rsidRDefault="0064046F" w:rsidP="002A305E">
            <w:pPr>
              <w:jc w:val="center"/>
            </w:pPr>
            <w:r w:rsidRPr="005078D0">
              <w:t>3</w:t>
            </w:r>
          </w:p>
        </w:tc>
        <w:tc>
          <w:tcPr>
            <w:tcW w:w="2030" w:type="pct"/>
            <w:noWrap/>
            <w:vAlign w:val="center"/>
            <w:hideMark/>
          </w:tcPr>
          <w:p w14:paraId="343B328A" w14:textId="77777777" w:rsidR="0064046F" w:rsidRPr="005078D0" w:rsidRDefault="0064046F" w:rsidP="002A305E">
            <w:pPr>
              <w:jc w:val="center"/>
            </w:pPr>
            <w:r w:rsidRPr="005078D0">
              <w:t>3</w:t>
            </w:r>
          </w:p>
        </w:tc>
      </w:tr>
    </w:tbl>
    <w:p w14:paraId="73C03B48" w14:textId="77777777" w:rsidR="0064046F" w:rsidRPr="005078D0" w:rsidRDefault="0064046F" w:rsidP="0064046F">
      <w:r w:rsidRPr="005078D0">
        <w:br w:type="page"/>
      </w:r>
    </w:p>
    <w:p w14:paraId="30AF3CA8" w14:textId="77777777" w:rsidR="0064046F" w:rsidRDefault="0064046F" w:rsidP="0064046F">
      <w:pPr>
        <w:jc w:val="both"/>
        <w:sectPr w:rsidR="0064046F" w:rsidSect="00D7496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14:paraId="4DB6CA7A" w14:textId="77777777" w:rsidR="0064046F" w:rsidRPr="00E108CB" w:rsidRDefault="0064046F" w:rsidP="0064046F">
      <w:pPr>
        <w:spacing w:line="360" w:lineRule="auto"/>
        <w:jc w:val="both"/>
        <w:rPr>
          <w:i/>
          <w:iCs/>
        </w:rPr>
      </w:pPr>
      <w:r w:rsidRPr="00E108CB">
        <w:rPr>
          <w:i/>
          <w:iCs/>
          <w:noProof/>
          <w:lang w:val="de-CH" w:eastAsia="de-CH"/>
        </w:rPr>
        <w:lastRenderedPageBreak/>
        <w:drawing>
          <wp:anchor distT="0" distB="0" distL="114300" distR="114300" simplePos="0" relativeHeight="251660288" behindDoc="0" locked="0" layoutInCell="1" allowOverlap="1" wp14:anchorId="7B4A5A8C" wp14:editId="6E80AE1C">
            <wp:simplePos x="0" y="0"/>
            <wp:positionH relativeFrom="column">
              <wp:posOffset>4552950</wp:posOffset>
            </wp:positionH>
            <wp:positionV relativeFrom="paragraph">
              <wp:posOffset>0</wp:posOffset>
            </wp:positionV>
            <wp:extent cx="4572000" cy="2600325"/>
            <wp:effectExtent l="0" t="0" r="0" b="9525"/>
            <wp:wrapSquare wrapText="bothSides"/>
            <wp:docPr id="9" name="Chart 9">
              <a:extLst xmlns:a="http://schemas.openxmlformats.org/drawingml/2006/main">
                <a:ext uri="{FF2B5EF4-FFF2-40B4-BE49-F238E27FC236}">
                  <a16:creationId xmlns:a16="http://schemas.microsoft.com/office/drawing/2014/main" id="{02F823DD-437D-4E05-8F19-BBF935588D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Pr="00E108CB">
        <w:rPr>
          <w:i/>
          <w:iCs/>
          <w:noProof/>
          <w:lang w:val="de-CH" w:eastAsia="de-CH"/>
        </w:rPr>
        <w:drawing>
          <wp:anchor distT="0" distB="0" distL="114300" distR="114300" simplePos="0" relativeHeight="251659264" behindDoc="0" locked="0" layoutInCell="1" allowOverlap="1" wp14:anchorId="59A44EBF" wp14:editId="0F6DE8DB">
            <wp:simplePos x="0" y="0"/>
            <wp:positionH relativeFrom="column">
              <wp:posOffset>0</wp:posOffset>
            </wp:positionH>
            <wp:positionV relativeFrom="paragraph">
              <wp:posOffset>0</wp:posOffset>
            </wp:positionV>
            <wp:extent cx="4581525" cy="2600325"/>
            <wp:effectExtent l="0" t="0" r="9525" b="9525"/>
            <wp:wrapSquare wrapText="bothSides"/>
            <wp:docPr id="1" name="Chart 1">
              <a:extLst xmlns:a="http://schemas.openxmlformats.org/drawingml/2006/main">
                <a:ext uri="{FF2B5EF4-FFF2-40B4-BE49-F238E27FC236}">
                  <a16:creationId xmlns:a16="http://schemas.microsoft.com/office/drawing/2014/main" id="{1B0BF414-9628-4972-A92F-5B34CBC3D8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Pr="00E108CB">
        <w:rPr>
          <w:i/>
          <w:iCs/>
        </w:rPr>
        <w:t xml:space="preserve">Figure S1: In vitro in vivo relationship (IVIVR) for the nilotinib LBFs with pharmacokinetic (PK) data in rats available. Left: </w:t>
      </w:r>
      <w:r w:rsidRPr="00E108CB">
        <w:rPr>
          <w:rFonts w:cstheme="minorHAnsi"/>
          <w:i/>
          <w:iCs/>
        </w:rPr>
        <w:t xml:space="preserve">Sprague Dawley rat AUC </w:t>
      </w:r>
      <w:r w:rsidRPr="00E108CB">
        <w:rPr>
          <w:rFonts w:cstheme="minorHAnsi"/>
          <w:i/>
          <w:iCs/>
          <w:vertAlign w:val="subscript"/>
        </w:rPr>
        <w:t>0-inf</w:t>
      </w:r>
      <w:r w:rsidRPr="00E108CB">
        <w:rPr>
          <w:i/>
          <w:iCs/>
        </w:rPr>
        <w:t xml:space="preserve"> vs. biphasic lipolysis data based on percentage of the dose partitioned into the </w:t>
      </w:r>
      <w:proofErr w:type="spellStart"/>
      <w:r w:rsidRPr="00E108CB">
        <w:rPr>
          <w:i/>
          <w:iCs/>
        </w:rPr>
        <w:t>decanol</w:t>
      </w:r>
      <w:proofErr w:type="spellEnd"/>
      <w:r w:rsidRPr="00E108CB">
        <w:rPr>
          <w:i/>
          <w:iCs/>
        </w:rPr>
        <w:t xml:space="preserve"> layer after 60 minutes, R</w:t>
      </w:r>
      <w:r w:rsidRPr="00E108CB">
        <w:rPr>
          <w:i/>
          <w:iCs/>
          <w:vertAlign w:val="superscript"/>
        </w:rPr>
        <w:t>2</w:t>
      </w:r>
      <w:r w:rsidRPr="00E108CB">
        <w:rPr>
          <w:i/>
          <w:iCs/>
        </w:rPr>
        <w:t xml:space="preserve"> = 0.8064. Right: </w:t>
      </w:r>
      <w:r w:rsidRPr="00E108CB">
        <w:rPr>
          <w:rFonts w:cstheme="minorHAnsi"/>
          <w:i/>
          <w:iCs/>
        </w:rPr>
        <w:t xml:space="preserve">Sprague Dawley rat AUC </w:t>
      </w:r>
      <w:r w:rsidRPr="00E108CB">
        <w:rPr>
          <w:rFonts w:cstheme="minorHAnsi"/>
          <w:i/>
          <w:iCs/>
          <w:vertAlign w:val="subscript"/>
        </w:rPr>
        <w:t>0-inf</w:t>
      </w:r>
      <w:r w:rsidRPr="00E108CB">
        <w:rPr>
          <w:i/>
          <w:iCs/>
        </w:rPr>
        <w:t xml:space="preserve"> vs. pH stat data based on the percentage of the dose in the aqueous phase after 60 minutes digestion, R</w:t>
      </w:r>
      <w:r w:rsidRPr="00E108CB">
        <w:rPr>
          <w:i/>
          <w:iCs/>
          <w:vertAlign w:val="superscript"/>
        </w:rPr>
        <w:t>2</w:t>
      </w:r>
      <w:r w:rsidRPr="00E108CB">
        <w:rPr>
          <w:i/>
          <w:iCs/>
        </w:rPr>
        <w:t xml:space="preserve"> = 0.1497. Each data point represents the mean ± SD. AP = aqueous micellar phase </w:t>
      </w:r>
    </w:p>
    <w:p w14:paraId="7882952A" w14:textId="77777777" w:rsidR="0064046F" w:rsidRDefault="0064046F" w:rsidP="0064046F">
      <w:r>
        <w:br w:type="page"/>
      </w:r>
    </w:p>
    <w:p w14:paraId="44A16D36" w14:textId="77777777" w:rsidR="0064046F" w:rsidRPr="00E108CB" w:rsidRDefault="0064046F" w:rsidP="0064046F">
      <w:pPr>
        <w:spacing w:line="360" w:lineRule="auto"/>
        <w:jc w:val="both"/>
        <w:rPr>
          <w:i/>
          <w:iCs/>
        </w:rPr>
      </w:pPr>
      <w:r w:rsidRPr="00E108CB">
        <w:rPr>
          <w:i/>
          <w:iCs/>
          <w:noProof/>
          <w:lang w:val="de-CH" w:eastAsia="de-CH"/>
        </w:rPr>
        <w:lastRenderedPageBreak/>
        <w:drawing>
          <wp:anchor distT="0" distB="0" distL="114300" distR="114300" simplePos="0" relativeHeight="251662336" behindDoc="0" locked="0" layoutInCell="1" allowOverlap="1" wp14:anchorId="068AC984" wp14:editId="15618A06">
            <wp:simplePos x="0" y="0"/>
            <wp:positionH relativeFrom="margin">
              <wp:align>left</wp:align>
            </wp:positionH>
            <wp:positionV relativeFrom="paragraph">
              <wp:posOffset>0</wp:posOffset>
            </wp:positionV>
            <wp:extent cx="4810125" cy="2600325"/>
            <wp:effectExtent l="0" t="0" r="9525" b="9525"/>
            <wp:wrapSquare wrapText="bothSides"/>
            <wp:docPr id="10" name="Chart 10">
              <a:extLst xmlns:a="http://schemas.openxmlformats.org/drawingml/2006/main">
                <a:ext uri="{FF2B5EF4-FFF2-40B4-BE49-F238E27FC236}">
                  <a16:creationId xmlns:a16="http://schemas.microsoft.com/office/drawing/2014/main" id="{4A8E14FE-596D-41AF-9A19-D71DB192B6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Pr="00E108CB">
        <w:rPr>
          <w:i/>
          <w:iCs/>
          <w:noProof/>
          <w:lang w:val="de-CH" w:eastAsia="de-CH"/>
        </w:rPr>
        <w:drawing>
          <wp:anchor distT="0" distB="0" distL="114300" distR="114300" simplePos="0" relativeHeight="251661312" behindDoc="0" locked="0" layoutInCell="1" allowOverlap="1" wp14:anchorId="59F8BD14" wp14:editId="367A8B3F">
            <wp:simplePos x="0" y="0"/>
            <wp:positionH relativeFrom="column">
              <wp:posOffset>4800600</wp:posOffset>
            </wp:positionH>
            <wp:positionV relativeFrom="paragraph">
              <wp:posOffset>0</wp:posOffset>
            </wp:positionV>
            <wp:extent cx="4572000" cy="2600325"/>
            <wp:effectExtent l="0" t="0" r="0" b="9525"/>
            <wp:wrapSquare wrapText="bothSides"/>
            <wp:docPr id="11" name="Chart 11">
              <a:extLst xmlns:a="http://schemas.openxmlformats.org/drawingml/2006/main">
                <a:ext uri="{FF2B5EF4-FFF2-40B4-BE49-F238E27FC236}">
                  <a16:creationId xmlns:a16="http://schemas.microsoft.com/office/drawing/2014/main" id="{324AB77F-DE8C-4F76-924A-BE6F96BAFF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Pr="00E108CB">
        <w:rPr>
          <w:i/>
          <w:iCs/>
        </w:rPr>
        <w:t xml:space="preserve">Figure S2: IVIVR for the fenofibrate LBFs with PK data in pigs available. Left: </w:t>
      </w:r>
      <w:r w:rsidRPr="00E108CB">
        <w:rPr>
          <w:rFonts w:cstheme="minorHAnsi"/>
          <w:i/>
          <w:iCs/>
          <w:lang w:val="en-US"/>
        </w:rPr>
        <w:t xml:space="preserve">Landrace pigs </w:t>
      </w:r>
      <w:r w:rsidRPr="00E108CB">
        <w:rPr>
          <w:rFonts w:cstheme="minorHAnsi"/>
          <w:i/>
          <w:iCs/>
        </w:rPr>
        <w:t xml:space="preserve">AUC </w:t>
      </w:r>
      <w:r w:rsidRPr="00E108CB">
        <w:rPr>
          <w:i/>
          <w:iCs/>
        </w:rPr>
        <w:t xml:space="preserve">vs. biphasic lipolysis data based on percentage of the dose partitioned into the </w:t>
      </w:r>
      <w:proofErr w:type="spellStart"/>
      <w:r w:rsidRPr="00E108CB">
        <w:rPr>
          <w:i/>
          <w:iCs/>
        </w:rPr>
        <w:t>decanol</w:t>
      </w:r>
      <w:proofErr w:type="spellEnd"/>
      <w:r w:rsidRPr="00E108CB">
        <w:rPr>
          <w:i/>
          <w:iCs/>
        </w:rPr>
        <w:t xml:space="preserve"> layer after 60 minutes, R</w:t>
      </w:r>
      <w:r w:rsidRPr="00E108CB">
        <w:rPr>
          <w:i/>
          <w:iCs/>
          <w:vertAlign w:val="superscript"/>
        </w:rPr>
        <w:t>2</w:t>
      </w:r>
      <w:r w:rsidRPr="00E108CB">
        <w:rPr>
          <w:i/>
          <w:iCs/>
        </w:rPr>
        <w:t xml:space="preserve"> = 0.9786. Right: </w:t>
      </w:r>
      <w:r w:rsidRPr="00E108CB">
        <w:rPr>
          <w:rFonts w:cstheme="minorHAnsi"/>
          <w:i/>
          <w:iCs/>
          <w:lang w:val="en-US"/>
        </w:rPr>
        <w:t>Landrace pigs AUC</w:t>
      </w:r>
      <w:r w:rsidRPr="00E108CB">
        <w:rPr>
          <w:i/>
          <w:iCs/>
        </w:rPr>
        <w:t xml:space="preserve"> vs. pH stat data based on the percentage of the dose in the aqueous phase after 60 minutes digestion, R</w:t>
      </w:r>
      <w:r w:rsidRPr="00E108CB">
        <w:rPr>
          <w:i/>
          <w:iCs/>
          <w:vertAlign w:val="superscript"/>
        </w:rPr>
        <w:t>2</w:t>
      </w:r>
      <w:r w:rsidRPr="00E108CB">
        <w:rPr>
          <w:i/>
          <w:iCs/>
        </w:rPr>
        <w:t xml:space="preserve"> = 0.0608. Each data point represents the mean ± SD. AP = aqueous micellar phase</w:t>
      </w:r>
    </w:p>
    <w:p w14:paraId="7FE77B51" w14:textId="77777777" w:rsidR="0064046F" w:rsidRDefault="0064046F" w:rsidP="0064046F">
      <w:r>
        <w:br w:type="page"/>
      </w:r>
    </w:p>
    <w:p w14:paraId="6E72D64C" w14:textId="77777777" w:rsidR="0064046F" w:rsidRPr="00E108CB" w:rsidRDefault="0064046F" w:rsidP="0064046F">
      <w:pPr>
        <w:spacing w:line="360" w:lineRule="auto"/>
        <w:jc w:val="both"/>
        <w:rPr>
          <w:i/>
          <w:iCs/>
        </w:rPr>
      </w:pPr>
      <w:r w:rsidRPr="00E108CB">
        <w:rPr>
          <w:i/>
          <w:iCs/>
          <w:noProof/>
          <w:lang w:val="de-CH" w:eastAsia="de-CH"/>
        </w:rPr>
        <w:lastRenderedPageBreak/>
        <w:drawing>
          <wp:anchor distT="0" distB="0" distL="114300" distR="114300" simplePos="0" relativeHeight="251663360" behindDoc="0" locked="0" layoutInCell="1" allowOverlap="1" wp14:anchorId="163CC7B5" wp14:editId="34C619BC">
            <wp:simplePos x="0" y="0"/>
            <wp:positionH relativeFrom="margin">
              <wp:posOffset>4572000</wp:posOffset>
            </wp:positionH>
            <wp:positionV relativeFrom="paragraph">
              <wp:posOffset>0</wp:posOffset>
            </wp:positionV>
            <wp:extent cx="4705350" cy="2619375"/>
            <wp:effectExtent l="0" t="0" r="0" b="9525"/>
            <wp:wrapSquare wrapText="bothSides"/>
            <wp:docPr id="13" name="Chart 13">
              <a:extLst xmlns:a="http://schemas.openxmlformats.org/drawingml/2006/main">
                <a:ext uri="{FF2B5EF4-FFF2-40B4-BE49-F238E27FC236}">
                  <a16:creationId xmlns:a16="http://schemas.microsoft.com/office/drawing/2014/main" id="{F345A1BC-ED75-4D4B-9385-96C7E84898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Pr="00E108CB">
        <w:rPr>
          <w:i/>
          <w:iCs/>
          <w:noProof/>
          <w:lang w:val="de-CH" w:eastAsia="de-CH"/>
        </w:rPr>
        <w:drawing>
          <wp:anchor distT="0" distB="0" distL="114300" distR="114300" simplePos="0" relativeHeight="251664384" behindDoc="0" locked="0" layoutInCell="1" allowOverlap="1" wp14:anchorId="2ED616DE" wp14:editId="663806C2">
            <wp:simplePos x="0" y="0"/>
            <wp:positionH relativeFrom="margin">
              <wp:align>left</wp:align>
            </wp:positionH>
            <wp:positionV relativeFrom="paragraph">
              <wp:posOffset>0</wp:posOffset>
            </wp:positionV>
            <wp:extent cx="4619625" cy="2619375"/>
            <wp:effectExtent l="0" t="0" r="9525" b="9525"/>
            <wp:wrapSquare wrapText="bothSides"/>
            <wp:docPr id="12" name="Chart 12">
              <a:extLst xmlns:a="http://schemas.openxmlformats.org/drawingml/2006/main">
                <a:ext uri="{FF2B5EF4-FFF2-40B4-BE49-F238E27FC236}">
                  <a16:creationId xmlns:a16="http://schemas.microsoft.com/office/drawing/2014/main" id="{91017A46-C009-4D21-8A22-687191525F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Pr="00E108CB">
        <w:rPr>
          <w:i/>
          <w:iCs/>
        </w:rPr>
        <w:t xml:space="preserve">Figure S3: IVIVR for the fenofibrate LBFs with PK data in humans available. Left: </w:t>
      </w:r>
      <w:r w:rsidRPr="00E108CB">
        <w:rPr>
          <w:rFonts w:cstheme="minorHAnsi"/>
          <w:i/>
          <w:iCs/>
        </w:rPr>
        <w:t xml:space="preserve">human AUC </w:t>
      </w:r>
      <w:r w:rsidRPr="00E108CB">
        <w:rPr>
          <w:i/>
          <w:iCs/>
        </w:rPr>
        <w:t xml:space="preserve">vs. biphasic lipolysis data based on percentage of the dose partitioned into the </w:t>
      </w:r>
      <w:proofErr w:type="spellStart"/>
      <w:r w:rsidRPr="00E108CB">
        <w:rPr>
          <w:i/>
          <w:iCs/>
        </w:rPr>
        <w:t>decanol</w:t>
      </w:r>
      <w:proofErr w:type="spellEnd"/>
      <w:r w:rsidRPr="00E108CB">
        <w:rPr>
          <w:i/>
          <w:iCs/>
        </w:rPr>
        <w:t xml:space="preserve"> layer after 60 minutes, R</w:t>
      </w:r>
      <w:r w:rsidRPr="00E108CB">
        <w:rPr>
          <w:i/>
          <w:iCs/>
          <w:vertAlign w:val="superscript"/>
        </w:rPr>
        <w:t>2</w:t>
      </w:r>
      <w:r w:rsidRPr="00E108CB">
        <w:rPr>
          <w:i/>
          <w:iCs/>
        </w:rPr>
        <w:t xml:space="preserve"> = 0.9076. Right: </w:t>
      </w:r>
      <w:r w:rsidRPr="00E108CB">
        <w:rPr>
          <w:rFonts w:cstheme="minorHAnsi"/>
          <w:i/>
          <w:iCs/>
        </w:rPr>
        <w:t xml:space="preserve">Human </w:t>
      </w:r>
      <w:r w:rsidRPr="00E108CB">
        <w:rPr>
          <w:i/>
          <w:iCs/>
        </w:rPr>
        <w:t>AUC vs. pH stat data based on the percentage of the dose in the aqueous phase after 60 minutes digestion, R</w:t>
      </w:r>
      <w:r w:rsidRPr="00E108CB">
        <w:rPr>
          <w:i/>
          <w:iCs/>
          <w:vertAlign w:val="superscript"/>
        </w:rPr>
        <w:t>2</w:t>
      </w:r>
      <w:r w:rsidRPr="00E108CB">
        <w:rPr>
          <w:i/>
          <w:iCs/>
        </w:rPr>
        <w:t xml:space="preserve"> = 0.8548. Each data point represents the mean ± SD. AP = aqueous micellar phase</w:t>
      </w:r>
    </w:p>
    <w:p w14:paraId="469415D3" w14:textId="77777777" w:rsidR="0064046F" w:rsidRDefault="0064046F" w:rsidP="0064046F">
      <w:r>
        <w:br w:type="page"/>
      </w:r>
    </w:p>
    <w:p w14:paraId="3A160F01" w14:textId="77777777" w:rsidR="0064046F" w:rsidRPr="00E108CB" w:rsidRDefault="0064046F" w:rsidP="0064046F">
      <w:pPr>
        <w:spacing w:line="360" w:lineRule="auto"/>
        <w:jc w:val="both"/>
        <w:rPr>
          <w:i/>
          <w:iCs/>
        </w:rPr>
      </w:pPr>
      <w:r w:rsidRPr="00E108CB">
        <w:rPr>
          <w:i/>
          <w:iCs/>
          <w:noProof/>
          <w:lang w:val="de-CH" w:eastAsia="de-CH"/>
        </w:rPr>
        <w:lastRenderedPageBreak/>
        <w:drawing>
          <wp:anchor distT="0" distB="0" distL="114300" distR="114300" simplePos="0" relativeHeight="251666432" behindDoc="0" locked="0" layoutInCell="1" allowOverlap="1" wp14:anchorId="0E681E97" wp14:editId="4B6A3FBA">
            <wp:simplePos x="0" y="0"/>
            <wp:positionH relativeFrom="column">
              <wp:posOffset>4727575</wp:posOffset>
            </wp:positionH>
            <wp:positionV relativeFrom="paragraph">
              <wp:posOffset>0</wp:posOffset>
            </wp:positionV>
            <wp:extent cx="4727575" cy="2609850"/>
            <wp:effectExtent l="0" t="0" r="15875" b="0"/>
            <wp:wrapSquare wrapText="bothSides"/>
            <wp:docPr id="15" name="Chart 15">
              <a:extLst xmlns:a="http://schemas.openxmlformats.org/drawingml/2006/main">
                <a:ext uri="{FF2B5EF4-FFF2-40B4-BE49-F238E27FC236}">
                  <a16:creationId xmlns:a16="http://schemas.microsoft.com/office/drawing/2014/main" id="{B6E26FBF-3041-4800-B561-A9265E2495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Pr="00E108CB">
        <w:rPr>
          <w:i/>
          <w:iCs/>
          <w:noProof/>
          <w:lang w:val="de-CH" w:eastAsia="de-CH"/>
        </w:rPr>
        <w:drawing>
          <wp:anchor distT="0" distB="0" distL="114300" distR="114300" simplePos="0" relativeHeight="251665408" behindDoc="0" locked="0" layoutInCell="1" allowOverlap="1" wp14:anchorId="461B973D" wp14:editId="2B85E2BE">
            <wp:simplePos x="0" y="0"/>
            <wp:positionH relativeFrom="column">
              <wp:posOffset>0</wp:posOffset>
            </wp:positionH>
            <wp:positionV relativeFrom="paragraph">
              <wp:posOffset>0</wp:posOffset>
            </wp:positionV>
            <wp:extent cx="4727575" cy="2609850"/>
            <wp:effectExtent l="0" t="0" r="15875" b="0"/>
            <wp:wrapSquare wrapText="bothSides"/>
            <wp:docPr id="14" name="Chart 14">
              <a:extLst xmlns:a="http://schemas.openxmlformats.org/drawingml/2006/main">
                <a:ext uri="{FF2B5EF4-FFF2-40B4-BE49-F238E27FC236}">
                  <a16:creationId xmlns:a16="http://schemas.microsoft.com/office/drawing/2014/main" id="{2B735B66-286E-43F3-9DDD-ECEF089F26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r w:rsidRPr="00E108CB">
        <w:rPr>
          <w:i/>
          <w:iCs/>
        </w:rPr>
        <w:t xml:space="preserve">Figure S4: IVIVR with PK data in dogs available. Left: </w:t>
      </w:r>
      <w:r w:rsidRPr="00E108CB">
        <w:rPr>
          <w:rFonts w:cstheme="minorHAnsi"/>
          <w:i/>
          <w:iCs/>
        </w:rPr>
        <w:t>Beagle dog AUC</w:t>
      </w:r>
      <w:r w:rsidRPr="00E108CB">
        <w:rPr>
          <w:rFonts w:cstheme="minorHAnsi"/>
          <w:i/>
          <w:iCs/>
          <w:vertAlign w:val="subscript"/>
        </w:rPr>
        <w:t>0-10.h</w:t>
      </w:r>
      <w:r w:rsidRPr="00E108CB">
        <w:rPr>
          <w:rFonts w:cstheme="minorHAnsi"/>
          <w:i/>
          <w:iCs/>
        </w:rPr>
        <w:t xml:space="preserve"> </w:t>
      </w:r>
      <w:r w:rsidRPr="00E108CB">
        <w:rPr>
          <w:i/>
          <w:iCs/>
        </w:rPr>
        <w:t xml:space="preserve">vs. biphasic lipolysis data based on percentage of the dose partitioned into the </w:t>
      </w:r>
      <w:proofErr w:type="spellStart"/>
      <w:r w:rsidRPr="00E108CB">
        <w:rPr>
          <w:i/>
          <w:iCs/>
        </w:rPr>
        <w:t>decanol</w:t>
      </w:r>
      <w:proofErr w:type="spellEnd"/>
      <w:r w:rsidRPr="00E108CB">
        <w:rPr>
          <w:i/>
          <w:iCs/>
        </w:rPr>
        <w:t xml:space="preserve"> layer after 60 minutes, R</w:t>
      </w:r>
      <w:r w:rsidRPr="00E108CB">
        <w:rPr>
          <w:i/>
          <w:iCs/>
          <w:vertAlign w:val="superscript"/>
        </w:rPr>
        <w:t>2</w:t>
      </w:r>
      <w:r w:rsidRPr="00E108CB">
        <w:rPr>
          <w:i/>
          <w:iCs/>
        </w:rPr>
        <w:t xml:space="preserve"> = 0.6559. Right:</w:t>
      </w:r>
      <w:r w:rsidRPr="00E108CB">
        <w:rPr>
          <w:rFonts w:cstheme="minorHAnsi"/>
          <w:i/>
          <w:iCs/>
        </w:rPr>
        <w:t xml:space="preserve"> Beagle dog AUC</w:t>
      </w:r>
      <w:r w:rsidRPr="00E108CB">
        <w:rPr>
          <w:rFonts w:cstheme="minorHAnsi"/>
          <w:i/>
          <w:iCs/>
          <w:vertAlign w:val="subscript"/>
        </w:rPr>
        <w:t>0-10.h</w:t>
      </w:r>
      <w:r w:rsidRPr="00E108CB">
        <w:rPr>
          <w:i/>
          <w:iCs/>
        </w:rPr>
        <w:t xml:space="preserve"> vs. pH stat data based on the percentage of the dose in the aqueous phase after 60 minutes digestion, R</w:t>
      </w:r>
      <w:r w:rsidRPr="00E108CB">
        <w:rPr>
          <w:i/>
          <w:iCs/>
          <w:vertAlign w:val="superscript"/>
        </w:rPr>
        <w:t>2</w:t>
      </w:r>
      <w:r w:rsidRPr="00E108CB">
        <w:rPr>
          <w:i/>
          <w:iCs/>
        </w:rPr>
        <w:t xml:space="preserve"> = 0.9846. Each data point represents the mean ± SD. AP = aqueous micellar phase</w:t>
      </w:r>
    </w:p>
    <w:p w14:paraId="45191A6B" w14:textId="77777777" w:rsidR="00D83651" w:rsidRDefault="00D83651"/>
    <w:sectPr w:rsidR="00D83651" w:rsidSect="00D7496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D5AE4" w14:textId="77777777" w:rsidR="009F756F" w:rsidRDefault="009F756F" w:rsidP="00B50288">
      <w:pPr>
        <w:spacing w:after="0" w:line="240" w:lineRule="auto"/>
      </w:pPr>
      <w:r>
        <w:separator/>
      </w:r>
    </w:p>
  </w:endnote>
  <w:endnote w:type="continuationSeparator" w:id="0">
    <w:p w14:paraId="10B08B8C" w14:textId="77777777" w:rsidR="009F756F" w:rsidRDefault="009F756F" w:rsidP="00B50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E75EA" w14:textId="77777777" w:rsidR="00B50288" w:rsidRDefault="00B502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58156" w14:textId="77777777" w:rsidR="00B50288" w:rsidRDefault="00B502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99679" w14:textId="77777777" w:rsidR="00B50288" w:rsidRDefault="00B50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D8AF5" w14:textId="77777777" w:rsidR="009F756F" w:rsidRDefault="009F756F" w:rsidP="00B50288">
      <w:pPr>
        <w:spacing w:after="0" w:line="240" w:lineRule="auto"/>
      </w:pPr>
      <w:r>
        <w:separator/>
      </w:r>
    </w:p>
  </w:footnote>
  <w:footnote w:type="continuationSeparator" w:id="0">
    <w:p w14:paraId="15EA6B1A" w14:textId="77777777" w:rsidR="009F756F" w:rsidRDefault="009F756F" w:rsidP="00B50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9396D" w14:textId="77777777" w:rsidR="00B50288" w:rsidRDefault="00B502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A42E8" w14:textId="77777777" w:rsidR="00B50288" w:rsidRDefault="00B502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6DAA5" w14:textId="77777777" w:rsidR="00B50288" w:rsidRDefault="00B502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46F"/>
    <w:rsid w:val="00010B6D"/>
    <w:rsid w:val="001A6DAD"/>
    <w:rsid w:val="001E1C3D"/>
    <w:rsid w:val="003A230C"/>
    <w:rsid w:val="003D0C2D"/>
    <w:rsid w:val="003F73A9"/>
    <w:rsid w:val="00410E14"/>
    <w:rsid w:val="0041332B"/>
    <w:rsid w:val="00457EC1"/>
    <w:rsid w:val="004A37AE"/>
    <w:rsid w:val="0058587A"/>
    <w:rsid w:val="00632E1E"/>
    <w:rsid w:val="0064046F"/>
    <w:rsid w:val="006A05D3"/>
    <w:rsid w:val="00710FA0"/>
    <w:rsid w:val="007603F4"/>
    <w:rsid w:val="0081701B"/>
    <w:rsid w:val="008C2F82"/>
    <w:rsid w:val="008D199C"/>
    <w:rsid w:val="009D06EE"/>
    <w:rsid w:val="009F756F"/>
    <w:rsid w:val="00A63DE5"/>
    <w:rsid w:val="00A95ED2"/>
    <w:rsid w:val="00B42008"/>
    <w:rsid w:val="00B50288"/>
    <w:rsid w:val="00B64530"/>
    <w:rsid w:val="00B83BFD"/>
    <w:rsid w:val="00BA24F4"/>
    <w:rsid w:val="00D74960"/>
    <w:rsid w:val="00D83651"/>
    <w:rsid w:val="00E96694"/>
    <w:rsid w:val="00EB2FA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B58"/>
  <w15:chartTrackingRefBased/>
  <w15:docId w15:val="{EB2966AD-2D73-4A18-B040-5D43244A3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4046F"/>
    <w:rPr>
      <w:lang w:val="en-GB"/>
    </w:rPr>
  </w:style>
  <w:style w:type="paragraph" w:styleId="Heading1">
    <w:name w:val="heading 1"/>
    <w:basedOn w:val="Normal"/>
    <w:next w:val="Normal"/>
    <w:link w:val="Heading1Char"/>
    <w:uiPriority w:val="9"/>
    <w:qFormat/>
    <w:rsid w:val="0064046F"/>
    <w:pPr>
      <w:keepNext/>
      <w:keepLines/>
      <w:spacing w:before="240" w:after="0"/>
      <w:outlineLvl w:val="0"/>
    </w:pPr>
    <w:rPr>
      <w:rFonts w:asciiTheme="majorHAnsi"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46F"/>
    <w:rPr>
      <w:rFonts w:asciiTheme="majorHAnsi" w:eastAsiaTheme="majorEastAsia" w:hAnsiTheme="majorHAnsi" w:cstheme="majorBidi"/>
      <w:sz w:val="32"/>
      <w:szCs w:val="32"/>
      <w:lang w:val="en-GB"/>
    </w:rPr>
  </w:style>
  <w:style w:type="table" w:styleId="TableGrid">
    <w:name w:val="Table Grid"/>
    <w:basedOn w:val="TableNormal"/>
    <w:uiPriority w:val="39"/>
    <w:rsid w:val="0064046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64046F"/>
  </w:style>
  <w:style w:type="paragraph" w:styleId="BalloonText">
    <w:name w:val="Balloon Text"/>
    <w:basedOn w:val="Normal"/>
    <w:link w:val="BalloonTextChar"/>
    <w:uiPriority w:val="99"/>
    <w:semiHidden/>
    <w:unhideWhenUsed/>
    <w:rsid w:val="00B502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288"/>
    <w:rPr>
      <w:rFonts w:ascii="Segoe UI" w:hAnsi="Segoe UI" w:cs="Segoe UI"/>
      <w:sz w:val="18"/>
      <w:szCs w:val="18"/>
      <w:lang w:val="en-GB"/>
    </w:rPr>
  </w:style>
  <w:style w:type="paragraph" w:styleId="Header">
    <w:name w:val="header"/>
    <w:basedOn w:val="Normal"/>
    <w:link w:val="HeaderChar"/>
    <w:uiPriority w:val="99"/>
    <w:unhideWhenUsed/>
    <w:rsid w:val="00B50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288"/>
    <w:rPr>
      <w:lang w:val="en-GB"/>
    </w:rPr>
  </w:style>
  <w:style w:type="paragraph" w:styleId="Footer">
    <w:name w:val="footer"/>
    <w:basedOn w:val="Normal"/>
    <w:link w:val="FooterChar"/>
    <w:uiPriority w:val="99"/>
    <w:unhideWhenUsed/>
    <w:rsid w:val="00B50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28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hart" Target="charts/chart4.xml"/><Relationship Id="rId3" Type="http://schemas.openxmlformats.org/officeDocument/2006/relationships/customXml" Target="../customXml/item3.xml"/><Relationship Id="rId21" Type="http://schemas.openxmlformats.org/officeDocument/2006/relationships/chart" Target="charts/chart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hart" Target="charts/chart3.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hart" Target="charts/chart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ccireland-my.sharepoint.com/personal/patrick_odwyer_ucc_ie/Documents/Lipolysis%20IVIVC%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348381452318461"/>
          <c:y val="5.9487179487179485E-2"/>
          <c:w val="0.79014129483814521"/>
          <c:h val="0.72364685183582822"/>
        </c:manualLayout>
      </c:layout>
      <c:scatterChart>
        <c:scatterStyle val="lineMarker"/>
        <c:varyColors val="0"/>
        <c:ser>
          <c:idx val="0"/>
          <c:order val="0"/>
          <c:tx>
            <c:v>pH stat</c:v>
          </c:tx>
          <c:spPr>
            <a:ln w="25400" cap="rnd">
              <a:noFill/>
              <a:round/>
            </a:ln>
            <a:effectLst/>
          </c:spPr>
          <c:marker>
            <c:symbol val="x"/>
            <c:size val="9"/>
            <c:spPr>
              <a:noFill/>
              <a:ln w="25400">
                <a:solidFill>
                  <a:schemeClr val="tx1"/>
                </a:solidFill>
              </a:ln>
              <a:effectLst/>
            </c:spPr>
          </c:marker>
          <c:trendline>
            <c:spPr>
              <a:ln w="19050" cap="rnd">
                <a:solidFill>
                  <a:schemeClr val="tx1"/>
                </a:solidFill>
                <a:prstDash val="sysDot"/>
              </a:ln>
              <a:effectLst/>
            </c:spPr>
            <c:trendlineType val="linear"/>
            <c:dispRSqr val="1"/>
            <c:dispEq val="0"/>
            <c:trendlineLbl>
              <c:layout>
                <c:manualLayout>
                  <c:x val="0.17223293963254593"/>
                  <c:y val="1.921875150221607E-2"/>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rendlineLbl>
          </c:trendline>
          <c:errBars>
            <c:errDir val="x"/>
            <c:errBarType val="both"/>
            <c:errValType val="cust"/>
            <c:noEndCap val="0"/>
            <c:plus>
              <c:numRef>
                <c:f>Nilotinib!$G$3:$G$6</c:f>
                <c:numCache>
                  <c:formatCode>General</c:formatCode>
                  <c:ptCount val="4"/>
                  <c:pt idx="0">
                    <c:v>0.06</c:v>
                  </c:pt>
                  <c:pt idx="1">
                    <c:v>0.06</c:v>
                  </c:pt>
                  <c:pt idx="2">
                    <c:v>0.09</c:v>
                  </c:pt>
                  <c:pt idx="3">
                    <c:v>0.03</c:v>
                  </c:pt>
                </c:numCache>
              </c:numRef>
            </c:plus>
            <c:minus>
              <c:numRef>
                <c:f>Nilotinib!$G$3:$G$6</c:f>
                <c:numCache>
                  <c:formatCode>General</c:formatCode>
                  <c:ptCount val="4"/>
                  <c:pt idx="0">
                    <c:v>0.06</c:v>
                  </c:pt>
                  <c:pt idx="1">
                    <c:v>0.06</c:v>
                  </c:pt>
                  <c:pt idx="2">
                    <c:v>0.09</c:v>
                  </c:pt>
                  <c:pt idx="3">
                    <c:v>0.03</c:v>
                  </c:pt>
                </c:numCache>
              </c:numRef>
            </c:minus>
            <c:spPr>
              <a:noFill/>
              <a:ln w="9525" cap="flat" cmpd="sng" algn="ctr">
                <a:solidFill>
                  <a:schemeClr val="tx1">
                    <a:lumMod val="65000"/>
                    <a:lumOff val="35000"/>
                  </a:schemeClr>
                </a:solidFill>
                <a:round/>
              </a:ln>
              <a:effectLst/>
            </c:spPr>
          </c:errBars>
          <c:errBars>
            <c:errDir val="y"/>
            <c:errBarType val="both"/>
            <c:errValType val="cust"/>
            <c:noEndCap val="0"/>
            <c:plus>
              <c:numRef>
                <c:f>Nilotinib!$C$3:$C$6</c:f>
                <c:numCache>
                  <c:formatCode>General</c:formatCode>
                  <c:ptCount val="4"/>
                  <c:pt idx="0">
                    <c:v>2557</c:v>
                  </c:pt>
                  <c:pt idx="1">
                    <c:v>5476</c:v>
                  </c:pt>
                  <c:pt idx="2">
                    <c:v>2197</c:v>
                  </c:pt>
                  <c:pt idx="3">
                    <c:v>2711</c:v>
                  </c:pt>
                </c:numCache>
              </c:numRef>
            </c:plus>
            <c:minus>
              <c:numRef>
                <c:f>Nilotinib!$C$3:$C$6</c:f>
                <c:numCache>
                  <c:formatCode>General</c:formatCode>
                  <c:ptCount val="4"/>
                  <c:pt idx="0">
                    <c:v>2557</c:v>
                  </c:pt>
                  <c:pt idx="1">
                    <c:v>5476</c:v>
                  </c:pt>
                  <c:pt idx="2">
                    <c:v>2197</c:v>
                  </c:pt>
                  <c:pt idx="3">
                    <c:v>2711</c:v>
                  </c:pt>
                </c:numCache>
              </c:numRef>
            </c:minus>
            <c:spPr>
              <a:noFill/>
              <a:ln w="9525" cap="flat" cmpd="sng" algn="ctr">
                <a:solidFill>
                  <a:schemeClr val="tx1">
                    <a:lumMod val="65000"/>
                    <a:lumOff val="35000"/>
                  </a:schemeClr>
                </a:solidFill>
                <a:round/>
              </a:ln>
              <a:effectLst/>
            </c:spPr>
          </c:errBars>
          <c:xVal>
            <c:numRef>
              <c:f>Nilotinib!$F$3:$F$6</c:f>
              <c:numCache>
                <c:formatCode>General</c:formatCode>
                <c:ptCount val="4"/>
                <c:pt idx="0">
                  <c:v>0.51</c:v>
                </c:pt>
                <c:pt idx="1">
                  <c:v>0.99</c:v>
                </c:pt>
                <c:pt idx="2">
                  <c:v>0.82</c:v>
                </c:pt>
                <c:pt idx="3">
                  <c:v>0.22</c:v>
                </c:pt>
              </c:numCache>
            </c:numRef>
          </c:xVal>
          <c:yVal>
            <c:numRef>
              <c:f>Nilotinib!$B$3:$B$6</c:f>
              <c:numCache>
                <c:formatCode>General</c:formatCode>
                <c:ptCount val="4"/>
                <c:pt idx="0">
                  <c:v>13103</c:v>
                </c:pt>
                <c:pt idx="1">
                  <c:v>11210</c:v>
                </c:pt>
                <c:pt idx="2">
                  <c:v>5168</c:v>
                </c:pt>
                <c:pt idx="3">
                  <c:v>3548</c:v>
                </c:pt>
              </c:numCache>
            </c:numRef>
          </c:yVal>
          <c:smooth val="0"/>
          <c:extLst>
            <c:ext xmlns:c16="http://schemas.microsoft.com/office/drawing/2014/chart" uri="{C3380CC4-5D6E-409C-BE32-E72D297353CC}">
              <c16:uniqueId val="{00000001-3F21-4EAC-AB4E-EA6368F3D8AC}"/>
            </c:ext>
          </c:extLst>
        </c:ser>
        <c:dLbls>
          <c:showLegendKey val="0"/>
          <c:showVal val="0"/>
          <c:showCatName val="0"/>
          <c:showSerName val="0"/>
          <c:showPercent val="0"/>
          <c:showBubbleSize val="0"/>
        </c:dLbls>
        <c:axId val="702806352"/>
        <c:axId val="702804712"/>
      </c:scatterChart>
      <c:valAx>
        <c:axId val="702806352"/>
        <c:scaling>
          <c:orientation val="minMax"/>
        </c:scaling>
        <c:delete val="0"/>
        <c:axPos val="b"/>
        <c:title>
          <c:tx>
            <c:rich>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Nilotinib dose % (w/w) in digestion AP</a:t>
                </a:r>
              </a:p>
            </c:rich>
          </c:tx>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702804712"/>
        <c:crosses val="autoZero"/>
        <c:crossBetween val="midCat"/>
      </c:valAx>
      <c:valAx>
        <c:axId val="702804712"/>
        <c:scaling>
          <c:orientation val="minMax"/>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AUC (ng.h/mL)</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702806352"/>
        <c:crosses val="autoZero"/>
        <c:crossBetween val="midCat"/>
        <c:majorUnit val="300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314393133290772"/>
          <c:y val="5.9487179487179485E-2"/>
          <c:w val="0.79372370553472915"/>
          <c:h val="0.72364685183582822"/>
        </c:manualLayout>
      </c:layout>
      <c:scatterChart>
        <c:scatterStyle val="lineMarker"/>
        <c:varyColors val="0"/>
        <c:ser>
          <c:idx val="0"/>
          <c:order val="0"/>
          <c:tx>
            <c:v>Biphasic </c:v>
          </c:tx>
          <c:spPr>
            <a:ln w="25400" cap="rnd">
              <a:noFill/>
              <a:round/>
            </a:ln>
            <a:effectLst/>
          </c:spPr>
          <c:marker>
            <c:symbol val="x"/>
            <c:size val="9"/>
            <c:spPr>
              <a:noFill/>
              <a:ln w="25400">
                <a:solidFill>
                  <a:schemeClr val="tx1"/>
                </a:solidFill>
              </a:ln>
              <a:effectLst/>
            </c:spPr>
          </c:marker>
          <c:trendline>
            <c:spPr>
              <a:ln w="19050" cap="rnd">
                <a:solidFill>
                  <a:schemeClr val="tx1"/>
                </a:solidFill>
                <a:prstDash val="sysDot"/>
              </a:ln>
              <a:effectLst/>
            </c:spPr>
            <c:trendlineType val="linear"/>
            <c:dispRSqr val="1"/>
            <c:dispEq val="0"/>
            <c:trendlineLbl>
              <c:layout>
                <c:manualLayout>
                  <c:x val="0.11076923076923068"/>
                  <c:y val="-0.11952832538268485"/>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rendlineLbl>
          </c:trendline>
          <c:errBars>
            <c:errDir val="x"/>
            <c:errBarType val="both"/>
            <c:errValType val="cust"/>
            <c:noEndCap val="0"/>
            <c:plus>
              <c:numRef>
                <c:f>Nilotinib!$E$3:$E$6</c:f>
                <c:numCache>
                  <c:formatCode>General</c:formatCode>
                  <c:ptCount val="4"/>
                  <c:pt idx="0">
                    <c:v>1.49</c:v>
                  </c:pt>
                  <c:pt idx="1">
                    <c:v>1.01</c:v>
                  </c:pt>
                  <c:pt idx="2">
                    <c:v>2.62</c:v>
                  </c:pt>
                  <c:pt idx="3">
                    <c:v>1.1299999999999999</c:v>
                  </c:pt>
                </c:numCache>
              </c:numRef>
            </c:plus>
            <c:minus>
              <c:numRef>
                <c:f>Nilotinib!$E$3:$E$6</c:f>
                <c:numCache>
                  <c:formatCode>General</c:formatCode>
                  <c:ptCount val="4"/>
                  <c:pt idx="0">
                    <c:v>1.49</c:v>
                  </c:pt>
                  <c:pt idx="1">
                    <c:v>1.01</c:v>
                  </c:pt>
                  <c:pt idx="2">
                    <c:v>2.62</c:v>
                  </c:pt>
                  <c:pt idx="3">
                    <c:v>1.1299999999999999</c:v>
                  </c:pt>
                </c:numCache>
              </c:numRef>
            </c:minus>
            <c:spPr>
              <a:noFill/>
              <a:ln w="9525" cap="flat" cmpd="sng" algn="ctr">
                <a:solidFill>
                  <a:schemeClr val="tx1">
                    <a:lumMod val="65000"/>
                    <a:lumOff val="35000"/>
                  </a:schemeClr>
                </a:solidFill>
                <a:round/>
              </a:ln>
              <a:effectLst/>
            </c:spPr>
          </c:errBars>
          <c:errBars>
            <c:errDir val="y"/>
            <c:errBarType val="both"/>
            <c:errValType val="cust"/>
            <c:noEndCap val="0"/>
            <c:plus>
              <c:numRef>
                <c:f>Nilotinib!$C$3:$C$6</c:f>
                <c:numCache>
                  <c:formatCode>General</c:formatCode>
                  <c:ptCount val="4"/>
                  <c:pt idx="0">
                    <c:v>2557</c:v>
                  </c:pt>
                  <c:pt idx="1">
                    <c:v>5476</c:v>
                  </c:pt>
                  <c:pt idx="2">
                    <c:v>2197</c:v>
                  </c:pt>
                  <c:pt idx="3">
                    <c:v>2711</c:v>
                  </c:pt>
                </c:numCache>
              </c:numRef>
            </c:plus>
            <c:minus>
              <c:numRef>
                <c:f>Nilotinib!$C$3:$C$6</c:f>
                <c:numCache>
                  <c:formatCode>General</c:formatCode>
                  <c:ptCount val="4"/>
                  <c:pt idx="0">
                    <c:v>2557</c:v>
                  </c:pt>
                  <c:pt idx="1">
                    <c:v>5476</c:v>
                  </c:pt>
                  <c:pt idx="2">
                    <c:v>2197</c:v>
                  </c:pt>
                  <c:pt idx="3">
                    <c:v>2711</c:v>
                  </c:pt>
                </c:numCache>
              </c:numRef>
            </c:minus>
            <c:spPr>
              <a:noFill/>
              <a:ln w="9525" cap="flat" cmpd="sng" algn="ctr">
                <a:solidFill>
                  <a:schemeClr val="tx1">
                    <a:lumMod val="65000"/>
                    <a:lumOff val="35000"/>
                  </a:schemeClr>
                </a:solidFill>
                <a:round/>
              </a:ln>
              <a:effectLst/>
            </c:spPr>
          </c:errBars>
          <c:xVal>
            <c:numRef>
              <c:f>Nilotinib!$D$3:$D$6</c:f>
              <c:numCache>
                <c:formatCode>General</c:formatCode>
                <c:ptCount val="4"/>
                <c:pt idx="0">
                  <c:v>36.21</c:v>
                </c:pt>
                <c:pt idx="1">
                  <c:v>29.53</c:v>
                </c:pt>
                <c:pt idx="2">
                  <c:v>20.09</c:v>
                </c:pt>
                <c:pt idx="3">
                  <c:v>24.18</c:v>
                </c:pt>
              </c:numCache>
            </c:numRef>
          </c:xVal>
          <c:yVal>
            <c:numRef>
              <c:f>Nilotinib!$B$3:$B$6</c:f>
              <c:numCache>
                <c:formatCode>General</c:formatCode>
                <c:ptCount val="4"/>
                <c:pt idx="0">
                  <c:v>13103</c:v>
                </c:pt>
                <c:pt idx="1">
                  <c:v>11210</c:v>
                </c:pt>
                <c:pt idx="2">
                  <c:v>5168</c:v>
                </c:pt>
                <c:pt idx="3">
                  <c:v>3548</c:v>
                </c:pt>
              </c:numCache>
            </c:numRef>
          </c:yVal>
          <c:smooth val="0"/>
          <c:extLst>
            <c:ext xmlns:c16="http://schemas.microsoft.com/office/drawing/2014/chart" uri="{C3380CC4-5D6E-409C-BE32-E72D297353CC}">
              <c16:uniqueId val="{00000001-B535-49FF-9452-B200B8B137FC}"/>
            </c:ext>
          </c:extLst>
        </c:ser>
        <c:dLbls>
          <c:showLegendKey val="0"/>
          <c:showVal val="0"/>
          <c:showCatName val="0"/>
          <c:showSerName val="0"/>
          <c:showPercent val="0"/>
          <c:showBubbleSize val="0"/>
        </c:dLbls>
        <c:axId val="381237648"/>
        <c:axId val="381237320"/>
      </c:scatterChart>
      <c:valAx>
        <c:axId val="381237648"/>
        <c:scaling>
          <c:orientation val="minMax"/>
        </c:scaling>
        <c:delete val="0"/>
        <c:axPos val="b"/>
        <c:title>
          <c:tx>
            <c:rich>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Nilotinib dose % (w/w) in decanol layer</a:t>
                </a:r>
              </a:p>
            </c:rich>
          </c:tx>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381237320"/>
        <c:crosses val="autoZero"/>
        <c:crossBetween val="midCat"/>
      </c:valAx>
      <c:valAx>
        <c:axId val="381237320"/>
        <c:scaling>
          <c:orientation val="minMax"/>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AUC</a:t>
                </a:r>
                <a:r>
                  <a:rPr lang="en-GB" sz="1100" b="0" i="0" u="none" strike="noStrike" baseline="-25000">
                    <a:effectLst/>
                  </a:rPr>
                  <a:t>0-inf</a:t>
                </a:r>
                <a:r>
                  <a:rPr lang="en-GB" sz="1100" b="0" i="0" u="none" strike="noStrike" baseline="0">
                    <a:effectLst/>
                  </a:rPr>
                  <a:t> </a:t>
                </a:r>
                <a:r>
                  <a:rPr lang="en-GB"/>
                  <a:t> (ng.h/mL)</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381237648"/>
        <c:crosses val="autoZero"/>
        <c:crossBetween val="midCat"/>
        <c:majorUnit val="300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39055637847249"/>
          <c:y val="6.4371184371184373E-2"/>
          <c:w val="0.80352693537070241"/>
          <c:h val="0.71876284695182335"/>
        </c:manualLayout>
      </c:layout>
      <c:scatterChart>
        <c:scatterStyle val="lineMarker"/>
        <c:varyColors val="0"/>
        <c:ser>
          <c:idx val="0"/>
          <c:order val="0"/>
          <c:tx>
            <c:v>Biphasic</c:v>
          </c:tx>
          <c:spPr>
            <a:ln w="19050" cap="rnd">
              <a:noFill/>
              <a:round/>
            </a:ln>
            <a:effectLst/>
          </c:spPr>
          <c:marker>
            <c:symbol val="x"/>
            <c:size val="9"/>
            <c:spPr>
              <a:noFill/>
              <a:ln w="25400">
                <a:solidFill>
                  <a:schemeClr val="tx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tx1"/>
                </a:solidFill>
                <a:prstDash val="sysDot"/>
              </a:ln>
              <a:effectLst/>
            </c:spPr>
            <c:trendlineType val="linear"/>
            <c:dispRSqr val="1"/>
            <c:dispEq val="0"/>
            <c:trendlineLbl>
              <c:layout>
                <c:manualLayout>
                  <c:x val="0.16048980016111847"/>
                  <c:y val="-0.16221549229423246"/>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rendlineLbl>
          </c:trendline>
          <c:errBars>
            <c:errDir val="x"/>
            <c:errBarType val="both"/>
            <c:errValType val="cust"/>
            <c:noEndCap val="0"/>
            <c:plus>
              <c:numRef>
                <c:f>'Fenofibrate (pig)'!$E$3:$E$5</c:f>
                <c:numCache>
                  <c:formatCode>General</c:formatCode>
                  <c:ptCount val="3"/>
                  <c:pt idx="0">
                    <c:v>0.64</c:v>
                  </c:pt>
                  <c:pt idx="1">
                    <c:v>0.2</c:v>
                  </c:pt>
                  <c:pt idx="2">
                    <c:v>0.75</c:v>
                  </c:pt>
                </c:numCache>
              </c:numRef>
            </c:plus>
            <c:minus>
              <c:numRef>
                <c:f>'Fenofibrate (pig)'!$E$3:$E$5</c:f>
                <c:numCache>
                  <c:formatCode>General</c:formatCode>
                  <c:ptCount val="3"/>
                  <c:pt idx="0">
                    <c:v>0.64</c:v>
                  </c:pt>
                  <c:pt idx="1">
                    <c:v>0.2</c:v>
                  </c:pt>
                  <c:pt idx="2">
                    <c:v>0.75</c:v>
                  </c:pt>
                </c:numCache>
              </c:numRef>
            </c:minus>
            <c:spPr>
              <a:noFill/>
              <a:ln w="9525" cap="flat" cmpd="sng" algn="ctr">
                <a:solidFill>
                  <a:schemeClr val="tx1">
                    <a:lumMod val="65000"/>
                    <a:lumOff val="35000"/>
                  </a:schemeClr>
                </a:solidFill>
                <a:round/>
              </a:ln>
              <a:effectLst/>
            </c:spPr>
          </c:errBars>
          <c:errBars>
            <c:errDir val="y"/>
            <c:errBarType val="both"/>
            <c:errValType val="cust"/>
            <c:noEndCap val="0"/>
            <c:plus>
              <c:numRef>
                <c:f>'Fenofibrate (pig)'!$C$3:$C$5</c:f>
                <c:numCache>
                  <c:formatCode>General</c:formatCode>
                  <c:ptCount val="3"/>
                  <c:pt idx="0">
                    <c:v>10659.5</c:v>
                  </c:pt>
                  <c:pt idx="1">
                    <c:v>8348.7000000000007</c:v>
                  </c:pt>
                  <c:pt idx="2">
                    <c:v>15439.5</c:v>
                  </c:pt>
                </c:numCache>
              </c:numRef>
            </c:plus>
            <c:minus>
              <c:numRef>
                <c:f>'Fenofibrate (pig)'!$C$3:$C$5</c:f>
                <c:numCache>
                  <c:formatCode>General</c:formatCode>
                  <c:ptCount val="3"/>
                  <c:pt idx="0">
                    <c:v>10659.5</c:v>
                  </c:pt>
                  <c:pt idx="1">
                    <c:v>8348.7000000000007</c:v>
                  </c:pt>
                  <c:pt idx="2">
                    <c:v>15439.5</c:v>
                  </c:pt>
                </c:numCache>
              </c:numRef>
            </c:minus>
            <c:spPr>
              <a:noFill/>
              <a:ln w="9525" cap="flat" cmpd="sng" algn="ctr">
                <a:solidFill>
                  <a:schemeClr val="tx1">
                    <a:lumMod val="65000"/>
                    <a:lumOff val="35000"/>
                  </a:schemeClr>
                </a:solidFill>
                <a:round/>
              </a:ln>
              <a:effectLst/>
            </c:spPr>
          </c:errBars>
          <c:xVal>
            <c:numRef>
              <c:f>'Fenofibrate (pig)'!$D$3:$D$5</c:f>
              <c:numCache>
                <c:formatCode>General</c:formatCode>
                <c:ptCount val="3"/>
                <c:pt idx="0">
                  <c:v>15.38</c:v>
                </c:pt>
                <c:pt idx="1">
                  <c:v>13.73</c:v>
                </c:pt>
                <c:pt idx="2">
                  <c:v>16.100000000000001</c:v>
                </c:pt>
              </c:numCache>
            </c:numRef>
          </c:xVal>
          <c:yVal>
            <c:numRef>
              <c:f>'Fenofibrate (pig)'!$B$3:$B$5</c:f>
              <c:numCache>
                <c:formatCode>General</c:formatCode>
                <c:ptCount val="3"/>
                <c:pt idx="0">
                  <c:v>55593</c:v>
                </c:pt>
                <c:pt idx="1">
                  <c:v>51605.3</c:v>
                </c:pt>
                <c:pt idx="2">
                  <c:v>56378.3</c:v>
                </c:pt>
              </c:numCache>
            </c:numRef>
          </c:yVal>
          <c:smooth val="0"/>
          <c:extLst>
            <c:ext xmlns:c16="http://schemas.microsoft.com/office/drawing/2014/chart" uri="{C3380CC4-5D6E-409C-BE32-E72D297353CC}">
              <c16:uniqueId val="{00000002-BAB8-4972-B307-7FE2DD21561A}"/>
            </c:ext>
          </c:extLst>
        </c:ser>
        <c:dLbls>
          <c:showLegendKey val="0"/>
          <c:showVal val="0"/>
          <c:showCatName val="0"/>
          <c:showSerName val="0"/>
          <c:showPercent val="0"/>
          <c:showBubbleSize val="0"/>
        </c:dLbls>
        <c:axId val="711072744"/>
        <c:axId val="711069464"/>
      </c:scatterChart>
      <c:valAx>
        <c:axId val="711072744"/>
        <c:scaling>
          <c:orientation val="minMax"/>
          <c:min val="0"/>
        </c:scaling>
        <c:delete val="0"/>
        <c:axPos val="b"/>
        <c:title>
          <c:tx>
            <c:rich>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Fenofibrate dose % (w/w) in decanol Layer</a:t>
                </a:r>
              </a:p>
            </c:rich>
          </c:tx>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711069464"/>
        <c:crosses val="autoZero"/>
        <c:crossBetween val="midCat"/>
      </c:valAx>
      <c:valAx>
        <c:axId val="711069464"/>
        <c:scaling>
          <c:orientation val="minMax"/>
          <c:min val="0"/>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AUC (ng.h/mL)</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711072744"/>
        <c:crosses val="autoZero"/>
        <c:crossBetween val="midCat"/>
        <c:majorUnit val="2000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348381452318461"/>
          <c:y val="6.4371184371184373E-2"/>
          <c:w val="0.78696062992125981"/>
          <c:h val="0.71876284695182335"/>
        </c:manualLayout>
      </c:layout>
      <c:scatterChart>
        <c:scatterStyle val="lineMarker"/>
        <c:varyColors val="0"/>
        <c:ser>
          <c:idx val="0"/>
          <c:order val="0"/>
          <c:tx>
            <c:v>pH stat</c:v>
          </c:tx>
          <c:spPr>
            <a:ln w="19050" cap="rnd">
              <a:noFill/>
              <a:round/>
            </a:ln>
            <a:effectLst/>
          </c:spPr>
          <c:marker>
            <c:symbol val="x"/>
            <c:size val="9"/>
            <c:spPr>
              <a:noFill/>
              <a:ln w="25400">
                <a:solidFill>
                  <a:schemeClr val="tx1"/>
                </a:solidFill>
              </a:ln>
              <a:effectLst/>
            </c:spPr>
          </c:marker>
          <c:trendline>
            <c:spPr>
              <a:ln w="19050" cap="rnd">
                <a:solidFill>
                  <a:schemeClr val="tx1"/>
                </a:solidFill>
                <a:prstDash val="sysDot"/>
              </a:ln>
              <a:effectLst/>
            </c:spPr>
            <c:trendlineType val="linear"/>
            <c:dispRSqr val="1"/>
            <c:dispEq val="0"/>
            <c:trendlineLbl>
              <c:layout>
                <c:manualLayout>
                  <c:x val="0.17859514435695539"/>
                  <c:y val="-8.9186543989693598E-2"/>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rendlineLbl>
          </c:trendline>
          <c:errBars>
            <c:errDir val="x"/>
            <c:errBarType val="both"/>
            <c:errValType val="cust"/>
            <c:noEndCap val="0"/>
            <c:plus>
              <c:numRef>
                <c:f>'Fenofibrate (pig)'!$G$3:$G$5</c:f>
                <c:numCache>
                  <c:formatCode>General</c:formatCode>
                  <c:ptCount val="3"/>
                  <c:pt idx="0">
                    <c:v>12</c:v>
                  </c:pt>
                  <c:pt idx="1">
                    <c:v>7.1</c:v>
                  </c:pt>
                  <c:pt idx="2">
                    <c:v>5.8</c:v>
                  </c:pt>
                </c:numCache>
              </c:numRef>
            </c:plus>
            <c:minus>
              <c:numRef>
                <c:f>'Fenofibrate (pig)'!$G$3:$G$5</c:f>
                <c:numCache>
                  <c:formatCode>General</c:formatCode>
                  <c:ptCount val="3"/>
                  <c:pt idx="0">
                    <c:v>12</c:v>
                  </c:pt>
                  <c:pt idx="1">
                    <c:v>7.1</c:v>
                  </c:pt>
                  <c:pt idx="2">
                    <c:v>5.8</c:v>
                  </c:pt>
                </c:numCache>
              </c:numRef>
            </c:minus>
            <c:spPr>
              <a:noFill/>
              <a:ln w="9525" cap="flat" cmpd="sng" algn="ctr">
                <a:solidFill>
                  <a:schemeClr val="tx1">
                    <a:lumMod val="65000"/>
                    <a:lumOff val="35000"/>
                  </a:schemeClr>
                </a:solidFill>
                <a:round/>
              </a:ln>
              <a:effectLst/>
            </c:spPr>
          </c:errBars>
          <c:errBars>
            <c:errDir val="y"/>
            <c:errBarType val="both"/>
            <c:errValType val="cust"/>
            <c:noEndCap val="0"/>
            <c:plus>
              <c:numRef>
                <c:f>'Fenofibrate (pig)'!$C$3:$C$5</c:f>
                <c:numCache>
                  <c:formatCode>General</c:formatCode>
                  <c:ptCount val="3"/>
                  <c:pt idx="0">
                    <c:v>10659.5</c:v>
                  </c:pt>
                  <c:pt idx="1">
                    <c:v>8348.7000000000007</c:v>
                  </c:pt>
                  <c:pt idx="2">
                    <c:v>15439.5</c:v>
                  </c:pt>
                </c:numCache>
              </c:numRef>
            </c:plus>
            <c:minus>
              <c:numRef>
                <c:f>'Fenofibrate (pig)'!$C$3:$C$5</c:f>
                <c:numCache>
                  <c:formatCode>General</c:formatCode>
                  <c:ptCount val="3"/>
                  <c:pt idx="0">
                    <c:v>10659.5</c:v>
                  </c:pt>
                  <c:pt idx="1">
                    <c:v>8348.7000000000007</c:v>
                  </c:pt>
                  <c:pt idx="2">
                    <c:v>15439.5</c:v>
                  </c:pt>
                </c:numCache>
              </c:numRef>
            </c:minus>
            <c:spPr>
              <a:noFill/>
              <a:ln w="9525" cap="flat" cmpd="sng" algn="ctr">
                <a:solidFill>
                  <a:schemeClr val="tx1">
                    <a:lumMod val="65000"/>
                    <a:lumOff val="35000"/>
                  </a:schemeClr>
                </a:solidFill>
                <a:round/>
              </a:ln>
              <a:effectLst/>
            </c:spPr>
          </c:errBars>
          <c:xVal>
            <c:numRef>
              <c:f>'Fenofibrate (pig)'!$F$3:$F$5</c:f>
              <c:numCache>
                <c:formatCode>General</c:formatCode>
                <c:ptCount val="3"/>
                <c:pt idx="0">
                  <c:v>92.5</c:v>
                </c:pt>
                <c:pt idx="1">
                  <c:v>66</c:v>
                </c:pt>
                <c:pt idx="2">
                  <c:v>29</c:v>
                </c:pt>
              </c:numCache>
            </c:numRef>
          </c:xVal>
          <c:yVal>
            <c:numRef>
              <c:f>'Fenofibrate (pig)'!$B$3:$B$5</c:f>
              <c:numCache>
                <c:formatCode>General</c:formatCode>
                <c:ptCount val="3"/>
                <c:pt idx="0">
                  <c:v>55593</c:v>
                </c:pt>
                <c:pt idx="1">
                  <c:v>51605.3</c:v>
                </c:pt>
                <c:pt idx="2">
                  <c:v>56378.3</c:v>
                </c:pt>
              </c:numCache>
            </c:numRef>
          </c:yVal>
          <c:smooth val="0"/>
          <c:extLst>
            <c:ext xmlns:c16="http://schemas.microsoft.com/office/drawing/2014/chart" uri="{C3380CC4-5D6E-409C-BE32-E72D297353CC}">
              <c16:uniqueId val="{00000001-113C-4D4C-B3FF-B4AD0D12B553}"/>
            </c:ext>
          </c:extLst>
        </c:ser>
        <c:dLbls>
          <c:showLegendKey val="0"/>
          <c:showVal val="0"/>
          <c:showCatName val="0"/>
          <c:showSerName val="0"/>
          <c:showPercent val="0"/>
          <c:showBubbleSize val="0"/>
        </c:dLbls>
        <c:axId val="710357560"/>
        <c:axId val="710358216"/>
      </c:scatterChart>
      <c:valAx>
        <c:axId val="710357560"/>
        <c:scaling>
          <c:orientation val="minMax"/>
        </c:scaling>
        <c:delete val="0"/>
        <c:axPos val="b"/>
        <c:title>
          <c:tx>
            <c:rich>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Fenofibrate dose % (w/w) in digestion AP</a:t>
                </a:r>
              </a:p>
            </c:rich>
          </c:tx>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710358216"/>
        <c:crosses val="autoZero"/>
        <c:crossBetween val="midCat"/>
      </c:valAx>
      <c:valAx>
        <c:axId val="710358216"/>
        <c:scaling>
          <c:orientation val="minMax"/>
          <c:min val="0"/>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AUC (ng.h/mL)</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710357560"/>
        <c:crosses val="autoZero"/>
        <c:crossBetween val="midCat"/>
        <c:majorUnit val="2000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914097782311624"/>
          <c:y val="5.4803149606299201E-2"/>
          <c:w val="0.85785903280308573"/>
          <c:h val="0.72241927940825568"/>
        </c:manualLayout>
      </c:layout>
      <c:scatterChart>
        <c:scatterStyle val="lineMarker"/>
        <c:varyColors val="0"/>
        <c:ser>
          <c:idx val="0"/>
          <c:order val="0"/>
          <c:spPr>
            <a:ln w="25400" cap="rnd">
              <a:noFill/>
              <a:round/>
            </a:ln>
            <a:effectLst/>
          </c:spPr>
          <c:marker>
            <c:symbol val="x"/>
            <c:size val="9"/>
            <c:spPr>
              <a:noFill/>
              <a:ln w="25400">
                <a:solidFill>
                  <a:schemeClr val="tx1"/>
                </a:solidFill>
              </a:ln>
              <a:effectLst/>
            </c:spPr>
          </c:marker>
          <c:trendline>
            <c:spPr>
              <a:ln w="19050" cap="rnd">
                <a:solidFill>
                  <a:schemeClr val="tx1"/>
                </a:solidFill>
                <a:prstDash val="sysDot"/>
              </a:ln>
              <a:effectLst/>
            </c:spPr>
            <c:trendlineType val="linear"/>
            <c:dispRSqr val="1"/>
            <c:dispEq val="0"/>
            <c:trendlineLbl>
              <c:layout>
                <c:manualLayout>
                  <c:x val="0.13373946677717916"/>
                  <c:y val="-0.19361412550703888"/>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rendlineLbl>
          </c:trendline>
          <c:errBars>
            <c:errDir val="x"/>
            <c:errBarType val="both"/>
            <c:errValType val="cust"/>
            <c:noEndCap val="0"/>
            <c:plus>
              <c:numRef>
                <c:f>'Fenofibrate (human)'!$G$11:$G$13</c:f>
                <c:numCache>
                  <c:formatCode>General</c:formatCode>
                  <c:ptCount val="3"/>
                  <c:pt idx="0">
                    <c:v>0.1922987511266272</c:v>
                  </c:pt>
                  <c:pt idx="1">
                    <c:v>0.5659014819174516</c:v>
                  </c:pt>
                  <c:pt idx="2">
                    <c:v>0.11741746090202659</c:v>
                  </c:pt>
                </c:numCache>
              </c:numRef>
            </c:plus>
            <c:minus>
              <c:numRef>
                <c:f>'Fenofibrate (human)'!$G$11:$G$13</c:f>
                <c:numCache>
                  <c:formatCode>General</c:formatCode>
                  <c:ptCount val="3"/>
                  <c:pt idx="0">
                    <c:v>0.1922987511266272</c:v>
                  </c:pt>
                  <c:pt idx="1">
                    <c:v>0.5659014819174516</c:v>
                  </c:pt>
                  <c:pt idx="2">
                    <c:v>0.11741746090202659</c:v>
                  </c:pt>
                </c:numCache>
              </c:numRef>
            </c:minus>
            <c:spPr>
              <a:noFill/>
              <a:ln w="9525" cap="flat" cmpd="sng" algn="ctr">
                <a:solidFill>
                  <a:schemeClr val="tx1">
                    <a:lumMod val="65000"/>
                    <a:lumOff val="35000"/>
                  </a:schemeClr>
                </a:solidFill>
                <a:round/>
              </a:ln>
              <a:effectLst/>
            </c:spPr>
          </c:errBars>
          <c:errBars>
            <c:errDir val="y"/>
            <c:errBarType val="both"/>
            <c:errValType val="cust"/>
            <c:noEndCap val="0"/>
            <c:plus>
              <c:numRef>
                <c:f>'Fenofibrate (human)'!$C$3:$C$5</c:f>
                <c:numCache>
                  <c:formatCode>General</c:formatCode>
                  <c:ptCount val="3"/>
                  <c:pt idx="0">
                    <c:v>19.23</c:v>
                  </c:pt>
                  <c:pt idx="1">
                    <c:v>22.65</c:v>
                  </c:pt>
                  <c:pt idx="2">
                    <c:v>9.1999999999999993</c:v>
                  </c:pt>
                </c:numCache>
              </c:numRef>
            </c:plus>
            <c:minus>
              <c:numRef>
                <c:f>'Fenofibrate (human)'!$C$3:$C$5</c:f>
                <c:numCache>
                  <c:formatCode>General</c:formatCode>
                  <c:ptCount val="3"/>
                  <c:pt idx="0">
                    <c:v>19.23</c:v>
                  </c:pt>
                  <c:pt idx="1">
                    <c:v>22.65</c:v>
                  </c:pt>
                  <c:pt idx="2">
                    <c:v>9.1999999999999993</c:v>
                  </c:pt>
                </c:numCache>
              </c:numRef>
            </c:minus>
            <c:spPr>
              <a:noFill/>
              <a:ln w="9525" cap="flat" cmpd="sng" algn="ctr">
                <a:solidFill>
                  <a:schemeClr val="tx1">
                    <a:lumMod val="65000"/>
                    <a:lumOff val="35000"/>
                  </a:schemeClr>
                </a:solidFill>
                <a:round/>
              </a:ln>
              <a:effectLst/>
            </c:spPr>
          </c:errBars>
          <c:xVal>
            <c:numRef>
              <c:f>'Fenofibrate (human)'!$F$3:$F$5</c:f>
              <c:numCache>
                <c:formatCode>General</c:formatCode>
                <c:ptCount val="3"/>
                <c:pt idx="0">
                  <c:v>6.2183059087148411</c:v>
                </c:pt>
                <c:pt idx="1">
                  <c:v>4.6705793024115705</c:v>
                </c:pt>
                <c:pt idx="2">
                  <c:v>0.74786115624816463</c:v>
                </c:pt>
              </c:numCache>
            </c:numRef>
          </c:xVal>
          <c:yVal>
            <c:numRef>
              <c:f>'Fenofibrate (human)'!$B$3:$B$5</c:f>
              <c:numCache>
                <c:formatCode>General</c:formatCode>
                <c:ptCount val="3"/>
                <c:pt idx="0">
                  <c:v>51.66</c:v>
                </c:pt>
                <c:pt idx="1">
                  <c:v>52.66</c:v>
                </c:pt>
                <c:pt idx="2">
                  <c:v>44.52</c:v>
                </c:pt>
              </c:numCache>
            </c:numRef>
          </c:yVal>
          <c:smooth val="0"/>
          <c:extLst>
            <c:ext xmlns:c16="http://schemas.microsoft.com/office/drawing/2014/chart" uri="{C3380CC4-5D6E-409C-BE32-E72D297353CC}">
              <c16:uniqueId val="{00000001-8BDC-4FB5-9292-9B324C419D4E}"/>
            </c:ext>
          </c:extLst>
        </c:ser>
        <c:dLbls>
          <c:showLegendKey val="0"/>
          <c:showVal val="0"/>
          <c:showCatName val="0"/>
          <c:showSerName val="0"/>
          <c:showPercent val="0"/>
          <c:showBubbleSize val="0"/>
        </c:dLbls>
        <c:axId val="692766968"/>
        <c:axId val="692767624"/>
      </c:scatterChart>
      <c:valAx>
        <c:axId val="692766968"/>
        <c:scaling>
          <c:orientation val="minMax"/>
        </c:scaling>
        <c:delete val="0"/>
        <c:axPos val="b"/>
        <c:title>
          <c:tx>
            <c:rich>
              <a:bodyPr rot="0" spcFirstLastPara="1" vertOverflow="ellipsis" vert="horz" wrap="square" anchor="ctr" anchorCtr="1"/>
              <a:lstStyle/>
              <a:p>
                <a:pPr algn="ctr" rtl="0">
                  <a:defRPr sz="1100" b="0" i="0" u="none" strike="noStrike" kern="1200" baseline="0">
                    <a:solidFill>
                      <a:sysClr val="windowText" lastClr="000000"/>
                    </a:solidFill>
                    <a:latin typeface="+mn-lt"/>
                    <a:ea typeface="+mn-ea"/>
                    <a:cs typeface="+mn-cs"/>
                  </a:defRPr>
                </a:pPr>
                <a:r>
                  <a:rPr lang="en-GB"/>
                  <a:t>Fenofibrate dose % (w/w) in digestion AP</a:t>
                </a:r>
                <a:endParaRPr lang="en-IE"/>
              </a:p>
            </c:rich>
          </c:tx>
          <c:overlay val="0"/>
          <c:spPr>
            <a:noFill/>
            <a:ln>
              <a:noFill/>
            </a:ln>
            <a:effectLst/>
          </c:spPr>
          <c:txPr>
            <a:bodyPr rot="0" spcFirstLastPara="1" vertOverflow="ellipsis" vert="horz" wrap="square" anchor="ctr" anchorCtr="1"/>
            <a:lstStyle/>
            <a:p>
              <a:pPr algn="ctr" rtl="0">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692767624"/>
        <c:crosses val="autoZero"/>
        <c:crossBetween val="midCat"/>
      </c:valAx>
      <c:valAx>
        <c:axId val="692767624"/>
        <c:scaling>
          <c:orientation val="minMax"/>
          <c:min val="0"/>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IE"/>
                  <a:t>AUC (ug.h/mL)</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692766968"/>
        <c:crosses val="autoZero"/>
        <c:crossBetween val="midCat"/>
        <c:majorUnit val="2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419016695078064"/>
          <c:y val="7.3599999999999985E-2"/>
          <c:w val="0.83303320074681386"/>
          <c:h val="0.71111123836793122"/>
        </c:manualLayout>
      </c:layout>
      <c:scatterChart>
        <c:scatterStyle val="lineMarker"/>
        <c:varyColors val="0"/>
        <c:ser>
          <c:idx val="0"/>
          <c:order val="0"/>
          <c:tx>
            <c:v>Biphasic</c:v>
          </c:tx>
          <c:spPr>
            <a:ln w="19050" cap="rnd">
              <a:noFill/>
              <a:round/>
            </a:ln>
            <a:effectLst/>
          </c:spPr>
          <c:marker>
            <c:symbol val="x"/>
            <c:size val="9"/>
            <c:spPr>
              <a:noFill/>
              <a:ln w="25400">
                <a:solidFill>
                  <a:schemeClr val="tx1"/>
                </a:solidFill>
              </a:ln>
              <a:effectLst/>
            </c:spPr>
          </c:marker>
          <c:trendline>
            <c:spPr>
              <a:ln w="19050" cap="rnd">
                <a:solidFill>
                  <a:schemeClr val="tx1"/>
                </a:solidFill>
                <a:prstDash val="sysDot"/>
              </a:ln>
              <a:effectLst/>
            </c:spPr>
            <c:trendlineType val="linear"/>
            <c:dispRSqr val="1"/>
            <c:dispEq val="0"/>
            <c:trendlineLbl>
              <c:layout>
                <c:manualLayout>
                  <c:x val="0.18344779067565009"/>
                  <c:y val="-7.4960248150799338E-2"/>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rendlineLbl>
          </c:trendline>
          <c:errBars>
            <c:errDir val="x"/>
            <c:errBarType val="both"/>
            <c:errValType val="cust"/>
            <c:noEndCap val="0"/>
            <c:plus>
              <c:numRef>
                <c:f>'Fenofibrate (human)'!$E$3:$E$5</c:f>
                <c:numCache>
                  <c:formatCode>General</c:formatCode>
                  <c:ptCount val="3"/>
                  <c:pt idx="0">
                    <c:v>0.25</c:v>
                  </c:pt>
                  <c:pt idx="1">
                    <c:v>0.48</c:v>
                  </c:pt>
                  <c:pt idx="2">
                    <c:v>0.42</c:v>
                  </c:pt>
                </c:numCache>
              </c:numRef>
            </c:plus>
            <c:minus>
              <c:numRef>
                <c:f>'Fenofibrate (human)'!$E$3:$E$5</c:f>
                <c:numCache>
                  <c:formatCode>General</c:formatCode>
                  <c:ptCount val="3"/>
                  <c:pt idx="0">
                    <c:v>0.25</c:v>
                  </c:pt>
                  <c:pt idx="1">
                    <c:v>0.48</c:v>
                  </c:pt>
                  <c:pt idx="2">
                    <c:v>0.42</c:v>
                  </c:pt>
                </c:numCache>
              </c:numRef>
            </c:minus>
            <c:spPr>
              <a:noFill/>
              <a:ln w="9525" cap="flat" cmpd="sng" algn="ctr">
                <a:solidFill>
                  <a:schemeClr val="tx1">
                    <a:lumMod val="65000"/>
                    <a:lumOff val="35000"/>
                  </a:schemeClr>
                </a:solidFill>
                <a:round/>
              </a:ln>
              <a:effectLst/>
            </c:spPr>
          </c:errBars>
          <c:errBars>
            <c:errDir val="y"/>
            <c:errBarType val="both"/>
            <c:errValType val="cust"/>
            <c:noEndCap val="0"/>
            <c:plus>
              <c:numRef>
                <c:f>'Fenofibrate (human)'!$C$3:$C$5</c:f>
                <c:numCache>
                  <c:formatCode>General</c:formatCode>
                  <c:ptCount val="3"/>
                  <c:pt idx="0">
                    <c:v>19.23</c:v>
                  </c:pt>
                  <c:pt idx="1">
                    <c:v>22.65</c:v>
                  </c:pt>
                  <c:pt idx="2">
                    <c:v>9.1999999999999993</c:v>
                  </c:pt>
                </c:numCache>
              </c:numRef>
            </c:plus>
            <c:minus>
              <c:numRef>
                <c:f>'Fenofibrate (human)'!$C$3:$C$5</c:f>
                <c:numCache>
                  <c:formatCode>General</c:formatCode>
                  <c:ptCount val="3"/>
                  <c:pt idx="0">
                    <c:v>19.23</c:v>
                  </c:pt>
                  <c:pt idx="1">
                    <c:v>22.65</c:v>
                  </c:pt>
                  <c:pt idx="2">
                    <c:v>9.1999999999999993</c:v>
                  </c:pt>
                </c:numCache>
              </c:numRef>
            </c:minus>
            <c:spPr>
              <a:noFill/>
              <a:ln w="9525" cap="flat" cmpd="sng" algn="ctr">
                <a:solidFill>
                  <a:schemeClr val="tx1">
                    <a:lumMod val="65000"/>
                    <a:lumOff val="35000"/>
                  </a:schemeClr>
                </a:solidFill>
                <a:round/>
              </a:ln>
              <a:effectLst/>
            </c:spPr>
          </c:errBars>
          <c:xVal>
            <c:numRef>
              <c:f>'Fenofibrate (human)'!$D$3:$D$5</c:f>
              <c:numCache>
                <c:formatCode>General</c:formatCode>
                <c:ptCount val="3"/>
                <c:pt idx="0">
                  <c:v>14.55</c:v>
                </c:pt>
                <c:pt idx="1">
                  <c:v>16.690000000000001</c:v>
                </c:pt>
                <c:pt idx="2">
                  <c:v>11.49</c:v>
                </c:pt>
              </c:numCache>
            </c:numRef>
          </c:xVal>
          <c:yVal>
            <c:numRef>
              <c:f>'Fenofibrate (human)'!$B$3:$B$5</c:f>
              <c:numCache>
                <c:formatCode>General</c:formatCode>
                <c:ptCount val="3"/>
                <c:pt idx="0">
                  <c:v>51.66</c:v>
                </c:pt>
                <c:pt idx="1">
                  <c:v>52.66</c:v>
                </c:pt>
                <c:pt idx="2">
                  <c:v>44.52</c:v>
                </c:pt>
              </c:numCache>
            </c:numRef>
          </c:yVal>
          <c:smooth val="0"/>
          <c:extLst>
            <c:ext xmlns:c16="http://schemas.microsoft.com/office/drawing/2014/chart" uri="{C3380CC4-5D6E-409C-BE32-E72D297353CC}">
              <c16:uniqueId val="{00000001-AF61-41D4-B191-88AF377A226A}"/>
            </c:ext>
          </c:extLst>
        </c:ser>
        <c:dLbls>
          <c:showLegendKey val="0"/>
          <c:showVal val="0"/>
          <c:showCatName val="0"/>
          <c:showSerName val="0"/>
          <c:showPercent val="0"/>
          <c:showBubbleSize val="0"/>
        </c:dLbls>
        <c:axId val="84845744"/>
        <c:axId val="84846072"/>
      </c:scatterChart>
      <c:valAx>
        <c:axId val="84845744"/>
        <c:scaling>
          <c:orientation val="minMax"/>
        </c:scaling>
        <c:delete val="0"/>
        <c:axPos val="b"/>
        <c:title>
          <c:tx>
            <c:rich>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Fenofibrate dose % (w/w) in decanol layer</a:t>
                </a:r>
              </a:p>
            </c:rich>
          </c:tx>
          <c:layout>
            <c:manualLayout>
              <c:xMode val="edge"/>
              <c:yMode val="edge"/>
              <c:x val="0.32721530427253293"/>
              <c:y val="0.8923392030541637"/>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84846072"/>
        <c:crosses val="autoZero"/>
        <c:crossBetween val="midCat"/>
      </c:valAx>
      <c:valAx>
        <c:axId val="84846072"/>
        <c:scaling>
          <c:orientation val="minMax"/>
          <c:min val="0"/>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AUC (ug.h/mL)</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84845744"/>
        <c:crosses val="autoZero"/>
        <c:crossBetween val="midCat"/>
        <c:majorUnit val="2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360422626822419"/>
          <c:y val="5.4403892944038933E-2"/>
          <c:w val="0.81847099199906925"/>
          <c:h val="0.72952162001647591"/>
        </c:manualLayout>
      </c:layout>
      <c:scatterChart>
        <c:scatterStyle val="lineMarker"/>
        <c:varyColors val="0"/>
        <c:ser>
          <c:idx val="0"/>
          <c:order val="0"/>
          <c:spPr>
            <a:ln w="19050" cap="rnd">
              <a:noFill/>
              <a:round/>
            </a:ln>
            <a:effectLst/>
          </c:spPr>
          <c:marker>
            <c:symbol val="x"/>
            <c:size val="9"/>
            <c:spPr>
              <a:noFill/>
              <a:ln w="25400">
                <a:solidFill>
                  <a:schemeClr val="tx1"/>
                </a:solidFill>
              </a:ln>
              <a:effectLst/>
            </c:spPr>
          </c:marker>
          <c:trendline>
            <c:spPr>
              <a:ln w="19050" cap="rnd">
                <a:solidFill>
                  <a:schemeClr val="tx1"/>
                </a:solidFill>
                <a:prstDash val="sysDot"/>
              </a:ln>
              <a:effectLst/>
            </c:spPr>
            <c:trendlineType val="linear"/>
            <c:dispRSqr val="1"/>
            <c:dispEq val="0"/>
            <c:trendlineLbl>
              <c:layout>
                <c:manualLayout>
                  <c:x val="-2.8897856517935257E-2"/>
                  <c:y val="-1.3226888305628463E-2"/>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rendlineLbl>
          </c:trendline>
          <c:errBars>
            <c:errDir val="x"/>
            <c:errBarType val="both"/>
            <c:errValType val="cust"/>
            <c:noEndCap val="0"/>
            <c:plus>
              <c:numRef>
                <c:f>'Danazol (dog)'!$G$3:$G$6</c:f>
                <c:numCache>
                  <c:formatCode>General</c:formatCode>
                  <c:ptCount val="4"/>
                  <c:pt idx="0">
                    <c:v>4.5</c:v>
                  </c:pt>
                  <c:pt idx="1">
                    <c:v>1.7</c:v>
                  </c:pt>
                  <c:pt idx="2">
                    <c:v>4.7</c:v>
                  </c:pt>
                  <c:pt idx="3">
                    <c:v>2.4</c:v>
                  </c:pt>
                </c:numCache>
              </c:numRef>
            </c:plus>
            <c:minus>
              <c:numRef>
                <c:f>'Danazol (dog)'!$G$3:$G$6</c:f>
                <c:numCache>
                  <c:formatCode>General</c:formatCode>
                  <c:ptCount val="4"/>
                  <c:pt idx="0">
                    <c:v>4.5</c:v>
                  </c:pt>
                  <c:pt idx="1">
                    <c:v>1.7</c:v>
                  </c:pt>
                  <c:pt idx="2">
                    <c:v>4.7</c:v>
                  </c:pt>
                  <c:pt idx="3">
                    <c:v>2.4</c:v>
                  </c:pt>
                </c:numCache>
              </c:numRef>
            </c:minus>
            <c:spPr>
              <a:noFill/>
              <a:ln w="9525" cap="flat" cmpd="sng" algn="ctr">
                <a:solidFill>
                  <a:schemeClr val="tx1">
                    <a:lumMod val="65000"/>
                    <a:lumOff val="35000"/>
                  </a:schemeClr>
                </a:solidFill>
                <a:round/>
              </a:ln>
              <a:effectLst/>
            </c:spPr>
          </c:errBars>
          <c:errBars>
            <c:errDir val="y"/>
            <c:errBarType val="both"/>
            <c:errValType val="cust"/>
            <c:noEndCap val="0"/>
            <c:plus>
              <c:numRef>
                <c:f>'Danazol (dog)'!$C$3:$C$6</c:f>
                <c:numCache>
                  <c:formatCode>General</c:formatCode>
                  <c:ptCount val="4"/>
                  <c:pt idx="0">
                    <c:v>92.9</c:v>
                  </c:pt>
                  <c:pt idx="1">
                    <c:v>70.5</c:v>
                  </c:pt>
                  <c:pt idx="2">
                    <c:v>114.5</c:v>
                  </c:pt>
                  <c:pt idx="3">
                    <c:v>22.9</c:v>
                  </c:pt>
                </c:numCache>
              </c:numRef>
            </c:plus>
            <c:minus>
              <c:numRef>
                <c:f>'Danazol (dog)'!$C$3:$C$6</c:f>
                <c:numCache>
                  <c:formatCode>General</c:formatCode>
                  <c:ptCount val="4"/>
                  <c:pt idx="0">
                    <c:v>92.9</c:v>
                  </c:pt>
                  <c:pt idx="1">
                    <c:v>70.5</c:v>
                  </c:pt>
                  <c:pt idx="2">
                    <c:v>114.5</c:v>
                  </c:pt>
                  <c:pt idx="3">
                    <c:v>22.9</c:v>
                  </c:pt>
                </c:numCache>
              </c:numRef>
            </c:minus>
            <c:spPr>
              <a:noFill/>
              <a:ln w="9525" cap="flat" cmpd="sng" algn="ctr">
                <a:solidFill>
                  <a:schemeClr val="tx1">
                    <a:lumMod val="65000"/>
                    <a:lumOff val="35000"/>
                  </a:schemeClr>
                </a:solidFill>
                <a:round/>
              </a:ln>
              <a:effectLst/>
            </c:spPr>
          </c:errBars>
          <c:xVal>
            <c:numRef>
              <c:f>'Danazol (dog)'!$F$3:$F$6</c:f>
              <c:numCache>
                <c:formatCode>General</c:formatCode>
                <c:ptCount val="4"/>
                <c:pt idx="0">
                  <c:v>90.9</c:v>
                </c:pt>
                <c:pt idx="1">
                  <c:v>47.4</c:v>
                </c:pt>
                <c:pt idx="2">
                  <c:v>35.700000000000003</c:v>
                </c:pt>
                <c:pt idx="3">
                  <c:v>22.3</c:v>
                </c:pt>
              </c:numCache>
            </c:numRef>
          </c:xVal>
          <c:yVal>
            <c:numRef>
              <c:f>'Danazol (dog)'!$B$3:$B$6</c:f>
              <c:numCache>
                <c:formatCode>General</c:formatCode>
                <c:ptCount val="4"/>
                <c:pt idx="0">
                  <c:v>409.5</c:v>
                </c:pt>
                <c:pt idx="1">
                  <c:v>221.5</c:v>
                </c:pt>
                <c:pt idx="2">
                  <c:v>209.4</c:v>
                </c:pt>
                <c:pt idx="3">
                  <c:v>129.6</c:v>
                </c:pt>
              </c:numCache>
            </c:numRef>
          </c:yVal>
          <c:smooth val="0"/>
          <c:extLst>
            <c:ext xmlns:c16="http://schemas.microsoft.com/office/drawing/2014/chart" uri="{C3380CC4-5D6E-409C-BE32-E72D297353CC}">
              <c16:uniqueId val="{00000001-48C8-4DF6-B451-D9A9157D9C9B}"/>
            </c:ext>
          </c:extLst>
        </c:ser>
        <c:dLbls>
          <c:showLegendKey val="0"/>
          <c:showVal val="0"/>
          <c:showCatName val="0"/>
          <c:showSerName val="0"/>
          <c:showPercent val="0"/>
          <c:showBubbleSize val="0"/>
        </c:dLbls>
        <c:axId val="797407904"/>
        <c:axId val="797406592"/>
      </c:scatterChart>
      <c:valAx>
        <c:axId val="797407904"/>
        <c:scaling>
          <c:orientation val="minMax"/>
        </c:scaling>
        <c:delete val="0"/>
        <c:axPos val="b"/>
        <c:title>
          <c:tx>
            <c:rich>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Danazol dose % (w/w) in digestion AP </a:t>
                </a:r>
              </a:p>
            </c:rich>
          </c:tx>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797406592"/>
        <c:crosses val="autoZero"/>
        <c:crossBetween val="midCat"/>
      </c:valAx>
      <c:valAx>
        <c:axId val="797406592"/>
        <c:scaling>
          <c:orientation val="minMax"/>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AUC (ng.h/mL)</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7974079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360422626822419"/>
          <c:y val="5.9270072992700727E-2"/>
          <c:w val="0.82459590805011029"/>
          <c:h val="0.72465543996781412"/>
        </c:manualLayout>
      </c:layout>
      <c:scatterChart>
        <c:scatterStyle val="lineMarker"/>
        <c:varyColors val="0"/>
        <c:ser>
          <c:idx val="0"/>
          <c:order val="0"/>
          <c:spPr>
            <a:ln w="19050" cap="rnd">
              <a:noFill/>
              <a:round/>
            </a:ln>
            <a:effectLst/>
          </c:spPr>
          <c:marker>
            <c:symbol val="x"/>
            <c:size val="9"/>
            <c:spPr>
              <a:noFill/>
              <a:ln w="25400">
                <a:solidFill>
                  <a:schemeClr val="tx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tx1"/>
                </a:solidFill>
                <a:prstDash val="sysDot"/>
              </a:ln>
              <a:effectLst/>
            </c:spPr>
            <c:trendlineType val="linear"/>
            <c:dispRSqr val="1"/>
            <c:dispEq val="0"/>
            <c:trendlineLbl>
              <c:layout>
                <c:manualLayout>
                  <c:x val="9.6678696412948378E-2"/>
                  <c:y val="-0.15377989209682122"/>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rendlineLbl>
          </c:trendline>
          <c:errBars>
            <c:errDir val="x"/>
            <c:errBarType val="both"/>
            <c:errValType val="cust"/>
            <c:noEndCap val="0"/>
            <c:plus>
              <c:numRef>
                <c:f>'Danazol (dog)'!$E$3:$E$6</c:f>
                <c:numCache>
                  <c:formatCode>General</c:formatCode>
                  <c:ptCount val="4"/>
                  <c:pt idx="0">
                    <c:v>0.43</c:v>
                  </c:pt>
                  <c:pt idx="1">
                    <c:v>0.34</c:v>
                  </c:pt>
                  <c:pt idx="2">
                    <c:v>1.1399999999999999</c:v>
                  </c:pt>
                  <c:pt idx="3">
                    <c:v>1.25</c:v>
                  </c:pt>
                </c:numCache>
              </c:numRef>
            </c:plus>
            <c:minus>
              <c:numRef>
                <c:f>'Danazol (dog)'!$E$3:$E$6</c:f>
                <c:numCache>
                  <c:formatCode>General</c:formatCode>
                  <c:ptCount val="4"/>
                  <c:pt idx="0">
                    <c:v>0.43</c:v>
                  </c:pt>
                  <c:pt idx="1">
                    <c:v>0.34</c:v>
                  </c:pt>
                  <c:pt idx="2">
                    <c:v>1.1399999999999999</c:v>
                  </c:pt>
                  <c:pt idx="3">
                    <c:v>1.25</c:v>
                  </c:pt>
                </c:numCache>
              </c:numRef>
            </c:minus>
            <c:spPr>
              <a:noFill/>
              <a:ln w="9525" cap="flat" cmpd="sng" algn="ctr">
                <a:solidFill>
                  <a:schemeClr val="tx1">
                    <a:lumMod val="65000"/>
                    <a:lumOff val="35000"/>
                  </a:schemeClr>
                </a:solidFill>
                <a:round/>
              </a:ln>
              <a:effectLst/>
            </c:spPr>
          </c:errBars>
          <c:errBars>
            <c:errDir val="y"/>
            <c:errBarType val="both"/>
            <c:errValType val="cust"/>
            <c:noEndCap val="0"/>
            <c:plus>
              <c:numRef>
                <c:f>'Danazol (dog)'!$C$3:$C$6</c:f>
                <c:numCache>
                  <c:formatCode>General</c:formatCode>
                  <c:ptCount val="4"/>
                  <c:pt idx="0">
                    <c:v>92.9</c:v>
                  </c:pt>
                  <c:pt idx="1">
                    <c:v>70.5</c:v>
                  </c:pt>
                  <c:pt idx="2">
                    <c:v>114.5</c:v>
                  </c:pt>
                  <c:pt idx="3">
                    <c:v>22.9</c:v>
                  </c:pt>
                </c:numCache>
              </c:numRef>
            </c:plus>
            <c:minus>
              <c:numRef>
                <c:f>'Danazol (dog)'!$C$3:$C$6</c:f>
                <c:numCache>
                  <c:formatCode>General</c:formatCode>
                  <c:ptCount val="4"/>
                  <c:pt idx="0">
                    <c:v>92.9</c:v>
                  </c:pt>
                  <c:pt idx="1">
                    <c:v>70.5</c:v>
                  </c:pt>
                  <c:pt idx="2">
                    <c:v>114.5</c:v>
                  </c:pt>
                  <c:pt idx="3">
                    <c:v>22.9</c:v>
                  </c:pt>
                </c:numCache>
              </c:numRef>
            </c:minus>
            <c:spPr>
              <a:noFill/>
              <a:ln w="9525" cap="flat" cmpd="sng" algn="ctr">
                <a:solidFill>
                  <a:schemeClr val="tx1">
                    <a:lumMod val="65000"/>
                    <a:lumOff val="35000"/>
                  </a:schemeClr>
                </a:solidFill>
                <a:round/>
              </a:ln>
              <a:effectLst/>
            </c:spPr>
          </c:errBars>
          <c:xVal>
            <c:numRef>
              <c:f>'Danazol (dog)'!$D$3:$D$6</c:f>
              <c:numCache>
                <c:formatCode>General</c:formatCode>
                <c:ptCount val="4"/>
                <c:pt idx="0">
                  <c:v>15.44</c:v>
                </c:pt>
                <c:pt idx="1">
                  <c:v>16.14</c:v>
                </c:pt>
                <c:pt idx="2">
                  <c:v>18.399999999999999</c:v>
                </c:pt>
                <c:pt idx="3">
                  <c:v>22.14</c:v>
                </c:pt>
              </c:numCache>
            </c:numRef>
          </c:xVal>
          <c:yVal>
            <c:numRef>
              <c:f>'Danazol (dog)'!$B$3:$B$6</c:f>
              <c:numCache>
                <c:formatCode>General</c:formatCode>
                <c:ptCount val="4"/>
                <c:pt idx="0">
                  <c:v>409.5</c:v>
                </c:pt>
                <c:pt idx="1">
                  <c:v>221.5</c:v>
                </c:pt>
                <c:pt idx="2">
                  <c:v>209.4</c:v>
                </c:pt>
                <c:pt idx="3">
                  <c:v>129.6</c:v>
                </c:pt>
              </c:numCache>
            </c:numRef>
          </c:yVal>
          <c:smooth val="0"/>
          <c:extLst>
            <c:ext xmlns:c16="http://schemas.microsoft.com/office/drawing/2014/chart" uri="{C3380CC4-5D6E-409C-BE32-E72D297353CC}">
              <c16:uniqueId val="{00000002-2025-476C-98F9-9EC25E688B0B}"/>
            </c:ext>
          </c:extLst>
        </c:ser>
        <c:dLbls>
          <c:showLegendKey val="0"/>
          <c:showVal val="0"/>
          <c:showCatName val="0"/>
          <c:showSerName val="0"/>
          <c:showPercent val="0"/>
          <c:showBubbleSize val="0"/>
        </c:dLbls>
        <c:axId val="710360512"/>
        <c:axId val="716757976"/>
      </c:scatterChart>
      <c:valAx>
        <c:axId val="710360512"/>
        <c:scaling>
          <c:orientation val="minMax"/>
        </c:scaling>
        <c:delete val="0"/>
        <c:axPos val="b"/>
        <c:title>
          <c:tx>
            <c:rich>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Danazol dose % (w/w) in decanol layer</a:t>
                </a:r>
              </a:p>
            </c:rich>
          </c:tx>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716757976"/>
        <c:crosses val="autoZero"/>
        <c:crossBetween val="midCat"/>
      </c:valAx>
      <c:valAx>
        <c:axId val="716757976"/>
        <c:scaling>
          <c:orientation val="minMax"/>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r>
                  <a:rPr lang="en-GB"/>
                  <a:t>AUC</a:t>
                </a:r>
                <a:r>
                  <a:rPr lang="en-GB" sz="1100" b="0" i="0" u="none" strike="noStrike" baseline="-25000">
                    <a:effectLst/>
                  </a:rPr>
                  <a:t>0-10.h</a:t>
                </a:r>
                <a:r>
                  <a:rPr lang="en-GB" sz="1100" b="0" i="0" u="none" strike="noStrike" baseline="0">
                    <a:effectLst/>
                  </a:rPr>
                  <a:t> </a:t>
                </a:r>
                <a:r>
                  <a:rPr lang="en-GB"/>
                  <a:t> (ng.h/mL)</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7103605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8A22CA9D75A74381CE01409519E0F4" ma:contentTypeVersion="10" ma:contentTypeDescription="Create a new document." ma:contentTypeScope="" ma:versionID="12ee4eb6f53e9f632c1d32babfd17995">
  <xsd:schema xmlns:xsd="http://www.w3.org/2001/XMLSchema" xmlns:xs="http://www.w3.org/2001/XMLSchema" xmlns:p="http://schemas.microsoft.com/office/2006/metadata/properties" xmlns:ns3="398a06bf-85c3-43e0-b86e-24e692e04487" targetNamespace="http://schemas.microsoft.com/office/2006/metadata/properties" ma:root="true" ma:fieldsID="167511829140c595fa763a6601198c1f" ns3:_="">
    <xsd:import namespace="398a06bf-85c3-43e0-b86e-24e692e0448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8a06bf-85c3-43e0-b86e-24e692e044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7BCAE2-96C4-481C-A3B4-09F56FB71489}">
  <ds:schemaRefs>
    <ds:schemaRef ds:uri="http://www.w3.org/XML/1998/namespace"/>
    <ds:schemaRef ds:uri="http://purl.org/dc/elements/1.1/"/>
    <ds:schemaRef ds:uri="http://purl.org/dc/terms/"/>
    <ds:schemaRef ds:uri="http://schemas.microsoft.com/office/2006/documentManagement/types"/>
    <ds:schemaRef ds:uri="398a06bf-85c3-43e0-b86e-24e692e04487"/>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2D00319E-8CD7-4310-8238-8411F154ADF9}">
  <ds:schemaRefs>
    <ds:schemaRef ds:uri="http://schemas.microsoft.com/sharepoint/v3/contenttype/forms"/>
  </ds:schemaRefs>
</ds:datastoreItem>
</file>

<file path=customXml/itemProps3.xml><?xml version="1.0" encoding="utf-8"?>
<ds:datastoreItem xmlns:ds="http://schemas.openxmlformats.org/officeDocument/2006/customXml" ds:itemID="{89A68107-0103-4052-917B-A6AFD3A253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8a06bf-85c3-43e0-b86e-24e692e044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1680</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O'Dwyer, Patrick</dc:creator>
  <cp:keywords/>
  <dc:description/>
  <cp:lastModifiedBy>O'Dwyer, Patrick</cp:lastModifiedBy>
  <cp:revision>2</cp:revision>
  <dcterms:created xsi:type="dcterms:W3CDTF">2020-08-04T11:28:00Z</dcterms:created>
  <dcterms:modified xsi:type="dcterms:W3CDTF">2020-08-04T11:28:00Z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0x010100548A22CA9D75A74381CE01409519E0F4</vt:lpwstr>
  </property>
</Properties>
</file>