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7E" w:rsidRDefault="00EE3C7E" w:rsidP="00EE3C7E">
      <w:r>
        <w:t>S1</w:t>
      </w:r>
      <w:r w:rsidR="000C1B4C">
        <w:t xml:space="preserve"> File</w:t>
      </w:r>
      <w:r>
        <w:t xml:space="preserve">: </w:t>
      </w:r>
      <w:r w:rsidRPr="000C1B4C">
        <w:rPr>
          <w:b/>
        </w:rPr>
        <w:t>Microsatellite amplification protocols</w:t>
      </w:r>
    </w:p>
    <w:p w:rsidR="00EE3C7E" w:rsidRDefault="00EE3C7E" w:rsidP="00EE3C7E">
      <w:r>
        <w:t xml:space="preserve">Nine neutral microsatellite loci (from </w:t>
      </w:r>
      <w:proofErr w:type="spellStart"/>
      <w:r>
        <w:t>Lagardier</w:t>
      </w:r>
      <w:proofErr w:type="spellEnd"/>
      <w:r>
        <w:t xml:space="preserve"> et al (1999) and Peichel et al (2001) were amplified in</w:t>
      </w:r>
      <w:r w:rsidRPr="00F23BCB">
        <w:t xml:space="preserve"> two multiplex reactio</w:t>
      </w:r>
      <w:bookmarkStart w:id="0" w:name="_GoBack"/>
      <w:bookmarkEnd w:id="0"/>
      <w:r w:rsidRPr="00F23BCB">
        <w:t xml:space="preserve">ns </w:t>
      </w:r>
      <w:r>
        <w:t xml:space="preserve">(Multiplex A: Gac1097, </w:t>
      </w:r>
      <w:proofErr w:type="spellStart"/>
      <w:r>
        <w:t>Gac</w:t>
      </w:r>
      <w:proofErr w:type="spellEnd"/>
      <w:r>
        <w:t xml:space="preserve"> 1125, Gac4170, Gac5196, Gac7033; Multiplex B: STN18, STN32, STN75, STN84) </w:t>
      </w:r>
      <w:r w:rsidRPr="00F23BCB">
        <w:t xml:space="preserve">after Kalbe </w:t>
      </w:r>
      <w:r w:rsidRPr="00F23BCB">
        <w:rPr>
          <w:i/>
        </w:rPr>
        <w:t>et al</w:t>
      </w:r>
      <w:r w:rsidRPr="00F23BCB">
        <w:t>.</w:t>
      </w:r>
      <w:r>
        <w:t xml:space="preserve"> (2009). PCR a</w:t>
      </w:r>
      <w:r w:rsidRPr="00F23BCB">
        <w:t>mplification</w:t>
      </w:r>
      <w:r>
        <w:t xml:space="preserve"> was</w:t>
      </w:r>
      <w:r w:rsidRPr="00F23BCB">
        <w:t xml:space="preserve"> carried out using Top-Bio PPP </w:t>
      </w:r>
      <w:proofErr w:type="spellStart"/>
      <w:r w:rsidRPr="00F23BCB">
        <w:t>mastermix</w:t>
      </w:r>
      <w:proofErr w:type="spellEnd"/>
      <w:r w:rsidRPr="00F23BCB">
        <w:t xml:space="preserve"> (Top Bio, Czech Republic); total reaction volume was 3.5 </w:t>
      </w:r>
      <w:proofErr w:type="spellStart"/>
      <w:r w:rsidRPr="00844104">
        <w:rPr>
          <w:i/>
        </w:rPr>
        <w:t>μ</w:t>
      </w:r>
      <w:r w:rsidRPr="00F23BCB">
        <w:t>l</w:t>
      </w:r>
      <w:proofErr w:type="spellEnd"/>
      <w:r w:rsidRPr="00F23BCB">
        <w:t xml:space="preserve"> with 1.5 </w:t>
      </w:r>
      <w:proofErr w:type="spellStart"/>
      <w:r w:rsidRPr="00844104">
        <w:rPr>
          <w:i/>
        </w:rPr>
        <w:t>μ</w:t>
      </w:r>
      <w:r w:rsidRPr="00F23BCB">
        <w:t>l</w:t>
      </w:r>
      <w:proofErr w:type="spellEnd"/>
      <w:r w:rsidRPr="00F23BCB">
        <w:t xml:space="preserve"> </w:t>
      </w:r>
      <w:proofErr w:type="spellStart"/>
      <w:r w:rsidRPr="00F23BCB">
        <w:t>mastermix</w:t>
      </w:r>
      <w:proofErr w:type="spellEnd"/>
      <w:r w:rsidRPr="00F23BCB">
        <w:t>, 1</w:t>
      </w:r>
      <w:r>
        <w:t xml:space="preserve"> </w:t>
      </w:r>
      <w:proofErr w:type="spellStart"/>
      <w:r w:rsidRPr="00844104">
        <w:rPr>
          <w:i/>
        </w:rPr>
        <w:t>μ</w:t>
      </w:r>
      <w:r w:rsidRPr="00F23BCB">
        <w:t>l</w:t>
      </w:r>
      <w:proofErr w:type="spellEnd"/>
      <w:r w:rsidRPr="00F23BCB">
        <w:t xml:space="preserve"> template DNA</w:t>
      </w:r>
      <w:r>
        <w:t xml:space="preserve"> (1-5 ng)</w:t>
      </w:r>
      <w:r w:rsidRPr="00F23BCB">
        <w:t xml:space="preserve">, and 0.035 </w:t>
      </w:r>
      <w:proofErr w:type="spellStart"/>
      <w:r w:rsidRPr="00844104">
        <w:rPr>
          <w:i/>
        </w:rPr>
        <w:t>μ</w:t>
      </w:r>
      <w:r w:rsidRPr="00F23BCB">
        <w:t>l</w:t>
      </w:r>
      <w:proofErr w:type="spellEnd"/>
      <w:r>
        <w:t xml:space="preserve"> (10 </w:t>
      </w:r>
      <w:proofErr w:type="spellStart"/>
      <w:r>
        <w:t>pM</w:t>
      </w:r>
      <w:proofErr w:type="spellEnd"/>
      <w:r>
        <w:t xml:space="preserve">) </w:t>
      </w:r>
      <w:r w:rsidRPr="00F23BCB">
        <w:t>of each primer with the remainder volume made up with ddH</w:t>
      </w:r>
      <w:r w:rsidRPr="00844104">
        <w:rPr>
          <w:vertAlign w:val="subscript"/>
        </w:rPr>
        <w:t>2</w:t>
      </w:r>
      <w:r w:rsidRPr="00F23BCB">
        <w:t xml:space="preserve">0.  Identical </w:t>
      </w:r>
      <w:proofErr w:type="spellStart"/>
      <w:r w:rsidRPr="00F23BCB">
        <w:t>thermocycler</w:t>
      </w:r>
      <w:proofErr w:type="spellEnd"/>
      <w:r w:rsidRPr="00F23BCB">
        <w:t xml:space="preserve"> conditions were used for both multiplexes, 110°C heated lid, denaturation at 95°C for 15 min and then 20 cycles of 95°C for 30 s, 57°C for 1</w:t>
      </w:r>
      <w:r>
        <w:t>.5</w:t>
      </w:r>
      <w:r w:rsidRPr="00F23BCB">
        <w:t xml:space="preserve"> min and 72°C for 1</w:t>
      </w:r>
      <w:r>
        <w:t>.5</w:t>
      </w:r>
      <w:r w:rsidRPr="00F23BCB">
        <w:t xml:space="preserve"> min, with a final extension of 60°C for 30 min.</w:t>
      </w:r>
      <w:r>
        <w:t xml:space="preserve"> QTL-linked markers (STN380, STN381, STN382, STN211 AND STN 219) were amplified separately (i.e. not multiplexed)</w:t>
      </w:r>
      <w:r>
        <w:rPr>
          <w:lang w:val="en-US" w:eastAsia="ja-JP"/>
        </w:rPr>
        <w:t xml:space="preserve"> using an identical amplification mix and the following </w:t>
      </w:r>
      <w:proofErr w:type="spellStart"/>
      <w:r>
        <w:rPr>
          <w:lang w:val="en-US" w:eastAsia="ja-JP"/>
        </w:rPr>
        <w:t>thermocycler</w:t>
      </w:r>
      <w:proofErr w:type="spellEnd"/>
      <w:r>
        <w:rPr>
          <w:lang w:val="en-US" w:eastAsia="ja-JP"/>
        </w:rPr>
        <w:t xml:space="preserve"> conditions: 93°C for 3 min. 59°C for 30 s, 72°C for 30s; five cycles of 94°C for 30s, 59°C for 30 s, 72°C for 30 s; 35 cycles of 90°C for 30 s, 60°C for 30 s, 72°C for 30 s and 72°C for 10 minutes following </w:t>
      </w:r>
      <w:proofErr w:type="spellStart"/>
      <w:r>
        <w:rPr>
          <w:lang w:val="en-US" w:eastAsia="ja-JP"/>
        </w:rPr>
        <w:t>Marchinko</w:t>
      </w:r>
      <w:proofErr w:type="spellEnd"/>
      <w:r>
        <w:rPr>
          <w:lang w:val="en-US" w:eastAsia="ja-JP"/>
        </w:rPr>
        <w:t xml:space="preserve"> (2009). </w:t>
      </w:r>
      <w:r>
        <w:t xml:space="preserve">Fragment analysis was then performed on a 96 capillary </w:t>
      </w:r>
      <w:r w:rsidRPr="00F23BCB">
        <w:t xml:space="preserve">3730xl DNA </w:t>
      </w:r>
      <w:proofErr w:type="spellStart"/>
      <w:r w:rsidRPr="00F23BCB">
        <w:t>Analyzer</w:t>
      </w:r>
      <w:proofErr w:type="spellEnd"/>
      <w:r>
        <w:t xml:space="preserve"> (Applied </w:t>
      </w:r>
      <w:proofErr w:type="spellStart"/>
      <w:r>
        <w:t>Biosystems</w:t>
      </w:r>
      <w:proofErr w:type="spellEnd"/>
      <w:r>
        <w:t xml:space="preserve"> </w:t>
      </w:r>
      <w:proofErr w:type="spellStart"/>
      <w:r>
        <w:t>Inc</w:t>
      </w:r>
      <w:proofErr w:type="spellEnd"/>
      <w:r>
        <w:t>).</w:t>
      </w:r>
      <w:r w:rsidRPr="00F23BCB">
        <w:t xml:space="preserve"> </w:t>
      </w:r>
      <w:r>
        <w:t xml:space="preserve">Raw fragment profiles for each individual </w:t>
      </w:r>
      <w:r w:rsidRPr="00F23BCB">
        <w:t xml:space="preserve">were then manually genotyped using GENEMAPPER v4.1 (Applied </w:t>
      </w:r>
      <w:proofErr w:type="spellStart"/>
      <w:r w:rsidRPr="00F23BCB">
        <w:t>Biosystems</w:t>
      </w:r>
      <w:proofErr w:type="spellEnd"/>
      <w:r w:rsidRPr="00F23BCB">
        <w:t xml:space="preserve"> </w:t>
      </w:r>
      <w:proofErr w:type="spellStart"/>
      <w:r w:rsidRPr="00F23BCB">
        <w:t>Inc</w:t>
      </w:r>
      <w:proofErr w:type="spellEnd"/>
      <w:r w:rsidRPr="00F23BCB">
        <w:t>).</w:t>
      </w:r>
      <w:r>
        <w:t xml:space="preserve"> </w:t>
      </w:r>
    </w:p>
    <w:p w:rsidR="00EE3C7E" w:rsidRDefault="00EE3C7E" w:rsidP="00EE3C7E">
      <w:pPr>
        <w:spacing w:before="100" w:beforeAutospacing="1" w:after="100" w:afterAutospacing="1" w:line="360" w:lineRule="auto"/>
        <w:ind w:left="480" w:hanging="480"/>
      </w:pPr>
      <w:r>
        <w:t xml:space="preserve">Kalbe, M., </w:t>
      </w:r>
      <w:proofErr w:type="spellStart"/>
      <w:r>
        <w:t>Eizaguirre</w:t>
      </w:r>
      <w:proofErr w:type="spellEnd"/>
      <w:r>
        <w:t xml:space="preserve">, C., </w:t>
      </w:r>
      <w:proofErr w:type="spellStart"/>
      <w:r>
        <w:t>Dankert</w:t>
      </w:r>
      <w:proofErr w:type="spellEnd"/>
      <w:r>
        <w:t xml:space="preserve">, I., </w:t>
      </w:r>
      <w:proofErr w:type="spellStart"/>
      <w:r>
        <w:t>Reusch</w:t>
      </w:r>
      <w:proofErr w:type="spellEnd"/>
      <w:r>
        <w:t xml:space="preserve">, T. B. H., </w:t>
      </w:r>
      <w:proofErr w:type="spellStart"/>
      <w:r>
        <w:t>Sommerfield</w:t>
      </w:r>
      <w:proofErr w:type="spellEnd"/>
      <w:r>
        <w:t xml:space="preserve">, R. D., Wegner, K. M. and </w:t>
      </w:r>
      <w:proofErr w:type="spellStart"/>
      <w:r>
        <w:t>Milinski</w:t>
      </w:r>
      <w:proofErr w:type="spellEnd"/>
      <w:r>
        <w:t xml:space="preserve">, M. 2009. Lifetime reproductive success is maximized with optimal major histocompatibility complex diversity. </w:t>
      </w:r>
      <w:r>
        <w:rPr>
          <w:i/>
          <w:iCs/>
        </w:rPr>
        <w:t>Proceedings of the Royal Society B</w:t>
      </w:r>
      <w:r>
        <w:t xml:space="preserve">, </w:t>
      </w:r>
      <w:r>
        <w:rPr>
          <w:b/>
          <w:bCs/>
        </w:rPr>
        <w:t>276</w:t>
      </w:r>
      <w:r>
        <w:t>: 925–934.</w:t>
      </w:r>
    </w:p>
    <w:p w:rsidR="00EE3C7E" w:rsidRDefault="00EE3C7E" w:rsidP="00EE3C7E">
      <w:pPr>
        <w:spacing w:before="100" w:beforeAutospacing="1" w:after="100" w:afterAutospacing="1" w:line="360" w:lineRule="auto"/>
        <w:ind w:left="480" w:hanging="480"/>
      </w:pPr>
      <w:proofErr w:type="spellStart"/>
      <w:r>
        <w:t>Largiader</w:t>
      </w:r>
      <w:proofErr w:type="spellEnd"/>
      <w:r>
        <w:t xml:space="preserve">, C. R., Fries, V., </w:t>
      </w:r>
      <w:proofErr w:type="spellStart"/>
      <w:r>
        <w:t>Kobler</w:t>
      </w:r>
      <w:proofErr w:type="spellEnd"/>
      <w:r>
        <w:t xml:space="preserve">, B. and Bakker, T. C. M. 1999. Isolation and characterization of microsatellite loci from the three-spined stickleback (Gasterosteus aculeatus L.). </w:t>
      </w:r>
      <w:proofErr w:type="spellStart"/>
      <w:r>
        <w:rPr>
          <w:i/>
          <w:iCs/>
        </w:rPr>
        <w:t>Mol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Ecol</w:t>
      </w:r>
      <w:proofErr w:type="spellEnd"/>
      <w:r>
        <w:t xml:space="preserve">, </w:t>
      </w:r>
      <w:r>
        <w:rPr>
          <w:b/>
          <w:bCs/>
        </w:rPr>
        <w:t>8</w:t>
      </w:r>
      <w:r>
        <w:t>: 342–344.</w:t>
      </w:r>
    </w:p>
    <w:p w:rsidR="00EE3C7E" w:rsidRDefault="00EE3C7E" w:rsidP="00EE3C7E">
      <w:pPr>
        <w:spacing w:before="100" w:beforeAutospacing="1" w:after="100" w:afterAutospacing="1" w:line="360" w:lineRule="auto"/>
        <w:ind w:left="480" w:hanging="480"/>
      </w:pPr>
      <w:proofErr w:type="spellStart"/>
      <w:r>
        <w:lastRenderedPageBreak/>
        <w:t>Mäkinen</w:t>
      </w:r>
      <w:proofErr w:type="spellEnd"/>
      <w:r>
        <w:t xml:space="preserve">, H. S. and </w:t>
      </w:r>
      <w:proofErr w:type="spellStart"/>
      <w:r>
        <w:t>Merilä</w:t>
      </w:r>
      <w:proofErr w:type="spellEnd"/>
      <w:r>
        <w:t xml:space="preserve">, J. 2008. Mitochondrial DNA </w:t>
      </w:r>
      <w:proofErr w:type="spellStart"/>
      <w:r>
        <w:t>phylogeography</w:t>
      </w:r>
      <w:proofErr w:type="spellEnd"/>
      <w:r>
        <w:t xml:space="preserve"> of the three-</w:t>
      </w:r>
      <w:proofErr w:type="spellStart"/>
      <w:r>
        <w:t>spined</w:t>
      </w:r>
      <w:proofErr w:type="spellEnd"/>
      <w:r>
        <w:t xml:space="preserve"> stickleback (</w:t>
      </w:r>
      <w:r>
        <w:rPr>
          <w:i/>
          <w:iCs/>
        </w:rPr>
        <w:t>Gasterosteus aculeatus</w:t>
      </w:r>
      <w:r>
        <w:t xml:space="preserve">) in Europe - Evidence for multiple glacial </w:t>
      </w:r>
      <w:proofErr w:type="spellStart"/>
      <w:r>
        <w:t>refugia</w:t>
      </w:r>
      <w:proofErr w:type="spellEnd"/>
      <w:r>
        <w:t xml:space="preserve">. </w:t>
      </w:r>
      <w:r>
        <w:rPr>
          <w:i/>
          <w:iCs/>
        </w:rPr>
        <w:t>Molecular Phylogenetics and Evolution</w:t>
      </w:r>
      <w:r>
        <w:t xml:space="preserve">, </w:t>
      </w:r>
      <w:r>
        <w:rPr>
          <w:b/>
          <w:bCs/>
        </w:rPr>
        <w:t>46</w:t>
      </w:r>
      <w:r>
        <w:t>: 167–182.</w:t>
      </w:r>
    </w:p>
    <w:p w:rsidR="00EE3C7E" w:rsidRPr="00A26D36" w:rsidRDefault="00EE3C7E" w:rsidP="00EE3C7E">
      <w:pPr>
        <w:pStyle w:val="NormalWeb"/>
        <w:spacing w:line="480" w:lineRule="auto"/>
        <w:ind w:left="480" w:hanging="480"/>
        <w:rPr>
          <w:rFonts w:ascii="Cambria" w:hAnsi="Cambria"/>
          <w:sz w:val="22"/>
          <w:szCs w:val="22"/>
        </w:rPr>
      </w:pPr>
      <w:proofErr w:type="spellStart"/>
      <w:r w:rsidRPr="00A26D36">
        <w:rPr>
          <w:rFonts w:ascii="Cambria" w:hAnsi="Cambria"/>
          <w:sz w:val="22"/>
          <w:szCs w:val="22"/>
        </w:rPr>
        <w:t>Marchinko</w:t>
      </w:r>
      <w:proofErr w:type="spellEnd"/>
      <w:r w:rsidRPr="00A26D36">
        <w:rPr>
          <w:rFonts w:ascii="Cambria" w:hAnsi="Cambria"/>
          <w:sz w:val="22"/>
          <w:szCs w:val="22"/>
        </w:rPr>
        <w:t xml:space="preserve"> KB (2009) Predation’s role in repeated phenotypic and genetic divergence of </w:t>
      </w:r>
      <w:proofErr w:type="spellStart"/>
      <w:r w:rsidRPr="00A26D36">
        <w:rPr>
          <w:rFonts w:ascii="Cambria" w:hAnsi="Cambria"/>
          <w:sz w:val="22"/>
          <w:szCs w:val="22"/>
        </w:rPr>
        <w:t>armor</w:t>
      </w:r>
      <w:proofErr w:type="spellEnd"/>
      <w:r w:rsidRPr="00A26D36">
        <w:rPr>
          <w:rFonts w:ascii="Cambria" w:hAnsi="Cambria"/>
          <w:sz w:val="22"/>
          <w:szCs w:val="22"/>
        </w:rPr>
        <w:t xml:space="preserve"> in </w:t>
      </w:r>
      <w:proofErr w:type="spellStart"/>
      <w:r w:rsidRPr="00A26D36">
        <w:rPr>
          <w:rFonts w:ascii="Cambria" w:hAnsi="Cambria"/>
          <w:sz w:val="22"/>
          <w:szCs w:val="22"/>
        </w:rPr>
        <w:t>threespine</w:t>
      </w:r>
      <w:proofErr w:type="spellEnd"/>
      <w:r w:rsidRPr="00A26D36">
        <w:rPr>
          <w:rFonts w:ascii="Cambria" w:hAnsi="Cambria"/>
          <w:sz w:val="22"/>
          <w:szCs w:val="22"/>
        </w:rPr>
        <w:t xml:space="preserve"> stickleback. </w:t>
      </w:r>
      <w:r w:rsidRPr="00A26D36">
        <w:rPr>
          <w:rFonts w:ascii="Cambria" w:hAnsi="Cambria"/>
          <w:i/>
          <w:iCs/>
          <w:sz w:val="22"/>
          <w:szCs w:val="22"/>
        </w:rPr>
        <w:t>Evolution</w:t>
      </w:r>
      <w:r w:rsidRPr="00A26D36">
        <w:rPr>
          <w:rFonts w:ascii="Cambria" w:hAnsi="Cambria"/>
          <w:sz w:val="22"/>
          <w:szCs w:val="22"/>
        </w:rPr>
        <w:t xml:space="preserve">, </w:t>
      </w:r>
      <w:r w:rsidRPr="00A26D36">
        <w:rPr>
          <w:rFonts w:ascii="Cambria" w:hAnsi="Cambria"/>
          <w:b/>
          <w:bCs/>
          <w:sz w:val="22"/>
          <w:szCs w:val="22"/>
        </w:rPr>
        <w:t>63</w:t>
      </w:r>
      <w:r w:rsidRPr="00A26D36">
        <w:rPr>
          <w:rFonts w:ascii="Cambria" w:hAnsi="Cambria"/>
          <w:sz w:val="22"/>
          <w:szCs w:val="22"/>
        </w:rPr>
        <w:t>, 127–138.</w:t>
      </w:r>
    </w:p>
    <w:p w:rsidR="00EE3C7E" w:rsidRDefault="00EE3C7E" w:rsidP="00EE3C7E">
      <w:pPr>
        <w:spacing w:line="360" w:lineRule="auto"/>
      </w:pPr>
      <w:r>
        <w:t xml:space="preserve">Peichel, C. L., </w:t>
      </w:r>
      <w:proofErr w:type="spellStart"/>
      <w:r>
        <w:t>Nereng</w:t>
      </w:r>
      <w:proofErr w:type="spellEnd"/>
      <w:r>
        <w:t xml:space="preserve">, K. S., </w:t>
      </w:r>
      <w:proofErr w:type="spellStart"/>
      <w:r>
        <w:t>Ohgi</w:t>
      </w:r>
      <w:proofErr w:type="spellEnd"/>
      <w:r>
        <w:t xml:space="preserve">, K. A., Cole, B. L. E., </w:t>
      </w:r>
      <w:proofErr w:type="spellStart"/>
      <w:r>
        <w:t>Colosimo</w:t>
      </w:r>
      <w:proofErr w:type="spellEnd"/>
      <w:r>
        <w:t xml:space="preserve">, P. F., </w:t>
      </w:r>
      <w:proofErr w:type="spellStart"/>
      <w:r>
        <w:t>Buerkle</w:t>
      </w:r>
      <w:proofErr w:type="spellEnd"/>
      <w:r>
        <w:t xml:space="preserve">, C. A., Schluter, D. and Kingsley, D. M. 2001. The genetic architecture of divergence between </w:t>
      </w:r>
      <w:proofErr w:type="spellStart"/>
      <w:r>
        <w:t>threespine</w:t>
      </w:r>
      <w:proofErr w:type="spellEnd"/>
      <w:r>
        <w:t xml:space="preserve"> stickleback species. </w:t>
      </w:r>
      <w:r>
        <w:rPr>
          <w:i/>
          <w:iCs/>
        </w:rPr>
        <w:t>Nature</w:t>
      </w:r>
      <w:r>
        <w:t xml:space="preserve">, </w:t>
      </w:r>
      <w:r>
        <w:rPr>
          <w:b/>
          <w:bCs/>
        </w:rPr>
        <w:t>414</w:t>
      </w:r>
      <w:r>
        <w:t>: 901–904.</w:t>
      </w:r>
    </w:p>
    <w:p w:rsidR="009B51C6" w:rsidRDefault="009B51C6"/>
    <w:sectPr w:rsidR="009B51C6" w:rsidSect="009B51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7E"/>
    <w:rsid w:val="000C1B4C"/>
    <w:rsid w:val="009B51C6"/>
    <w:rsid w:val="00E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A82FD6A-4E07-4642-9FCD-FDE19676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EE3C7E"/>
    <w:pPr>
      <w:spacing w:after="200" w:line="480" w:lineRule="auto"/>
      <w:jc w:val="both"/>
    </w:pPr>
    <w:rPr>
      <w:rFonts w:ascii="Cambria" w:hAnsi="Cambri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C7E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Ravinet</dc:creator>
  <cp:keywords/>
  <dc:description/>
  <cp:lastModifiedBy>Paulo Prodohl</cp:lastModifiedBy>
  <cp:revision>2</cp:revision>
  <dcterms:created xsi:type="dcterms:W3CDTF">2015-01-27T08:32:00Z</dcterms:created>
  <dcterms:modified xsi:type="dcterms:W3CDTF">2015-03-10T11:43:00Z</dcterms:modified>
</cp:coreProperties>
</file>