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9FBAA2" w14:textId="77777777" w:rsidR="00EC1D2D" w:rsidRPr="00646D91" w:rsidRDefault="00EC1D2D" w:rsidP="00EC1D2D">
      <w:pPr>
        <w:spacing w:line="240" w:lineRule="auto"/>
        <w:jc w:val="both"/>
        <w:rPr>
          <w:rFonts w:ascii="Times New Roman" w:eastAsia="Times New Roman" w:hAnsi="Times New Roman" w:cs="Times New Roman"/>
          <w:sz w:val="24"/>
          <w:szCs w:val="24"/>
          <w:lang w:eastAsia="en-IE"/>
        </w:rPr>
      </w:pPr>
      <w:r w:rsidRPr="00646D91">
        <w:rPr>
          <w:rFonts w:ascii="Times New Roman" w:eastAsia="Times New Roman" w:hAnsi="Times New Roman" w:cs="Times New Roman"/>
          <w:b/>
          <w:sz w:val="24"/>
          <w:szCs w:val="24"/>
          <w:lang w:eastAsia="en-IE"/>
        </w:rPr>
        <w:t>Appendix</w:t>
      </w:r>
      <w:r w:rsidRPr="00646D91">
        <w:rPr>
          <w:rFonts w:ascii="Times New Roman" w:eastAsia="Times New Roman" w:hAnsi="Times New Roman" w:cs="Times New Roman"/>
          <w:b/>
          <w:bCs/>
          <w:sz w:val="24"/>
          <w:szCs w:val="24"/>
          <w:lang w:eastAsia="en-IE"/>
        </w:rPr>
        <w:t xml:space="preserve">. </w:t>
      </w:r>
      <w:r w:rsidRPr="00646D91">
        <w:rPr>
          <w:rFonts w:ascii="Times New Roman" w:eastAsia="Times New Roman" w:hAnsi="Times New Roman" w:cs="Times New Roman"/>
          <w:sz w:val="24"/>
          <w:szCs w:val="24"/>
          <w:lang w:eastAsia="en-IE"/>
        </w:rPr>
        <w:t>Key themes through illustrative quotes</w:t>
      </w:r>
    </w:p>
    <w:tbl>
      <w:tblPr>
        <w:tblStyle w:val="TableGrid"/>
        <w:tblW w:w="9351" w:type="dxa"/>
        <w:tblLayout w:type="fixed"/>
        <w:tblLook w:val="04A0" w:firstRow="1" w:lastRow="0" w:firstColumn="1" w:lastColumn="0" w:noHBand="0" w:noVBand="1"/>
      </w:tblPr>
      <w:tblGrid>
        <w:gridCol w:w="2010"/>
        <w:gridCol w:w="1710"/>
        <w:gridCol w:w="5631"/>
      </w:tblGrid>
      <w:tr w:rsidR="00646D91" w:rsidRPr="00646D91" w14:paraId="2F0E622A" w14:textId="77777777" w:rsidTr="00EC1D2D">
        <w:trPr>
          <w:trHeight w:val="301"/>
        </w:trPr>
        <w:tc>
          <w:tcPr>
            <w:tcW w:w="2010" w:type="dxa"/>
          </w:tcPr>
          <w:p w14:paraId="41C78FA0" w14:textId="77777777" w:rsidR="00EC1D2D" w:rsidRPr="00646D91" w:rsidRDefault="00EC1D2D" w:rsidP="00EC1D2D">
            <w:pPr>
              <w:spacing w:line="240" w:lineRule="auto"/>
              <w:rPr>
                <w:rFonts w:ascii="Times New Roman" w:hAnsi="Times New Roman" w:cs="Times New Roman"/>
                <w:b/>
                <w:bCs/>
                <w:sz w:val="24"/>
                <w:szCs w:val="24"/>
              </w:rPr>
            </w:pPr>
            <w:r w:rsidRPr="00646D91">
              <w:rPr>
                <w:rFonts w:ascii="Times New Roman" w:hAnsi="Times New Roman" w:cs="Times New Roman"/>
                <w:b/>
                <w:bCs/>
                <w:sz w:val="24"/>
                <w:szCs w:val="24"/>
              </w:rPr>
              <w:t>Themes (motives and channels of voice)</w:t>
            </w:r>
          </w:p>
        </w:tc>
        <w:tc>
          <w:tcPr>
            <w:tcW w:w="1710" w:type="dxa"/>
          </w:tcPr>
          <w:p w14:paraId="1FDDBE80" w14:textId="77777777" w:rsidR="00EC1D2D" w:rsidRPr="00646D91" w:rsidRDefault="00EC1D2D" w:rsidP="00EC1D2D">
            <w:pPr>
              <w:spacing w:line="240" w:lineRule="auto"/>
              <w:jc w:val="both"/>
              <w:rPr>
                <w:rFonts w:ascii="Times New Roman" w:hAnsi="Times New Roman" w:cs="Times New Roman"/>
                <w:b/>
                <w:bCs/>
                <w:sz w:val="24"/>
                <w:szCs w:val="24"/>
              </w:rPr>
            </w:pPr>
            <w:r w:rsidRPr="00646D91">
              <w:rPr>
                <w:rFonts w:ascii="Times New Roman" w:hAnsi="Times New Roman" w:cs="Times New Roman"/>
                <w:b/>
                <w:bCs/>
                <w:sz w:val="24"/>
                <w:szCs w:val="24"/>
              </w:rPr>
              <w:t>Categories</w:t>
            </w:r>
          </w:p>
        </w:tc>
        <w:tc>
          <w:tcPr>
            <w:tcW w:w="5631" w:type="dxa"/>
          </w:tcPr>
          <w:p w14:paraId="18E1F205" w14:textId="77777777" w:rsidR="00EC1D2D" w:rsidRPr="00646D91" w:rsidRDefault="00EC1D2D" w:rsidP="00EC1D2D">
            <w:pPr>
              <w:spacing w:line="240" w:lineRule="auto"/>
              <w:jc w:val="both"/>
              <w:rPr>
                <w:rFonts w:ascii="Times New Roman" w:hAnsi="Times New Roman" w:cs="Times New Roman"/>
                <w:b/>
                <w:bCs/>
                <w:sz w:val="24"/>
                <w:szCs w:val="24"/>
              </w:rPr>
            </w:pPr>
            <w:r w:rsidRPr="00646D91">
              <w:rPr>
                <w:rFonts w:ascii="Times New Roman" w:hAnsi="Times New Roman" w:cs="Times New Roman"/>
                <w:b/>
                <w:bCs/>
                <w:sz w:val="24"/>
                <w:szCs w:val="24"/>
              </w:rPr>
              <w:t>Illustrative quotes from selected studies</w:t>
            </w:r>
          </w:p>
        </w:tc>
      </w:tr>
      <w:tr w:rsidR="00646D91" w:rsidRPr="00646D91" w14:paraId="584E54FD" w14:textId="77777777" w:rsidTr="00EC1D2D">
        <w:trPr>
          <w:trHeight w:val="462"/>
        </w:trPr>
        <w:tc>
          <w:tcPr>
            <w:tcW w:w="2010" w:type="dxa"/>
            <w:vMerge w:val="restart"/>
          </w:tcPr>
          <w:p w14:paraId="55D8AF83" w14:textId="77777777" w:rsidR="00EC1D2D" w:rsidRPr="00646D91" w:rsidRDefault="00EC1D2D" w:rsidP="00EC1D2D">
            <w:pPr>
              <w:spacing w:line="240" w:lineRule="auto"/>
              <w:rPr>
                <w:rFonts w:ascii="Times New Roman" w:hAnsi="Times New Roman" w:cs="Times New Roman"/>
                <w:sz w:val="24"/>
                <w:szCs w:val="24"/>
              </w:rPr>
            </w:pPr>
            <w:r w:rsidRPr="00646D91">
              <w:rPr>
                <w:rFonts w:ascii="Times New Roman" w:hAnsi="Times New Roman" w:cs="Times New Roman"/>
                <w:sz w:val="24"/>
                <w:szCs w:val="24"/>
              </w:rPr>
              <w:t>Voice for mutual aid via digital communication technologies</w:t>
            </w:r>
          </w:p>
        </w:tc>
        <w:tc>
          <w:tcPr>
            <w:tcW w:w="1710" w:type="dxa"/>
          </w:tcPr>
          <w:p w14:paraId="74D20EA7"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Peer-to-peer interactions</w:t>
            </w:r>
          </w:p>
        </w:tc>
        <w:tc>
          <w:tcPr>
            <w:tcW w:w="5631" w:type="dxa"/>
          </w:tcPr>
          <w:p w14:paraId="5EA7D510" w14:textId="77777777" w:rsidR="00077066" w:rsidRPr="00646D91" w:rsidRDefault="00EC1D2D" w:rsidP="00EC1D2D">
            <w:pPr>
              <w:spacing w:line="240" w:lineRule="auto"/>
              <w:jc w:val="both"/>
              <w:rPr>
                <w:rFonts w:ascii="Times New Roman" w:eastAsia="Times New Roman" w:hAnsi="Times New Roman" w:cs="Times New Roman"/>
                <w:sz w:val="24"/>
                <w:szCs w:val="24"/>
              </w:rPr>
            </w:pPr>
            <w:r w:rsidRPr="00646D91">
              <w:rPr>
                <w:rFonts w:ascii="Times New Roman" w:hAnsi="Times New Roman" w:cs="Times New Roman"/>
                <w:sz w:val="24"/>
                <w:szCs w:val="24"/>
              </w:rPr>
              <w:t>“…</w:t>
            </w:r>
            <w:r w:rsidRPr="00646D91">
              <w:rPr>
                <w:rFonts w:ascii="Times New Roman" w:hAnsi="Times New Roman" w:cs="Times New Roman"/>
                <w:i/>
                <w:iCs/>
                <w:sz w:val="24"/>
                <w:szCs w:val="24"/>
              </w:rPr>
              <w:t>Social media networks among gig workers have become spaces where the buying and selling of accounts, sharing strategies on bidding, the re-outsourcing of jobs, running skills-training classes, and the discussion of a variety of interpersonal and work-related issues such as life, fair employment relationships, trust and dealing with bad clients, are common…</w:t>
            </w:r>
            <w:r w:rsidRPr="00646D91">
              <w:rPr>
                <w:rFonts w:ascii="Times New Roman" w:hAnsi="Times New Roman" w:cs="Times New Roman"/>
                <w:sz w:val="24"/>
                <w:szCs w:val="24"/>
              </w:rPr>
              <w:t>” (</w:t>
            </w:r>
            <w:r w:rsidRPr="00646D91">
              <w:rPr>
                <w:rFonts w:ascii="Times New Roman" w:eastAsia="Times New Roman" w:hAnsi="Times New Roman" w:cs="Times New Roman"/>
                <w:sz w:val="24"/>
                <w:szCs w:val="24"/>
              </w:rPr>
              <w:t>Anwar &amp; Graham, 2020, p. 1282).</w:t>
            </w:r>
          </w:p>
          <w:p w14:paraId="3989033F" w14:textId="36BF2980" w:rsidR="00EC1D2D" w:rsidRPr="00646D91" w:rsidRDefault="00EC1D2D" w:rsidP="00EC1D2D">
            <w:pPr>
              <w:spacing w:line="240" w:lineRule="auto"/>
              <w:jc w:val="both"/>
              <w:rPr>
                <w:rFonts w:ascii="Times New Roman" w:eastAsia="Times New Roman" w:hAnsi="Times New Roman" w:cs="Times New Roman"/>
                <w:i/>
                <w:iCs/>
                <w:sz w:val="24"/>
                <w:szCs w:val="24"/>
              </w:rPr>
            </w:pPr>
            <w:r w:rsidRPr="00646D91">
              <w:rPr>
                <w:rFonts w:ascii="Times New Roman" w:eastAsia="Times New Roman" w:hAnsi="Times New Roman" w:cs="Times New Roman"/>
                <w:sz w:val="24"/>
                <w:szCs w:val="24"/>
              </w:rPr>
              <w:t>“…</w:t>
            </w:r>
            <w:r w:rsidRPr="00646D91">
              <w:rPr>
                <w:rFonts w:ascii="Times New Roman" w:eastAsia="Times New Roman" w:hAnsi="Times New Roman" w:cs="Times New Roman"/>
                <w:i/>
                <w:iCs/>
                <w:sz w:val="24"/>
                <w:szCs w:val="24"/>
              </w:rPr>
              <w:t>In Mexico, a group of 10 drivers has built a series of mutual support tools. The group operates with two group chats on WhatsApp: one is aimed at exchanging internal information, notifications on street traffic, entertaining contents (memes, jokes, videos, gossip</w:t>
            </w:r>
            <w:r w:rsidRPr="00646D91">
              <w:rPr>
                <w:rFonts w:ascii="Times New Roman" w:eastAsia="Times New Roman" w:hAnsi="Times New Roman" w:cs="Times New Roman"/>
                <w:sz w:val="24"/>
                <w:szCs w:val="24"/>
              </w:rPr>
              <w:t xml:space="preserve">), </w:t>
            </w:r>
            <w:r w:rsidRPr="00646D91">
              <w:rPr>
                <w:rFonts w:ascii="Times New Roman" w:eastAsia="Times New Roman" w:hAnsi="Times New Roman" w:cs="Times New Roman"/>
                <w:i/>
                <w:iCs/>
                <w:sz w:val="24"/>
                <w:szCs w:val="24"/>
              </w:rPr>
              <w:t>while the second is strictly focused on the security and safety of the members of the group: everybody reports when they start or end work</w:t>
            </w:r>
            <w:r w:rsidRPr="00646D91">
              <w:rPr>
                <w:rFonts w:ascii="Times New Roman" w:eastAsia="Times New Roman" w:hAnsi="Times New Roman" w:cs="Times New Roman"/>
                <w:sz w:val="24"/>
                <w:szCs w:val="24"/>
              </w:rPr>
              <w:t xml:space="preserve"> …” (Bonini et al., 2024, p. 11).</w:t>
            </w:r>
          </w:p>
        </w:tc>
      </w:tr>
      <w:tr w:rsidR="00646D91" w:rsidRPr="00646D91" w14:paraId="5F14E8D2" w14:textId="77777777" w:rsidTr="00EC1D2D">
        <w:trPr>
          <w:trHeight w:val="460"/>
        </w:trPr>
        <w:tc>
          <w:tcPr>
            <w:tcW w:w="2010" w:type="dxa"/>
            <w:vMerge/>
          </w:tcPr>
          <w:p w14:paraId="501F443A" w14:textId="77777777" w:rsidR="00EC1D2D" w:rsidRPr="00646D91" w:rsidRDefault="00EC1D2D" w:rsidP="00EC1D2D">
            <w:pPr>
              <w:spacing w:line="240" w:lineRule="auto"/>
              <w:rPr>
                <w:rFonts w:ascii="Times New Roman" w:hAnsi="Times New Roman" w:cs="Times New Roman"/>
                <w:sz w:val="24"/>
                <w:szCs w:val="24"/>
              </w:rPr>
            </w:pPr>
          </w:p>
        </w:tc>
        <w:tc>
          <w:tcPr>
            <w:tcW w:w="1710" w:type="dxa"/>
          </w:tcPr>
          <w:p w14:paraId="5A894880"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 xml:space="preserve">Self-help networking </w:t>
            </w:r>
          </w:p>
        </w:tc>
        <w:tc>
          <w:tcPr>
            <w:tcW w:w="5631" w:type="dxa"/>
          </w:tcPr>
          <w:p w14:paraId="5FAF31C3"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i/>
                <w:iCs/>
                <w:sz w:val="24"/>
                <w:szCs w:val="24"/>
              </w:rPr>
              <w:t>“…each community also nominates a member to be part of a rapid response team…which is responsible for assisting drivers on the road, for example if a driver has a road accident, if they experience conflict with conventional transport drivers or if their vehicle breaks down in the district</w:t>
            </w:r>
            <w:r w:rsidRPr="00646D91">
              <w:rPr>
                <w:rFonts w:ascii="Times New Roman" w:hAnsi="Times New Roman" w:cs="Times New Roman"/>
                <w:sz w:val="24"/>
                <w:szCs w:val="24"/>
              </w:rPr>
              <w:t>…” (</w:t>
            </w:r>
            <w:r w:rsidRPr="00646D91">
              <w:rPr>
                <w:rFonts w:ascii="Times New Roman" w:eastAsia="Times New Roman" w:hAnsi="Times New Roman" w:cs="Times New Roman"/>
                <w:sz w:val="24"/>
                <w:szCs w:val="24"/>
              </w:rPr>
              <w:t>Ford &amp; Honan, 2019, p. 536).</w:t>
            </w:r>
          </w:p>
        </w:tc>
      </w:tr>
      <w:tr w:rsidR="00646D91" w:rsidRPr="00646D91" w14:paraId="6FE3D314" w14:textId="77777777" w:rsidTr="00EC1D2D">
        <w:trPr>
          <w:trHeight w:val="462"/>
        </w:trPr>
        <w:tc>
          <w:tcPr>
            <w:tcW w:w="2010" w:type="dxa"/>
            <w:vMerge w:val="restart"/>
          </w:tcPr>
          <w:p w14:paraId="4034981B" w14:textId="77777777" w:rsidR="00EC1D2D" w:rsidRPr="00646D91" w:rsidRDefault="00EC1D2D" w:rsidP="00EC1D2D">
            <w:pPr>
              <w:spacing w:line="240" w:lineRule="auto"/>
              <w:rPr>
                <w:rFonts w:ascii="Times New Roman" w:hAnsi="Times New Roman" w:cs="Times New Roman"/>
                <w:sz w:val="24"/>
                <w:szCs w:val="24"/>
              </w:rPr>
            </w:pPr>
            <w:r w:rsidRPr="00646D91">
              <w:rPr>
                <w:rFonts w:ascii="Times New Roman" w:hAnsi="Times New Roman" w:cs="Times New Roman"/>
                <w:sz w:val="24"/>
                <w:szCs w:val="24"/>
              </w:rPr>
              <w:t>Voice for organising via alternate worker-led organisations</w:t>
            </w:r>
          </w:p>
        </w:tc>
        <w:tc>
          <w:tcPr>
            <w:tcW w:w="1710" w:type="dxa"/>
          </w:tcPr>
          <w:p w14:paraId="3CBC1927"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Alliance building</w:t>
            </w:r>
          </w:p>
        </w:tc>
        <w:tc>
          <w:tcPr>
            <w:tcW w:w="5631" w:type="dxa"/>
          </w:tcPr>
          <w:p w14:paraId="171DC2BD" w14:textId="77777777" w:rsidR="00EC1D2D" w:rsidRPr="00646D91" w:rsidRDefault="00EC1D2D" w:rsidP="00EC1D2D">
            <w:pPr>
              <w:spacing w:line="240" w:lineRule="auto"/>
              <w:jc w:val="both"/>
              <w:rPr>
                <w:rFonts w:ascii="Times New Roman" w:eastAsia="Times New Roman" w:hAnsi="Times New Roman" w:cs="Times New Roman"/>
                <w:sz w:val="24"/>
                <w:szCs w:val="24"/>
              </w:rPr>
            </w:pPr>
            <w:r w:rsidRPr="00646D91">
              <w:rPr>
                <w:rFonts w:ascii="Times New Roman" w:eastAsia="Times New Roman" w:hAnsi="Times New Roman" w:cs="Times New Roman"/>
                <w:sz w:val="24"/>
                <w:szCs w:val="24"/>
              </w:rPr>
              <w:t>“…</w:t>
            </w:r>
            <w:r w:rsidRPr="00646D91">
              <w:rPr>
                <w:rFonts w:ascii="Times New Roman" w:eastAsia="Times New Roman" w:hAnsi="Times New Roman" w:cs="Times New Roman"/>
                <w:i/>
                <w:iCs/>
                <w:sz w:val="24"/>
                <w:szCs w:val="24"/>
              </w:rPr>
              <w:t>Before the aggregate forms that we created, we established a group of friends. The Riders Union was born spontaneously from friendship relations that started socializing concerns</w:t>
            </w:r>
            <w:r w:rsidRPr="00646D91">
              <w:rPr>
                <w:rFonts w:ascii="Times New Roman" w:eastAsia="Times New Roman" w:hAnsi="Times New Roman" w:cs="Times New Roman"/>
                <w:sz w:val="24"/>
                <w:szCs w:val="24"/>
              </w:rPr>
              <w:t>…” (Chesta et al., 2019, p. 835).</w:t>
            </w:r>
          </w:p>
          <w:p w14:paraId="6BC490C5" w14:textId="77777777" w:rsidR="00EC1D2D" w:rsidRPr="00646D91" w:rsidRDefault="00EC1D2D" w:rsidP="00EC1D2D">
            <w:pPr>
              <w:spacing w:line="240" w:lineRule="auto"/>
              <w:jc w:val="both"/>
              <w:rPr>
                <w:rFonts w:ascii="Times New Roman" w:eastAsia="Times New Roman" w:hAnsi="Times New Roman" w:cs="Times New Roman"/>
                <w:sz w:val="24"/>
                <w:szCs w:val="24"/>
              </w:rPr>
            </w:pPr>
            <w:r w:rsidRPr="00646D91">
              <w:rPr>
                <w:rFonts w:ascii="Times New Roman" w:eastAsia="Times New Roman" w:hAnsi="Times New Roman" w:cs="Times New Roman"/>
                <w:sz w:val="24"/>
                <w:szCs w:val="24"/>
              </w:rPr>
              <w:t>“…</w:t>
            </w:r>
            <w:r w:rsidRPr="00646D91">
              <w:rPr>
                <w:rFonts w:ascii="Times New Roman" w:eastAsia="Times New Roman" w:hAnsi="Times New Roman" w:cs="Times New Roman"/>
                <w:i/>
                <w:iCs/>
                <w:sz w:val="24"/>
                <w:szCs w:val="24"/>
              </w:rPr>
              <w:t>We thought that there must be a body that speaks for ride-hailing drivers. That is why we came together</w:t>
            </w:r>
            <w:r w:rsidRPr="00646D91">
              <w:rPr>
                <w:rFonts w:ascii="Times New Roman" w:eastAsia="Times New Roman" w:hAnsi="Times New Roman" w:cs="Times New Roman"/>
                <w:sz w:val="24"/>
                <w:szCs w:val="24"/>
              </w:rPr>
              <w:t>…” (</w:t>
            </w:r>
            <w:proofErr w:type="spellStart"/>
            <w:r w:rsidRPr="00646D91">
              <w:rPr>
                <w:rFonts w:ascii="Times New Roman" w:eastAsia="Times New Roman" w:hAnsi="Times New Roman" w:cs="Times New Roman"/>
                <w:sz w:val="24"/>
                <w:szCs w:val="24"/>
              </w:rPr>
              <w:t>Akorsu</w:t>
            </w:r>
            <w:proofErr w:type="spellEnd"/>
            <w:r w:rsidRPr="00646D91">
              <w:rPr>
                <w:rFonts w:ascii="Times New Roman" w:eastAsia="Times New Roman" w:hAnsi="Times New Roman" w:cs="Times New Roman"/>
                <w:sz w:val="24"/>
                <w:szCs w:val="24"/>
              </w:rPr>
              <w:t xml:space="preserve"> et al., 2023, p. 249).</w:t>
            </w:r>
          </w:p>
          <w:p w14:paraId="6EF2B3AC"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eastAsia="Times New Roman" w:hAnsi="Times New Roman" w:cs="Times New Roman"/>
                <w:sz w:val="24"/>
                <w:szCs w:val="24"/>
              </w:rPr>
              <w:t>“…</w:t>
            </w:r>
            <w:r w:rsidRPr="00646D91">
              <w:rPr>
                <w:rFonts w:ascii="Times New Roman" w:eastAsia="Times New Roman" w:hAnsi="Times New Roman" w:cs="Times New Roman"/>
                <w:i/>
                <w:iCs/>
                <w:sz w:val="24"/>
                <w:szCs w:val="24"/>
                <w:lang w:val="en-IE"/>
              </w:rPr>
              <w:t>Spanish couriers also established both national and international alliances. On a national scale, they cooperated with radical unions, leftist lawyers’ associations and left-wing political parties...These parties have been critical in upscaling Spanish couriers’ initiatives</w:t>
            </w:r>
            <w:r w:rsidRPr="00646D91">
              <w:rPr>
                <w:rFonts w:ascii="Times New Roman" w:eastAsia="Times New Roman" w:hAnsi="Times New Roman" w:cs="Times New Roman"/>
                <w:sz w:val="24"/>
                <w:szCs w:val="24"/>
                <w:lang w:val="en-IE"/>
              </w:rPr>
              <w:t>...”</w:t>
            </w:r>
            <w:r w:rsidRPr="00646D91">
              <w:rPr>
                <w:rFonts w:ascii="Times New Roman" w:eastAsia="Times New Roman" w:hAnsi="Times New Roman" w:cs="Times New Roman"/>
                <w:sz w:val="24"/>
                <w:szCs w:val="24"/>
              </w:rPr>
              <w:t xml:space="preserve"> (Morales-Muñoz &amp; Roca, 2022, p. 1427).</w:t>
            </w:r>
          </w:p>
        </w:tc>
      </w:tr>
      <w:tr w:rsidR="00646D91" w:rsidRPr="00646D91" w14:paraId="7DE0580B" w14:textId="77777777" w:rsidTr="00EC1D2D">
        <w:trPr>
          <w:trHeight w:val="460"/>
        </w:trPr>
        <w:tc>
          <w:tcPr>
            <w:tcW w:w="2010" w:type="dxa"/>
            <w:vMerge/>
          </w:tcPr>
          <w:p w14:paraId="1225A160" w14:textId="77777777" w:rsidR="00EC1D2D" w:rsidRPr="00646D91" w:rsidRDefault="00EC1D2D" w:rsidP="00EC1D2D">
            <w:pPr>
              <w:spacing w:line="240" w:lineRule="auto"/>
              <w:rPr>
                <w:rFonts w:ascii="Times New Roman" w:hAnsi="Times New Roman" w:cs="Times New Roman"/>
                <w:sz w:val="24"/>
                <w:szCs w:val="24"/>
              </w:rPr>
            </w:pPr>
          </w:p>
        </w:tc>
        <w:tc>
          <w:tcPr>
            <w:tcW w:w="1710" w:type="dxa"/>
          </w:tcPr>
          <w:p w14:paraId="48ACA422"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Community coalitions</w:t>
            </w:r>
          </w:p>
        </w:tc>
        <w:tc>
          <w:tcPr>
            <w:tcW w:w="5631" w:type="dxa"/>
          </w:tcPr>
          <w:p w14:paraId="22219866"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w:t>
            </w:r>
            <w:r w:rsidRPr="00646D91">
              <w:rPr>
                <w:rFonts w:ascii="Times New Roman" w:hAnsi="Times New Roman" w:cs="Times New Roman"/>
                <w:i/>
                <w:iCs/>
                <w:sz w:val="24"/>
                <w:szCs w:val="24"/>
              </w:rPr>
              <w:t>In this aspect, drivers often contacted journalists and intellectuals for help… As drivers’ dire conditions had raised wide public concern in China, nowadays many journalists, scholars, students, artists, public-good lawyers and activists choose to work on projects about them…This coalition provided drivers with valuable intellectual and logistical support in times of contention, from drafting strike messages to providing legal advice</w:t>
            </w:r>
            <w:r w:rsidRPr="00646D91">
              <w:rPr>
                <w:rFonts w:ascii="Times New Roman" w:hAnsi="Times New Roman" w:cs="Times New Roman"/>
                <w:sz w:val="24"/>
                <w:szCs w:val="24"/>
              </w:rPr>
              <w:t xml:space="preserve">…” (Zhou &amp; Pun, 2024, p. 14). </w:t>
            </w:r>
          </w:p>
        </w:tc>
      </w:tr>
      <w:tr w:rsidR="00646D91" w:rsidRPr="00646D91" w14:paraId="56485890" w14:textId="77777777" w:rsidTr="00EC1D2D">
        <w:trPr>
          <w:trHeight w:val="462"/>
        </w:trPr>
        <w:tc>
          <w:tcPr>
            <w:tcW w:w="2010" w:type="dxa"/>
            <w:vMerge w:val="restart"/>
          </w:tcPr>
          <w:p w14:paraId="229E99C8" w14:textId="77777777" w:rsidR="00EC1D2D" w:rsidRPr="00646D91" w:rsidRDefault="00EC1D2D" w:rsidP="00EC1D2D">
            <w:pPr>
              <w:spacing w:line="240" w:lineRule="auto"/>
              <w:rPr>
                <w:rFonts w:ascii="Times New Roman" w:hAnsi="Times New Roman" w:cs="Times New Roman"/>
                <w:sz w:val="24"/>
                <w:szCs w:val="24"/>
              </w:rPr>
            </w:pPr>
            <w:r w:rsidRPr="00646D91">
              <w:rPr>
                <w:rFonts w:ascii="Times New Roman" w:hAnsi="Times New Roman" w:cs="Times New Roman"/>
                <w:sz w:val="24"/>
                <w:szCs w:val="24"/>
              </w:rPr>
              <w:lastRenderedPageBreak/>
              <w:t>Voice for visibility via public spaces (online and offline)</w:t>
            </w:r>
          </w:p>
        </w:tc>
        <w:tc>
          <w:tcPr>
            <w:tcW w:w="1710" w:type="dxa"/>
          </w:tcPr>
          <w:p w14:paraId="397E43D5"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Protests, strikes</w:t>
            </w:r>
          </w:p>
        </w:tc>
        <w:tc>
          <w:tcPr>
            <w:tcW w:w="5631" w:type="dxa"/>
          </w:tcPr>
          <w:p w14:paraId="3BFD025E"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w:t>
            </w:r>
            <w:r w:rsidRPr="00646D91">
              <w:rPr>
                <w:rFonts w:ascii="Times New Roman" w:hAnsi="Times New Roman" w:cs="Times New Roman"/>
                <w:i/>
                <w:iCs/>
                <w:sz w:val="24"/>
                <w:szCs w:val="24"/>
              </w:rPr>
              <w:t>This was the first time that a platform company which is largely dependent on women’s labour had faced an organised, spontaneous sit-in protest outside their main office</w:t>
            </w:r>
            <w:r w:rsidRPr="00646D91">
              <w:rPr>
                <w:rFonts w:ascii="Times New Roman" w:hAnsi="Times New Roman" w:cs="Times New Roman"/>
                <w:sz w:val="24"/>
                <w:szCs w:val="24"/>
              </w:rPr>
              <w:t xml:space="preserve">…” (Dhar &amp; </w:t>
            </w:r>
            <w:proofErr w:type="spellStart"/>
            <w:r w:rsidRPr="00646D91">
              <w:rPr>
                <w:rFonts w:ascii="Times New Roman" w:hAnsi="Times New Roman" w:cs="Times New Roman"/>
                <w:sz w:val="24"/>
                <w:szCs w:val="24"/>
              </w:rPr>
              <w:t>Thuppilikkat</w:t>
            </w:r>
            <w:proofErr w:type="spellEnd"/>
            <w:r w:rsidRPr="00646D91">
              <w:rPr>
                <w:rFonts w:ascii="Times New Roman" w:hAnsi="Times New Roman" w:cs="Times New Roman"/>
                <w:sz w:val="24"/>
                <w:szCs w:val="24"/>
              </w:rPr>
              <w:t>, 2022, p. 670).</w:t>
            </w:r>
          </w:p>
          <w:p w14:paraId="7450AEA1"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w:t>
            </w:r>
            <w:r w:rsidRPr="00646D91">
              <w:rPr>
                <w:rFonts w:ascii="Times New Roman" w:hAnsi="Times New Roman" w:cs="Times New Roman"/>
                <w:i/>
                <w:iCs/>
                <w:sz w:val="24"/>
                <w:szCs w:val="24"/>
              </w:rPr>
              <w:t>The workers waged a 6-days long wildcat strike action…</w:t>
            </w:r>
            <w:r w:rsidRPr="00646D91">
              <w:rPr>
                <w:rFonts w:ascii="Times New Roman" w:hAnsi="Times New Roman" w:cs="Times New Roman"/>
                <w:i/>
                <w:iCs/>
                <w:kern w:val="0"/>
                <w:sz w:val="24"/>
                <w:szCs w:val="24"/>
              </w:rPr>
              <w:t xml:space="preserve"> </w:t>
            </w:r>
            <w:r w:rsidRPr="00646D91">
              <w:rPr>
                <w:rFonts w:ascii="Times New Roman" w:hAnsi="Times New Roman" w:cs="Times New Roman"/>
                <w:i/>
                <w:iCs/>
                <w:sz w:val="24"/>
                <w:szCs w:val="24"/>
              </w:rPr>
              <w:t>The level of public attention and support received by the mobilization was very high</w:t>
            </w:r>
            <w:r w:rsidRPr="00646D91">
              <w:rPr>
                <w:rFonts w:ascii="Times New Roman" w:hAnsi="Times New Roman" w:cs="Times New Roman"/>
                <w:sz w:val="24"/>
                <w:szCs w:val="24"/>
              </w:rPr>
              <w:t>… (Cini et al., 2022, p. 10).</w:t>
            </w:r>
          </w:p>
        </w:tc>
      </w:tr>
      <w:tr w:rsidR="00646D91" w:rsidRPr="00646D91" w14:paraId="1899546E" w14:textId="77777777" w:rsidTr="00EC1D2D">
        <w:trPr>
          <w:trHeight w:val="460"/>
        </w:trPr>
        <w:tc>
          <w:tcPr>
            <w:tcW w:w="2010" w:type="dxa"/>
            <w:vMerge/>
          </w:tcPr>
          <w:p w14:paraId="307A72BE" w14:textId="77777777" w:rsidR="00EC1D2D" w:rsidRPr="00646D91" w:rsidRDefault="00EC1D2D" w:rsidP="00EC1D2D">
            <w:pPr>
              <w:spacing w:line="240" w:lineRule="auto"/>
              <w:rPr>
                <w:rFonts w:ascii="Times New Roman" w:hAnsi="Times New Roman" w:cs="Times New Roman"/>
                <w:sz w:val="24"/>
                <w:szCs w:val="24"/>
              </w:rPr>
            </w:pPr>
          </w:p>
        </w:tc>
        <w:tc>
          <w:tcPr>
            <w:tcW w:w="1710" w:type="dxa"/>
          </w:tcPr>
          <w:p w14:paraId="6490A21C"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Campaigns, demonstrations</w:t>
            </w:r>
          </w:p>
        </w:tc>
        <w:tc>
          <w:tcPr>
            <w:tcW w:w="5631" w:type="dxa"/>
          </w:tcPr>
          <w:p w14:paraId="1BA80A21"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w:t>
            </w:r>
            <w:r w:rsidRPr="00646D91">
              <w:rPr>
                <w:rFonts w:ascii="Times New Roman" w:hAnsi="Times New Roman" w:cs="Times New Roman"/>
                <w:i/>
                <w:iCs/>
                <w:sz w:val="24"/>
                <w:szCs w:val="24"/>
              </w:rPr>
              <w:t xml:space="preserve">Known as ‘Dear Bezos’, the letter-writing campaign was started by an experienced, fulltime </w:t>
            </w:r>
            <w:proofErr w:type="spellStart"/>
            <w:r w:rsidRPr="00646D91">
              <w:rPr>
                <w:rFonts w:ascii="Times New Roman" w:hAnsi="Times New Roman" w:cs="Times New Roman"/>
                <w:i/>
                <w:iCs/>
                <w:sz w:val="24"/>
                <w:szCs w:val="24"/>
              </w:rPr>
              <w:t>MTurk</w:t>
            </w:r>
            <w:proofErr w:type="spellEnd"/>
            <w:r w:rsidRPr="00646D91">
              <w:rPr>
                <w:rFonts w:ascii="Times New Roman" w:hAnsi="Times New Roman" w:cs="Times New Roman"/>
                <w:i/>
                <w:iCs/>
                <w:sz w:val="24"/>
                <w:szCs w:val="24"/>
              </w:rPr>
              <w:t xml:space="preserve"> microworker (KM) in 2014 to inform Bezos, Amazon’s CEO, of the problems microworkers face when using </w:t>
            </w:r>
            <w:proofErr w:type="spellStart"/>
            <w:r w:rsidRPr="00646D91">
              <w:rPr>
                <w:rFonts w:ascii="Times New Roman" w:hAnsi="Times New Roman" w:cs="Times New Roman"/>
                <w:i/>
                <w:iCs/>
                <w:sz w:val="24"/>
                <w:szCs w:val="24"/>
              </w:rPr>
              <w:t>MTurk</w:t>
            </w:r>
            <w:proofErr w:type="spellEnd"/>
            <w:r w:rsidRPr="00646D91">
              <w:rPr>
                <w:rFonts w:ascii="Times New Roman" w:hAnsi="Times New Roman" w:cs="Times New Roman"/>
                <w:i/>
                <w:iCs/>
                <w:sz w:val="24"/>
                <w:szCs w:val="24"/>
              </w:rPr>
              <w:t xml:space="preserve"> and provide suggestions for improvement. It received wide press publicity…Dynamo, a US-designed online site which aims to give gig workers space to develop a collective voice, was chosen to host the campaign</w:t>
            </w:r>
            <w:r w:rsidRPr="00646D91">
              <w:rPr>
                <w:rFonts w:ascii="Times New Roman" w:hAnsi="Times New Roman" w:cs="Times New Roman"/>
                <w:sz w:val="24"/>
                <w:szCs w:val="24"/>
              </w:rPr>
              <w:t>...” (Panteli et al., 2020, p. 482).</w:t>
            </w:r>
          </w:p>
        </w:tc>
      </w:tr>
      <w:tr w:rsidR="00646D91" w:rsidRPr="00646D91" w14:paraId="2E4A12C3" w14:textId="77777777" w:rsidTr="00EC1D2D">
        <w:trPr>
          <w:trHeight w:val="306"/>
        </w:trPr>
        <w:tc>
          <w:tcPr>
            <w:tcW w:w="2010" w:type="dxa"/>
            <w:vMerge w:val="restart"/>
          </w:tcPr>
          <w:p w14:paraId="4D48BB87" w14:textId="77777777" w:rsidR="00EC1D2D" w:rsidRPr="00646D91" w:rsidRDefault="00EC1D2D" w:rsidP="00EC1D2D">
            <w:pPr>
              <w:spacing w:line="240" w:lineRule="auto"/>
              <w:rPr>
                <w:rFonts w:ascii="Times New Roman" w:hAnsi="Times New Roman" w:cs="Times New Roman"/>
                <w:sz w:val="24"/>
                <w:szCs w:val="24"/>
              </w:rPr>
            </w:pPr>
            <w:r w:rsidRPr="00646D91">
              <w:rPr>
                <w:rFonts w:ascii="Times New Roman" w:hAnsi="Times New Roman" w:cs="Times New Roman"/>
                <w:sz w:val="24"/>
                <w:szCs w:val="24"/>
              </w:rPr>
              <w:t>Voice for confrontation via judicial systems</w:t>
            </w:r>
          </w:p>
        </w:tc>
        <w:tc>
          <w:tcPr>
            <w:tcW w:w="1710" w:type="dxa"/>
          </w:tcPr>
          <w:p w14:paraId="7A4F1364"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Strategic litigation, class-action</w:t>
            </w:r>
          </w:p>
        </w:tc>
        <w:tc>
          <w:tcPr>
            <w:tcW w:w="5631" w:type="dxa"/>
          </w:tcPr>
          <w:p w14:paraId="46A7CC01"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eastAsia="Times New Roman" w:hAnsi="Times New Roman" w:cs="Times New Roman"/>
                <w:sz w:val="24"/>
                <w:szCs w:val="24"/>
              </w:rPr>
              <w:t>“…</w:t>
            </w:r>
            <w:r w:rsidRPr="00646D91">
              <w:rPr>
                <w:rFonts w:ascii="Times New Roman" w:eastAsia="Times New Roman" w:hAnsi="Times New Roman" w:cs="Times New Roman"/>
                <w:i/>
                <w:iCs/>
                <w:sz w:val="24"/>
                <w:szCs w:val="24"/>
              </w:rPr>
              <w:t>the method of legal enactment figured strongly in our findings. The IWGB</w:t>
            </w:r>
            <w:r w:rsidRPr="00646D91">
              <w:rPr>
                <w:rStyle w:val="FootnoteReference"/>
                <w:rFonts w:ascii="Times New Roman" w:eastAsia="Times New Roman" w:hAnsi="Times New Roman" w:cs="Times New Roman"/>
                <w:i/>
                <w:iCs/>
                <w:sz w:val="24"/>
                <w:szCs w:val="24"/>
              </w:rPr>
              <w:footnoteReference w:id="1"/>
            </w:r>
            <w:r w:rsidRPr="00646D91">
              <w:rPr>
                <w:rFonts w:ascii="Times New Roman" w:eastAsia="Times New Roman" w:hAnsi="Times New Roman" w:cs="Times New Roman"/>
                <w:i/>
                <w:iCs/>
                <w:sz w:val="24"/>
                <w:szCs w:val="24"/>
              </w:rPr>
              <w:t>has been active in pursuing legal action over misclassification, and CLB</w:t>
            </w:r>
            <w:r w:rsidRPr="00646D91">
              <w:rPr>
                <w:rStyle w:val="FootnoteReference"/>
                <w:rFonts w:ascii="Times New Roman" w:eastAsia="Times New Roman" w:hAnsi="Times New Roman" w:cs="Times New Roman"/>
                <w:i/>
                <w:iCs/>
                <w:sz w:val="24"/>
                <w:szCs w:val="24"/>
              </w:rPr>
              <w:footnoteReference w:id="2"/>
            </w:r>
            <w:r w:rsidRPr="00646D91">
              <w:rPr>
                <w:rFonts w:ascii="Times New Roman" w:eastAsia="Times New Roman" w:hAnsi="Times New Roman" w:cs="Times New Roman"/>
                <w:i/>
                <w:iCs/>
                <w:sz w:val="24"/>
                <w:szCs w:val="24"/>
              </w:rPr>
              <w:t xml:space="preserve"> members had been involved in these cases…The union lost a case against Deliveroo over collective bargaining rights, but was also appealing…</w:t>
            </w:r>
            <w:r w:rsidRPr="00646D91">
              <w:rPr>
                <w:rFonts w:ascii="Times New Roman" w:eastAsia="Times New Roman" w:hAnsi="Times New Roman" w:cs="Times New Roman"/>
                <w:sz w:val="24"/>
                <w:szCs w:val="24"/>
              </w:rPr>
              <w:t>” (Joyce et al., 2023, p. 13).</w:t>
            </w:r>
          </w:p>
        </w:tc>
      </w:tr>
      <w:tr w:rsidR="00EC1D2D" w:rsidRPr="00646D91" w14:paraId="61B152EF" w14:textId="77777777" w:rsidTr="00EC1D2D">
        <w:trPr>
          <w:trHeight w:val="305"/>
        </w:trPr>
        <w:tc>
          <w:tcPr>
            <w:tcW w:w="2010" w:type="dxa"/>
            <w:vMerge/>
          </w:tcPr>
          <w:p w14:paraId="6ABE98DB" w14:textId="77777777" w:rsidR="00EC1D2D" w:rsidRPr="00646D91" w:rsidRDefault="00EC1D2D" w:rsidP="00EC1D2D">
            <w:pPr>
              <w:spacing w:line="240" w:lineRule="auto"/>
              <w:jc w:val="both"/>
              <w:rPr>
                <w:rFonts w:ascii="Times New Roman" w:hAnsi="Times New Roman" w:cs="Times New Roman"/>
                <w:sz w:val="24"/>
                <w:szCs w:val="24"/>
              </w:rPr>
            </w:pPr>
          </w:p>
        </w:tc>
        <w:tc>
          <w:tcPr>
            <w:tcW w:w="1710" w:type="dxa"/>
          </w:tcPr>
          <w:p w14:paraId="2CFAF77B"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Parliamentary lobbying</w:t>
            </w:r>
          </w:p>
        </w:tc>
        <w:tc>
          <w:tcPr>
            <w:tcW w:w="5631" w:type="dxa"/>
          </w:tcPr>
          <w:p w14:paraId="32F4EF11" w14:textId="77777777" w:rsidR="00EC1D2D" w:rsidRPr="00646D91" w:rsidRDefault="00EC1D2D" w:rsidP="00EC1D2D">
            <w:pPr>
              <w:spacing w:line="240" w:lineRule="auto"/>
              <w:jc w:val="both"/>
              <w:rPr>
                <w:rFonts w:ascii="Times New Roman" w:hAnsi="Times New Roman" w:cs="Times New Roman"/>
                <w:sz w:val="24"/>
                <w:szCs w:val="24"/>
              </w:rPr>
            </w:pPr>
            <w:r w:rsidRPr="00646D91">
              <w:rPr>
                <w:rFonts w:ascii="Times New Roman" w:hAnsi="Times New Roman" w:cs="Times New Roman"/>
                <w:sz w:val="24"/>
                <w:szCs w:val="24"/>
              </w:rPr>
              <w:t>“…</w:t>
            </w:r>
            <w:r w:rsidRPr="00646D91">
              <w:rPr>
                <w:rFonts w:ascii="Times New Roman" w:hAnsi="Times New Roman" w:cs="Times New Roman"/>
                <w:i/>
                <w:iCs/>
                <w:sz w:val="24"/>
                <w:szCs w:val="24"/>
              </w:rPr>
              <w:t>KCTU</w:t>
            </w:r>
            <w:r w:rsidRPr="00646D91">
              <w:rPr>
                <w:rStyle w:val="FootnoteReference"/>
                <w:rFonts w:ascii="Times New Roman" w:hAnsi="Times New Roman" w:cs="Times New Roman"/>
                <w:i/>
                <w:iCs/>
                <w:sz w:val="24"/>
                <w:szCs w:val="24"/>
              </w:rPr>
              <w:footnoteReference w:id="3"/>
            </w:r>
            <w:r w:rsidRPr="00646D91">
              <w:rPr>
                <w:rFonts w:ascii="Times New Roman" w:hAnsi="Times New Roman" w:cs="Times New Roman"/>
                <w:i/>
                <w:iCs/>
                <w:sz w:val="24"/>
                <w:szCs w:val="24"/>
              </w:rPr>
              <w:t xml:space="preserve"> and other cab and auto driver associations in Karnataka leaving rivalries aside to form a united front to lobby the state government to support drivers</w:t>
            </w:r>
            <w:r w:rsidRPr="00646D91">
              <w:rPr>
                <w:rFonts w:ascii="Times New Roman" w:hAnsi="Times New Roman" w:cs="Times New Roman"/>
                <w:sz w:val="24"/>
                <w:szCs w:val="24"/>
              </w:rPr>
              <w:t>…” (Medappa, 2023, p. 12).</w:t>
            </w:r>
          </w:p>
          <w:p w14:paraId="798440A8" w14:textId="77777777" w:rsidR="00EC1D2D" w:rsidRPr="00646D91" w:rsidRDefault="00EC1D2D" w:rsidP="00EC1D2D">
            <w:pPr>
              <w:spacing w:line="240" w:lineRule="auto"/>
              <w:jc w:val="both"/>
              <w:rPr>
                <w:rFonts w:ascii="Times New Roman" w:eastAsia="Times New Roman" w:hAnsi="Times New Roman" w:cs="Times New Roman"/>
                <w:sz w:val="24"/>
                <w:szCs w:val="24"/>
              </w:rPr>
            </w:pPr>
            <w:r w:rsidRPr="00646D91">
              <w:rPr>
                <w:rFonts w:ascii="Times New Roman" w:hAnsi="Times New Roman" w:cs="Times New Roman"/>
                <w:sz w:val="24"/>
                <w:szCs w:val="24"/>
              </w:rPr>
              <w:t>“…</w:t>
            </w:r>
            <w:r w:rsidRPr="00646D91">
              <w:rPr>
                <w:rFonts w:ascii="Times New Roman" w:hAnsi="Times New Roman" w:cs="Times New Roman"/>
                <w:i/>
                <w:iCs/>
                <w:sz w:val="24"/>
                <w:szCs w:val="24"/>
              </w:rPr>
              <w:t>Realization of the unwillingness to respond to demands is referred to by representatives of different associations as the reason for prioritizing advocacy in legislation as a tool to defend their interests. In this regard, one of the strategies used is parliamentary lobbying through meetings, letters and public messages to members of parliament</w:t>
            </w:r>
            <w:r w:rsidRPr="00646D91">
              <w:rPr>
                <w:rFonts w:ascii="Times New Roman" w:hAnsi="Times New Roman" w:cs="Times New Roman"/>
                <w:sz w:val="24"/>
                <w:szCs w:val="24"/>
              </w:rPr>
              <w:t xml:space="preserve">…” </w:t>
            </w:r>
            <w:r w:rsidRPr="00646D91">
              <w:rPr>
                <w:rFonts w:ascii="Times New Roman" w:eastAsia="Times New Roman" w:hAnsi="Times New Roman" w:cs="Times New Roman"/>
                <w:sz w:val="24"/>
                <w:szCs w:val="24"/>
              </w:rPr>
              <w:t>(Morales-Muñoz &amp; Roca, 2022, p. 1422).</w:t>
            </w:r>
          </w:p>
        </w:tc>
      </w:tr>
    </w:tbl>
    <w:p w14:paraId="052D3BE5" w14:textId="77777777" w:rsidR="006E7FCD" w:rsidRPr="00646D91" w:rsidRDefault="006E7FCD" w:rsidP="00EC1D2D">
      <w:pPr>
        <w:spacing w:line="240" w:lineRule="auto"/>
        <w:rPr>
          <w:rFonts w:ascii="Times New Roman" w:hAnsi="Times New Roman" w:cs="Times New Roman"/>
          <w:sz w:val="24"/>
          <w:szCs w:val="24"/>
        </w:rPr>
      </w:pPr>
    </w:p>
    <w:sectPr w:rsidR="006E7FCD" w:rsidRPr="00646D91">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D90A21" w14:textId="77777777" w:rsidR="00593881" w:rsidRDefault="00593881" w:rsidP="00593881">
      <w:pPr>
        <w:spacing w:after="0" w:line="240" w:lineRule="auto"/>
      </w:pPr>
      <w:r>
        <w:separator/>
      </w:r>
    </w:p>
  </w:endnote>
  <w:endnote w:type="continuationSeparator" w:id="0">
    <w:p w14:paraId="079C1330" w14:textId="77777777" w:rsidR="00593881" w:rsidRDefault="00593881" w:rsidP="00593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482743"/>
      <w:docPartObj>
        <w:docPartGallery w:val="Page Numbers (Bottom of Page)"/>
        <w:docPartUnique/>
      </w:docPartObj>
    </w:sdtPr>
    <w:sdtEndPr>
      <w:rPr>
        <w:rFonts w:ascii="Times New Roman" w:hAnsi="Times New Roman"/>
        <w:noProof/>
      </w:rPr>
    </w:sdtEndPr>
    <w:sdtContent>
      <w:p w14:paraId="708A8B60" w14:textId="5E1276E9" w:rsidR="00EC1D2D" w:rsidRPr="00646D91" w:rsidRDefault="00EC1D2D">
        <w:pPr>
          <w:pStyle w:val="Footer"/>
          <w:jc w:val="center"/>
          <w:rPr>
            <w:rFonts w:ascii="Times New Roman" w:hAnsi="Times New Roman"/>
          </w:rPr>
        </w:pPr>
        <w:r w:rsidRPr="00646D91">
          <w:rPr>
            <w:rFonts w:ascii="Times New Roman" w:hAnsi="Times New Roman"/>
          </w:rPr>
          <w:fldChar w:fldCharType="begin"/>
        </w:r>
        <w:r w:rsidRPr="00646D91">
          <w:rPr>
            <w:rFonts w:ascii="Times New Roman" w:hAnsi="Times New Roman"/>
          </w:rPr>
          <w:instrText xml:space="preserve"> PAGE   \* MERGEFORMAT </w:instrText>
        </w:r>
        <w:r w:rsidRPr="00646D91">
          <w:rPr>
            <w:rFonts w:ascii="Times New Roman" w:hAnsi="Times New Roman"/>
          </w:rPr>
          <w:fldChar w:fldCharType="separate"/>
        </w:r>
        <w:r w:rsidRPr="00646D91">
          <w:rPr>
            <w:rFonts w:ascii="Times New Roman" w:hAnsi="Times New Roman"/>
            <w:noProof/>
          </w:rPr>
          <w:t>2</w:t>
        </w:r>
        <w:r w:rsidRPr="00646D91">
          <w:rPr>
            <w:rFonts w:ascii="Times New Roman" w:hAnsi="Times New Roman"/>
            <w:noProof/>
          </w:rPr>
          <w:fldChar w:fldCharType="end"/>
        </w:r>
      </w:p>
    </w:sdtContent>
  </w:sdt>
  <w:p w14:paraId="07ACC3E9" w14:textId="45ABACBF" w:rsidR="001A6286" w:rsidRDefault="001A628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94A841" w14:textId="77777777" w:rsidR="00593881" w:rsidRDefault="00593881" w:rsidP="00593881">
      <w:pPr>
        <w:spacing w:after="0" w:line="240" w:lineRule="auto"/>
      </w:pPr>
      <w:r>
        <w:separator/>
      </w:r>
    </w:p>
  </w:footnote>
  <w:footnote w:type="continuationSeparator" w:id="0">
    <w:p w14:paraId="77B52E35" w14:textId="77777777" w:rsidR="00593881" w:rsidRDefault="00593881" w:rsidP="00593881">
      <w:pPr>
        <w:spacing w:after="0" w:line="240" w:lineRule="auto"/>
      </w:pPr>
      <w:r>
        <w:continuationSeparator/>
      </w:r>
    </w:p>
  </w:footnote>
  <w:footnote w:id="1">
    <w:p w14:paraId="6AC775DC" w14:textId="1E19FD36" w:rsidR="00EC1D2D" w:rsidRPr="00AB2536" w:rsidRDefault="00EC1D2D" w:rsidP="00EC1D2D">
      <w:pPr>
        <w:pStyle w:val="FootnoteText"/>
        <w:rPr>
          <w:rFonts w:ascii="Times New Roman" w:hAnsi="Times New Roman" w:cs="Times New Roman"/>
          <w:sz w:val="24"/>
          <w:szCs w:val="24"/>
          <w:lang w:val="en-IE"/>
        </w:rPr>
      </w:pPr>
      <w:r w:rsidRPr="00AB2536">
        <w:rPr>
          <w:rStyle w:val="FootnoteReference"/>
          <w:rFonts w:ascii="Times New Roman" w:hAnsi="Times New Roman" w:cs="Times New Roman"/>
          <w:sz w:val="24"/>
          <w:szCs w:val="24"/>
        </w:rPr>
        <w:footnoteRef/>
      </w:r>
      <w:r w:rsidRPr="00AB2536">
        <w:rPr>
          <w:rFonts w:ascii="Times New Roman" w:hAnsi="Times New Roman" w:cs="Times New Roman"/>
          <w:sz w:val="24"/>
          <w:szCs w:val="24"/>
        </w:rPr>
        <w:t xml:space="preserve"> </w:t>
      </w:r>
      <w:r w:rsidRPr="00AB2536">
        <w:rPr>
          <w:rFonts w:ascii="Times New Roman" w:eastAsia="Times New Roman" w:hAnsi="Times New Roman" w:cs="Times New Roman"/>
          <w:sz w:val="24"/>
          <w:szCs w:val="24"/>
          <w:lang w:val="en-IE"/>
        </w:rPr>
        <w:t>Independent Workers Union of Great Britain (IWGB) is a rank‐and‐file union in the UK.</w:t>
      </w:r>
    </w:p>
  </w:footnote>
  <w:footnote w:id="2">
    <w:p w14:paraId="01016D5D" w14:textId="3CE5E768" w:rsidR="00EC1D2D" w:rsidRPr="00AB2536" w:rsidRDefault="00EC1D2D" w:rsidP="00EC1D2D">
      <w:pPr>
        <w:spacing w:after="0" w:line="240" w:lineRule="auto"/>
        <w:jc w:val="both"/>
        <w:rPr>
          <w:rFonts w:ascii="Times New Roman" w:eastAsia="Times New Roman" w:hAnsi="Times New Roman" w:cs="Times New Roman"/>
          <w:sz w:val="24"/>
          <w:szCs w:val="24"/>
          <w:lang w:val="en-IE"/>
        </w:rPr>
      </w:pPr>
      <w:r w:rsidRPr="00AB2536">
        <w:rPr>
          <w:rStyle w:val="FootnoteReference"/>
          <w:rFonts w:ascii="Times New Roman" w:hAnsi="Times New Roman" w:cs="Times New Roman"/>
          <w:sz w:val="24"/>
          <w:szCs w:val="24"/>
        </w:rPr>
        <w:footnoteRef/>
      </w:r>
      <w:r w:rsidRPr="00AB2536">
        <w:rPr>
          <w:rFonts w:ascii="Times New Roman" w:hAnsi="Times New Roman" w:cs="Times New Roman"/>
          <w:sz w:val="24"/>
          <w:szCs w:val="24"/>
        </w:rPr>
        <w:t xml:space="preserve"> </w:t>
      </w:r>
      <w:r w:rsidRPr="00AB2536">
        <w:rPr>
          <w:rFonts w:ascii="Times New Roman" w:eastAsia="Times New Roman" w:hAnsi="Times New Roman" w:cs="Times New Roman"/>
          <w:sz w:val="24"/>
          <w:szCs w:val="24"/>
          <w:lang w:val="en-IE"/>
        </w:rPr>
        <w:t>Couriers and Logistics Branch (CLB) of the IWGB</w:t>
      </w:r>
      <w:r w:rsidR="007F5478">
        <w:rPr>
          <w:rFonts w:ascii="Times New Roman" w:eastAsia="Times New Roman" w:hAnsi="Times New Roman" w:cs="Times New Roman"/>
          <w:sz w:val="24"/>
          <w:szCs w:val="24"/>
          <w:lang w:val="en-IE"/>
        </w:rPr>
        <w:t>.</w:t>
      </w:r>
    </w:p>
  </w:footnote>
  <w:footnote w:id="3">
    <w:p w14:paraId="2ECD46C1" w14:textId="5AEB57EC" w:rsidR="00EC1D2D" w:rsidRPr="00B5392D" w:rsidRDefault="00EC1D2D" w:rsidP="00EC1D2D">
      <w:pPr>
        <w:pStyle w:val="FootnoteText"/>
        <w:rPr>
          <w:rFonts w:ascii="Times New Roman" w:hAnsi="Times New Roman" w:cs="Times New Roman"/>
        </w:rPr>
      </w:pPr>
      <w:r w:rsidRPr="00AB2536">
        <w:rPr>
          <w:rStyle w:val="FootnoteReference"/>
          <w:rFonts w:ascii="Times New Roman" w:hAnsi="Times New Roman" w:cs="Times New Roman"/>
          <w:sz w:val="24"/>
          <w:szCs w:val="24"/>
        </w:rPr>
        <w:footnoteRef/>
      </w:r>
      <w:r w:rsidRPr="00AB2536">
        <w:rPr>
          <w:rFonts w:ascii="Times New Roman" w:hAnsi="Times New Roman" w:cs="Times New Roman"/>
          <w:sz w:val="24"/>
          <w:szCs w:val="24"/>
        </w:rPr>
        <w:t xml:space="preserve"> Karnataka </w:t>
      </w:r>
      <w:proofErr w:type="spellStart"/>
      <w:r w:rsidRPr="00AB2536">
        <w:rPr>
          <w:rFonts w:ascii="Times New Roman" w:hAnsi="Times New Roman" w:cs="Times New Roman"/>
          <w:sz w:val="24"/>
          <w:szCs w:val="24"/>
        </w:rPr>
        <w:t>Chalakara</w:t>
      </w:r>
      <w:proofErr w:type="spellEnd"/>
      <w:r w:rsidRPr="00AB2536">
        <w:rPr>
          <w:rFonts w:ascii="Times New Roman" w:hAnsi="Times New Roman" w:cs="Times New Roman"/>
          <w:sz w:val="24"/>
          <w:szCs w:val="24"/>
        </w:rPr>
        <w:t xml:space="preserve"> Trade Union (KCTU) - a drivers’ union in Karnataka, India</w:t>
      </w:r>
      <w:r w:rsidR="007F5478">
        <w:rPr>
          <w:rFonts w:ascii="Times New Roman" w:hAnsi="Times New Roman" w:cs="Times New Roman"/>
          <w:sz w:val="24"/>
          <w:szCs w:val="24"/>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D0F"/>
    <w:rsid w:val="00077066"/>
    <w:rsid w:val="000A1360"/>
    <w:rsid w:val="001A6286"/>
    <w:rsid w:val="00273076"/>
    <w:rsid w:val="00593881"/>
    <w:rsid w:val="005E6D0F"/>
    <w:rsid w:val="00604DF8"/>
    <w:rsid w:val="00646D91"/>
    <w:rsid w:val="006E7FCD"/>
    <w:rsid w:val="00742C65"/>
    <w:rsid w:val="007F5478"/>
    <w:rsid w:val="00847ACB"/>
    <w:rsid w:val="008B2209"/>
    <w:rsid w:val="00A037B3"/>
    <w:rsid w:val="00AB2536"/>
    <w:rsid w:val="00B503E4"/>
    <w:rsid w:val="00BC3F3C"/>
    <w:rsid w:val="00CA0204"/>
    <w:rsid w:val="00EC1D2D"/>
    <w:rsid w:val="00FB71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D66D39"/>
  <w15:chartTrackingRefBased/>
  <w15:docId w15:val="{26AD2D19-6E83-4B4B-BF7D-88E1F5AA5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D2D"/>
    <w:pPr>
      <w:spacing w:line="259" w:lineRule="auto"/>
    </w:pPr>
    <w:rPr>
      <w:sz w:val="22"/>
      <w:szCs w:val="22"/>
      <w:lang w:val="en-GB"/>
    </w:rPr>
  </w:style>
  <w:style w:type="paragraph" w:styleId="Heading1">
    <w:name w:val="heading 1"/>
    <w:basedOn w:val="Normal"/>
    <w:next w:val="Normal"/>
    <w:link w:val="Heading1Char"/>
    <w:uiPriority w:val="9"/>
    <w:qFormat/>
    <w:rsid w:val="005E6D0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IE"/>
    </w:rPr>
  </w:style>
  <w:style w:type="paragraph" w:styleId="Heading2">
    <w:name w:val="heading 2"/>
    <w:basedOn w:val="Normal"/>
    <w:next w:val="Normal"/>
    <w:link w:val="Heading2Char"/>
    <w:uiPriority w:val="9"/>
    <w:semiHidden/>
    <w:unhideWhenUsed/>
    <w:qFormat/>
    <w:rsid w:val="005E6D0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IE"/>
    </w:rPr>
  </w:style>
  <w:style w:type="paragraph" w:styleId="Heading3">
    <w:name w:val="heading 3"/>
    <w:basedOn w:val="Normal"/>
    <w:next w:val="Normal"/>
    <w:link w:val="Heading3Char"/>
    <w:uiPriority w:val="9"/>
    <w:semiHidden/>
    <w:unhideWhenUsed/>
    <w:qFormat/>
    <w:rsid w:val="005E6D0F"/>
    <w:pPr>
      <w:keepNext/>
      <w:keepLines/>
      <w:spacing w:before="160" w:after="80" w:line="278" w:lineRule="auto"/>
      <w:outlineLvl w:val="2"/>
    </w:pPr>
    <w:rPr>
      <w:rFonts w:eastAsiaTheme="majorEastAsia" w:cstheme="majorBidi"/>
      <w:color w:val="0F4761" w:themeColor="accent1" w:themeShade="BF"/>
      <w:sz w:val="28"/>
      <w:szCs w:val="28"/>
      <w:lang w:val="en-IE"/>
    </w:rPr>
  </w:style>
  <w:style w:type="paragraph" w:styleId="Heading4">
    <w:name w:val="heading 4"/>
    <w:basedOn w:val="Normal"/>
    <w:next w:val="Normal"/>
    <w:link w:val="Heading4Char"/>
    <w:uiPriority w:val="9"/>
    <w:semiHidden/>
    <w:unhideWhenUsed/>
    <w:qFormat/>
    <w:rsid w:val="005E6D0F"/>
    <w:pPr>
      <w:keepNext/>
      <w:keepLines/>
      <w:spacing w:before="80" w:after="40" w:line="278" w:lineRule="auto"/>
      <w:outlineLvl w:val="3"/>
    </w:pPr>
    <w:rPr>
      <w:rFonts w:eastAsiaTheme="majorEastAsia" w:cstheme="majorBidi"/>
      <w:i/>
      <w:iCs/>
      <w:color w:val="0F4761" w:themeColor="accent1" w:themeShade="BF"/>
      <w:sz w:val="24"/>
      <w:szCs w:val="24"/>
      <w:lang w:val="en-IE"/>
    </w:rPr>
  </w:style>
  <w:style w:type="paragraph" w:styleId="Heading5">
    <w:name w:val="heading 5"/>
    <w:basedOn w:val="Normal"/>
    <w:next w:val="Normal"/>
    <w:link w:val="Heading5Char"/>
    <w:uiPriority w:val="9"/>
    <w:semiHidden/>
    <w:unhideWhenUsed/>
    <w:qFormat/>
    <w:rsid w:val="005E6D0F"/>
    <w:pPr>
      <w:keepNext/>
      <w:keepLines/>
      <w:spacing w:before="80" w:after="40" w:line="278" w:lineRule="auto"/>
      <w:outlineLvl w:val="4"/>
    </w:pPr>
    <w:rPr>
      <w:rFonts w:eastAsiaTheme="majorEastAsia" w:cstheme="majorBidi"/>
      <w:color w:val="0F4761" w:themeColor="accent1" w:themeShade="BF"/>
      <w:sz w:val="24"/>
      <w:szCs w:val="24"/>
      <w:lang w:val="en-IE"/>
    </w:rPr>
  </w:style>
  <w:style w:type="paragraph" w:styleId="Heading6">
    <w:name w:val="heading 6"/>
    <w:basedOn w:val="Normal"/>
    <w:next w:val="Normal"/>
    <w:link w:val="Heading6Char"/>
    <w:uiPriority w:val="9"/>
    <w:semiHidden/>
    <w:unhideWhenUsed/>
    <w:qFormat/>
    <w:rsid w:val="005E6D0F"/>
    <w:pPr>
      <w:keepNext/>
      <w:keepLines/>
      <w:spacing w:before="40" w:after="0" w:line="278" w:lineRule="auto"/>
      <w:outlineLvl w:val="5"/>
    </w:pPr>
    <w:rPr>
      <w:rFonts w:eastAsiaTheme="majorEastAsia" w:cstheme="majorBidi"/>
      <w:i/>
      <w:iCs/>
      <w:color w:val="595959" w:themeColor="text1" w:themeTint="A6"/>
      <w:sz w:val="24"/>
      <w:szCs w:val="24"/>
      <w:lang w:val="en-IE"/>
    </w:rPr>
  </w:style>
  <w:style w:type="paragraph" w:styleId="Heading7">
    <w:name w:val="heading 7"/>
    <w:basedOn w:val="Normal"/>
    <w:next w:val="Normal"/>
    <w:link w:val="Heading7Char"/>
    <w:uiPriority w:val="9"/>
    <w:semiHidden/>
    <w:unhideWhenUsed/>
    <w:qFormat/>
    <w:rsid w:val="005E6D0F"/>
    <w:pPr>
      <w:keepNext/>
      <w:keepLines/>
      <w:spacing w:before="40" w:after="0" w:line="278" w:lineRule="auto"/>
      <w:outlineLvl w:val="6"/>
    </w:pPr>
    <w:rPr>
      <w:rFonts w:eastAsiaTheme="majorEastAsia" w:cstheme="majorBidi"/>
      <w:color w:val="595959" w:themeColor="text1" w:themeTint="A6"/>
      <w:sz w:val="24"/>
      <w:szCs w:val="24"/>
      <w:lang w:val="en-IE"/>
    </w:rPr>
  </w:style>
  <w:style w:type="paragraph" w:styleId="Heading8">
    <w:name w:val="heading 8"/>
    <w:basedOn w:val="Normal"/>
    <w:next w:val="Normal"/>
    <w:link w:val="Heading8Char"/>
    <w:uiPriority w:val="9"/>
    <w:semiHidden/>
    <w:unhideWhenUsed/>
    <w:qFormat/>
    <w:rsid w:val="005E6D0F"/>
    <w:pPr>
      <w:keepNext/>
      <w:keepLines/>
      <w:spacing w:after="0" w:line="278" w:lineRule="auto"/>
      <w:outlineLvl w:val="7"/>
    </w:pPr>
    <w:rPr>
      <w:rFonts w:eastAsiaTheme="majorEastAsia" w:cstheme="majorBidi"/>
      <w:i/>
      <w:iCs/>
      <w:color w:val="272727" w:themeColor="text1" w:themeTint="D8"/>
      <w:sz w:val="24"/>
      <w:szCs w:val="24"/>
      <w:lang w:val="en-IE"/>
    </w:rPr>
  </w:style>
  <w:style w:type="paragraph" w:styleId="Heading9">
    <w:name w:val="heading 9"/>
    <w:basedOn w:val="Normal"/>
    <w:next w:val="Normal"/>
    <w:link w:val="Heading9Char"/>
    <w:uiPriority w:val="9"/>
    <w:semiHidden/>
    <w:unhideWhenUsed/>
    <w:qFormat/>
    <w:rsid w:val="005E6D0F"/>
    <w:pPr>
      <w:keepNext/>
      <w:keepLines/>
      <w:spacing w:after="0" w:line="278" w:lineRule="auto"/>
      <w:outlineLvl w:val="8"/>
    </w:pPr>
    <w:rPr>
      <w:rFonts w:eastAsiaTheme="majorEastAsia" w:cstheme="majorBidi"/>
      <w:color w:val="272727" w:themeColor="text1" w:themeTint="D8"/>
      <w:sz w:val="24"/>
      <w:szCs w:val="24"/>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6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6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6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6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6D0F"/>
    <w:rPr>
      <w:rFonts w:eastAsiaTheme="majorEastAsia" w:cstheme="majorBidi"/>
      <w:color w:val="272727" w:themeColor="text1" w:themeTint="D8"/>
    </w:rPr>
  </w:style>
  <w:style w:type="paragraph" w:styleId="Title">
    <w:name w:val="Title"/>
    <w:basedOn w:val="Normal"/>
    <w:next w:val="Normal"/>
    <w:link w:val="TitleChar"/>
    <w:uiPriority w:val="10"/>
    <w:qFormat/>
    <w:rsid w:val="005E6D0F"/>
    <w:pPr>
      <w:spacing w:after="80" w:line="240" w:lineRule="auto"/>
      <w:contextualSpacing/>
    </w:pPr>
    <w:rPr>
      <w:rFonts w:asciiTheme="majorHAnsi" w:eastAsiaTheme="majorEastAsia" w:hAnsiTheme="majorHAnsi" w:cstheme="majorBidi"/>
      <w:spacing w:val="-10"/>
      <w:kern w:val="28"/>
      <w:sz w:val="56"/>
      <w:szCs w:val="56"/>
      <w:lang w:val="en-IE"/>
    </w:rPr>
  </w:style>
  <w:style w:type="character" w:customStyle="1" w:styleId="TitleChar">
    <w:name w:val="Title Char"/>
    <w:basedOn w:val="DefaultParagraphFont"/>
    <w:link w:val="Title"/>
    <w:uiPriority w:val="10"/>
    <w:rsid w:val="005E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6D0F"/>
    <w:pPr>
      <w:numPr>
        <w:ilvl w:val="1"/>
      </w:numPr>
      <w:spacing w:line="278" w:lineRule="auto"/>
    </w:pPr>
    <w:rPr>
      <w:rFonts w:eastAsiaTheme="majorEastAsia" w:cstheme="majorBidi"/>
      <w:color w:val="595959" w:themeColor="text1" w:themeTint="A6"/>
      <w:spacing w:val="15"/>
      <w:sz w:val="28"/>
      <w:szCs w:val="28"/>
      <w:lang w:val="en-IE"/>
    </w:rPr>
  </w:style>
  <w:style w:type="character" w:customStyle="1" w:styleId="SubtitleChar">
    <w:name w:val="Subtitle Char"/>
    <w:basedOn w:val="DefaultParagraphFont"/>
    <w:link w:val="Subtitle"/>
    <w:uiPriority w:val="11"/>
    <w:rsid w:val="005E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6D0F"/>
    <w:pPr>
      <w:spacing w:before="160" w:line="278" w:lineRule="auto"/>
      <w:jc w:val="center"/>
    </w:pPr>
    <w:rPr>
      <w:i/>
      <w:iCs/>
      <w:color w:val="404040" w:themeColor="text1" w:themeTint="BF"/>
      <w:sz w:val="24"/>
      <w:szCs w:val="24"/>
      <w:lang w:val="en-IE"/>
    </w:rPr>
  </w:style>
  <w:style w:type="character" w:customStyle="1" w:styleId="QuoteChar">
    <w:name w:val="Quote Char"/>
    <w:basedOn w:val="DefaultParagraphFont"/>
    <w:link w:val="Quote"/>
    <w:uiPriority w:val="29"/>
    <w:rsid w:val="005E6D0F"/>
    <w:rPr>
      <w:i/>
      <w:iCs/>
      <w:color w:val="404040" w:themeColor="text1" w:themeTint="BF"/>
    </w:rPr>
  </w:style>
  <w:style w:type="paragraph" w:styleId="ListParagraph">
    <w:name w:val="List Paragraph"/>
    <w:basedOn w:val="Normal"/>
    <w:uiPriority w:val="34"/>
    <w:qFormat/>
    <w:rsid w:val="005E6D0F"/>
    <w:pPr>
      <w:spacing w:line="278" w:lineRule="auto"/>
      <w:ind w:left="720"/>
      <w:contextualSpacing/>
    </w:pPr>
    <w:rPr>
      <w:sz w:val="24"/>
      <w:szCs w:val="24"/>
      <w:lang w:val="en-IE"/>
    </w:rPr>
  </w:style>
  <w:style w:type="character" w:styleId="IntenseEmphasis">
    <w:name w:val="Intense Emphasis"/>
    <w:basedOn w:val="DefaultParagraphFont"/>
    <w:uiPriority w:val="21"/>
    <w:qFormat/>
    <w:rsid w:val="005E6D0F"/>
    <w:rPr>
      <w:i/>
      <w:iCs/>
      <w:color w:val="0F4761" w:themeColor="accent1" w:themeShade="BF"/>
    </w:rPr>
  </w:style>
  <w:style w:type="paragraph" w:styleId="IntenseQuote">
    <w:name w:val="Intense Quote"/>
    <w:basedOn w:val="Normal"/>
    <w:next w:val="Normal"/>
    <w:link w:val="IntenseQuoteChar"/>
    <w:uiPriority w:val="30"/>
    <w:qFormat/>
    <w:rsid w:val="005E6D0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IE"/>
    </w:rPr>
  </w:style>
  <w:style w:type="character" w:customStyle="1" w:styleId="IntenseQuoteChar">
    <w:name w:val="Intense Quote Char"/>
    <w:basedOn w:val="DefaultParagraphFont"/>
    <w:link w:val="IntenseQuote"/>
    <w:uiPriority w:val="30"/>
    <w:rsid w:val="005E6D0F"/>
    <w:rPr>
      <w:i/>
      <w:iCs/>
      <w:color w:val="0F4761" w:themeColor="accent1" w:themeShade="BF"/>
    </w:rPr>
  </w:style>
  <w:style w:type="character" w:styleId="IntenseReference">
    <w:name w:val="Intense Reference"/>
    <w:basedOn w:val="DefaultParagraphFont"/>
    <w:uiPriority w:val="32"/>
    <w:qFormat/>
    <w:rsid w:val="005E6D0F"/>
    <w:rPr>
      <w:b/>
      <w:bCs/>
      <w:smallCaps/>
      <w:color w:val="0F4761" w:themeColor="accent1" w:themeShade="BF"/>
      <w:spacing w:val="5"/>
    </w:rPr>
  </w:style>
  <w:style w:type="table" w:styleId="TableGrid">
    <w:name w:val="Table Grid"/>
    <w:basedOn w:val="TableNormal"/>
    <w:uiPriority w:val="39"/>
    <w:rsid w:val="00EC1D2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EC1D2D"/>
    <w:pPr>
      <w:spacing w:after="0" w:line="240" w:lineRule="auto"/>
    </w:pPr>
    <w:rPr>
      <w:sz w:val="20"/>
      <w:szCs w:val="20"/>
    </w:rPr>
  </w:style>
  <w:style w:type="character" w:customStyle="1" w:styleId="FootnoteTextChar">
    <w:name w:val="Footnote Text Char"/>
    <w:basedOn w:val="DefaultParagraphFont"/>
    <w:link w:val="FootnoteText"/>
    <w:uiPriority w:val="99"/>
    <w:rsid w:val="00EC1D2D"/>
    <w:rPr>
      <w:sz w:val="20"/>
      <w:szCs w:val="20"/>
      <w:lang w:val="en-GB"/>
    </w:rPr>
  </w:style>
  <w:style w:type="character" w:styleId="FootnoteReference">
    <w:name w:val="footnote reference"/>
    <w:basedOn w:val="DefaultParagraphFont"/>
    <w:uiPriority w:val="99"/>
    <w:semiHidden/>
    <w:unhideWhenUsed/>
    <w:rsid w:val="00EC1D2D"/>
    <w:rPr>
      <w:vertAlign w:val="superscript"/>
    </w:rPr>
  </w:style>
  <w:style w:type="paragraph" w:styleId="Footer">
    <w:name w:val="footer"/>
    <w:basedOn w:val="Normal"/>
    <w:link w:val="FooterChar"/>
    <w:uiPriority w:val="99"/>
    <w:unhideWhenUsed/>
    <w:rsid w:val="00EC1D2D"/>
    <w:pPr>
      <w:tabs>
        <w:tab w:val="center" w:pos="4680"/>
        <w:tab w:val="right" w:pos="9360"/>
      </w:tabs>
      <w:spacing w:after="0" w:line="240" w:lineRule="auto"/>
    </w:pPr>
    <w:rPr>
      <w:rFonts w:eastAsiaTheme="minorEastAsia" w:cs="Times New Roman"/>
      <w:kern w:val="0"/>
      <w:lang w:val="en-US"/>
      <w14:ligatures w14:val="none"/>
    </w:rPr>
  </w:style>
  <w:style w:type="character" w:customStyle="1" w:styleId="FooterChar">
    <w:name w:val="Footer Char"/>
    <w:basedOn w:val="DefaultParagraphFont"/>
    <w:link w:val="Footer"/>
    <w:uiPriority w:val="99"/>
    <w:rsid w:val="00EC1D2D"/>
    <w:rPr>
      <w:rFonts w:eastAsiaTheme="minorEastAsia" w:cs="Times New Roman"/>
      <w:kern w:val="0"/>
      <w:sz w:val="22"/>
      <w:szCs w:val="22"/>
      <w:lang w:val="en-US"/>
      <w14:ligatures w14:val="none"/>
    </w:rPr>
  </w:style>
  <w:style w:type="paragraph" w:styleId="Header">
    <w:name w:val="header"/>
    <w:basedOn w:val="Normal"/>
    <w:link w:val="HeaderChar"/>
    <w:uiPriority w:val="99"/>
    <w:unhideWhenUsed/>
    <w:rsid w:val="00646D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D9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686</Words>
  <Characters>3911</Characters>
  <Application>Microsoft Office Word</Application>
  <DocSecurity>0</DocSecurity>
  <Lines>32</Lines>
  <Paragraphs>9</Paragraphs>
  <ScaleCrop>false</ScaleCrop>
  <Company>University College Cork</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Prakriti Dasgupta</dc:creator>
  <cp:keywords/>
  <dc:description/>
  <cp:lastModifiedBy>Prakriti Dasgupta</cp:lastModifiedBy>
  <cp:revision>13</cp:revision>
  <dcterms:created xsi:type="dcterms:W3CDTF">2024-10-16T08:00:00Z</dcterms:created>
  <dcterms:modified xsi:type="dcterms:W3CDTF">2024-12-10T14:19:00Z</dcterms:modified>
</cp:coreProperties>
</file>