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5D" w:rsidRPr="004A085D" w:rsidRDefault="004A085D" w:rsidP="004A085D">
      <w:pPr>
        <w:rPr>
          <w:rFonts w:asciiTheme="majorHAnsi" w:hAnsiTheme="majorHAnsi" w:cs="Times New Roman"/>
          <w:b/>
          <w:noProof/>
          <w:lang w:val="en-US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lang w:val="en-US"/>
        </w:rPr>
        <w:t xml:space="preserve">Supporting Information Table S1. </w:t>
      </w:r>
      <w:r w:rsidRPr="008F0A2A">
        <w:rPr>
          <w:rFonts w:asciiTheme="majorHAnsi" w:hAnsiTheme="majorHAnsi" w:cs="Times New Roman"/>
          <w:noProof/>
          <w:lang w:val="en-US"/>
        </w:rPr>
        <w:t>Oligonucleotide</w:t>
      </w:r>
      <w:r w:rsidRPr="008F0A2A">
        <w:rPr>
          <w:rFonts w:asciiTheme="majorHAnsi" w:hAnsiTheme="majorHAnsi" w:cs="Times New Roman"/>
          <w:b/>
          <w:noProof/>
          <w:lang w:val="en-US"/>
        </w:rPr>
        <w:t xml:space="preserve"> </w:t>
      </w:r>
      <w:r w:rsidRPr="008F0A2A">
        <w:rPr>
          <w:rFonts w:asciiTheme="majorHAnsi" w:hAnsiTheme="majorHAnsi" w:cs="Times New Roman"/>
          <w:noProof/>
          <w:lang w:val="en-US"/>
        </w:rPr>
        <w:t>primers used in this study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1"/>
        <w:gridCol w:w="1290"/>
        <w:gridCol w:w="2660"/>
      </w:tblGrid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</w:rPr>
              <w:t>Purpose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</w:rPr>
              <w:t>Primer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</w:rPr>
              <w:t>Sequence (5'-3')</w:t>
            </w:r>
            <w:r w:rsidRPr="008F0A2A"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 xml:space="preserve">Degenerate primers for amplification </w:t>
            </w:r>
            <w:r w:rsidRPr="008F0A2A">
              <w:rPr>
                <w:rFonts w:asciiTheme="majorHAnsi" w:hAnsiTheme="majorHAnsi" w:cs="Cambria"/>
                <w:i/>
                <w:iCs/>
                <w:color w:val="000000"/>
                <w:sz w:val="16"/>
                <w:szCs w:val="16"/>
                <w:lang w:val="en-US"/>
              </w:rPr>
              <w:t>luxS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luxS-fw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Cccggytacacatcgactgctc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luxS-rev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Gtggtcgcgrtagttgccgc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>Insertional mutation in Bbr_0541 (</w:t>
            </w:r>
            <w:r w:rsidRPr="008F0A2A">
              <w:rPr>
                <w:rFonts w:asciiTheme="majorHAnsi" w:hAnsiTheme="majorHAnsi" w:cs="Cambria"/>
                <w:i/>
                <w:color w:val="000000"/>
                <w:sz w:val="16"/>
                <w:szCs w:val="16"/>
                <w:lang w:val="en-US"/>
              </w:rPr>
              <w:t>luxS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luxS-277-f-hindIII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tgcgga</w:t>
            </w:r>
            <w:r w:rsidRPr="008F0A2A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aagctt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gatcacaccaaggtcaag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luxS-277-r-xbaI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ctatgc</w:t>
            </w:r>
            <w:r w:rsidRPr="008F0A2A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tctaga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gagtgcgtgccccaggtc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 xml:space="preserve">Cloning of </w:t>
            </w:r>
            <w:r w:rsidRPr="008F0A2A">
              <w:rPr>
                <w:rFonts w:asciiTheme="majorHAnsi" w:hAnsiTheme="majorHAnsi" w:cs="Cambria"/>
                <w:i/>
                <w:iCs/>
                <w:color w:val="000000"/>
                <w:sz w:val="16"/>
                <w:szCs w:val="16"/>
                <w:lang w:val="en-US"/>
              </w:rPr>
              <w:t>luxS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 xml:space="preserve"> in pBC1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luxS-compl-f-xbaI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ctatgc</w:t>
            </w:r>
            <w:r w:rsidRPr="008F0A2A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tctaga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cattgcctatagcgaatc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luxS-compl-r-xbaI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ctatgc</w:t>
            </w:r>
            <w:r w:rsidRPr="008F0A2A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tctaga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gcaatcaccagtacaggaac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 xml:space="preserve">Amplification of TetR gene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tetWf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tcagctgtcgacatgctcatgtacggtaaggaagca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tetWr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gcgacggtcgaccataacttctgattgttgccg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>Insertional mutation in Bbr_0221(</w:t>
            </w:r>
            <w:r w:rsidRPr="008F0A2A">
              <w:rPr>
                <w:rFonts w:asciiTheme="majorHAnsi" w:hAnsiTheme="majorHAnsi" w:cs="Cambria"/>
                <w:i/>
                <w:color w:val="000000"/>
                <w:sz w:val="16"/>
                <w:szCs w:val="16"/>
                <w:lang w:val="en-US"/>
              </w:rPr>
              <w:t>bfeU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221IMhd3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ctgcgc</w:t>
            </w:r>
            <w:r w:rsidRPr="008F0A2A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aagctt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gaatgacgcctactaccagcac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221IMxba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ttgacg</w:t>
            </w:r>
            <w:r w:rsidRPr="008F0A2A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tctaga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caccgaacgcgaccatgaag   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>Insertional mutation in Bbr_0223(</w:t>
            </w:r>
            <w:r w:rsidRPr="008F0A2A">
              <w:rPr>
                <w:rFonts w:asciiTheme="majorHAnsi" w:hAnsiTheme="majorHAnsi" w:cs="Cambria"/>
                <w:i/>
                <w:color w:val="000000"/>
                <w:sz w:val="16"/>
                <w:szCs w:val="16"/>
                <w:lang w:val="en-US"/>
              </w:rPr>
              <w:t>bfeB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223IMhd3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ctgcgc</w:t>
            </w:r>
            <w:r w:rsidRPr="008F0A2A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aagctt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catcgacatcgcgctcaccctgttc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223IMxba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ttgacg</w:t>
            </w:r>
            <w:r w:rsidRPr="008F0A2A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tctaga</w:t>
            </w: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gaatgccttgtgtttgcgtc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 xml:space="preserve">Confirmation of site specific </w:t>
            </w:r>
          </w:p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>homologous recombination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pORI19R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ourier New"/>
                <w:sz w:val="16"/>
                <w:szCs w:val="16"/>
                <w:lang w:val="en-GB"/>
              </w:rPr>
              <w:t>Attgtgagcggataacaatttcac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luxS-fw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Tacgtgcgttacattgac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Bbr_0221 -fw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cgatgcttccgattctg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Bbr_0223 -fw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cacaaggccatcatgcacatc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qRT-PCR primers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Bbr_0997-fw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caagccgttcgctcgcttcc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Bbr_0997-rev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ggaggcgaagcggtcttggt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Bbr_1478-fw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tggcatcggagaatgccgagg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Bbr_1478-rev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acccgcaggtgtcgcctatg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Bbr_1479-fw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tcggtagcgtcgcccttgtc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Bbr_1479-rev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tcgagctggccgtttccgag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Bbr_1377-fw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tcggttccgcactcggctac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Bbr_1377-rev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cggtctgaatcggctcgcca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Bbr_1898-fw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catcggcggtgttggtcagc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Bbr_1898-rev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ggcgacaacccgtacaagcg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Bbr_1589-fw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aacgccagtgcggcgatgat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Bbr_1589-rev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gggcgttcatggcaccgttc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Bbr_1291-fw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aggtggacgtatccgccgtc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Bbr_1291-rev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ggaaatcgcggacaccgtgg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Bbr_0563-fw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gcgatgctgcggatagcacc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Bbr_0563-rev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gcgttcaccggctcgatcac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Bbr_1042-fw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gcactcagcgccggaatagc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Bbr_1042-rev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tggcgttcctatggtgccgt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Bbr_0788-fw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gtgccgggactgaccgactc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Bbr_0788-rev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gttcgcgagtagcggcgttg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Bbr_0541-fw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gatcacaccaaggtcaag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Bbr_0541-rev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gagtgcgtgccccaggtc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Bbr_1381-fw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ttgcacgaagctgttgacgtattcc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Bbr_1381-rev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aagctgaggaccagtccgacg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Bbr_1828-fw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cgcttatcccgctcggcaaac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Bbr_1828-rev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gggctggattacgcgcgac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Bbr_0133-fw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gcgtgccctattgccgatgc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Bbr_0133-rev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gctgcaacgatgccacctcg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Bbr_0221-fw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cgattggcttggcttctacc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Bbr_0221-rev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gaatccgactacgaacagcg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Bbr_0222-fw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ctccatggctgtttcgatgg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Bbr_0222-rev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ctgaatcgtccttcttggcg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Bbr_0223-fw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tgcttgaacaattcgtggca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Bbr_0223-rev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tagttgacgaatgtgcgctg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Bbr_0224-fw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agaacctgaagctctccacc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Bbr_0224-rev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ctcgtcaccggaatcgtaga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Bbr_0225-fw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cagtcgtcctcaagccaaac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Bbr_0225-rev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gatgatcgaatcctcgctgc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Bbr_0226-fw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gctgtggaaaacgtgatggt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Bbr_0226-rev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cagaccaactttctccagcg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  <w:lang w:val="en-US"/>
              </w:rPr>
              <w:t>qRT-PCR control primer pairs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atpD-fw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cgtatgccttccgccgtgggttac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atpD-rev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acgtagatggcttgcagcgaggtg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rpoB-fw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cacgatggtgctgcgaccttccc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rpoB-rev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gacctgacggatacgacggttgcc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ldh-FW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gtgatgggcgagcatggcgactc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ldh-rev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ggaggcgaagcggtcttggttggtc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pdxS-fw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gatcaagggcattcaggaag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pdxS-rev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cgaactggttcttgtcgatc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gluC-fw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cttcgccacgaacttcttct</w:t>
            </w:r>
          </w:p>
        </w:tc>
      </w:tr>
      <w:tr w:rsidR="004A085D" w:rsidRPr="008F0A2A" w:rsidTr="001311C3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gluC-rev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5D" w:rsidRPr="008F0A2A" w:rsidRDefault="004A085D" w:rsidP="00131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8F0A2A">
              <w:rPr>
                <w:rFonts w:asciiTheme="majorHAnsi" w:hAnsiTheme="majorHAnsi" w:cs="Cambria"/>
                <w:color w:val="000000"/>
                <w:sz w:val="16"/>
                <w:szCs w:val="16"/>
              </w:rPr>
              <w:t>gttcttgagcagtgcgatca</w:t>
            </w:r>
          </w:p>
        </w:tc>
      </w:tr>
    </w:tbl>
    <w:p w:rsidR="004A085D" w:rsidRPr="00984E17" w:rsidRDefault="004A085D" w:rsidP="004A085D">
      <w:pPr>
        <w:rPr>
          <w:lang w:val="en-US"/>
        </w:rPr>
      </w:pPr>
      <w:r w:rsidRPr="008F0A2A">
        <w:rPr>
          <w:vertAlign w:val="superscript"/>
          <w:lang w:val="en-US"/>
        </w:rPr>
        <w:t>a</w:t>
      </w:r>
      <w:r w:rsidRPr="008F0A2A">
        <w:rPr>
          <w:rFonts w:ascii="Times New Roman" w:eastAsia="Times New Roman" w:hAnsi="Times New Roman"/>
          <w:sz w:val="16"/>
          <w:szCs w:val="16"/>
          <w:lang w:val="en-US"/>
        </w:rPr>
        <w:t xml:space="preserve"> Restriction sites incorporated into oligonucleotide primer sequences are indicated in bold</w:t>
      </w:r>
      <w:r>
        <w:rPr>
          <w:lang w:val="en-US"/>
        </w:rPr>
        <w:t>.</w:t>
      </w:r>
    </w:p>
    <w:sectPr w:rsidR="004A085D" w:rsidRPr="0098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D"/>
    <w:rsid w:val="001A77B4"/>
    <w:rsid w:val="0045306E"/>
    <w:rsid w:val="004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5D"/>
    <w:rPr>
      <w:rFonts w:eastAsiaTheme="minorEastAsia"/>
      <w:lang w:val="nl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5D"/>
    <w:rPr>
      <w:rFonts w:eastAsiaTheme="minorEastAsia"/>
      <w:lang w:val="nl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tcoenye</cp:lastModifiedBy>
  <cp:revision>2</cp:revision>
  <dcterms:created xsi:type="dcterms:W3CDTF">2014-04-07T19:49:00Z</dcterms:created>
  <dcterms:modified xsi:type="dcterms:W3CDTF">2014-04-07T19:49:00Z</dcterms:modified>
</cp:coreProperties>
</file>