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CEA" w:rsidRPr="00BE2449" w:rsidRDefault="003E6CEA" w:rsidP="003E6CEA">
      <w:pPr>
        <w:spacing w:line="276" w:lineRule="auto"/>
        <w:rPr>
          <w:rFonts w:cs="Times New Roman"/>
          <w:szCs w:val="24"/>
        </w:rPr>
      </w:pPr>
      <w:r w:rsidRPr="00BE2449">
        <w:rPr>
          <w:rFonts w:cs="Times New Roman"/>
          <w:b/>
          <w:szCs w:val="24"/>
        </w:rPr>
        <w:t>T</w:t>
      </w:r>
      <w:r w:rsidR="001C77E9">
        <w:rPr>
          <w:rFonts w:cs="Times New Roman"/>
          <w:b/>
          <w:szCs w:val="24"/>
        </w:rPr>
        <w:t>able 3</w:t>
      </w:r>
      <w:r w:rsidRPr="00BE2449">
        <w:rPr>
          <w:rFonts w:cs="Times New Roman"/>
          <w:b/>
          <w:szCs w:val="24"/>
        </w:rPr>
        <w:t>.</w:t>
      </w:r>
      <w:r w:rsidRPr="00BE2449">
        <w:rPr>
          <w:rFonts w:cs="Times New Roman"/>
          <w:szCs w:val="24"/>
        </w:rPr>
        <w:t xml:space="preserve"> Breast cancer risk factors recall  </w:t>
      </w:r>
    </w:p>
    <w:tbl>
      <w:tblPr>
        <w:tblW w:w="768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0"/>
        <w:gridCol w:w="1840"/>
        <w:gridCol w:w="222"/>
      </w:tblGrid>
      <w:tr w:rsidR="003E6CEA" w:rsidRPr="00DC29EA" w:rsidTr="004C691A">
        <w:trPr>
          <w:trHeight w:val="300"/>
        </w:trPr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Cs w:val="24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Cs w:val="24"/>
                <w:lang w:eastAsia="en-GB"/>
              </w:rPr>
              <w:t>Breast cancer risk factor categories</w:t>
            </w: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ind w:right="-86"/>
              <w:rPr>
                <w:rFonts w:eastAsia="Times New Roman" w:cs="Times New Roman"/>
                <w:b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en-GB"/>
              </w:rPr>
              <w:t xml:space="preserve">Responses </w:t>
            </w:r>
            <w:r w:rsidRPr="00DC29EA">
              <w:rPr>
                <w:rFonts w:eastAsia="Times New Roman" w:cs="Times New Roman"/>
                <w:b/>
                <w:color w:val="000000"/>
                <w:szCs w:val="24"/>
                <w:lang w:eastAsia="en-GB"/>
              </w:rPr>
              <w:t xml:space="preserve">n (%) </w:t>
            </w:r>
          </w:p>
        </w:tc>
      </w:tr>
      <w:tr w:rsidR="003E6CEA" w:rsidRPr="00DC29EA" w:rsidTr="004C691A">
        <w:trPr>
          <w:trHeight w:hRule="exact" w:val="425"/>
        </w:trPr>
        <w:tc>
          <w:tcPr>
            <w:tcW w:w="5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bCs/>
                <w:i/>
                <w:color w:val="000000"/>
                <w:szCs w:val="24"/>
                <w:lang w:eastAsia="en-GB"/>
              </w:rPr>
            </w:pPr>
            <w:r w:rsidRPr="00DC29EA">
              <w:rPr>
                <w:rFonts w:eastAsia="Times New Roman" w:cs="Times New Roman"/>
                <w:bCs/>
                <w:i/>
                <w:color w:val="000000"/>
                <w:szCs w:val="24"/>
                <w:lang w:eastAsia="en-GB"/>
              </w:rPr>
              <w:t>Non modifiable risk factors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ind w:right="-1168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3E6CEA" w:rsidRPr="00DC29EA" w:rsidTr="004C691A">
        <w:trPr>
          <w:trHeight w:hRule="exact" w:val="284"/>
        </w:trPr>
        <w:tc>
          <w:tcPr>
            <w:tcW w:w="5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Cs w:val="24"/>
                <w:lang w:eastAsia="en-GB"/>
              </w:rPr>
              <w:t>Hormonal imbalance</w:t>
            </w:r>
          </w:p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Cs w:val="24"/>
                <w:lang w:eastAsia="en-GB"/>
              </w:rPr>
              <w:t>1 (2.2)</w:t>
            </w:r>
          </w:p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3E6CEA" w:rsidRPr="00DC29EA" w:rsidTr="004C691A">
        <w:trPr>
          <w:trHeight w:hRule="exact" w:val="284"/>
        </w:trPr>
        <w:tc>
          <w:tcPr>
            <w:tcW w:w="5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Cs w:val="24"/>
                <w:lang w:eastAsia="en-GB"/>
              </w:rPr>
              <w:t>Health history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Cs w:val="24"/>
                <w:lang w:eastAsia="en-GB"/>
              </w:rPr>
              <w:t>1 (2.2)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3E6CEA" w:rsidRPr="00DC29EA" w:rsidTr="004C691A">
        <w:trPr>
          <w:trHeight w:hRule="exact" w:val="425"/>
        </w:trPr>
        <w:tc>
          <w:tcPr>
            <w:tcW w:w="5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bCs/>
                <w:i/>
                <w:color w:val="000000"/>
                <w:szCs w:val="24"/>
                <w:lang w:eastAsia="en-GB"/>
              </w:rPr>
            </w:pPr>
            <w:r w:rsidRPr="00DC29EA">
              <w:rPr>
                <w:rFonts w:eastAsia="Times New Roman" w:cs="Times New Roman"/>
                <w:bCs/>
                <w:i/>
                <w:color w:val="000000"/>
                <w:szCs w:val="24"/>
                <w:lang w:eastAsia="en-GB"/>
              </w:rPr>
              <w:t>Lifestyle related risk factors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3E6CEA" w:rsidRPr="00DC29EA" w:rsidTr="004C691A">
        <w:trPr>
          <w:trHeight w:hRule="exact" w:val="284"/>
        </w:trPr>
        <w:tc>
          <w:tcPr>
            <w:tcW w:w="5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Drinking alcohol</w:t>
            </w:r>
          </w:p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Cs w:val="24"/>
                <w:lang w:eastAsia="en-GB"/>
              </w:rPr>
              <w:t>1 (2.2)</w:t>
            </w:r>
          </w:p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3E6CEA" w:rsidRPr="00DC29EA" w:rsidTr="004C691A">
        <w:trPr>
          <w:trHeight w:hRule="exact" w:val="284"/>
        </w:trPr>
        <w:tc>
          <w:tcPr>
            <w:tcW w:w="5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Lifestyle 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Cs w:val="24"/>
                <w:lang w:eastAsia="en-GB"/>
              </w:rPr>
              <w:t>1 (2.2)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3E6CEA" w:rsidRPr="00DC29EA" w:rsidTr="004C691A">
        <w:trPr>
          <w:trHeight w:hRule="exact" w:val="425"/>
        </w:trPr>
        <w:tc>
          <w:tcPr>
            <w:tcW w:w="5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bCs/>
                <w:i/>
                <w:color w:val="000000"/>
                <w:szCs w:val="24"/>
                <w:lang w:eastAsia="en-GB"/>
              </w:rPr>
            </w:pPr>
            <w:r w:rsidRPr="00DC29EA">
              <w:rPr>
                <w:rFonts w:eastAsia="Times New Roman" w:cs="Times New Roman"/>
                <w:bCs/>
                <w:i/>
                <w:color w:val="000000"/>
                <w:szCs w:val="24"/>
                <w:lang w:eastAsia="en-GB"/>
              </w:rPr>
              <w:t>Unclear risk factors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3E6CEA" w:rsidRPr="00DC29EA" w:rsidTr="004C691A">
        <w:trPr>
          <w:trHeight w:hRule="exact" w:val="284"/>
        </w:trPr>
        <w:tc>
          <w:tcPr>
            <w:tcW w:w="5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Cs w:val="24"/>
                <w:lang w:eastAsia="en-GB"/>
              </w:rPr>
              <w:t>Tobacco smoke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A87AD3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5 (11.1</w:t>
            </w:r>
            <w:bookmarkStart w:id="0" w:name="_GoBack"/>
            <w:bookmarkEnd w:id="0"/>
            <w:r w:rsidR="003E6CEA" w:rsidRPr="00DC29EA">
              <w:rPr>
                <w:rFonts w:eastAsia="Times New Roman" w:cs="Times New Roman"/>
                <w:color w:val="000000"/>
                <w:szCs w:val="24"/>
                <w:lang w:eastAsia="en-GB"/>
              </w:rPr>
              <w:t>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3E6CEA" w:rsidRPr="00DC29EA" w:rsidTr="004C691A">
        <w:trPr>
          <w:trHeight w:hRule="exact" w:val="425"/>
        </w:trPr>
        <w:tc>
          <w:tcPr>
            <w:tcW w:w="5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bCs/>
                <w:i/>
                <w:color w:val="000000"/>
                <w:szCs w:val="24"/>
                <w:lang w:eastAsia="en-GB"/>
              </w:rPr>
            </w:pPr>
            <w:r w:rsidRPr="00DC29EA">
              <w:rPr>
                <w:rFonts w:eastAsia="Times New Roman" w:cs="Times New Roman"/>
                <w:bCs/>
                <w:i/>
                <w:color w:val="000000"/>
                <w:szCs w:val="24"/>
                <w:lang w:eastAsia="en-GB"/>
              </w:rPr>
              <w:t xml:space="preserve">Other risk factors 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3E6CEA" w:rsidRPr="00DC29EA" w:rsidTr="004C691A">
        <w:trPr>
          <w:trHeight w:hRule="exact" w:val="284"/>
        </w:trPr>
        <w:tc>
          <w:tcPr>
            <w:tcW w:w="5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Pregnancy 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Cs w:val="24"/>
                <w:lang w:eastAsia="en-GB"/>
              </w:rPr>
              <w:t>1 (2.2)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3E6CEA" w:rsidRPr="00DC29EA" w:rsidTr="004C691A">
        <w:trPr>
          <w:trHeight w:hRule="exact" w:val="284"/>
        </w:trPr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Cs w:val="24"/>
                <w:lang w:eastAsia="en-GB"/>
              </w:rPr>
              <w:t>Chance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Cs w:val="24"/>
                <w:lang w:eastAsia="en-GB"/>
              </w:rPr>
              <w:t>2 (4.4)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6CEA" w:rsidRPr="00DC29EA" w:rsidRDefault="003E6CEA" w:rsidP="004C691A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</w:tbl>
    <w:p w:rsidR="006E6567" w:rsidRDefault="006E6567"/>
    <w:sectPr w:rsidR="006E65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CEA"/>
    <w:rsid w:val="001C77E9"/>
    <w:rsid w:val="003E6CEA"/>
    <w:rsid w:val="006E6567"/>
    <w:rsid w:val="00A8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5DD266-8562-49E2-9FE8-6A8EEE6A8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Waterford Institute of technology</Company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Reidy</dc:creator>
  <cp:keywords/>
  <dc:description/>
  <cp:lastModifiedBy>Mary Reidy</cp:lastModifiedBy>
  <cp:revision>3</cp:revision>
  <dcterms:created xsi:type="dcterms:W3CDTF">2017-11-08T12:54:00Z</dcterms:created>
  <dcterms:modified xsi:type="dcterms:W3CDTF">2017-11-13T15:28:00Z</dcterms:modified>
</cp:coreProperties>
</file>