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0BCFE" w14:textId="5FB92F43" w:rsidR="00100AAE" w:rsidRPr="00524541" w:rsidRDefault="00D51197" w:rsidP="00100AAE">
      <w:pPr>
        <w:rPr>
          <w:rFonts w:asciiTheme="majorBidi" w:hAnsiTheme="majorBidi" w:cstheme="majorBidi"/>
          <w:b/>
          <w:bCs/>
          <w:sz w:val="24"/>
          <w:szCs w:val="24"/>
        </w:rPr>
      </w:pPr>
      <w:r>
        <w:rPr>
          <w:rFonts w:asciiTheme="majorBidi" w:hAnsiTheme="majorBidi" w:cstheme="majorBidi"/>
          <w:b/>
          <w:bCs/>
          <w:sz w:val="24"/>
          <w:szCs w:val="24"/>
        </w:rPr>
        <w:t xml:space="preserve">Supplementary </w:t>
      </w:r>
      <w:r w:rsidR="00100AAE" w:rsidRPr="00524541">
        <w:rPr>
          <w:rFonts w:asciiTheme="majorBidi" w:hAnsiTheme="majorBidi" w:cstheme="majorBidi"/>
          <w:b/>
          <w:bCs/>
          <w:sz w:val="24"/>
          <w:szCs w:val="24"/>
        </w:rPr>
        <w:t>Table</w:t>
      </w:r>
      <w:r>
        <w:rPr>
          <w:rFonts w:asciiTheme="majorBidi" w:hAnsiTheme="majorBidi" w:cstheme="majorBidi"/>
          <w:b/>
          <w:bCs/>
          <w:sz w:val="24"/>
          <w:szCs w:val="24"/>
        </w:rPr>
        <w:t xml:space="preserve"> 1</w:t>
      </w:r>
      <w:r w:rsidR="00100AAE" w:rsidRPr="00524541">
        <w:rPr>
          <w:rFonts w:asciiTheme="majorBidi" w:hAnsiTheme="majorBidi" w:cstheme="majorBidi"/>
          <w:b/>
          <w:bCs/>
          <w:sz w:val="24"/>
          <w:szCs w:val="24"/>
        </w:rPr>
        <w:t>: Search strategy adopted for each electronic database.</w:t>
      </w:r>
    </w:p>
    <w:tbl>
      <w:tblPr>
        <w:tblStyle w:val="TableGrid"/>
        <w:tblW w:w="10890" w:type="dxa"/>
        <w:tblInd w:w="-455" w:type="dxa"/>
        <w:tblLook w:val="04A0" w:firstRow="1" w:lastRow="0" w:firstColumn="1" w:lastColumn="0" w:noHBand="0" w:noVBand="1"/>
      </w:tblPr>
      <w:tblGrid>
        <w:gridCol w:w="1800"/>
        <w:gridCol w:w="9090"/>
      </w:tblGrid>
      <w:tr w:rsidR="00065752" w14:paraId="5EE60FB3" w14:textId="77777777" w:rsidTr="00F53AAF">
        <w:tc>
          <w:tcPr>
            <w:tcW w:w="1800" w:type="dxa"/>
          </w:tcPr>
          <w:p w14:paraId="1924287B" w14:textId="310D6B39" w:rsidR="00065752" w:rsidRDefault="00C861C0" w:rsidP="00100AAE">
            <w:pPr>
              <w:rPr>
                <w:rFonts w:asciiTheme="majorBidi" w:hAnsiTheme="majorBidi" w:cstheme="majorBidi"/>
                <w:sz w:val="24"/>
                <w:szCs w:val="24"/>
              </w:rPr>
            </w:pPr>
            <w:r>
              <w:rPr>
                <w:rFonts w:asciiTheme="majorBidi" w:hAnsiTheme="majorBidi" w:cstheme="majorBidi"/>
                <w:sz w:val="24"/>
                <w:szCs w:val="24"/>
              </w:rPr>
              <w:t>Data base</w:t>
            </w:r>
          </w:p>
        </w:tc>
        <w:tc>
          <w:tcPr>
            <w:tcW w:w="9090" w:type="dxa"/>
          </w:tcPr>
          <w:p w14:paraId="1B31C1D7" w14:textId="6CED1463" w:rsidR="00065752" w:rsidRDefault="00E713B7" w:rsidP="00100AAE">
            <w:pPr>
              <w:rPr>
                <w:rFonts w:asciiTheme="majorBidi" w:hAnsiTheme="majorBidi" w:cstheme="majorBidi"/>
                <w:sz w:val="24"/>
                <w:szCs w:val="24"/>
              </w:rPr>
            </w:pPr>
            <w:r>
              <w:rPr>
                <w:rFonts w:asciiTheme="majorBidi" w:hAnsiTheme="majorBidi" w:cstheme="majorBidi"/>
                <w:sz w:val="24"/>
                <w:szCs w:val="24"/>
              </w:rPr>
              <w:t xml:space="preserve"> Search strategy</w:t>
            </w:r>
          </w:p>
        </w:tc>
      </w:tr>
      <w:tr w:rsidR="003D27CA" w14:paraId="2F8091C6" w14:textId="77777777" w:rsidTr="00C666EC">
        <w:trPr>
          <w:trHeight w:val="11670"/>
        </w:trPr>
        <w:tc>
          <w:tcPr>
            <w:tcW w:w="1800" w:type="dxa"/>
            <w:vMerge w:val="restart"/>
          </w:tcPr>
          <w:p w14:paraId="3AF52184" w14:textId="598DD3F1" w:rsidR="003D27CA" w:rsidRDefault="003D27CA" w:rsidP="00100AAE">
            <w:pPr>
              <w:rPr>
                <w:rFonts w:asciiTheme="majorBidi" w:hAnsiTheme="majorBidi" w:cstheme="majorBidi"/>
                <w:sz w:val="24"/>
                <w:szCs w:val="24"/>
              </w:rPr>
            </w:pPr>
            <w:r>
              <w:rPr>
                <w:rFonts w:asciiTheme="majorBidi" w:hAnsiTheme="majorBidi" w:cstheme="majorBidi"/>
                <w:sz w:val="24"/>
                <w:szCs w:val="24"/>
              </w:rPr>
              <w:t xml:space="preserve">PubMed </w:t>
            </w:r>
          </w:p>
        </w:tc>
        <w:tc>
          <w:tcPr>
            <w:tcW w:w="9090" w:type="dxa"/>
          </w:tcPr>
          <w:p w14:paraId="69768F15" w14:textId="77777777" w:rsidR="003D27CA" w:rsidRDefault="003D27CA" w:rsidP="00C861C0">
            <w:pPr>
              <w:spacing w:line="276" w:lineRule="auto"/>
              <w:rPr>
                <w:rFonts w:asciiTheme="majorBidi" w:hAnsiTheme="majorBidi" w:cstheme="majorBidi"/>
                <w:sz w:val="24"/>
                <w:szCs w:val="24"/>
              </w:rPr>
            </w:pPr>
            <w:r w:rsidRPr="00FE08FD">
              <w:rPr>
                <w:rFonts w:asciiTheme="majorBidi" w:hAnsiTheme="majorBidi" w:cstheme="majorBidi"/>
                <w:sz w:val="24"/>
                <w:szCs w:val="24"/>
              </w:rPr>
              <w:t>(("cardiovascular diseases"[</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"dyslipidemias"[</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"cerebrovascular disorders"[</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"lipoproteins"[</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"cardiovascular disease*"[Title/Abstract] OR "Heart disease"[Title/Abstract] OR "cerebrovascular disease*"[Title/Abstract] OR "Coronary heart disease"[Title/Abstract] OR "Coronary artery disease"[Title/Abstract] OR "Ischemic Heart disease"[Title/Abstract] OR "CAD"[Title/Abstract] OR "CHD"[Title/Abstract] OR "CVD"[Title/Abstract] OR "IHD"[Title/Abstract] OR "Stroke"[Title/Abstract] OR "Atherosclerosis"[Title/Abstract] OR "HTN"[Title/Abstract] OR "</w:t>
            </w:r>
            <w:proofErr w:type="spellStart"/>
            <w:r w:rsidRPr="00FE08FD">
              <w:rPr>
                <w:rFonts w:asciiTheme="majorBidi" w:hAnsiTheme="majorBidi" w:cstheme="majorBidi"/>
                <w:sz w:val="24"/>
                <w:szCs w:val="24"/>
              </w:rPr>
              <w:t>hypertens</w:t>
            </w:r>
            <w:proofErr w:type="spellEnd"/>
            <w:r w:rsidRPr="00FE08FD">
              <w:rPr>
                <w:rFonts w:asciiTheme="majorBidi" w:hAnsiTheme="majorBidi" w:cstheme="majorBidi"/>
                <w:sz w:val="24"/>
                <w:szCs w:val="24"/>
              </w:rPr>
              <w:t>*"[Title/Abstract] OR "High blood pressure"[Title/Abstract] OR "Systolic"[Title/Abstract] OR "Diastolic"[Title/Abstract] OR "Blood pressure"[Title/Abstract] OR "DBP"[Title/Abstract] OR "SBP"[Title/Abstract] OR "BP"[Title/Abstract] OR "Dyslipidemia"[Title/Abstract] OR "Hypercholesterolemia"[Title/Abstract] OR "Hypercholesteremia"[Title/Abstract] OR "Hyperlipidemia"[Title/Abstract] OR "Cholesterol"[Title/Abstract] OR "Lipoprotein"[Title/Abstract] OR "LDL"[Title/Abstract] OR "LDL-Cholesterol"[Title/Abstract] OR "triglyceride*"[Title/Abstract] OR "lipid*"[Title/Abstract] OR "HDL"[Title/Abstract] OR "Low density lipoprotein"[Title/Abstract] OR "Hypertriglyceridemia"[Title/Abstract] OR "Apolipoprotein B"[Title/Abstract] OR "Apo B"[Title/Abstract]) AND (("patient compliance"[</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"Guideline adherence"[</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"Patients compliance"[Title/Abstract] OR "Medication adherence"[Title/Abstract] OR "Patient nonadherence"[Title/Abstract] OR "Patients non-adherence"[Title/Abstract] OR "Persistence"[Title/Abstract] OR "Adherence"[Title/Abstract] OR "Concordance"[Title/Abstract] OR "Compliance"[Title/Abstract] OR "Patient noncompliance"[Title/Abstract] OR "Medication nonadherence"[Title/Abstract] OR "Guideline adherence"[Title/Abstract] OR "Guideline Compliance"[Title/Abstract] OR "Guideline implementation"[Title/Abstract] OR "Guideline nonadherence"[Title/Abstract] OR "Guideline directed medical therapies"[Title/Abstract] OR "GDMT"[Title/Abstract]) OR (((((("Goal* achieve*"[Title/Abstract]) OR ("Target* achieve*"[Title/Abstract])) OR ("Target* attain*"[Title/Abstract])) OR ("Goal* attain*"[Title/Abstract])) OR ("Therapeutic goal*"[Title/Abstract])) OR ("Therapeutic target*"[Title/Abstract])))) AND </w:t>
            </w:r>
            <w:r>
              <w:rPr>
                <w:rFonts w:asciiTheme="majorBidi" w:hAnsiTheme="majorBidi" w:cstheme="majorBidi"/>
                <w:sz w:val="24"/>
                <w:szCs w:val="24"/>
              </w:rPr>
              <w:t>((((</w:t>
            </w:r>
            <w:r w:rsidRPr="00FE08FD">
              <w:rPr>
                <w:rFonts w:asciiTheme="majorBidi" w:hAnsiTheme="majorBidi" w:cstheme="majorBidi"/>
                <w:sz w:val="24"/>
                <w:szCs w:val="24"/>
              </w:rPr>
              <w:t>(((((((Ireland[Title/Abstract]) OR ("Republic of Ireland"[Title/Abstract])) OR (Irish[Title/Abstract])) OR ("Northern Ireland"[Title/Abstract])) OR (</w:t>
            </w:r>
            <w:proofErr w:type="spellStart"/>
            <w:r w:rsidRPr="00FE08FD">
              <w:rPr>
                <w:rFonts w:asciiTheme="majorBidi" w:hAnsiTheme="majorBidi" w:cstheme="majorBidi"/>
                <w:sz w:val="24"/>
                <w:szCs w:val="24"/>
              </w:rPr>
              <w:t>ireland</w:t>
            </w:r>
            <w:proofErr w:type="spellEnd"/>
            <w:r w:rsidRPr="00FE08FD">
              <w:rPr>
                <w:rFonts w:asciiTheme="majorBidi" w:hAnsiTheme="majorBidi" w:cstheme="majorBidi"/>
                <w:sz w:val="24"/>
                <w:szCs w:val="24"/>
              </w:rPr>
              <w:t>, republic of[</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w:t>
            </w:r>
            <w:proofErr w:type="spellStart"/>
            <w:r w:rsidRPr="00FE08FD">
              <w:rPr>
                <w:rFonts w:asciiTheme="majorBidi" w:hAnsiTheme="majorBidi" w:cstheme="majorBidi"/>
                <w:sz w:val="24"/>
                <w:szCs w:val="24"/>
              </w:rPr>
              <w:t>ireland</w:t>
            </w:r>
            <w:proofErr w:type="spellEnd"/>
            <w:r w:rsidRPr="00FE08FD">
              <w:rPr>
                <w:rFonts w:asciiTheme="majorBidi" w:hAnsiTheme="majorBidi" w:cstheme="majorBidi"/>
                <w:sz w:val="24"/>
                <w:szCs w:val="24"/>
              </w:rPr>
              <w:t>[</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 OR (northern </w:t>
            </w:r>
            <w:proofErr w:type="spellStart"/>
            <w:r w:rsidRPr="00FE08FD">
              <w:rPr>
                <w:rFonts w:asciiTheme="majorBidi" w:hAnsiTheme="majorBidi" w:cstheme="majorBidi"/>
                <w:sz w:val="24"/>
                <w:szCs w:val="24"/>
              </w:rPr>
              <w:t>ireland</w:t>
            </w:r>
            <w:proofErr w:type="spellEnd"/>
            <w:r w:rsidRPr="00FE08FD">
              <w:rPr>
                <w:rFonts w:asciiTheme="majorBidi" w:hAnsiTheme="majorBidi" w:cstheme="majorBidi"/>
                <w:sz w:val="24"/>
                <w:szCs w:val="24"/>
              </w:rPr>
              <w:t>[</w:t>
            </w:r>
            <w:proofErr w:type="spellStart"/>
            <w:r w:rsidRPr="00FE08FD">
              <w:rPr>
                <w:rFonts w:asciiTheme="majorBidi" w:hAnsiTheme="majorBidi" w:cstheme="majorBidi"/>
                <w:sz w:val="24"/>
                <w:szCs w:val="24"/>
              </w:rPr>
              <w:t>MeSH</w:t>
            </w:r>
            <w:proofErr w:type="spellEnd"/>
            <w:r w:rsidRPr="00FE08FD">
              <w:rPr>
                <w:rFonts w:asciiTheme="majorBidi" w:hAnsiTheme="majorBidi" w:cstheme="majorBidi"/>
                <w:sz w:val="24"/>
                <w:szCs w:val="24"/>
              </w:rPr>
              <w:t xml:space="preserve"> Terms]</w:t>
            </w:r>
            <w:r>
              <w:rPr>
                <w:rFonts w:asciiTheme="majorBidi" w:hAnsiTheme="majorBidi" w:cstheme="majorBidi"/>
                <w:sz w:val="24"/>
                <w:szCs w:val="24"/>
              </w:rPr>
              <w:t xml:space="preserve">)) OR </w:t>
            </w:r>
            <w:r w:rsidRPr="000D5CCF">
              <w:rPr>
                <w:rFonts w:asciiTheme="majorBidi" w:hAnsiTheme="majorBidi" w:cstheme="majorBidi"/>
                <w:sz w:val="24"/>
                <w:szCs w:val="24"/>
              </w:rPr>
              <w:t>Ireland[Affiliation])</w:t>
            </w:r>
            <w:r>
              <w:rPr>
                <w:rFonts w:asciiTheme="majorBidi" w:hAnsiTheme="majorBidi" w:cstheme="majorBidi"/>
                <w:sz w:val="24"/>
                <w:szCs w:val="24"/>
              </w:rPr>
              <w:t>)</w:t>
            </w:r>
            <w:r w:rsidRPr="000D5CCF">
              <w:rPr>
                <w:rFonts w:asciiTheme="majorBidi" w:hAnsiTheme="majorBidi" w:cstheme="majorBidi"/>
                <w:sz w:val="24"/>
                <w:szCs w:val="24"/>
              </w:rPr>
              <w:t xml:space="preserve"> OR ("Republic of Ireland"[Affiliation])) OR (Irish[Affiliation])) OR ("Northern Ireland"[Affiliation]))    </w:t>
            </w:r>
          </w:p>
          <w:p w14:paraId="69139679" w14:textId="77777777" w:rsidR="003D27CA" w:rsidRDefault="003D27CA" w:rsidP="00C861C0">
            <w:pPr>
              <w:rPr>
                <w:rFonts w:asciiTheme="majorBidi" w:hAnsiTheme="majorBidi" w:cstheme="majorBidi"/>
                <w:sz w:val="24"/>
                <w:szCs w:val="24"/>
              </w:rPr>
            </w:pPr>
          </w:p>
        </w:tc>
      </w:tr>
      <w:tr w:rsidR="003D27CA" w14:paraId="668D2ECB" w14:textId="77777777" w:rsidTr="00F53AAF">
        <w:trPr>
          <w:trHeight w:val="276"/>
        </w:trPr>
        <w:tc>
          <w:tcPr>
            <w:tcW w:w="1800" w:type="dxa"/>
            <w:vMerge/>
          </w:tcPr>
          <w:p w14:paraId="21C8E832" w14:textId="08B1AD08" w:rsidR="003D27CA" w:rsidRDefault="003D27CA" w:rsidP="00100AAE">
            <w:pPr>
              <w:rPr>
                <w:rFonts w:asciiTheme="majorBidi" w:hAnsiTheme="majorBidi" w:cstheme="majorBidi"/>
                <w:sz w:val="24"/>
                <w:szCs w:val="24"/>
              </w:rPr>
            </w:pPr>
          </w:p>
        </w:tc>
        <w:tc>
          <w:tcPr>
            <w:tcW w:w="9090" w:type="dxa"/>
            <w:vMerge w:val="restart"/>
          </w:tcPr>
          <w:p w14:paraId="69F1EAC9" w14:textId="77777777" w:rsidR="003D27CA" w:rsidRPr="00A27601" w:rsidRDefault="003D27CA" w:rsidP="0081377C">
            <w:pPr>
              <w:spacing w:line="276" w:lineRule="auto"/>
              <w:jc w:val="both"/>
              <w:rPr>
                <w:rFonts w:asciiTheme="majorBidi" w:hAnsiTheme="majorBidi" w:cstheme="majorBidi"/>
                <w:sz w:val="24"/>
                <w:szCs w:val="24"/>
              </w:rPr>
            </w:pPr>
          </w:p>
          <w:p w14:paraId="39ECF210" w14:textId="77777777" w:rsidR="003D27CA" w:rsidRPr="00A27601" w:rsidRDefault="003D27CA" w:rsidP="0081377C">
            <w:pPr>
              <w:spacing w:line="276" w:lineRule="auto"/>
              <w:jc w:val="both"/>
              <w:rPr>
                <w:rFonts w:asciiTheme="majorBidi" w:hAnsiTheme="majorBidi" w:cstheme="majorBidi"/>
                <w:sz w:val="24"/>
                <w:szCs w:val="24"/>
              </w:rPr>
            </w:pPr>
          </w:p>
          <w:p w14:paraId="520F21B5" w14:textId="77777777" w:rsidR="003D27CA" w:rsidRDefault="003D27CA" w:rsidP="006225C4">
            <w:pPr>
              <w:spacing w:line="276" w:lineRule="auto"/>
              <w:jc w:val="both"/>
              <w:rPr>
                <w:rFonts w:asciiTheme="majorBidi" w:hAnsiTheme="majorBidi" w:cstheme="majorBidi"/>
                <w:sz w:val="24"/>
                <w:szCs w:val="24"/>
              </w:rPr>
            </w:pPr>
            <w:r w:rsidRPr="009838E7">
              <w:rPr>
                <w:rFonts w:asciiTheme="majorBidi" w:hAnsiTheme="majorBidi" w:cstheme="majorBidi"/>
                <w:sz w:val="24"/>
                <w:szCs w:val="24"/>
              </w:rPr>
              <w:t>((TITLE-ABS-KEY("Cardiovascular disease*" OR "Heart disease*" OR "Cerebrovascular disease*" OR "Cerebrovascular disorder*" OR "Coronary heart disease" OR "Coronary artery disease" OR "Ischemic heart disease" OR "CAD" OR "CVD" OR "CHD" OR "IHD" OR "Stroke" OR "Atherosclerosis")) OR (TITLE-ABS-KEY("HTN" OR "</w:t>
            </w:r>
            <w:proofErr w:type="spellStart"/>
            <w:r w:rsidRPr="009838E7">
              <w:rPr>
                <w:rFonts w:asciiTheme="majorBidi" w:hAnsiTheme="majorBidi" w:cstheme="majorBidi"/>
                <w:sz w:val="24"/>
                <w:szCs w:val="24"/>
              </w:rPr>
              <w:t>Hypertens</w:t>
            </w:r>
            <w:proofErr w:type="spellEnd"/>
            <w:r w:rsidRPr="009838E7">
              <w:rPr>
                <w:rFonts w:asciiTheme="majorBidi" w:hAnsiTheme="majorBidi" w:cstheme="majorBidi"/>
                <w:sz w:val="24"/>
                <w:szCs w:val="24"/>
              </w:rPr>
              <w:t>*" OR "High blood pressure" OR "Systolic" OR "Blood pressure" OR "DBP" OR "SBP" OR "BP" OR "Diastolic")) OR (TITLE-ABS-KEY("Dyslipidemia*" OR "Hypercholesteremia" OR "Hypercholesterolemia" OR "Hyperlipidemia" OR "Cholesterol" OR "Lipoprotein*" OR "LDL" OR "</w:t>
            </w:r>
            <w:proofErr w:type="spellStart"/>
            <w:r w:rsidRPr="009838E7">
              <w:rPr>
                <w:rFonts w:asciiTheme="majorBidi" w:hAnsiTheme="majorBidi" w:cstheme="majorBidi"/>
                <w:sz w:val="24"/>
                <w:szCs w:val="24"/>
              </w:rPr>
              <w:t>ldl</w:t>
            </w:r>
            <w:proofErr w:type="spellEnd"/>
            <w:r w:rsidRPr="009838E7">
              <w:rPr>
                <w:rFonts w:asciiTheme="majorBidi" w:hAnsiTheme="majorBidi" w:cstheme="majorBidi"/>
                <w:sz w:val="24"/>
                <w:szCs w:val="24"/>
              </w:rPr>
              <w:t xml:space="preserve">-cholesterol" OR "Triglyceride*" OR "Lipid*" OR "HDL" OR "Low density lipoprotein" OR "Hypertriglyceridemia" OR "apolipoprotein B" OR "Apo-B"))) AND (((TITLE-ABS-KEY("Patients Compliance" OR "Patient Compliance" OR "Medication adherence" OR "Patient nonadherence" OR "patients non-adherence" OR "Persistence" OR "Patient constancy" OR "Adherence" OR "Concordance" OR "compliance" OR "Patient noncompliance" OR "Medication nonadherence")) OR (TITLE-ABS-KEY("Guideline adherence" OR "Guideline compliance" OR "Guideline implementation" OR "Underutilization evidence-based therapies" OR "Guideline nonadherence" OR "Guideline directed medical therapies" OR "GDMT"))) OR ((TITLE-ABS-KEY("Target* achieve*") OR TITLE-ABS-KEY("Target* attain*") OR TITLE-ABS-KEY("Goal* achieve*") OR TITLE-ABS-KEY("Goal* attain*") OR TITLE-ABS-KEY("Therapeutic goal*")))) AND </w:t>
            </w:r>
            <w:r w:rsidRPr="006225C4">
              <w:rPr>
                <w:rFonts w:asciiTheme="majorBidi" w:hAnsiTheme="majorBidi" w:cstheme="majorBidi"/>
                <w:sz w:val="24"/>
                <w:szCs w:val="24"/>
              </w:rPr>
              <w:t xml:space="preserve">((TITLE-ABS-KEY(Ireland) OR TITLE-ABS-KEY("Republic of Ireland") OR TITLE-ABS-KEY(Irish) OR TITLE-ABS-KEY("Northern Ireland"))) </w:t>
            </w:r>
            <w:r>
              <w:rPr>
                <w:rFonts w:asciiTheme="majorBidi" w:hAnsiTheme="majorBidi" w:cstheme="majorBidi"/>
                <w:sz w:val="24"/>
                <w:szCs w:val="24"/>
              </w:rPr>
              <w:t xml:space="preserve">OR </w:t>
            </w:r>
            <w:r w:rsidRPr="009838E7">
              <w:rPr>
                <w:rFonts w:asciiTheme="majorBidi" w:hAnsiTheme="majorBidi" w:cstheme="majorBidi"/>
                <w:sz w:val="24"/>
                <w:szCs w:val="24"/>
              </w:rPr>
              <w:t>(AFFIL(Ireland OR Irish OR "Republic of Ireland" OR "Northern Ireland"))</w:t>
            </w:r>
          </w:p>
          <w:p w14:paraId="338092D1" w14:textId="77777777" w:rsidR="003D27CA" w:rsidRDefault="003D27CA" w:rsidP="00100AAE">
            <w:pPr>
              <w:rPr>
                <w:rFonts w:asciiTheme="majorBidi" w:hAnsiTheme="majorBidi" w:cstheme="majorBidi"/>
                <w:sz w:val="24"/>
                <w:szCs w:val="24"/>
              </w:rPr>
            </w:pPr>
          </w:p>
        </w:tc>
      </w:tr>
      <w:tr w:rsidR="00A76F3C" w14:paraId="76C34591" w14:textId="77777777" w:rsidTr="00F53AAF">
        <w:trPr>
          <w:trHeight w:val="6630"/>
        </w:trPr>
        <w:tc>
          <w:tcPr>
            <w:tcW w:w="1800" w:type="dxa"/>
          </w:tcPr>
          <w:p w14:paraId="51491DE7" w14:textId="6F5A6CD1" w:rsidR="00A76F3C" w:rsidRDefault="00A76F3C" w:rsidP="00100AAE">
            <w:pPr>
              <w:rPr>
                <w:rFonts w:asciiTheme="majorBidi" w:hAnsiTheme="majorBidi" w:cstheme="majorBidi"/>
                <w:sz w:val="24"/>
                <w:szCs w:val="24"/>
              </w:rPr>
            </w:pPr>
            <w:r>
              <w:rPr>
                <w:rFonts w:asciiTheme="majorBidi" w:hAnsiTheme="majorBidi" w:cstheme="majorBidi"/>
                <w:sz w:val="24"/>
                <w:szCs w:val="24"/>
              </w:rPr>
              <w:lastRenderedPageBreak/>
              <w:t>Scopus</w:t>
            </w:r>
          </w:p>
        </w:tc>
        <w:tc>
          <w:tcPr>
            <w:tcW w:w="9090" w:type="dxa"/>
            <w:vMerge/>
          </w:tcPr>
          <w:p w14:paraId="7D0CFFEE" w14:textId="77777777" w:rsidR="00A76F3C" w:rsidRDefault="00A76F3C" w:rsidP="00100AAE">
            <w:pPr>
              <w:rPr>
                <w:rFonts w:asciiTheme="majorBidi" w:hAnsiTheme="majorBidi" w:cstheme="majorBidi"/>
                <w:sz w:val="24"/>
                <w:szCs w:val="24"/>
              </w:rPr>
            </w:pPr>
          </w:p>
        </w:tc>
      </w:tr>
      <w:tr w:rsidR="00A40F4F" w14:paraId="41E003C9" w14:textId="77777777" w:rsidTr="00C509E2">
        <w:trPr>
          <w:trHeight w:val="6030"/>
        </w:trPr>
        <w:tc>
          <w:tcPr>
            <w:tcW w:w="1800" w:type="dxa"/>
          </w:tcPr>
          <w:p w14:paraId="08588946" w14:textId="77777777" w:rsidR="00A40F4F" w:rsidRDefault="00A40F4F" w:rsidP="00100AAE">
            <w:pPr>
              <w:rPr>
                <w:rFonts w:asciiTheme="majorBidi" w:hAnsiTheme="majorBidi" w:cstheme="majorBidi"/>
                <w:sz w:val="24"/>
                <w:szCs w:val="24"/>
              </w:rPr>
            </w:pPr>
            <w:r>
              <w:rPr>
                <w:rFonts w:asciiTheme="majorBidi" w:hAnsiTheme="majorBidi" w:cstheme="majorBidi"/>
                <w:sz w:val="24"/>
                <w:szCs w:val="24"/>
              </w:rPr>
              <w:lastRenderedPageBreak/>
              <w:t xml:space="preserve">CINAHL </w:t>
            </w:r>
          </w:p>
          <w:p w14:paraId="3C50D279" w14:textId="1BA44C40" w:rsidR="00A40F4F" w:rsidRDefault="00A40F4F" w:rsidP="00100AAE">
            <w:pPr>
              <w:rPr>
                <w:rFonts w:asciiTheme="majorBidi" w:hAnsiTheme="majorBidi" w:cstheme="majorBidi"/>
                <w:sz w:val="24"/>
                <w:szCs w:val="24"/>
              </w:rPr>
            </w:pPr>
          </w:p>
        </w:tc>
        <w:tc>
          <w:tcPr>
            <w:tcW w:w="9090" w:type="dxa"/>
          </w:tcPr>
          <w:p w14:paraId="03A73D1C" w14:textId="299F91E7" w:rsidR="00A40F4F" w:rsidRPr="004F1DAA" w:rsidRDefault="00A40F4F" w:rsidP="004F1DAA">
            <w:pPr>
              <w:spacing w:line="276" w:lineRule="auto"/>
              <w:jc w:val="both"/>
              <w:rPr>
                <w:rFonts w:asciiTheme="majorBidi" w:hAnsiTheme="majorBidi" w:cstheme="majorBidi"/>
                <w:b/>
                <w:bCs/>
                <w:sz w:val="24"/>
                <w:szCs w:val="24"/>
              </w:rPr>
            </w:pPr>
            <w:r w:rsidRPr="00F41252">
              <w:rPr>
                <w:rFonts w:asciiTheme="majorBidi" w:hAnsiTheme="majorBidi" w:cstheme="majorBidi"/>
                <w:sz w:val="24"/>
                <w:szCs w:val="24"/>
              </w:rPr>
              <w:t>AB "cardiovascular disease*" OR AB "Heart disease*" OR AB "Cerebrovascular disease*" OR AB "Cerebrovascular disorder" OR AB "Coronary heart disease" OR AB "Coronary artery disease" OR AB ischemic heart disease" OR AB CAD OR IHD OR AB CVD OR AB CHD OR AB Stroke OR Atherosclerosis</w:t>
            </w:r>
            <w:r>
              <w:rPr>
                <w:rFonts w:asciiTheme="majorBidi" w:hAnsiTheme="majorBidi" w:cstheme="majorBidi"/>
                <w:sz w:val="24"/>
                <w:szCs w:val="24"/>
              </w:rPr>
              <w:t xml:space="preserve"> OR </w:t>
            </w:r>
            <w:r w:rsidRPr="008C12CE">
              <w:rPr>
                <w:rFonts w:asciiTheme="majorBidi" w:hAnsiTheme="majorBidi" w:cstheme="majorBidi"/>
                <w:sz w:val="24"/>
                <w:szCs w:val="24"/>
              </w:rPr>
              <w:t xml:space="preserve">AB HTN OR AB </w:t>
            </w:r>
            <w:proofErr w:type="spellStart"/>
            <w:r w:rsidRPr="008C12CE">
              <w:rPr>
                <w:rFonts w:asciiTheme="majorBidi" w:hAnsiTheme="majorBidi" w:cstheme="majorBidi"/>
                <w:sz w:val="24"/>
                <w:szCs w:val="24"/>
              </w:rPr>
              <w:t>Hypertens</w:t>
            </w:r>
            <w:proofErr w:type="spellEnd"/>
            <w:r w:rsidRPr="008C12CE">
              <w:rPr>
                <w:rFonts w:asciiTheme="majorBidi" w:hAnsiTheme="majorBidi" w:cstheme="majorBidi"/>
                <w:sz w:val="24"/>
                <w:szCs w:val="24"/>
              </w:rPr>
              <w:t>* OR AB "high blood pressure" OR AB Systolic OR AB Diastolic OR AB blood pressure OR AB DBP OR AB SBP OR AB BP</w:t>
            </w:r>
            <w:r>
              <w:rPr>
                <w:rFonts w:asciiTheme="majorBidi" w:hAnsiTheme="majorBidi" w:cstheme="majorBidi"/>
                <w:sz w:val="24"/>
                <w:szCs w:val="24"/>
              </w:rPr>
              <w:t xml:space="preserve"> OR</w:t>
            </w:r>
            <w:r w:rsidRPr="00664327">
              <w:t xml:space="preserve"> </w:t>
            </w:r>
            <w:r w:rsidRPr="00664327">
              <w:rPr>
                <w:rFonts w:asciiTheme="majorBidi" w:hAnsiTheme="majorBidi" w:cstheme="majorBidi"/>
                <w:sz w:val="24"/>
                <w:szCs w:val="24"/>
              </w:rPr>
              <w:t xml:space="preserve">AB dyslipidemia OR AB hypercholesteremia OR AB hypercholesterolemia OR AB hyperlipidemia OR AB cholesterol OR AB Lipoprotein* OR AB </w:t>
            </w:r>
            <w:proofErr w:type="spellStart"/>
            <w:r w:rsidRPr="00664327">
              <w:rPr>
                <w:rFonts w:asciiTheme="majorBidi" w:hAnsiTheme="majorBidi" w:cstheme="majorBidi"/>
                <w:sz w:val="24"/>
                <w:szCs w:val="24"/>
              </w:rPr>
              <w:t>ldl</w:t>
            </w:r>
            <w:proofErr w:type="spellEnd"/>
            <w:r w:rsidRPr="00664327">
              <w:rPr>
                <w:rFonts w:asciiTheme="majorBidi" w:hAnsiTheme="majorBidi" w:cstheme="majorBidi"/>
                <w:sz w:val="24"/>
                <w:szCs w:val="24"/>
              </w:rPr>
              <w:t xml:space="preserve"> OR AB </w:t>
            </w:r>
            <w:proofErr w:type="spellStart"/>
            <w:r w:rsidRPr="00664327">
              <w:rPr>
                <w:rFonts w:asciiTheme="majorBidi" w:hAnsiTheme="majorBidi" w:cstheme="majorBidi"/>
                <w:sz w:val="24"/>
                <w:szCs w:val="24"/>
              </w:rPr>
              <w:t>ldl</w:t>
            </w:r>
            <w:proofErr w:type="spellEnd"/>
            <w:r w:rsidRPr="00664327">
              <w:rPr>
                <w:rFonts w:asciiTheme="majorBidi" w:hAnsiTheme="majorBidi" w:cstheme="majorBidi"/>
                <w:sz w:val="24"/>
                <w:szCs w:val="24"/>
              </w:rPr>
              <w:t xml:space="preserve"> cholesterol OR AB ( Triglyceride* OR Hypertriglyceridemia ) OR AB Lipid* OR AB HDL OR AB ( low density lipoprotein OR "Apolipoprotein B" OR "Apo-B" )</w:t>
            </w:r>
            <w:r>
              <w:rPr>
                <w:rFonts w:asciiTheme="majorBidi" w:hAnsiTheme="majorBidi" w:cstheme="majorBidi"/>
                <w:sz w:val="24"/>
                <w:szCs w:val="24"/>
              </w:rPr>
              <w:t xml:space="preserve"> AND </w:t>
            </w:r>
            <w:r w:rsidRPr="00024E3F">
              <w:rPr>
                <w:rFonts w:asciiTheme="majorBidi" w:hAnsiTheme="majorBidi" w:cstheme="majorBidi"/>
                <w:sz w:val="24"/>
                <w:szCs w:val="24"/>
              </w:rPr>
              <w:t>AB "Patients compliance" OR AB "Patient compliance" OR AB "Medication adherence" OR AB "Patient nonadherence" OR AB "patients non-adherence" OR AB Persistence OR AB "Patient constancy" OR AB Adherence OR AB concordance OR AB Compliance OR AB "Patient noncompliance" OR AB "Medication nonadherence" </w:t>
            </w:r>
            <w:r>
              <w:rPr>
                <w:rFonts w:asciiTheme="majorBidi" w:hAnsiTheme="majorBidi" w:cstheme="majorBidi"/>
                <w:sz w:val="24"/>
                <w:szCs w:val="24"/>
              </w:rPr>
              <w:t xml:space="preserve">OR </w:t>
            </w:r>
            <w:r w:rsidRPr="00557D3D">
              <w:rPr>
                <w:rFonts w:asciiTheme="majorBidi" w:hAnsiTheme="majorBidi" w:cstheme="majorBidi"/>
                <w:sz w:val="24"/>
                <w:szCs w:val="24"/>
              </w:rPr>
              <w:t xml:space="preserve">AB "Guideline adherence" OR AB "Guideline compliance" OR AB "Guideline implementation" OR AB "Underutilization evidence-based therapies" OR AB "Guideline nonadherence" OR AB "guideline directed medical therapy" OR AB </w:t>
            </w:r>
            <w:r>
              <w:rPr>
                <w:rFonts w:asciiTheme="majorBidi" w:hAnsiTheme="majorBidi" w:cstheme="majorBidi"/>
                <w:sz w:val="24"/>
                <w:szCs w:val="24"/>
              </w:rPr>
              <w:t xml:space="preserve">GDMT OR </w:t>
            </w:r>
            <w:r w:rsidRPr="008137A5">
              <w:rPr>
                <w:rFonts w:asciiTheme="majorBidi" w:hAnsiTheme="majorBidi" w:cstheme="majorBidi"/>
                <w:sz w:val="24"/>
                <w:szCs w:val="24"/>
              </w:rPr>
              <w:t>AB "Target*achieve*" OR AB "Goal*achieve*" OR AB "Goal*attain*" OR AB "Therapeutic goal"</w:t>
            </w:r>
            <w:r w:rsidRPr="008137A5">
              <w:rPr>
                <w:rFonts w:asciiTheme="majorBidi" w:hAnsiTheme="majorBidi" w:cstheme="majorBidi"/>
                <w:b/>
                <w:bCs/>
                <w:sz w:val="24"/>
                <w:szCs w:val="24"/>
              </w:rPr>
              <w:t> </w:t>
            </w:r>
            <w:r>
              <w:rPr>
                <w:rFonts w:asciiTheme="majorBidi" w:hAnsiTheme="majorBidi" w:cstheme="majorBidi"/>
                <w:sz w:val="24"/>
                <w:szCs w:val="24"/>
              </w:rPr>
              <w:t>AND</w:t>
            </w:r>
            <w:r>
              <w:rPr>
                <w:rFonts w:asciiTheme="majorBidi" w:hAnsiTheme="majorBidi" w:cstheme="majorBidi"/>
                <w:b/>
                <w:bCs/>
                <w:sz w:val="24"/>
                <w:szCs w:val="24"/>
              </w:rPr>
              <w:t xml:space="preserve"> </w:t>
            </w:r>
            <w:r>
              <w:rPr>
                <w:rFonts w:asciiTheme="majorBidi" w:hAnsiTheme="majorBidi" w:cstheme="majorBidi"/>
                <w:sz w:val="24"/>
                <w:szCs w:val="24"/>
              </w:rPr>
              <w:t xml:space="preserve"> </w:t>
            </w:r>
            <w:r w:rsidRPr="00B8280F">
              <w:rPr>
                <w:rFonts w:asciiTheme="majorBidi" w:hAnsiTheme="majorBidi" w:cstheme="majorBidi"/>
                <w:sz w:val="24"/>
                <w:szCs w:val="24"/>
              </w:rPr>
              <w:t xml:space="preserve">AB </w:t>
            </w:r>
            <w:proofErr w:type="spellStart"/>
            <w:r w:rsidRPr="00B8280F">
              <w:rPr>
                <w:rFonts w:asciiTheme="majorBidi" w:hAnsiTheme="majorBidi" w:cstheme="majorBidi"/>
                <w:sz w:val="24"/>
                <w:szCs w:val="24"/>
              </w:rPr>
              <w:t>ireland</w:t>
            </w:r>
            <w:proofErr w:type="spellEnd"/>
            <w:r w:rsidRPr="00B8280F">
              <w:rPr>
                <w:rFonts w:asciiTheme="majorBidi" w:hAnsiTheme="majorBidi" w:cstheme="majorBidi"/>
                <w:sz w:val="24"/>
                <w:szCs w:val="24"/>
              </w:rPr>
              <w:t xml:space="preserve"> OR AB </w:t>
            </w:r>
            <w:proofErr w:type="spellStart"/>
            <w:r w:rsidRPr="00B8280F">
              <w:rPr>
                <w:rFonts w:asciiTheme="majorBidi" w:hAnsiTheme="majorBidi" w:cstheme="majorBidi"/>
                <w:sz w:val="24"/>
                <w:szCs w:val="24"/>
              </w:rPr>
              <w:t>irish</w:t>
            </w:r>
            <w:proofErr w:type="spellEnd"/>
            <w:r w:rsidRPr="00B8280F">
              <w:rPr>
                <w:rFonts w:asciiTheme="majorBidi" w:hAnsiTheme="majorBidi" w:cstheme="majorBidi"/>
                <w:sz w:val="24"/>
                <w:szCs w:val="24"/>
              </w:rPr>
              <w:t xml:space="preserve"> OR AB republic of </w:t>
            </w:r>
            <w:proofErr w:type="spellStart"/>
            <w:r w:rsidRPr="00B8280F">
              <w:rPr>
                <w:rFonts w:asciiTheme="majorBidi" w:hAnsiTheme="majorBidi" w:cstheme="majorBidi"/>
                <w:sz w:val="24"/>
                <w:szCs w:val="24"/>
              </w:rPr>
              <w:t>ireland</w:t>
            </w:r>
            <w:proofErr w:type="spellEnd"/>
            <w:r w:rsidRPr="00B8280F">
              <w:rPr>
                <w:rFonts w:asciiTheme="majorBidi" w:hAnsiTheme="majorBidi" w:cstheme="majorBidi"/>
                <w:sz w:val="24"/>
                <w:szCs w:val="24"/>
              </w:rPr>
              <w:t xml:space="preserve"> OR AB northern </w:t>
            </w:r>
            <w:proofErr w:type="spellStart"/>
            <w:r w:rsidRPr="00B8280F">
              <w:rPr>
                <w:rFonts w:asciiTheme="majorBidi" w:hAnsiTheme="majorBidi" w:cstheme="majorBidi"/>
                <w:sz w:val="24"/>
                <w:szCs w:val="24"/>
              </w:rPr>
              <w:t>ireland</w:t>
            </w:r>
            <w:proofErr w:type="spellEnd"/>
            <w:r w:rsidRPr="00B8280F">
              <w:rPr>
                <w:rFonts w:asciiTheme="majorBidi" w:hAnsiTheme="majorBidi" w:cstheme="majorBidi"/>
                <w:sz w:val="24"/>
                <w:szCs w:val="24"/>
              </w:rPr>
              <w:t> </w:t>
            </w:r>
            <w:r>
              <w:rPr>
                <w:rFonts w:asciiTheme="majorBidi" w:hAnsiTheme="majorBidi" w:cstheme="majorBidi"/>
                <w:sz w:val="24"/>
                <w:szCs w:val="24"/>
              </w:rPr>
              <w:t xml:space="preserve">OR </w:t>
            </w:r>
            <w:r w:rsidRPr="00BC0DDE">
              <w:rPr>
                <w:rFonts w:asciiTheme="majorBidi" w:hAnsiTheme="majorBidi" w:cstheme="majorBidi"/>
                <w:sz w:val="24"/>
                <w:szCs w:val="24"/>
              </w:rPr>
              <w:t xml:space="preserve">AF </w:t>
            </w:r>
            <w:proofErr w:type="spellStart"/>
            <w:r w:rsidRPr="00BC0DDE">
              <w:rPr>
                <w:rFonts w:asciiTheme="majorBidi" w:hAnsiTheme="majorBidi" w:cstheme="majorBidi"/>
                <w:sz w:val="24"/>
                <w:szCs w:val="24"/>
              </w:rPr>
              <w:t>ireland</w:t>
            </w:r>
            <w:proofErr w:type="spellEnd"/>
            <w:r w:rsidRPr="00BC0DDE">
              <w:rPr>
                <w:rFonts w:asciiTheme="majorBidi" w:hAnsiTheme="majorBidi" w:cstheme="majorBidi"/>
                <w:sz w:val="24"/>
                <w:szCs w:val="24"/>
              </w:rPr>
              <w:t xml:space="preserve"> OR AF </w:t>
            </w:r>
            <w:proofErr w:type="spellStart"/>
            <w:r w:rsidRPr="00BC0DDE">
              <w:rPr>
                <w:rFonts w:asciiTheme="majorBidi" w:hAnsiTheme="majorBidi" w:cstheme="majorBidi"/>
                <w:sz w:val="24"/>
                <w:szCs w:val="24"/>
              </w:rPr>
              <w:t>irish</w:t>
            </w:r>
            <w:proofErr w:type="spellEnd"/>
            <w:r w:rsidRPr="00BC0DDE">
              <w:rPr>
                <w:rFonts w:asciiTheme="majorBidi" w:hAnsiTheme="majorBidi" w:cstheme="majorBidi"/>
                <w:sz w:val="24"/>
                <w:szCs w:val="24"/>
              </w:rPr>
              <w:t xml:space="preserve"> OR AF republic of </w:t>
            </w:r>
            <w:proofErr w:type="spellStart"/>
            <w:r w:rsidRPr="00BC0DDE">
              <w:rPr>
                <w:rFonts w:asciiTheme="majorBidi" w:hAnsiTheme="majorBidi" w:cstheme="majorBidi"/>
                <w:sz w:val="24"/>
                <w:szCs w:val="24"/>
              </w:rPr>
              <w:t>ireland</w:t>
            </w:r>
            <w:proofErr w:type="spellEnd"/>
            <w:r w:rsidRPr="00BC0DDE">
              <w:rPr>
                <w:rFonts w:asciiTheme="majorBidi" w:hAnsiTheme="majorBidi" w:cstheme="majorBidi"/>
                <w:sz w:val="24"/>
                <w:szCs w:val="24"/>
              </w:rPr>
              <w:t xml:space="preserve"> OR AF northern </w:t>
            </w:r>
            <w:proofErr w:type="spellStart"/>
            <w:r w:rsidRPr="00BC0DDE">
              <w:rPr>
                <w:rFonts w:asciiTheme="majorBidi" w:hAnsiTheme="majorBidi" w:cstheme="majorBidi"/>
                <w:sz w:val="24"/>
                <w:szCs w:val="24"/>
              </w:rPr>
              <w:t>ireland</w:t>
            </w:r>
            <w:proofErr w:type="spellEnd"/>
            <w:r w:rsidRPr="00BC0DDE">
              <w:rPr>
                <w:rFonts w:asciiTheme="majorBidi" w:hAnsiTheme="majorBidi" w:cstheme="majorBidi"/>
                <w:sz w:val="24"/>
                <w:szCs w:val="24"/>
              </w:rPr>
              <w:t> </w:t>
            </w:r>
          </w:p>
        </w:tc>
      </w:tr>
      <w:tr w:rsidR="00065752" w14:paraId="5418800F" w14:textId="77777777" w:rsidTr="00F53AAF">
        <w:tc>
          <w:tcPr>
            <w:tcW w:w="1800" w:type="dxa"/>
          </w:tcPr>
          <w:p w14:paraId="04CB11B9" w14:textId="1E3280C9" w:rsidR="00065752" w:rsidRDefault="00F53AAF" w:rsidP="00100AAE">
            <w:pPr>
              <w:rPr>
                <w:rFonts w:asciiTheme="majorBidi" w:hAnsiTheme="majorBidi" w:cstheme="majorBidi"/>
                <w:sz w:val="24"/>
                <w:szCs w:val="24"/>
              </w:rPr>
            </w:pPr>
            <w:r>
              <w:rPr>
                <w:rFonts w:asciiTheme="majorBidi" w:hAnsiTheme="majorBidi" w:cstheme="majorBidi"/>
                <w:sz w:val="24"/>
                <w:szCs w:val="24"/>
              </w:rPr>
              <w:t>Web of Science</w:t>
            </w:r>
          </w:p>
        </w:tc>
        <w:tc>
          <w:tcPr>
            <w:tcW w:w="9090" w:type="dxa"/>
          </w:tcPr>
          <w:p w14:paraId="55EEE20E" w14:textId="77777777" w:rsidR="00F53AAF" w:rsidRPr="00991998" w:rsidRDefault="00F53AAF" w:rsidP="00F53AAF">
            <w:pPr>
              <w:spacing w:line="276" w:lineRule="auto"/>
              <w:jc w:val="both"/>
              <w:rPr>
                <w:rFonts w:asciiTheme="majorBidi" w:hAnsiTheme="majorBidi" w:cstheme="majorBidi"/>
                <w:sz w:val="24"/>
                <w:szCs w:val="24"/>
              </w:rPr>
            </w:pPr>
            <w:r w:rsidRPr="00991998">
              <w:rPr>
                <w:rFonts w:asciiTheme="majorBidi" w:hAnsiTheme="majorBidi" w:cstheme="majorBidi"/>
                <w:sz w:val="24"/>
                <w:szCs w:val="24"/>
              </w:rPr>
              <w:t>TS=(“Cardiovascular disease*” OR “Heart disease*” OR “Cerebrovascular disease*” OR</w:t>
            </w:r>
            <w:r>
              <w:rPr>
                <w:rFonts w:asciiTheme="majorBidi" w:hAnsiTheme="majorBidi" w:cstheme="majorBidi"/>
                <w:sz w:val="24"/>
                <w:szCs w:val="24"/>
              </w:rPr>
              <w:t xml:space="preserve"> </w:t>
            </w:r>
            <w:r w:rsidRPr="00991998">
              <w:rPr>
                <w:rFonts w:asciiTheme="majorBidi" w:hAnsiTheme="majorBidi" w:cstheme="majorBidi"/>
                <w:sz w:val="24"/>
                <w:szCs w:val="24"/>
              </w:rPr>
              <w:t>“Cerebrovascular disorder*”OR “Coronary heart disease”</w:t>
            </w:r>
            <w:r>
              <w:rPr>
                <w:rFonts w:asciiTheme="majorBidi" w:hAnsiTheme="majorBidi" w:cstheme="majorBidi"/>
                <w:sz w:val="24"/>
                <w:szCs w:val="24"/>
              </w:rPr>
              <w:t xml:space="preserve"> </w:t>
            </w:r>
            <w:r w:rsidRPr="00991998">
              <w:rPr>
                <w:rFonts w:asciiTheme="majorBidi" w:hAnsiTheme="majorBidi" w:cstheme="majorBidi"/>
                <w:sz w:val="24"/>
                <w:szCs w:val="24"/>
              </w:rPr>
              <w:t>OR “Coronary artery disease”</w:t>
            </w:r>
            <w:r>
              <w:rPr>
                <w:rFonts w:asciiTheme="majorBidi" w:hAnsiTheme="majorBidi" w:cstheme="majorBidi"/>
                <w:sz w:val="24"/>
                <w:szCs w:val="24"/>
              </w:rPr>
              <w:t xml:space="preserve"> </w:t>
            </w:r>
            <w:r w:rsidRPr="00991998">
              <w:rPr>
                <w:rFonts w:asciiTheme="majorBidi" w:hAnsiTheme="majorBidi" w:cstheme="majorBidi"/>
                <w:sz w:val="24"/>
                <w:szCs w:val="24"/>
              </w:rPr>
              <w:t>OR “Ischemic heart disease” OR “CAD” OR “CVD” OR “CHD” OR“IHD”OR “Stroke”</w:t>
            </w:r>
            <w:r>
              <w:rPr>
                <w:rFonts w:asciiTheme="majorBidi" w:hAnsiTheme="majorBidi" w:cstheme="majorBidi"/>
                <w:sz w:val="24"/>
                <w:szCs w:val="24"/>
              </w:rPr>
              <w:t xml:space="preserve"> </w:t>
            </w:r>
            <w:r w:rsidRPr="00991998">
              <w:rPr>
                <w:rFonts w:asciiTheme="majorBidi" w:hAnsiTheme="majorBidi" w:cstheme="majorBidi"/>
                <w:sz w:val="24"/>
                <w:szCs w:val="24"/>
              </w:rPr>
              <w:t>OR “Atherosclerosis”) OR TS=(“HTN”OR “</w:t>
            </w:r>
            <w:proofErr w:type="spellStart"/>
            <w:r w:rsidRPr="00991998">
              <w:rPr>
                <w:rFonts w:asciiTheme="majorBidi" w:hAnsiTheme="majorBidi" w:cstheme="majorBidi"/>
                <w:sz w:val="24"/>
                <w:szCs w:val="24"/>
              </w:rPr>
              <w:t>Hypertens</w:t>
            </w:r>
            <w:proofErr w:type="spellEnd"/>
            <w:r w:rsidRPr="00991998">
              <w:rPr>
                <w:rFonts w:asciiTheme="majorBidi" w:hAnsiTheme="majorBidi" w:cstheme="majorBidi"/>
                <w:sz w:val="24"/>
                <w:szCs w:val="24"/>
              </w:rPr>
              <w:t>*” OR</w:t>
            </w:r>
            <w:r>
              <w:rPr>
                <w:rFonts w:asciiTheme="majorBidi" w:hAnsiTheme="majorBidi" w:cstheme="majorBidi"/>
                <w:sz w:val="24"/>
                <w:szCs w:val="24"/>
              </w:rPr>
              <w:t xml:space="preserve"> </w:t>
            </w:r>
            <w:r w:rsidRPr="00991998">
              <w:rPr>
                <w:rFonts w:asciiTheme="majorBidi" w:hAnsiTheme="majorBidi" w:cstheme="majorBidi"/>
                <w:sz w:val="24"/>
                <w:szCs w:val="24"/>
              </w:rPr>
              <w:t xml:space="preserve">“High blood </w:t>
            </w:r>
            <w:proofErr w:type="spellStart"/>
            <w:r w:rsidRPr="00991998">
              <w:rPr>
                <w:rFonts w:asciiTheme="majorBidi" w:hAnsiTheme="majorBidi" w:cstheme="majorBidi"/>
                <w:sz w:val="24"/>
                <w:szCs w:val="24"/>
              </w:rPr>
              <w:t>pressure”OR</w:t>
            </w:r>
            <w:proofErr w:type="spellEnd"/>
            <w:r w:rsidRPr="00991998">
              <w:rPr>
                <w:rFonts w:asciiTheme="majorBidi" w:hAnsiTheme="majorBidi" w:cstheme="majorBidi"/>
                <w:sz w:val="24"/>
                <w:szCs w:val="24"/>
              </w:rPr>
              <w:t xml:space="preserve"> “</w:t>
            </w:r>
            <w:proofErr w:type="spellStart"/>
            <w:r w:rsidRPr="00991998">
              <w:rPr>
                <w:rFonts w:asciiTheme="majorBidi" w:hAnsiTheme="majorBidi" w:cstheme="majorBidi"/>
                <w:sz w:val="24"/>
                <w:szCs w:val="24"/>
              </w:rPr>
              <w:t>Systolic”OR</w:t>
            </w:r>
            <w:proofErr w:type="spellEnd"/>
            <w:r w:rsidRPr="00991998">
              <w:rPr>
                <w:rFonts w:asciiTheme="majorBidi" w:hAnsiTheme="majorBidi" w:cstheme="majorBidi"/>
                <w:sz w:val="24"/>
                <w:szCs w:val="24"/>
              </w:rPr>
              <w:t xml:space="preserve"> “Blood pressure” OR “DBP”OR “SBP” OR “BP” OR “Diastolic”) OR TS=(“Dyslipidemia*” OR “Hypercholesteremia” OR “Hypercholesterolemia” OR “Hyperlipidemia” OR “Cholesterol” OR “Lipoprotein*” OR “LDL” OR “</w:t>
            </w:r>
            <w:proofErr w:type="spellStart"/>
            <w:r w:rsidRPr="00991998">
              <w:rPr>
                <w:rFonts w:asciiTheme="majorBidi" w:hAnsiTheme="majorBidi" w:cstheme="majorBidi"/>
                <w:sz w:val="24"/>
                <w:szCs w:val="24"/>
              </w:rPr>
              <w:t>ldl</w:t>
            </w:r>
            <w:proofErr w:type="spellEnd"/>
            <w:r w:rsidRPr="00991998">
              <w:rPr>
                <w:rFonts w:asciiTheme="majorBidi" w:hAnsiTheme="majorBidi" w:cstheme="majorBidi"/>
                <w:sz w:val="24"/>
                <w:szCs w:val="24"/>
              </w:rPr>
              <w:t>-cholesterol” OR “Triglyceride*” OR “Lipid*” OR “HDL” “Low density lipoprotein” OR “Hypertriglyceridemia” OR “apolipoprotein B”OR “Apo-B” ) AND ((TS=("Patients Compliance" OR “Patient Compliance” OR “Medication adherence” OR “Patient nonadherence” OR “patients non-adherence” OR “Persistence” OR “Patient constancy” “Adherence” OR “Concordance” OR “compliance” OR “Patient noncompliance” OR “Medication nonadherence”)) OR TS=(“Guideline adherence” OR “Guideline compliance” OR “Guideline implementation” OR “Underutilization evidence-based therapies” OR “Guideline nonadherence” “Guideline directed medical therapies” OR “GDMT”)) OR TS=(“Target*achieve*”OR “Goal*achieve*” “Target* attain*”OR “Goal* attain*” OR “Therapeutic goal”) AND TS=(“Ireland” OR “Republic of Ireland” OR “Irish” OR “Northern Ireland”)</w:t>
            </w:r>
          </w:p>
          <w:p w14:paraId="7D73873F" w14:textId="77777777" w:rsidR="00065752" w:rsidRDefault="00065752" w:rsidP="00100AAE">
            <w:pPr>
              <w:rPr>
                <w:rFonts w:asciiTheme="majorBidi" w:hAnsiTheme="majorBidi" w:cstheme="majorBidi"/>
                <w:sz w:val="24"/>
                <w:szCs w:val="24"/>
              </w:rPr>
            </w:pPr>
          </w:p>
        </w:tc>
      </w:tr>
      <w:tr w:rsidR="003D27CA" w14:paraId="05D274BB" w14:textId="77777777" w:rsidTr="00D1603D">
        <w:trPr>
          <w:trHeight w:val="5647"/>
        </w:trPr>
        <w:tc>
          <w:tcPr>
            <w:tcW w:w="1800" w:type="dxa"/>
          </w:tcPr>
          <w:p w14:paraId="5C715664" w14:textId="2A166AEB" w:rsidR="003D27CA" w:rsidRDefault="003D27CA" w:rsidP="00100AAE">
            <w:pPr>
              <w:rPr>
                <w:rFonts w:asciiTheme="majorBidi" w:hAnsiTheme="majorBidi" w:cstheme="majorBidi"/>
                <w:sz w:val="24"/>
                <w:szCs w:val="24"/>
              </w:rPr>
            </w:pPr>
            <w:r>
              <w:rPr>
                <w:rFonts w:asciiTheme="majorBidi" w:hAnsiTheme="majorBidi" w:cstheme="majorBidi"/>
                <w:sz w:val="24"/>
                <w:szCs w:val="24"/>
              </w:rPr>
              <w:lastRenderedPageBreak/>
              <w:t xml:space="preserve">Embase </w:t>
            </w:r>
          </w:p>
        </w:tc>
        <w:tc>
          <w:tcPr>
            <w:tcW w:w="9090" w:type="dxa"/>
          </w:tcPr>
          <w:p w14:paraId="75D4DCE2" w14:textId="4D0C79E9" w:rsidR="003D27CA" w:rsidRDefault="003D27CA" w:rsidP="00E95AD7">
            <w:r w:rsidRPr="00A8651C">
              <w:t>('cardiovascular disease*':</w:t>
            </w:r>
            <w:proofErr w:type="spellStart"/>
            <w:r w:rsidRPr="00A8651C">
              <w:t>ti,ab,kw</w:t>
            </w:r>
            <w:proofErr w:type="spellEnd"/>
            <w:r w:rsidRPr="00A8651C">
              <w:t xml:space="preserve"> OR 'heart disease*':</w:t>
            </w:r>
            <w:proofErr w:type="spellStart"/>
            <w:r w:rsidRPr="00A8651C">
              <w:t>ab,ti</w:t>
            </w:r>
            <w:proofErr w:type="spellEnd"/>
            <w:r w:rsidRPr="00A8651C">
              <w:t xml:space="preserve"> OR 'cerebrovascular disease*':</w:t>
            </w:r>
            <w:proofErr w:type="spellStart"/>
            <w:r w:rsidRPr="00A8651C">
              <w:t>ab,ti</w:t>
            </w:r>
            <w:proofErr w:type="spellEnd"/>
            <w:r w:rsidRPr="00A8651C">
              <w:t xml:space="preserve"> OR 'cerebrovascular disorder':</w:t>
            </w:r>
            <w:proofErr w:type="spellStart"/>
            <w:r w:rsidRPr="00A8651C">
              <w:t>ab,ti</w:t>
            </w:r>
            <w:proofErr w:type="spellEnd"/>
            <w:r w:rsidRPr="00A8651C">
              <w:t xml:space="preserve"> OR 'coronary heart disease':</w:t>
            </w:r>
            <w:proofErr w:type="spellStart"/>
            <w:r w:rsidRPr="00A8651C">
              <w:t>ab,ti</w:t>
            </w:r>
            <w:proofErr w:type="spellEnd"/>
            <w:r w:rsidRPr="00A8651C">
              <w:t xml:space="preserve"> OR 'coronary artery disease':</w:t>
            </w:r>
            <w:proofErr w:type="spellStart"/>
            <w:r w:rsidRPr="00A8651C">
              <w:t>ab,ti</w:t>
            </w:r>
            <w:proofErr w:type="spellEnd"/>
            <w:r w:rsidRPr="00A8651C">
              <w:t xml:space="preserve"> OR 'ischemic heart disease':</w:t>
            </w:r>
            <w:proofErr w:type="spellStart"/>
            <w:r w:rsidRPr="00A8651C">
              <w:t>ab,ti</w:t>
            </w:r>
            <w:proofErr w:type="spellEnd"/>
            <w:r w:rsidRPr="00A8651C">
              <w:t xml:space="preserve"> OR </w:t>
            </w:r>
            <w:proofErr w:type="spellStart"/>
            <w:r w:rsidRPr="00A8651C">
              <w:t>cad:ab,ti</w:t>
            </w:r>
            <w:proofErr w:type="spellEnd"/>
            <w:r w:rsidRPr="00A8651C">
              <w:t xml:space="preserve"> OR </w:t>
            </w:r>
            <w:proofErr w:type="spellStart"/>
            <w:r w:rsidRPr="00A8651C">
              <w:t>cvd:ab,ti</w:t>
            </w:r>
            <w:proofErr w:type="spellEnd"/>
            <w:r w:rsidRPr="00A8651C">
              <w:t xml:space="preserve"> OR </w:t>
            </w:r>
            <w:proofErr w:type="spellStart"/>
            <w:r w:rsidRPr="00A8651C">
              <w:t>chd:ab,ti</w:t>
            </w:r>
            <w:proofErr w:type="spellEnd"/>
            <w:r w:rsidRPr="00A8651C">
              <w:t xml:space="preserve"> OR </w:t>
            </w:r>
            <w:proofErr w:type="spellStart"/>
            <w:r w:rsidRPr="00A8651C">
              <w:t>ihd:ab,ti</w:t>
            </w:r>
            <w:proofErr w:type="spellEnd"/>
            <w:r w:rsidRPr="00A8651C">
              <w:t xml:space="preserve"> OR </w:t>
            </w:r>
            <w:proofErr w:type="spellStart"/>
            <w:r w:rsidRPr="00A8651C">
              <w:t>stroke:ab,ti</w:t>
            </w:r>
            <w:proofErr w:type="spellEnd"/>
            <w:r w:rsidRPr="00A8651C">
              <w:t xml:space="preserve"> OR </w:t>
            </w:r>
            <w:proofErr w:type="spellStart"/>
            <w:r w:rsidRPr="00A8651C">
              <w:t>atherosclerosis:ab,ti</w:t>
            </w:r>
            <w:proofErr w:type="spellEnd"/>
            <w:r w:rsidRPr="00A8651C">
              <w:t xml:space="preserve"> OR </w:t>
            </w:r>
            <w:proofErr w:type="spellStart"/>
            <w:r w:rsidRPr="00A8651C">
              <w:t>htn</w:t>
            </w:r>
            <w:proofErr w:type="spellEnd"/>
            <w:r w:rsidRPr="00A8651C">
              <w:t xml:space="preserve"> OR </w:t>
            </w:r>
            <w:proofErr w:type="spellStart"/>
            <w:r w:rsidRPr="00A8651C">
              <w:t>hypertens</w:t>
            </w:r>
            <w:proofErr w:type="spellEnd"/>
            <w:r w:rsidRPr="00A8651C">
              <w:t>*:</w:t>
            </w:r>
            <w:proofErr w:type="spellStart"/>
            <w:r w:rsidRPr="00A8651C">
              <w:t>ab,ti</w:t>
            </w:r>
            <w:proofErr w:type="spellEnd"/>
            <w:r w:rsidRPr="00A8651C">
              <w:t xml:space="preserve"> OR 'high blood pressure':</w:t>
            </w:r>
            <w:proofErr w:type="spellStart"/>
            <w:r w:rsidRPr="00A8651C">
              <w:t>ab,ti</w:t>
            </w:r>
            <w:proofErr w:type="spellEnd"/>
            <w:r w:rsidRPr="00A8651C">
              <w:t xml:space="preserve"> OR </w:t>
            </w:r>
            <w:proofErr w:type="spellStart"/>
            <w:r w:rsidRPr="00A8651C">
              <w:t>systolic:ab,ti</w:t>
            </w:r>
            <w:proofErr w:type="spellEnd"/>
            <w:r w:rsidRPr="00A8651C">
              <w:t xml:space="preserve"> OR 'blood pressure':</w:t>
            </w:r>
            <w:proofErr w:type="spellStart"/>
            <w:r w:rsidRPr="00A8651C">
              <w:t>ab,ti</w:t>
            </w:r>
            <w:proofErr w:type="spellEnd"/>
            <w:r w:rsidRPr="00A8651C">
              <w:t xml:space="preserve"> OR </w:t>
            </w:r>
            <w:proofErr w:type="spellStart"/>
            <w:r w:rsidRPr="00A8651C">
              <w:t>dbp:ab,ti</w:t>
            </w:r>
            <w:proofErr w:type="spellEnd"/>
            <w:r w:rsidRPr="00A8651C">
              <w:t xml:space="preserve"> OR </w:t>
            </w:r>
            <w:proofErr w:type="spellStart"/>
            <w:r w:rsidRPr="00A8651C">
              <w:t>sbp:ab,ti</w:t>
            </w:r>
            <w:proofErr w:type="spellEnd"/>
            <w:r w:rsidRPr="00A8651C">
              <w:t xml:space="preserve"> OR </w:t>
            </w:r>
            <w:proofErr w:type="spellStart"/>
            <w:r w:rsidRPr="00A8651C">
              <w:t>bp:ab,ti</w:t>
            </w:r>
            <w:proofErr w:type="spellEnd"/>
            <w:r w:rsidRPr="00A8651C">
              <w:t xml:space="preserve"> OR </w:t>
            </w:r>
            <w:proofErr w:type="spellStart"/>
            <w:r w:rsidRPr="00A8651C">
              <w:t>diastolic:ab,ti</w:t>
            </w:r>
            <w:proofErr w:type="spellEnd"/>
            <w:r w:rsidRPr="00A8651C">
              <w:t xml:space="preserve"> OR dyslipidemia*:</w:t>
            </w:r>
            <w:proofErr w:type="spellStart"/>
            <w:r w:rsidRPr="00A8651C">
              <w:t>ab,ti</w:t>
            </w:r>
            <w:proofErr w:type="spellEnd"/>
            <w:r w:rsidRPr="00A8651C">
              <w:t xml:space="preserve"> OR </w:t>
            </w:r>
            <w:proofErr w:type="spellStart"/>
            <w:r w:rsidRPr="00A8651C">
              <w:t>hypercholesterolemia:ab,ti</w:t>
            </w:r>
            <w:proofErr w:type="spellEnd"/>
            <w:r w:rsidRPr="00A8651C">
              <w:t xml:space="preserve"> OR </w:t>
            </w:r>
            <w:proofErr w:type="spellStart"/>
            <w:r w:rsidRPr="00A8651C">
              <w:t>hypercholesteremia:ab,ti</w:t>
            </w:r>
            <w:proofErr w:type="spellEnd"/>
            <w:r w:rsidRPr="00A8651C">
              <w:t xml:space="preserve"> OR </w:t>
            </w:r>
            <w:proofErr w:type="spellStart"/>
            <w:r w:rsidRPr="00A8651C">
              <w:t>hyperlipidemia:ab,ti</w:t>
            </w:r>
            <w:proofErr w:type="spellEnd"/>
            <w:r w:rsidRPr="00A8651C">
              <w:t xml:space="preserve"> OR </w:t>
            </w:r>
            <w:proofErr w:type="spellStart"/>
            <w:r w:rsidRPr="00A8651C">
              <w:t>cholesterol:ab,ti</w:t>
            </w:r>
            <w:proofErr w:type="spellEnd"/>
            <w:r w:rsidRPr="00A8651C">
              <w:t xml:space="preserve"> OR lipoprotein*:</w:t>
            </w:r>
            <w:proofErr w:type="spellStart"/>
            <w:r w:rsidRPr="00A8651C">
              <w:t>ab,ti</w:t>
            </w:r>
            <w:proofErr w:type="spellEnd"/>
            <w:r w:rsidRPr="00A8651C">
              <w:t xml:space="preserve"> OR </w:t>
            </w:r>
            <w:proofErr w:type="spellStart"/>
            <w:r w:rsidRPr="00A8651C">
              <w:t>ldl:ab,ti</w:t>
            </w:r>
            <w:proofErr w:type="spellEnd"/>
            <w:r w:rsidRPr="00A8651C">
              <w:t xml:space="preserve"> OR 'low density lipoprotein':</w:t>
            </w:r>
            <w:proofErr w:type="spellStart"/>
            <w:r w:rsidRPr="00A8651C">
              <w:t>ab,ti</w:t>
            </w:r>
            <w:proofErr w:type="spellEnd"/>
            <w:r w:rsidRPr="00A8651C">
              <w:t xml:space="preserve"> OR </w:t>
            </w:r>
            <w:proofErr w:type="spellStart"/>
            <w:r w:rsidRPr="00A8651C">
              <w:t>hypertriglyceridemia:ab,ti</w:t>
            </w:r>
            <w:proofErr w:type="spellEnd"/>
            <w:r w:rsidRPr="00A8651C">
              <w:t xml:space="preserve"> OR 'apolipoprotein b':</w:t>
            </w:r>
            <w:proofErr w:type="spellStart"/>
            <w:r w:rsidRPr="00A8651C">
              <w:t>ab,ti</w:t>
            </w:r>
            <w:proofErr w:type="spellEnd"/>
            <w:r w:rsidRPr="00A8651C">
              <w:t xml:space="preserve"> OR 'apo-b':</w:t>
            </w:r>
            <w:proofErr w:type="spellStart"/>
            <w:r w:rsidRPr="00A8651C">
              <w:t>ab,ti</w:t>
            </w:r>
            <w:proofErr w:type="spellEnd"/>
            <w:r w:rsidRPr="00A8651C">
              <w:t xml:space="preserve"> OR '</w:t>
            </w:r>
            <w:proofErr w:type="spellStart"/>
            <w:r w:rsidRPr="00A8651C">
              <w:t>ldl</w:t>
            </w:r>
            <w:proofErr w:type="spellEnd"/>
            <w:r w:rsidRPr="00A8651C">
              <w:t>-cholesterol':</w:t>
            </w:r>
            <w:proofErr w:type="spellStart"/>
            <w:r w:rsidRPr="00A8651C">
              <w:t>ab,ti</w:t>
            </w:r>
            <w:proofErr w:type="spellEnd"/>
            <w:r w:rsidRPr="00A8651C">
              <w:t xml:space="preserve"> OR triglyceride*:</w:t>
            </w:r>
            <w:proofErr w:type="spellStart"/>
            <w:r w:rsidRPr="00A8651C">
              <w:t>ab,ti</w:t>
            </w:r>
            <w:proofErr w:type="spellEnd"/>
            <w:r w:rsidRPr="00A8651C">
              <w:t xml:space="preserve"> OR lipid*:</w:t>
            </w:r>
            <w:proofErr w:type="spellStart"/>
            <w:r w:rsidRPr="00A8651C">
              <w:t>ab,ti</w:t>
            </w:r>
            <w:proofErr w:type="spellEnd"/>
            <w:r w:rsidRPr="00A8651C">
              <w:t xml:space="preserve"> OR </w:t>
            </w:r>
            <w:proofErr w:type="spellStart"/>
            <w:r w:rsidRPr="00A8651C">
              <w:t>hdl:ab,ti</w:t>
            </w:r>
            <w:proofErr w:type="spellEnd"/>
            <w:r w:rsidRPr="00A8651C">
              <w:t>) AND ('patients compliance':</w:t>
            </w:r>
            <w:proofErr w:type="spellStart"/>
            <w:r w:rsidRPr="00A8651C">
              <w:t>ab,ti</w:t>
            </w:r>
            <w:proofErr w:type="spellEnd"/>
            <w:r w:rsidRPr="00A8651C">
              <w:t xml:space="preserve"> OR 'patient compliance':</w:t>
            </w:r>
            <w:proofErr w:type="spellStart"/>
            <w:r w:rsidRPr="00A8651C">
              <w:t>ab,ti</w:t>
            </w:r>
            <w:proofErr w:type="spellEnd"/>
            <w:r w:rsidRPr="00A8651C">
              <w:t xml:space="preserve"> OR 'medication adherence':</w:t>
            </w:r>
            <w:proofErr w:type="spellStart"/>
            <w:r w:rsidRPr="00A8651C">
              <w:t>ab,ti</w:t>
            </w:r>
            <w:proofErr w:type="spellEnd"/>
            <w:r w:rsidRPr="00A8651C">
              <w:t xml:space="preserve"> OR 'patient nonadherence':</w:t>
            </w:r>
            <w:proofErr w:type="spellStart"/>
            <w:r w:rsidRPr="00A8651C">
              <w:t>ab,ti</w:t>
            </w:r>
            <w:proofErr w:type="spellEnd"/>
            <w:r w:rsidRPr="00A8651C">
              <w:t xml:space="preserve"> OR 'patients non-adherence':</w:t>
            </w:r>
            <w:proofErr w:type="spellStart"/>
            <w:r w:rsidRPr="00A8651C">
              <w:t>ab,ti</w:t>
            </w:r>
            <w:proofErr w:type="spellEnd"/>
            <w:r w:rsidRPr="00A8651C">
              <w:t xml:space="preserve"> OR </w:t>
            </w:r>
            <w:proofErr w:type="spellStart"/>
            <w:r w:rsidRPr="00A8651C">
              <w:t>persistence:ab,ti</w:t>
            </w:r>
            <w:proofErr w:type="spellEnd"/>
            <w:r w:rsidRPr="00A8651C">
              <w:t xml:space="preserve"> OR 'patient constancy':</w:t>
            </w:r>
            <w:proofErr w:type="spellStart"/>
            <w:r w:rsidRPr="00A8651C">
              <w:t>ab,ti</w:t>
            </w:r>
            <w:proofErr w:type="spellEnd"/>
            <w:r w:rsidRPr="00A8651C">
              <w:t xml:space="preserve"> OR </w:t>
            </w:r>
            <w:proofErr w:type="spellStart"/>
            <w:r w:rsidRPr="00A8651C">
              <w:t>adherence:ab,ti</w:t>
            </w:r>
            <w:proofErr w:type="spellEnd"/>
            <w:r w:rsidRPr="00A8651C">
              <w:t xml:space="preserve"> OR </w:t>
            </w:r>
            <w:proofErr w:type="spellStart"/>
            <w:r w:rsidRPr="00A8651C">
              <w:t>concordance:ab,ti</w:t>
            </w:r>
            <w:proofErr w:type="spellEnd"/>
            <w:r w:rsidRPr="00A8651C">
              <w:t xml:space="preserve"> OR </w:t>
            </w:r>
            <w:proofErr w:type="spellStart"/>
            <w:r w:rsidRPr="00A8651C">
              <w:t>compliance:ab,ti</w:t>
            </w:r>
            <w:proofErr w:type="spellEnd"/>
            <w:r w:rsidRPr="00A8651C">
              <w:t xml:space="preserve"> OR 'patient noncompliance':</w:t>
            </w:r>
            <w:proofErr w:type="spellStart"/>
            <w:r w:rsidRPr="00A8651C">
              <w:t>ab,ti</w:t>
            </w:r>
            <w:proofErr w:type="spellEnd"/>
            <w:r w:rsidRPr="00A8651C">
              <w:t xml:space="preserve"> OR 'medication nonadherence':</w:t>
            </w:r>
            <w:proofErr w:type="spellStart"/>
            <w:r w:rsidRPr="00A8651C">
              <w:t>ab,ti</w:t>
            </w:r>
            <w:proofErr w:type="spellEnd"/>
            <w:r w:rsidRPr="00A8651C">
              <w:t xml:space="preserve"> OR 'guideline adherence':</w:t>
            </w:r>
            <w:proofErr w:type="spellStart"/>
            <w:r w:rsidRPr="00A8651C">
              <w:t>ab,ti</w:t>
            </w:r>
            <w:proofErr w:type="spellEnd"/>
            <w:r w:rsidRPr="00A8651C">
              <w:t xml:space="preserve"> OR 'guideline compliance':</w:t>
            </w:r>
            <w:proofErr w:type="spellStart"/>
            <w:r w:rsidRPr="00A8651C">
              <w:t>ab,ti</w:t>
            </w:r>
            <w:proofErr w:type="spellEnd"/>
            <w:r w:rsidRPr="00A8651C">
              <w:t xml:space="preserve"> OR 'guideline implementation':</w:t>
            </w:r>
            <w:proofErr w:type="spellStart"/>
            <w:r w:rsidRPr="00A8651C">
              <w:t>ab,ti</w:t>
            </w:r>
            <w:proofErr w:type="spellEnd"/>
            <w:r w:rsidRPr="00A8651C">
              <w:t xml:space="preserve"> OR 'underutilization evidence-based therapies':</w:t>
            </w:r>
            <w:proofErr w:type="spellStart"/>
            <w:r w:rsidRPr="00A8651C">
              <w:t>ab,ti</w:t>
            </w:r>
            <w:proofErr w:type="spellEnd"/>
            <w:r w:rsidRPr="00A8651C">
              <w:t xml:space="preserve"> OR 'guideline nonadherence':</w:t>
            </w:r>
            <w:proofErr w:type="spellStart"/>
            <w:r w:rsidRPr="00A8651C">
              <w:t>ab,ti</w:t>
            </w:r>
            <w:proofErr w:type="spellEnd"/>
            <w:r w:rsidRPr="00A8651C">
              <w:t xml:space="preserve"> OR 'guideline directed medical therapies':</w:t>
            </w:r>
            <w:proofErr w:type="spellStart"/>
            <w:r w:rsidRPr="00A8651C">
              <w:t>ab,ti</w:t>
            </w:r>
            <w:proofErr w:type="spellEnd"/>
            <w:r w:rsidRPr="00A8651C">
              <w:t xml:space="preserve"> OR </w:t>
            </w:r>
            <w:proofErr w:type="spellStart"/>
            <w:r w:rsidRPr="00A8651C">
              <w:t>gdmt:ab,ti</w:t>
            </w:r>
            <w:proofErr w:type="spellEnd"/>
            <w:r w:rsidRPr="00A8651C">
              <w:t xml:space="preserve"> OR 'target* achieve*':</w:t>
            </w:r>
            <w:proofErr w:type="spellStart"/>
            <w:r w:rsidRPr="00A8651C">
              <w:t>ti,ab,kw</w:t>
            </w:r>
            <w:proofErr w:type="spellEnd"/>
            <w:r w:rsidRPr="00A8651C">
              <w:t xml:space="preserve"> OR 'target* attain*':</w:t>
            </w:r>
            <w:proofErr w:type="spellStart"/>
            <w:r w:rsidRPr="00A8651C">
              <w:t>ti,ab,kw</w:t>
            </w:r>
            <w:proofErr w:type="spellEnd"/>
            <w:r w:rsidRPr="00A8651C">
              <w:t xml:space="preserve"> OR 'goal* achieve*':</w:t>
            </w:r>
            <w:proofErr w:type="spellStart"/>
            <w:r w:rsidRPr="00A8651C">
              <w:t>ti,ab,kw</w:t>
            </w:r>
            <w:proofErr w:type="spellEnd"/>
            <w:r w:rsidRPr="00A8651C">
              <w:t xml:space="preserve"> OR 'goal* attain*':</w:t>
            </w:r>
            <w:proofErr w:type="spellStart"/>
            <w:r w:rsidRPr="00A8651C">
              <w:t>ti,ab,kw</w:t>
            </w:r>
            <w:proofErr w:type="spellEnd"/>
            <w:r w:rsidRPr="00A8651C">
              <w:t xml:space="preserve"> OR 'therapeutic goal*':</w:t>
            </w:r>
            <w:proofErr w:type="spellStart"/>
            <w:r w:rsidRPr="00A8651C">
              <w:t>ti,ab,kw</w:t>
            </w:r>
            <w:proofErr w:type="spellEnd"/>
            <w:r w:rsidRPr="00A8651C">
              <w:t>) AND (</w:t>
            </w:r>
            <w:proofErr w:type="spellStart"/>
            <w:r w:rsidRPr="00A8651C">
              <w:t>ireland:ab,ti</w:t>
            </w:r>
            <w:proofErr w:type="spellEnd"/>
            <w:r w:rsidRPr="00A8651C">
              <w:t xml:space="preserve"> OR 'republic of </w:t>
            </w:r>
            <w:proofErr w:type="spellStart"/>
            <w:r w:rsidRPr="00A8651C">
              <w:t>ireland</w:t>
            </w:r>
            <w:proofErr w:type="spellEnd"/>
            <w:r w:rsidRPr="00A8651C">
              <w:t>':</w:t>
            </w:r>
            <w:proofErr w:type="spellStart"/>
            <w:r w:rsidRPr="00A8651C">
              <w:t>ab,ti</w:t>
            </w:r>
            <w:proofErr w:type="spellEnd"/>
            <w:r w:rsidRPr="00A8651C">
              <w:t xml:space="preserve"> OR </w:t>
            </w:r>
            <w:proofErr w:type="spellStart"/>
            <w:r w:rsidRPr="00A8651C">
              <w:t>irish:ab,ti</w:t>
            </w:r>
            <w:proofErr w:type="spellEnd"/>
            <w:r w:rsidRPr="00A8651C">
              <w:t xml:space="preserve"> OR 'northern </w:t>
            </w:r>
            <w:proofErr w:type="spellStart"/>
            <w:r w:rsidRPr="00A8651C">
              <w:t>ireland</w:t>
            </w:r>
            <w:proofErr w:type="spellEnd"/>
            <w:r w:rsidRPr="00A8651C">
              <w:t>':</w:t>
            </w:r>
            <w:proofErr w:type="spellStart"/>
            <w:r w:rsidRPr="00A8651C">
              <w:t>ab,ti</w:t>
            </w:r>
            <w:proofErr w:type="spellEnd"/>
            <w:r>
              <w:t xml:space="preserve"> OR </w:t>
            </w:r>
            <w:proofErr w:type="spellStart"/>
            <w:r w:rsidRPr="00256D3B">
              <w:t>ireland:ff</w:t>
            </w:r>
            <w:proofErr w:type="spellEnd"/>
            <w:r w:rsidRPr="00256D3B">
              <w:t xml:space="preserve"> OR 'republic of </w:t>
            </w:r>
            <w:proofErr w:type="spellStart"/>
            <w:r w:rsidRPr="00256D3B">
              <w:t>ireland</w:t>
            </w:r>
            <w:proofErr w:type="spellEnd"/>
            <w:r w:rsidRPr="00256D3B">
              <w:t xml:space="preserve">':ff OR </w:t>
            </w:r>
            <w:proofErr w:type="spellStart"/>
            <w:r w:rsidRPr="00256D3B">
              <w:t>irish:ff</w:t>
            </w:r>
            <w:proofErr w:type="spellEnd"/>
            <w:r w:rsidRPr="00256D3B">
              <w:t xml:space="preserve"> OR 'northern </w:t>
            </w:r>
            <w:proofErr w:type="spellStart"/>
            <w:r w:rsidRPr="00256D3B">
              <w:t>ireland</w:t>
            </w:r>
            <w:proofErr w:type="spellEnd"/>
            <w:r w:rsidRPr="00256D3B">
              <w:t>':ff</w:t>
            </w:r>
            <w:r w:rsidRPr="00A8651C">
              <w:t>)</w:t>
            </w:r>
          </w:p>
          <w:p w14:paraId="030C3178" w14:textId="77777777" w:rsidR="003D27CA" w:rsidRDefault="003D27CA" w:rsidP="00100AAE">
            <w:pPr>
              <w:rPr>
                <w:rFonts w:asciiTheme="majorBidi" w:hAnsiTheme="majorBidi" w:cstheme="majorBidi"/>
                <w:sz w:val="24"/>
                <w:szCs w:val="24"/>
              </w:rPr>
            </w:pPr>
          </w:p>
        </w:tc>
      </w:tr>
    </w:tbl>
    <w:p w14:paraId="3D0C08F8" w14:textId="77777777" w:rsidR="00100AAE" w:rsidRPr="00524541" w:rsidRDefault="00100AAE" w:rsidP="00100AAE">
      <w:pPr>
        <w:rPr>
          <w:rFonts w:asciiTheme="majorBidi" w:hAnsiTheme="majorBidi" w:cstheme="majorBidi"/>
          <w:sz w:val="24"/>
          <w:szCs w:val="24"/>
        </w:rPr>
      </w:pPr>
    </w:p>
    <w:p w14:paraId="5DABDDB3" w14:textId="77777777" w:rsidR="00065752" w:rsidRDefault="00065752" w:rsidP="00100AAE">
      <w:pPr>
        <w:rPr>
          <w:rFonts w:asciiTheme="majorBidi" w:hAnsiTheme="majorBidi" w:cstheme="majorBidi"/>
          <w:b/>
          <w:bCs/>
          <w:sz w:val="24"/>
          <w:szCs w:val="24"/>
        </w:rPr>
      </w:pPr>
    </w:p>
    <w:p w14:paraId="3118CAB4" w14:textId="77777777" w:rsidR="00065752" w:rsidRPr="00524541" w:rsidRDefault="00065752" w:rsidP="00100AAE">
      <w:pPr>
        <w:rPr>
          <w:rFonts w:asciiTheme="majorBidi" w:hAnsiTheme="majorBidi" w:cstheme="majorBidi"/>
          <w:b/>
          <w:bCs/>
          <w:sz w:val="24"/>
          <w:szCs w:val="24"/>
        </w:rPr>
      </w:pPr>
    </w:p>
    <w:p w14:paraId="688B5BEE" w14:textId="77777777" w:rsidR="00234FA5" w:rsidRPr="00524541" w:rsidRDefault="00234FA5">
      <w:pPr>
        <w:rPr>
          <w:rFonts w:asciiTheme="majorBidi" w:hAnsiTheme="majorBidi" w:cstheme="majorBidi"/>
          <w:sz w:val="24"/>
          <w:szCs w:val="24"/>
        </w:rPr>
      </w:pPr>
    </w:p>
    <w:p w14:paraId="3FE48E98" w14:textId="77777777" w:rsidR="00760F0D" w:rsidRPr="00524541" w:rsidRDefault="00760F0D">
      <w:pPr>
        <w:rPr>
          <w:rFonts w:asciiTheme="majorBidi" w:hAnsiTheme="majorBidi" w:cstheme="majorBidi"/>
          <w:sz w:val="24"/>
          <w:szCs w:val="24"/>
        </w:rPr>
      </w:pPr>
    </w:p>
    <w:p w14:paraId="39D5C419" w14:textId="77777777" w:rsidR="00760F0D" w:rsidRPr="00524541" w:rsidRDefault="00760F0D">
      <w:pPr>
        <w:rPr>
          <w:rFonts w:asciiTheme="majorBidi" w:hAnsiTheme="majorBidi" w:cstheme="majorBidi"/>
          <w:sz w:val="24"/>
          <w:szCs w:val="24"/>
        </w:rPr>
      </w:pPr>
    </w:p>
    <w:p w14:paraId="5BF67B0E" w14:textId="77777777" w:rsidR="00760F0D" w:rsidRPr="00524541" w:rsidRDefault="00760F0D">
      <w:pPr>
        <w:rPr>
          <w:rFonts w:asciiTheme="majorBidi" w:hAnsiTheme="majorBidi" w:cstheme="majorBidi"/>
          <w:sz w:val="24"/>
          <w:szCs w:val="24"/>
        </w:rPr>
      </w:pPr>
    </w:p>
    <w:p w14:paraId="19CBB3AD" w14:textId="77777777" w:rsidR="00760F0D" w:rsidRPr="00524541" w:rsidRDefault="00760F0D">
      <w:pPr>
        <w:rPr>
          <w:rFonts w:asciiTheme="majorBidi" w:hAnsiTheme="majorBidi" w:cstheme="majorBidi"/>
          <w:sz w:val="24"/>
          <w:szCs w:val="24"/>
        </w:rPr>
      </w:pPr>
    </w:p>
    <w:p w14:paraId="1B0F66A2" w14:textId="77777777" w:rsidR="0071389E" w:rsidRPr="00524541" w:rsidRDefault="0071389E">
      <w:pPr>
        <w:rPr>
          <w:rFonts w:asciiTheme="majorBidi" w:hAnsiTheme="majorBidi" w:cstheme="majorBidi"/>
          <w:sz w:val="18"/>
          <w:szCs w:val="18"/>
        </w:rPr>
        <w:sectPr w:rsidR="0071389E" w:rsidRPr="00524541" w:rsidSect="00100AAE">
          <w:pgSz w:w="12240" w:h="15840"/>
          <w:pgMar w:top="1440" w:right="1440" w:bottom="1440" w:left="1440" w:header="720" w:footer="720" w:gutter="0"/>
          <w:cols w:space="720"/>
          <w:docGrid w:linePitch="360"/>
        </w:sectPr>
      </w:pPr>
    </w:p>
    <w:p w14:paraId="6393149F" w14:textId="77777777" w:rsidR="0071389E" w:rsidRPr="00524541" w:rsidRDefault="0071389E" w:rsidP="0071389E">
      <w:pPr>
        <w:pStyle w:val="Header"/>
        <w:rPr>
          <w:rFonts w:asciiTheme="majorBidi" w:eastAsia="Calibri" w:hAnsiTheme="majorBidi" w:cstheme="majorBidi"/>
          <w:b/>
          <w:bCs/>
          <w:color w:val="000000"/>
          <w:sz w:val="24"/>
          <w:szCs w:val="24"/>
          <w:shd w:val="clear" w:color="auto" w:fill="FFFFFF"/>
        </w:rPr>
      </w:pPr>
      <w:r w:rsidRPr="00524541">
        <w:rPr>
          <w:rFonts w:asciiTheme="majorBidi" w:eastAsia="Calibri" w:hAnsiTheme="majorBidi" w:cstheme="majorBidi"/>
          <w:b/>
          <w:bCs/>
          <w:color w:val="000000"/>
          <w:sz w:val="24"/>
          <w:szCs w:val="24"/>
          <w:shd w:val="clear" w:color="auto" w:fill="FFFFFF"/>
        </w:rPr>
        <w:lastRenderedPageBreak/>
        <w:t>Supplementary Table 2:  The National Heart, Lung, and Blood Institute Quality Assessment Tool for Observational Cohort and Cross-sectional Studies</w:t>
      </w:r>
    </w:p>
    <w:p w14:paraId="1C8B121F" w14:textId="77777777" w:rsidR="0071389E" w:rsidRPr="00524541" w:rsidRDefault="0071389E" w:rsidP="0071389E">
      <w:pPr>
        <w:pStyle w:val="Header"/>
        <w:rPr>
          <w:rFonts w:asciiTheme="majorBidi" w:hAnsiTheme="majorBidi" w:cstheme="majorBidi"/>
          <w:sz w:val="18"/>
          <w:szCs w:val="18"/>
        </w:rPr>
      </w:pPr>
    </w:p>
    <w:p w14:paraId="7E9FB2CE" w14:textId="77777777" w:rsidR="00760F0D" w:rsidRPr="00524541" w:rsidRDefault="00760F0D">
      <w:pPr>
        <w:rPr>
          <w:rFonts w:asciiTheme="majorBidi" w:hAnsiTheme="majorBidi" w:cstheme="majorBidi"/>
          <w:sz w:val="18"/>
          <w:szCs w:val="18"/>
        </w:rPr>
      </w:pPr>
    </w:p>
    <w:p w14:paraId="1CCB379F" w14:textId="77777777" w:rsidR="00760F0D" w:rsidRPr="00524541" w:rsidRDefault="00760F0D">
      <w:pPr>
        <w:rPr>
          <w:rFonts w:asciiTheme="majorBidi" w:hAnsiTheme="majorBidi" w:cstheme="majorBidi"/>
          <w:sz w:val="18"/>
          <w:szCs w:val="18"/>
        </w:rPr>
      </w:pPr>
    </w:p>
    <w:tbl>
      <w:tblPr>
        <w:tblStyle w:val="TableGrid"/>
        <w:tblW w:w="15300" w:type="dxa"/>
        <w:tblInd w:w="-1265" w:type="dxa"/>
        <w:tblLayout w:type="fixed"/>
        <w:tblLook w:val="04A0" w:firstRow="1" w:lastRow="0" w:firstColumn="1" w:lastColumn="0" w:noHBand="0" w:noVBand="1"/>
      </w:tblPr>
      <w:tblGrid>
        <w:gridCol w:w="1024"/>
        <w:gridCol w:w="1035"/>
        <w:gridCol w:w="1121"/>
        <w:gridCol w:w="1208"/>
        <w:gridCol w:w="1208"/>
        <w:gridCol w:w="1121"/>
        <w:gridCol w:w="949"/>
        <w:gridCol w:w="776"/>
        <w:gridCol w:w="1035"/>
        <w:gridCol w:w="949"/>
        <w:gridCol w:w="690"/>
        <w:gridCol w:w="776"/>
        <w:gridCol w:w="690"/>
        <w:gridCol w:w="690"/>
        <w:gridCol w:w="1121"/>
        <w:gridCol w:w="907"/>
      </w:tblGrid>
      <w:tr w:rsidR="00760F0D" w:rsidRPr="00524541" w14:paraId="7288E224" w14:textId="77777777" w:rsidTr="00CF1876">
        <w:trPr>
          <w:trHeight w:val="628"/>
          <w:tblHeader/>
        </w:trPr>
        <w:tc>
          <w:tcPr>
            <w:tcW w:w="1024" w:type="dxa"/>
          </w:tcPr>
          <w:p w14:paraId="09EFBC9A"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 xml:space="preserve">Study </w:t>
            </w:r>
          </w:p>
        </w:tc>
        <w:tc>
          <w:tcPr>
            <w:tcW w:w="1035" w:type="dxa"/>
          </w:tcPr>
          <w:p w14:paraId="4D231CA3"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w:t>
            </w:r>
          </w:p>
        </w:tc>
        <w:tc>
          <w:tcPr>
            <w:tcW w:w="1121" w:type="dxa"/>
          </w:tcPr>
          <w:p w14:paraId="570E7800"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2</w:t>
            </w:r>
          </w:p>
        </w:tc>
        <w:tc>
          <w:tcPr>
            <w:tcW w:w="1208" w:type="dxa"/>
          </w:tcPr>
          <w:p w14:paraId="611E6938"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3</w:t>
            </w:r>
          </w:p>
        </w:tc>
        <w:tc>
          <w:tcPr>
            <w:tcW w:w="1208" w:type="dxa"/>
          </w:tcPr>
          <w:p w14:paraId="66B785A6"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4</w:t>
            </w:r>
          </w:p>
        </w:tc>
        <w:tc>
          <w:tcPr>
            <w:tcW w:w="1121" w:type="dxa"/>
          </w:tcPr>
          <w:p w14:paraId="298F1842"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5</w:t>
            </w:r>
          </w:p>
        </w:tc>
        <w:tc>
          <w:tcPr>
            <w:tcW w:w="949" w:type="dxa"/>
          </w:tcPr>
          <w:p w14:paraId="71A2657A"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6</w:t>
            </w:r>
          </w:p>
        </w:tc>
        <w:tc>
          <w:tcPr>
            <w:tcW w:w="776" w:type="dxa"/>
          </w:tcPr>
          <w:p w14:paraId="7E1C00CA"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7</w:t>
            </w:r>
          </w:p>
        </w:tc>
        <w:tc>
          <w:tcPr>
            <w:tcW w:w="1035" w:type="dxa"/>
          </w:tcPr>
          <w:p w14:paraId="13572ECF"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8</w:t>
            </w:r>
          </w:p>
        </w:tc>
        <w:tc>
          <w:tcPr>
            <w:tcW w:w="949" w:type="dxa"/>
          </w:tcPr>
          <w:p w14:paraId="12AB848F"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9</w:t>
            </w:r>
          </w:p>
        </w:tc>
        <w:tc>
          <w:tcPr>
            <w:tcW w:w="690" w:type="dxa"/>
          </w:tcPr>
          <w:p w14:paraId="59090EC1"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10</w:t>
            </w:r>
          </w:p>
        </w:tc>
        <w:tc>
          <w:tcPr>
            <w:tcW w:w="776" w:type="dxa"/>
          </w:tcPr>
          <w:p w14:paraId="4B87F3C7"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11</w:t>
            </w:r>
          </w:p>
        </w:tc>
        <w:tc>
          <w:tcPr>
            <w:tcW w:w="690" w:type="dxa"/>
          </w:tcPr>
          <w:p w14:paraId="39A00830"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12</w:t>
            </w:r>
          </w:p>
        </w:tc>
        <w:tc>
          <w:tcPr>
            <w:tcW w:w="690" w:type="dxa"/>
          </w:tcPr>
          <w:p w14:paraId="4B66ECAF"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13</w:t>
            </w:r>
          </w:p>
        </w:tc>
        <w:tc>
          <w:tcPr>
            <w:tcW w:w="1121" w:type="dxa"/>
          </w:tcPr>
          <w:p w14:paraId="4692C7D8"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14</w:t>
            </w:r>
          </w:p>
        </w:tc>
        <w:tc>
          <w:tcPr>
            <w:tcW w:w="907" w:type="dxa"/>
          </w:tcPr>
          <w:p w14:paraId="0809943F" w14:textId="77777777" w:rsidR="00760F0D" w:rsidRPr="00524541" w:rsidRDefault="00760F0D" w:rsidP="00CF1876">
            <w:pPr>
              <w:spacing w:after="160" w:line="259" w:lineRule="auto"/>
              <w:rPr>
                <w:rFonts w:asciiTheme="majorBidi" w:hAnsiTheme="majorBidi" w:cstheme="majorBidi"/>
                <w:b/>
                <w:bCs/>
                <w:sz w:val="18"/>
                <w:szCs w:val="18"/>
              </w:rPr>
            </w:pPr>
            <w:r w:rsidRPr="00524541">
              <w:rPr>
                <w:rFonts w:asciiTheme="majorBidi" w:hAnsiTheme="majorBidi" w:cstheme="majorBidi"/>
                <w:b/>
                <w:bCs/>
                <w:sz w:val="18"/>
                <w:szCs w:val="18"/>
              </w:rPr>
              <w:t>Quality Rating</w:t>
            </w:r>
          </w:p>
        </w:tc>
      </w:tr>
      <w:tr w:rsidR="00760F0D" w:rsidRPr="00524541" w14:paraId="6B55B8B7" w14:textId="77777777" w:rsidTr="00CF1876">
        <w:trPr>
          <w:trHeight w:val="475"/>
        </w:trPr>
        <w:tc>
          <w:tcPr>
            <w:tcW w:w="1024" w:type="dxa"/>
          </w:tcPr>
          <w:p w14:paraId="0858743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The Davinci,2022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{"citationID":"2k2xEAA7","properties":{"formattedCitation":"(1)","plainCitation":"(1)","noteIndex":0},"citationItems":[{"id":442,"uris":["http://zotero.org/users/11013403/items/WV9WSP7A"],"itemData":{"id":442,"type":"article-journal","abstract":"BACKGROUND: The EU-wide, cross-sectional observational study of lipid-lowering therapy (LLT) use in secondary and primary care (DA VINCI) assessed the  proportion of patients achieving low-density lipoprotein cholesterol (LDL-C)  goals recommended by the European Society of Cardiology (ESC)/European  Atherosclerosis Society (EAS) guidelines and provided an insight into regional  use of LLT in Europe, including Ireland. AIMS: This analysis focuses on data from  patients in Ireland who participated in the DA VINCI study. METHODS: The DA VINCI  study enrolled patients receiving LLT at primary and secondary care sites across  18 European countries between June 2017 and November 2018. The study assessed the  achievement of risk-based 2016 and 2019 ESC/EAS LDL-C goals. This subgroup  analysis aimed to evaluate LDL-C goal attainment in an Irish cohort of primary  and secondary care patients. RESULTS: In total, 198 patients from Ireland were  enrolled from three primary care and three secondary care centres. Most patients  were White and male, and were receiving moderate- or high-intensity statin  therapy (most frequently atorvastatin or rosuvastatin). Few patients (&lt; 10%) were  receiving combination therapy of statin and ezetimibe. Approximately 60% of  patients achieved their 2016 ESC/EAC LDL-C goals while less than half the  patients achieved their 2019 ESC/EAS goals. Approximately half of secondary  prevention patients achieved their 2016 ESC/EAS goals and only 20% of secondary  prevention patients achieved their 2019 ESC/EAS goals. CONCLUSIONS: These results  highlight the disparity between dyslipidaemia management in clinical practice in  Ireland and guideline recommendations. TRIAL REGISTRATION: ENCePP; EU PAS 22,075;  date registered 06 February 2018.","container-title":"Irish journal of medical science","DOI":"10.1007/s11845-022-03050-6","ISSN":"1863-4362 0021-1265","journalAbbreviation":"Ir J Med Sci","language":"eng","license":"© 2022. The Author(s).","note":"publisher-place: Ireland\nPMID: 35776266","title":"The DA VINCI study: is Ireland achieving ESC/EAS guideline-directed LDL-C goals?","URL":"https://www.scopus.com/inward/record.uri?eid=2-s2.0-85133257089&amp;doi=10.1007%2fs11845-022-03050-6&amp;partnerID=40&amp;md5=66d49f0377acba1c047ce56ac51294cc","author":[{"family":"Offiah","given":"Gregory"},{"family":"O'Connor","given":"Cormac"},{"family":"Kennedy","given":"Cormac"},{"family":"Gallagher","given":"Joe"},{"family":"O'Connor","given":"Patricia"},{"family":"McAdam","given":"Brendan"},{"family":"Ray","given":"Kausik K."},{"family":"Schoonen","given":"Marieke"},{"family":"Maher","given":"Vincent"}],"issued":{"date-parts":[["2022",7,1]]}}}],"schema":"https://github.com/citation-style-language/schema/raw/master/csl-citation.json"}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w:t>
            </w:r>
            <w:r w:rsidRPr="00524541">
              <w:rPr>
                <w:rFonts w:asciiTheme="majorBidi" w:hAnsiTheme="majorBidi" w:cstheme="majorBidi"/>
                <w:sz w:val="18"/>
                <w:szCs w:val="18"/>
              </w:rPr>
              <w:fldChar w:fldCharType="end"/>
            </w:r>
          </w:p>
        </w:tc>
        <w:tc>
          <w:tcPr>
            <w:tcW w:w="1035" w:type="dxa"/>
          </w:tcPr>
          <w:p w14:paraId="446E520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74E4C7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71D803E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0719FE1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0B34D3E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04B1225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1A7E9DD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067A638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2049EA4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shd w:val="clear" w:color="auto" w:fill="auto"/>
          </w:tcPr>
          <w:p w14:paraId="4EAD2EE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64EE66C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28EAE0D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55BFDF6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3CE99F8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699A9BB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(9)</w:t>
            </w:r>
          </w:p>
        </w:tc>
      </w:tr>
      <w:tr w:rsidR="00760F0D" w:rsidRPr="00524541" w14:paraId="7C732FD2" w14:textId="77777777" w:rsidTr="00CF1876">
        <w:trPr>
          <w:trHeight w:val="448"/>
        </w:trPr>
        <w:tc>
          <w:tcPr>
            <w:tcW w:w="1024" w:type="dxa"/>
          </w:tcPr>
          <w:p w14:paraId="529C258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M. Dunne,2013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{"citationID":"1BaYi4hD","properties":{"formattedCitation":"(2)","plainCitation":"(2)","noteIndex":0},"citationItems":[{"id":698,"uris":["http://zotero.org/users/11013403/items/XHTHES8S"],"itemData":{"id":698,"type":"article-journal","abstract":"Introduction Optimal risk factor control is integral to managing patients with proven coronary heart disease (CHD+) and for those at risk of coronary heart disease (CHD-). The primary aim of the study was to assess the success rate of reaching lipid risk factor targets in a multiple risk factor clinic. Methods A retrospective audit was conducted in 488 patients (CHD+, n = 112; CHD-, n = 376) who attended the Cardiovascular Risk Factor Clinic at Tallaght Hospital, Dublin in 2009 and 2010. Results Risk factor targets achieved in CHD+ and CHD-patients were LDLc (54/62 %), HDLc (67/67 %), systolic blood pressure (35/38 %), diastolic blood pressure (82/75 %), smoking cessation (27/26 %), BMI ≤ 30 (39/ 50 %) and normal waist circumference (27/39 %). Patients not reaching LDLc targets were found to be receiving fewer lipid-lowering drugs and having higher LDL levels at the initial clinic visit than those reaching targets. Discussion This retrospective audit highlights gaps in achieving target lipid levels at a multiple risk factor clinic level. High initial LDLc levels and lack of drug titration are evident. Guideline changes, staff rotation, clinic visit frequency and multiplicity of targets may be contributory. More emphasis needs to be placed on education and algorithm-based strategies to achieve better risk factor control. © Royal Academy of Medicine in Ireland 2013.","archive":"Scopus","container-title":"Irish Journal of Medical Science","DOI":"10.1007/s11845-013-0954-6","issue":"4","note":"number: 4\npublisher: Springer London","page":"673-678","title":"Lipid targets in clinical practice: Successes, failures and lessons to be learned","volume":"182","author":[{"family":"Dunne","given":"M."},{"family":"Mac Ananey","given":"O."},{"family":"Markham","given":"C."},{"family":"Maher","given":"V."}],"issued":{"date-parts":[["2013"]]}}}],"schema":"https://github.com/citation-style-language/schema/raw/master/csl-citation.json"}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(2)</w:t>
            </w:r>
            <w:r w:rsidRPr="00524541">
              <w:rPr>
                <w:rFonts w:asciiTheme="majorBidi" w:hAnsiTheme="majorBidi" w:cstheme="majorBidi"/>
                <w:sz w:val="18"/>
                <w:szCs w:val="18"/>
              </w:rPr>
              <w:fldChar w:fldCharType="end"/>
            </w:r>
          </w:p>
        </w:tc>
        <w:tc>
          <w:tcPr>
            <w:tcW w:w="1035" w:type="dxa"/>
          </w:tcPr>
          <w:p w14:paraId="4B57F51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08637AA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B64608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1208" w:type="dxa"/>
          </w:tcPr>
          <w:p w14:paraId="04D9214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18DE2D4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1E7CEFF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3A0F90E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0236DF8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949" w:type="dxa"/>
          </w:tcPr>
          <w:p w14:paraId="0E29662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6540BD8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7FB419A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B499A5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11B3317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1121" w:type="dxa"/>
          </w:tcPr>
          <w:p w14:paraId="227D294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36A53F1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(8)</w:t>
            </w:r>
          </w:p>
        </w:tc>
      </w:tr>
      <w:tr w:rsidR="00760F0D" w:rsidRPr="00524541" w14:paraId="1C393164" w14:textId="77777777" w:rsidTr="00CF1876">
        <w:trPr>
          <w:trHeight w:val="243"/>
        </w:trPr>
        <w:tc>
          <w:tcPr>
            <w:tcW w:w="1024" w:type="dxa"/>
          </w:tcPr>
          <w:p w14:paraId="69FE87E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Peter Hayes, 2019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{"citationID":"rVCQkEPl","properties":{"formattedCitation":"(3)","plainCitation":"(3)","noteIndex":0},"citationItems":[{"id":592,"uris":["http://zotero.org/users/11013403/items/ZEYEJX93"],"itemData":{"id":592,"type":"article-journal","abstract":"BACKGROUND: Apparent treatment-resistant hypertension (aTRH) is defined as uncontrolled blood pressure (BP) in patients taking three or more  antihypertensive medications. Some patients will have true treatment-resistant  hypertension, some undiagnosed secondary hypertension, while others have  pseudo-resistance. Pseudo-resistance occurs when non-adherence to medication,  white-coat hypertension (WCH), lifestyle, and inadequate drug dosing are  responsible for the poorly controlled BP. AIM: To examine the feasibility of  establishing non-adherence to medication, for the first time in primary care,  using mass spectrometry urine analysis. Operationalisation would be established  by at least 50% of patients participating and 95% of samples being suitable for  analysis. Clinical importance would be confirmed by &gt;10% of patients being  non-adherent. DESIGN AND SETTING: Eligible patients with aTRH (n = 453) in 15  university research-affiliated Irish general practices were invited to  participate. METHOD: Participants underwent mass spectrometry urine analysis to  test adherence and ambulatory BP monitoring (ABPM) to examine WCH. RESULTS: Of  the eligible patients invited, 52% (n = 235) participated. All 235 urine samples  (100%) were suitable for analysis: 174 (74%) patients were fully adherent, 56  (24%) partially adherent, and five (2%) fully non-adherent to therapy. A total of  206 patients also had ABPM, and in total 92 (45%) were categorised as  pseudo-resistant. No significant associations were found between adherence status  and patient characteristics or drug class. CONCLUSION: In patients with aTRH, the  authors have established that it is feasible to examine non-adherence to  medications using mass spectrometry urine analysis. One in four patients were  found to be partially or fully non-adherent. Further research on how to  incorporate this approach into individual patient consultations and its  associated cost-effectiveness is now appropriate.","container-title":"The British journal of general practice : the journal of the Royal College of General Practitioners","DOI":"10.3399/bjgp19X705077","ISSN":"1478-5242 0960-1643","issue":"686","journalAbbreviation":"Br J Gen Pract","language":"eng","license":"© British Journal of General Practice 2019.","note":"number: 686\npublisher-place: England\nPMID: 31358495 \nPMCID: PMC6663096","page":"e621-e628","title":"Measuring adherence to therapy in apparent treatment-resistant hypertension: a feasibility study in Irish primary care.","volume":"69","author":[{"family":"Hayes","given":"Peter"},{"family":"Casey","given":"Monica"},{"family":"Glynn","given":"Liam G."},{"family":"Molloy","given":"Gerard J."},{"family":"Durand","given":"Hannah"},{"family":"O'Brien","given":"Eoin"},{"family":"Dolan","given":"Eamon"},{"family":"Das","given":"Kishor"},{"family":"Newell","given":"John"},{"family":"Finn","given":"David"},{"family":"Harhen","given":"Brendan"},{"family":"Conneely","given":"Ann"},{"family":"Murphy","given":"Andrew W."}],"issued":{"date-parts":[["2019",9]]}}}],"schema":"https://github.com/citation-style-language/schema/raw/master/csl-citation.json"}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(3)</w:t>
            </w:r>
            <w:r w:rsidRPr="00524541">
              <w:rPr>
                <w:rFonts w:asciiTheme="majorBidi" w:hAnsiTheme="majorBidi" w:cstheme="majorBidi"/>
                <w:sz w:val="18"/>
                <w:szCs w:val="18"/>
              </w:rPr>
              <w:fldChar w:fldCharType="end"/>
            </w:r>
          </w:p>
        </w:tc>
        <w:tc>
          <w:tcPr>
            <w:tcW w:w="1035" w:type="dxa"/>
          </w:tcPr>
          <w:p w14:paraId="64B038B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77D1DE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75F1C53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5727D10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D8BEC8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949" w:type="dxa"/>
          </w:tcPr>
          <w:p w14:paraId="6BFD430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E01D49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5745655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1C4EB02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11C7817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2DBE4A6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783A517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690" w:type="dxa"/>
          </w:tcPr>
          <w:p w14:paraId="705578C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1A07966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3021D01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(9)</w:t>
            </w:r>
          </w:p>
        </w:tc>
      </w:tr>
      <w:tr w:rsidR="00760F0D" w:rsidRPr="00524541" w14:paraId="03EF6E48" w14:textId="77777777" w:rsidTr="00CF1876">
        <w:trPr>
          <w:trHeight w:val="252"/>
        </w:trPr>
        <w:tc>
          <w:tcPr>
            <w:tcW w:w="1024" w:type="dxa"/>
          </w:tcPr>
          <w:p w14:paraId="592888C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Paul Dillon,2018</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{"citationID":"nzuXy0eo","properties":{"formattedCitation":"(4)","plainCitation":"(4)","noteIndex":0},"citationItems":[{"id":529,"uris":["http://zotero.org/users/11013403/items/SFV4NA4P"],"itemData":{"id":529,"type":"article-journal","abstract":"INTRODUCTION: Medication co-payments represent a financial barrier to antihypertensive medication adherence. The introduction of co-payments for Irish  publically insured patients was associated with a 5% reduction in adherence.  However there is socioeconomic variability within this population, and the impact  may be greater for those on lower income. We evaluated medication-related  financial burden of the co-payment in a cohort of Irish publically insured  antihypertensive users and tested its association with adherence at 12 months.  METHODS: This was a prospective cohort study of community dwelling older  (&gt; 65 yrs) adults (n = 1152) from 106 Irish community pharmacies. Participants  completed a structured telephone interview at baseline, and a follow-up interview  at 12-months, which we linked to pharmacy records. We assessed medication-related  financial burden at baseline using a single questionnaire item, and adherence at  12 months via questionnaire and refill-adherence as Proportion of Days Covered  (PDC). RESULTS: A third of participants (30.1%) reported financial burden due to  medication costs. In adjusted linear regression models financially burdened  participants had significantly lower self-reported adherence (β = - 0.29, 95% CI  -0.48 to - 0.11), although this was not evident with PDC (β = - 2.76, 95% CI  -5.65 to 0.14). CONCLUSION: This co-payment represents a financial barrier to  antihypertensive adherence for many older Irish publically insured patients. The  negative impact to adherence will potentially increase the risk of adverse  outcomes, such as stroke, and increase long-term healthcare costs.","container-title":"BMC public health","DOI":"10.1186/s12889-018-6209-8","ISSN":"1471-2458","issue":"1","journalAbbreviation":"BMC Public Health","language":"eng","note":"number: 1\npublisher-place: England\nPMID: 30458754 \nPMCID: PMC6247632","page":"1282","title":"Impact of financial burden, resulting from prescription co-payments, on antihypertensive medication adherence in an older publically insured population.","volume":"18","author":[{"family":"Dillon","given":"Paul"},{"family":"Smith","given":"Susan M."},{"family":"Gallagher","given":"Paul"},{"family":"Cousins","given":"Gráinne"}],"issued":{"date-parts":[["2018",11,20]]}}}],"schema":"https://github.com/citation-style-language/schema/raw/master/csl-citation.json"}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(4)</w:t>
            </w:r>
            <w:r w:rsidRPr="00524541">
              <w:rPr>
                <w:rFonts w:asciiTheme="majorBidi" w:hAnsiTheme="majorBidi" w:cstheme="majorBidi"/>
                <w:sz w:val="18"/>
                <w:szCs w:val="18"/>
              </w:rPr>
              <w:fldChar w:fldCharType="end"/>
            </w:r>
          </w:p>
        </w:tc>
        <w:tc>
          <w:tcPr>
            <w:tcW w:w="1035" w:type="dxa"/>
          </w:tcPr>
          <w:p w14:paraId="0314A7D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A76CF1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4AF4BC1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9DFC6E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08DF110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709DAD8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C163E3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2C5EF7F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525C7D8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1495F7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36E1336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787CB21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shd w:val="clear" w:color="auto" w:fill="auto"/>
          </w:tcPr>
          <w:p w14:paraId="62C9938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No </w:t>
            </w:r>
          </w:p>
        </w:tc>
        <w:tc>
          <w:tcPr>
            <w:tcW w:w="1121" w:type="dxa"/>
          </w:tcPr>
          <w:p w14:paraId="6A2E1E5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064E466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 (12)</w:t>
            </w:r>
          </w:p>
        </w:tc>
      </w:tr>
      <w:tr w:rsidR="00760F0D" w:rsidRPr="00524541" w14:paraId="44A00FFE" w14:textId="77777777" w:rsidTr="00CF1876">
        <w:trPr>
          <w:trHeight w:val="243"/>
        </w:trPr>
        <w:tc>
          <w:tcPr>
            <w:tcW w:w="1024" w:type="dxa"/>
          </w:tcPr>
          <w:p w14:paraId="13666E9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San Kim, 2017</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{"citationID":"5wS7bOlG","properties":{"formattedCitation":"(5)","plainCitation":"(5)","noteIndex":0},"citationItems":[{"id":447,"uris":["http://zotero.org/users/11013403/items/R37G9UIB"],"itemData":{"id":447,"type":"article-journal","abstract":"PURPOSE: Older people with several chronic conditions require multiple drugs from different classes to be adequately treated. This study aims to: (i) measure  medication adherence across multiple conditions and therapeutic drug groups in  older community-dwelling patients, and (ii) examine the effect of multimorbidity  on adherence. METHODS: This is a retrospective cohort study of medication  adherence in 855 community-dwelling patients aged ≥ 70 years from 15 practices in  Ireland using the Health Service Executive Primary Care Reimbursement Service  (HSE-PCRS) pharmacy claims database. Multimorbidity was measured using the  RxRisk-V and by the number of different drug classes. The RxRisk-V algorithm  classifies prescription drug fills into 45 chronic disease classes for older  populations based on the WHO Anatomical Therapeutic Chemical classification  system. Adherence to medications was assessed by: (i) calculating the average  medication possession ratio (MPR) per patient and (ii) an MPR&lt; 80%. RESULTS: The  overall median MPR for the cohort was 0.83 (IQR 0.69, 0.91). The conditions with  the highest MPRs were hypothyroidism (mean MPR = 0.88, SD = 0.20) and type 2  diabetes (mean MPR = 0.83, SD = 0.19), followed by heart disease. On average,  20-40% of patients were non-adherent (MPR &lt; 80%) across all conditions. There was  an inverted U-shaped relationship between the mean MPR and number of morbidities  and drug classes. Adherence varied per patients' morbidity burden, with higher  adherence for certain combinations of chronic conditions. CONCLUSION: In total,  31% of older patients with multimorbidity were non-adherent to their medication  but adherence levels varied across treatment categories and chronic conditions.","container-title":"European journal of clinical pharmacology","DOI":"10.1007/s00228-017-2388-y","ISSN":"1432-1041 0031-6970","issue":"3","journalAbbreviation":"Eur J Clin Pharmacol","language":"eng","note":"number: 3\npublisher-place: Germany\nPMID: 29199370","page":"357-364","title":"Measuring medication adherence in older community-dwelling patients with multimorbidity.","volume":"74","author":[{"family":"Kim","given":"San"},{"family":"Bennett","given":"Kathleen"},{"family":"Wallace","given":"Emma"},{"family":"Fahey","given":"Tom"},{"family":"Cahir","given":"Caitriona"}],"issued":{"date-parts":[["2018",3]]}}}],"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(5)</w:t>
            </w:r>
            <w:r w:rsidRPr="00524541">
              <w:rPr>
                <w:rFonts w:asciiTheme="majorBidi" w:hAnsiTheme="majorBidi" w:cstheme="majorBidi"/>
                <w:sz w:val="18"/>
                <w:szCs w:val="18"/>
              </w:rPr>
              <w:fldChar w:fldCharType="end"/>
            </w:r>
          </w:p>
        </w:tc>
        <w:tc>
          <w:tcPr>
            <w:tcW w:w="1035" w:type="dxa"/>
          </w:tcPr>
          <w:p w14:paraId="5BAE483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8143A6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4B11102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208" w:type="dxa"/>
          </w:tcPr>
          <w:p w14:paraId="68A6863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778774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383A8B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2CEC65D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040C08D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5CBC76E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52B32D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254B678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58CEBF8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0E96FEC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1B801F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1B31128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Good(12)</w:t>
            </w:r>
          </w:p>
        </w:tc>
      </w:tr>
      <w:tr w:rsidR="00760F0D" w:rsidRPr="00524541" w14:paraId="4D61A501" w14:textId="77777777" w:rsidTr="00CF1876">
        <w:trPr>
          <w:trHeight w:val="252"/>
        </w:trPr>
        <w:tc>
          <w:tcPr>
            <w:tcW w:w="1024" w:type="dxa"/>
          </w:tcPr>
          <w:p w14:paraId="4B926C6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Stephen Murphy, 2015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{"citationID":"EJ3cr2XK","properties":{"formattedCitation":"(6)","plainCitation":"(6)","noteIndex":0},"citationItems":[{"id":613,"uris":["http://zotero.org/users/11013403/items/2X8GAFGB"],"itemData":{"id":613,"type":"article-journal","abstract":"INTRODUCTION: Consistent adherence to treatment is essential for effective secondary prevention following TIA/ischaemic stroke. Representative data on  long-term treatment continuation and adherence rates are limited. METHODS: This  single centre study recruited patients attending our Rapid Access Stroke  Prevention clinic in Ireland from 07/09/2006 → 30/11/2009. Demographic and  clinical data, and prescribed medication regimens at initial assessment were  recorded. All patients received copies of clinical correspondence containing  clear 'goal-directed treatment advice' sent to their general practitioner or  referring physician. Patients were subsequently interviewed with a standardised  pro-forma to assess continuation and adherence rates; overall adherence rates  with secondary prevention therapy were also assessed with a validated  self-reporting tool (Morisky Scale). Recurrent vascular events during follow-up  were recorded. RESULTS: One hundred and fourteen patients were recruited; mean  age: 64.5 ± 13.8 years; median duration of follow-up: 630 days. Patients were  prescribed aspirin (69.3%), alone (17.5%) or in combination with dipyridamole MR  (51.8%), clopidogrel (18.2%), warfarin (16.7%), statins (76.3%) and  anti-hypertensives (51.8%). During follow-up, the percentages of patients  continuing treatment prescribed at the initial visit were: Aspirin (93.7%),  dipyridamole MR (72.9%), clopidogrel (81%), warfarin (94.7%), statins (87.9%) and  anti-hypertensives (89.8%). Overall, 99.1% reported taking their medication the  preceding day. Morisky scale scores for all treatments revealed that 41.2% (N=47)  were high, 36.8% (N=42) medium, and 12.3% (N=14) low adherers; 9.7% (N=11) had  incomplete data. Two patients (1.8%) had recurrent cerebrovascular events, and  two (1.8%) had myocardial infarctions. DISCUSSION: This novel study in European  TIA/ischaemic stroke patients, who were provided with a goal-directed secondary  prevention plan, showed high rates of medication-continuation and self-reported  adherence with prescribed treatment, associated with a low incidence of recurrent  vascular events during a median follow up of 1.7 years.","container-title":"Journal of the neurological sciences","DOI":"10.1016/j.jns.2015.12.009","ISSN":"1878-5883 0022-510X","journalAbbreviation":"J Neurol Sci","language":"eng","license":"Copyright © 2015 Elsevier B.V. All rights reserved.","note":"publisher-place: Netherlands\nPMID: 26810509","page":"13-18","title":"Continuation and adherence rates on initially-prescribed intensive secondary prevention therapy after Rapid Access Stroke Prevention (RASP) service  assessment.","volume":"361","author":[{"family":"Murphy","given":"Stephen J. X."},{"family":"Coughlan","given":"Catherine A."},{"family":"Tobin","given":"Oliver"},{"family":"Kinsella","given":"Justin"},{"family":"Lonergan","given":"Roisin"},{"family":"Gutkin","given":"Myles"},{"family":"McCabe","given":"Dominick J. H."}],"issued":{"date-parts":[["2016",2,15]]}}}],"schema":"https://github.com/citation-style-language/schema/raw/master/csl-citation.json"}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(6)</w:t>
            </w:r>
            <w:r w:rsidRPr="00524541">
              <w:rPr>
                <w:rFonts w:asciiTheme="majorBidi" w:hAnsiTheme="majorBidi" w:cstheme="majorBidi"/>
                <w:sz w:val="18"/>
                <w:szCs w:val="18"/>
              </w:rPr>
              <w:fldChar w:fldCharType="end"/>
            </w:r>
          </w:p>
        </w:tc>
        <w:tc>
          <w:tcPr>
            <w:tcW w:w="1035" w:type="dxa"/>
          </w:tcPr>
          <w:p w14:paraId="4B5558D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43D735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47E9E8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1208" w:type="dxa"/>
          </w:tcPr>
          <w:p w14:paraId="68949DA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870C5C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095FCF9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3BAB901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3FC3EA6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5A04F4D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0B30EFF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F736C4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3A0D3EC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292D21B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1121" w:type="dxa"/>
          </w:tcPr>
          <w:p w14:paraId="43726A4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1763091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(8)</w:t>
            </w:r>
          </w:p>
        </w:tc>
      </w:tr>
      <w:tr w:rsidR="00760F0D" w:rsidRPr="00524541" w14:paraId="2916FCC5" w14:textId="77777777" w:rsidTr="00CF1876">
        <w:trPr>
          <w:trHeight w:val="592"/>
        </w:trPr>
        <w:tc>
          <w:tcPr>
            <w:tcW w:w="1024" w:type="dxa"/>
          </w:tcPr>
          <w:p w14:paraId="360400C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James M. G. Curneen,2022</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{"citationID":"3RVso6Uh","properties":{"formattedCitation":"(7)","plainCitation":"(7)","noteIndex":0},"citationItems":[{"id":648,"uris":["http://zotero.org/users/11013403/items/7U7UQ23S"],"itemData":{"id":648,"type":"article-journal","abstract":"AIM: Many challenges exist in determining true rates of adherence to antihypertensive medications among individuals in a clinic setting. For the first  time, we aimed to compare patient-reported antihypertensive adherence with  objective evidence using mass spectrometry spot urinalysis in a tertiary referral  clinic setting. METHODS: A prospective observational single-centre cohort study  was performed in a tertiary referral hypertension clinic, encompassing  antihypertensive initiation and persistence. Patients were referred with apparent  treatment-resistant hypertension or for suspected secondary causes. Participants  completed a self-reported assessment of antihypertensive adherence and provided a  spot urine sample. The presence of antihypertensive medications and/or their  respective metabolites was evaluated using high-performance liquid chromatography  tandem mass spectrometry. Patients were determined to be adherent if they  demonstrated both self-reported adherence and objective mass spectrometry  evidence. RESULTS: Of all 105 eligible participants initially recruited, 73  (69.5%) met the eligibility criteria. Only 27.4% (95% confidence interval  0.2-0.4) of participants demonstrated true adherence to their self-reported  antihypertensives, despite 75.3% (0.6-0.8) reporting adherence. Greatest  medication adherence was achieved with angiotensin II receptor blockers (61%),  with calcium-channel blockers and mineralocorticoid antagonists demonstrating  least adherence (38%). CONCLUSION: In patients attending a tertiary hypertension  clinic, the combined use of spot urine mass spectrometry and self-reporting  identifies higher rates of nonadherence when compared to either modality alone.  Both techniques should be combined for more accurate detection of medication  adherence.","container-title":"British journal of clinical pharmacology","DOI":"10.1111/bcp.15292","ISSN":"1365-2125 0306-5251","journalAbbreviation":"Br J Clin Pharmacol","language":"eng","license":"© 2022 The Authors. British Journal of Clinical Pharmacology published by John Wiley &amp; Sons Ltd on behalf of British Pharmacological Society.","note":"publisher-place: England\nPMID: 35199372","title":"Major disparities in patient-reported adherence compared to objective assessment of adherence using mass spectrometry: A prospective study in a tertiary-referral  hypertension clinic.","author":[{"family":"Curneen","given":"James M. G."},{"family":"Rabbitt","given":"Louise"},{"family":"Browne","given":"Darragh"},{"family":"O'Donoghue","given":"Darragh F."},{"family":"Alansari","given":"Yousef"},{"family":"Harhen","given":"Brendan"},{"family":"Ní Ghríofa","given":"Ailbhe"},{"family":"Ferguson","given":"John"},{"family":"McEvoy","given":"John William"},{"family":"Lappin","given":"David"},{"family":"Finn","given":"David P."},{"family":"O'Shea","given":"Paula M."},{"family":"Dennedy","given":"Michael Conall"}],"issued":{"date-parts":[["2022",2,23]]}}}],"schema":"https://github.com/citation-style-language/schema/raw/master/csl-citation.json"}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(7)</w:t>
            </w:r>
            <w:r w:rsidRPr="00524541">
              <w:rPr>
                <w:rFonts w:asciiTheme="majorBidi" w:hAnsiTheme="majorBidi" w:cstheme="majorBidi"/>
                <w:sz w:val="18"/>
                <w:szCs w:val="18"/>
              </w:rPr>
              <w:fldChar w:fldCharType="end"/>
            </w:r>
          </w:p>
        </w:tc>
        <w:tc>
          <w:tcPr>
            <w:tcW w:w="1035" w:type="dxa"/>
          </w:tcPr>
          <w:p w14:paraId="529F0EA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B025BF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48EBBC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208" w:type="dxa"/>
          </w:tcPr>
          <w:p w14:paraId="52C722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C92CEA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670FF67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A6E82A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2C980C1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p w14:paraId="60141DF3" w14:textId="77777777" w:rsidR="00760F0D" w:rsidRPr="00524541" w:rsidRDefault="00760F0D" w:rsidP="00CF1876">
            <w:pPr>
              <w:spacing w:after="160" w:line="259" w:lineRule="auto"/>
              <w:rPr>
                <w:rFonts w:asciiTheme="majorBidi" w:hAnsiTheme="majorBidi" w:cstheme="majorBidi"/>
                <w:sz w:val="18"/>
                <w:szCs w:val="18"/>
              </w:rPr>
            </w:pPr>
          </w:p>
        </w:tc>
        <w:tc>
          <w:tcPr>
            <w:tcW w:w="949" w:type="dxa"/>
          </w:tcPr>
          <w:p w14:paraId="7ECDE67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C0E5DD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0E338E7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6AED91B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36FC30E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03ED383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3E93044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 (12)</w:t>
            </w:r>
          </w:p>
        </w:tc>
      </w:tr>
      <w:tr w:rsidR="00760F0D" w:rsidRPr="00524541" w14:paraId="38269E22" w14:textId="77777777" w:rsidTr="00CF1876">
        <w:trPr>
          <w:trHeight w:val="592"/>
        </w:trPr>
        <w:tc>
          <w:tcPr>
            <w:tcW w:w="1024" w:type="dxa"/>
          </w:tcPr>
          <w:p w14:paraId="71EBCC2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Paul Dillon,2019</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{"citationID":"p36EVSZQ","properties":{"formattedCitation":"(8)","plainCitation":"(8)","noteIndex":0},"citationItems":[{"id":550,"uris":["http://zotero.org/users/11013403/items/BJ4X9A3P"],"itemData":{"id":550,"type":"article-journal","abstract":"AIMS: Methods that enable targeting and tailoring of adherence interventions may facilitate implementation in clinical settings. We aimed to determine whether  community pharmacy refill-adherence metrics are useful to identify patients at  higher risk of healthcare utilisation due to low antihypertensive adherence, who  may benefit from an adherence intervention. METHODS: We conducted a prospective  cohort study, recruiting participants (n = 905) from 106 community pharmacies  across the Republic of Ireland. Participants completed a structured interview at  baseline and 12 months. Antihypertensive medication adherence was evaluated from  linked pharmacy records using group-based trajectory modelling (GBTM) and  proportion of days covered (PDC). Healthcare utilisation included self-reported  number of hospital visits (emergency department visits and inpatient admissions)  and general practitioner (GP) visits, over a 6-month period. Separate regression  models were used to estimate the association between adherence and number of  hospital/GP visits. The relative statistical fit of each model using different  adherence metrics was determined using the Bayesian information criterion (BIC).  RESULTS: For the number of hospital visits, significant associations were  observed only for PDC but not for GBTM. Each 10% increase in refill-adherence by  PDC was significantly associated with a 16% lower rate of hospital visits  (adjusted incidence rate ratio 0.84, 95% CI 0.72-0.98, P = 0.036). Poorer  adherence using both measures was associated with higher GP visits. Improvements  in BIC favoured models using PDC. CONCLUSIONS: Medication refill-adherence,  measured using PDC in community pharmacy settings, could be used to recognise  poor antihypertensive adherence to enable effective targeting of clinical  interventions to improve hypertension management and outcomes.","container-title":"The International journal of pharmacy practice","DOI":"10.1111/ijpp.12539","ISSN":"2042-7174 0961-7671","issue":"5","journalAbbreviation":"Int J Pharm Pract","language":"eng","license":"© 2019 Royal Pharmaceutical Society.","note":"number: 5\npublisher-place: England\nPMID: 30968988","page":"459-467","title":"The association between pharmacy refill-adherence metrics and healthcare utilisation: a prospective cohort study of older hypertensive adults.","volume":"27","author":[{"family":"Dillon","given":"Paul"},{"family":"Smith","given":"Susan M."},{"family":"Gallagher","given":"Paul"},{"family":"Cousins","given":"Gráinne"}],"issued":{"date-parts":[["2019",10]]}}}],"schema":"https://github.com/citation-style-language/schema/raw/master/csl-citation.json"}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(8)</w:t>
            </w:r>
            <w:r w:rsidRPr="00524541">
              <w:rPr>
                <w:rFonts w:asciiTheme="majorBidi" w:hAnsiTheme="majorBidi" w:cstheme="majorBidi"/>
                <w:sz w:val="18"/>
                <w:szCs w:val="18"/>
              </w:rPr>
              <w:fldChar w:fldCharType="end"/>
            </w:r>
          </w:p>
        </w:tc>
        <w:tc>
          <w:tcPr>
            <w:tcW w:w="1035" w:type="dxa"/>
          </w:tcPr>
          <w:p w14:paraId="7E041C6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7EC1AD3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71E500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208" w:type="dxa"/>
          </w:tcPr>
          <w:p w14:paraId="10F0CF9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p w14:paraId="0157E245" w14:textId="77777777" w:rsidR="00760F0D" w:rsidRPr="00524541" w:rsidRDefault="00760F0D" w:rsidP="00CF1876">
            <w:pPr>
              <w:spacing w:after="160" w:line="259" w:lineRule="auto"/>
              <w:rPr>
                <w:rFonts w:asciiTheme="majorBidi" w:hAnsiTheme="majorBidi" w:cstheme="majorBidi"/>
                <w:sz w:val="18"/>
                <w:szCs w:val="18"/>
              </w:rPr>
            </w:pPr>
          </w:p>
        </w:tc>
        <w:tc>
          <w:tcPr>
            <w:tcW w:w="1121" w:type="dxa"/>
          </w:tcPr>
          <w:p w14:paraId="2390167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69BA527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2BFB251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5CC9E06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7B1D5F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0C6A075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5AA8B80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15A89E1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00C59F0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121" w:type="dxa"/>
          </w:tcPr>
          <w:p w14:paraId="38721AF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0C807C2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Good(12)</w:t>
            </w:r>
          </w:p>
        </w:tc>
      </w:tr>
      <w:tr w:rsidR="00760F0D" w:rsidRPr="00524541" w14:paraId="4F56805E" w14:textId="77777777" w:rsidTr="00CF1876">
        <w:trPr>
          <w:trHeight w:val="592"/>
        </w:trPr>
        <w:tc>
          <w:tcPr>
            <w:tcW w:w="1024" w:type="dxa"/>
          </w:tcPr>
          <w:p w14:paraId="3C8D554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lastRenderedPageBreak/>
              <w:t>Caroline A. Walsh, 2019</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{"citationID":"xSEx9PON","properties":{"formattedCitation":"(9)","plainCitation":"(9)","noteIndex":0},"citationItems":[{"id":539,"uris":["http://zotero.org/users/11013403/items/PDSFVQB3"],"itemData":{"id":539,"type":"article-journal","abstract":"PURPOSE: To examine the association between antihypertensive medication (AHTM) implementation adherence and healthcare utilisation in community-dwelling adults  aged ≥ 50 years in Ireland. METHODS: This was a prospective cohort study. The  Irish Longitudinal Study on Ageing (TILDA) was linked to pharmacy claims data for  participants aged ≥ 50 years. Participants were included if they had ≥ 3 pharmacy  claims for one or more AHTM (ATC codes 'C02', 'C03', 'C07', 'C08' or 'C09')  within the year preceding the year of self-reported healthcare utilisation  outcome occurrence. Outcomes included self-reported general practitioner (GP),  emergency department (ED), outpatient department visits and hospital admissions.  Implementation adherence was measured using proportion of days covered (PDC),  with participants classified as adherent if the average PDC ≥ 0.8. Negative  binomial models were used to analyse the association between AHTM adherence and  number of GP, ED, outpatient visits and hospitalisations (adjusted IRR and 95% CI  are presented). RESULTS: One thousand four hundred thirty-one participants were  included. The majority of participants (72.6%) were considered adherent. Good  implementation adherence to AHTM was associated with a significant decrease in  self-reported GP visits (adjusted IRR 0.91, 95% CI 0.83-0.99). Adherence had no  significant impact on the number of ED visits, outpatient visits or  hospitalisations reported by TILDA participants. CONCLUSIONS: Good adherence to  AHTM was associated with less self-reported GP visits in this population,  suggesting improved overall health status. However, the impact of medication  non-adherence on the other self-reported healthcare utilisation outcomes (ED,  outpatient visits and hospitalisations) was not evident in this study.","container-title":"European journal of clinical pharmacology","DOI":"10.1007/s00228-019-02699-w","ISSN":"1432-1041 0031-6970","issue":"9","journalAbbreviation":"Eur J Clin Pharmacol","language":"eng","note":"number: 9\npublisher-place: Germany\nPMID: 31190134","page":"1283-1292","title":"Association between adherence to antihypertensive medications and health outcomes in middle and older aged community dwelling adults; results from the Irish  longitudinal study on ageing.","volume":"75","author":[{"family":"Walsh","given":"Caroline A."},{"family":"Cahir","given":"Caitriona"},{"family":"Bennett","given":"Kathleen E."}],"issued":{"date-parts":[["2019",9]]}}}],"schema":"https://github.com/citation-style-language/schema/raw/master/csl-citation.json"}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(9)</w:t>
            </w:r>
            <w:r w:rsidRPr="00524541">
              <w:rPr>
                <w:rFonts w:asciiTheme="majorBidi" w:hAnsiTheme="majorBidi" w:cstheme="majorBidi"/>
                <w:sz w:val="18"/>
                <w:szCs w:val="18"/>
              </w:rPr>
              <w:fldChar w:fldCharType="end"/>
            </w:r>
          </w:p>
        </w:tc>
        <w:tc>
          <w:tcPr>
            <w:tcW w:w="1035" w:type="dxa"/>
          </w:tcPr>
          <w:p w14:paraId="150D068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FBFD69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D9904A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254365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13B4650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0A942F0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71DC306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035" w:type="dxa"/>
          </w:tcPr>
          <w:p w14:paraId="273A912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0CDE561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8986AB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776" w:type="dxa"/>
          </w:tcPr>
          <w:p w14:paraId="1A42021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7155D9A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058BE49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2CC3CC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5043AD2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 (11)</w:t>
            </w:r>
          </w:p>
        </w:tc>
      </w:tr>
      <w:tr w:rsidR="00760F0D" w:rsidRPr="00524541" w14:paraId="78D27D2A" w14:textId="77777777" w:rsidTr="00CF1876">
        <w:trPr>
          <w:trHeight w:val="592"/>
        </w:trPr>
        <w:tc>
          <w:tcPr>
            <w:tcW w:w="1024" w:type="dxa"/>
          </w:tcPr>
          <w:p w14:paraId="44876FC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Margaret Bermingham, 2011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{"citationID":"pfzaw4i1","properties":{"formattedCitation":"(10)","plainCitation":"(10)","noteIndex":0},"citationItems":[{"id":658,"uris":["http://zotero.org/users/11013403/items/P5IC29L9"],"itemData":{"id":658,"type":"article-journal","abstract":"BACKGROUND: Improvements in the control of LDL-C levels have occurred in the past decade due to the introduction of increasingly potent statins, such as  atorvastatin and rosuvastatin. Many patients, however, do not achieve their LDL-C  goals, which presents a practical dilemma for clinicians and highlights the need  to identify adherence problems in a clinically relevant manner. OBJECTIVE: The  purpose of this study was to evaluate the relationship between LDL-C goal  achievement and both medication adherence and beliefs assessed using structured  questioning. METHODS: All patients were aged ≥40 years and participated in the  cardiovascular risk factor management program STOP-HF (St. Vincent's Screening To  Prevent Heart Failure study). One hundred and eighty-five participants who had  been prescribed statins, split between those who achieved and those who did not  achieve LDL-C goal, were randomly selected for a prospective study examining the  relationship between adherence, assessed by the Morisky Medication Adherence  Scale (MMAS), and LDL-C goal achievement. Patients' beliefs about medicines were  assessed using the Beliefs about Medicines Questionnaire-General (BMQ-G). Main  outcome measures were predictors of LDL-C goal achievement and medication  adherence and predictors of adherence among patients using the MMAS. RESULTS: The  average age of the selected patients was 64.9 (9.9) years; 45% were male, 46% had  hypertension, 17.5% had coronary artery disease, and 10% had diabetes.  Questionnaires were answered by 119 patients, 71 of whom (59.7%) were goal  achievers. LDL-C goal achievers were more likely to respond to the questionnaires  than nonachievers (76.8% vs 52.7%; P = 0.002). Fifty-eight respondents (48.7%)  reported that they were not fully adherent to medication and in multivariable  analysis were twice as likely to miss LDL-C goal compared with those who were  adherent. Approximately 25% of patients who reported nonadherence were  intentionally so. Patients' beliefs about medicines were a significant predictor  of self-reported adherence but not of LDL-C goal achievement. CONCLUSIONS:  Medication nonadherence may be responsible for failure to achieve goal in many  patients who are prescribed statins. In routine clinical care, the structured  MMAS questionnaire may provide clinicians with an effective tool to assess  medication nonadherence in the context of statin therapy failure. STOP-HF  ClinicalTrials.gov identifier: NCT00921960.","container-title":"Clinical therapeutics","DOI":"10.1016/j.clinthera.2011.07.007","ISSN":"1879-114X 0149-2918","issue":"9","journalAbbreviation":"Clin Ther","language":"eng","license":"Copyright © 2011 Elsevier HS Journals, Inc. All rights reserved.","note":"number: 9\npublisher-place: United States\nPMID: 21840055","page":"1180-1189","title":"Prospective analysis of LDL-C goal achievement and self-reported medication adherence among statin users in primary care.","volume":"33","author":[{"family":"Bermingham","given":"Margaret"},{"family":"Hayden","given":"John"},{"family":"Dawkins","given":"Ian"},{"family":"Miwa","given":"Saki"},{"family":"Gibson","given":"Denise"},{"family":"McDonald","given":"Kenneth"},{"family":"Ledwidge","given":"Mark"}],"issued":{"date-parts":[["2011",9]]}}}],"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(10)</w:t>
            </w:r>
            <w:r w:rsidRPr="00524541">
              <w:rPr>
                <w:rFonts w:asciiTheme="majorBidi" w:hAnsiTheme="majorBidi" w:cstheme="majorBidi"/>
                <w:sz w:val="18"/>
                <w:szCs w:val="18"/>
              </w:rPr>
              <w:fldChar w:fldCharType="end"/>
            </w:r>
          </w:p>
        </w:tc>
        <w:tc>
          <w:tcPr>
            <w:tcW w:w="1035" w:type="dxa"/>
          </w:tcPr>
          <w:p w14:paraId="1AD76EF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5C905D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1BF222F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3333012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6BFA58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13D477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6EC696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1693F92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5C9D5C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6B1B559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776" w:type="dxa"/>
          </w:tcPr>
          <w:p w14:paraId="12AF45F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691BF2E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7042E13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50C6A52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6FBB204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 (12)</w:t>
            </w:r>
          </w:p>
        </w:tc>
      </w:tr>
      <w:tr w:rsidR="00760F0D" w:rsidRPr="00524541" w14:paraId="0F5A6529" w14:textId="77777777" w:rsidTr="00CF1876">
        <w:trPr>
          <w:trHeight w:val="592"/>
        </w:trPr>
        <w:tc>
          <w:tcPr>
            <w:tcW w:w="1024" w:type="dxa"/>
          </w:tcPr>
          <w:p w14:paraId="3E189CC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Danielle Ní </w:t>
            </w:r>
            <w:proofErr w:type="spellStart"/>
            <w:r w:rsidRPr="00524541">
              <w:rPr>
                <w:rFonts w:asciiTheme="majorBidi" w:hAnsiTheme="majorBidi" w:cstheme="majorBidi"/>
                <w:sz w:val="18"/>
                <w:szCs w:val="18"/>
              </w:rPr>
              <w:t>Chróinín</w:t>
            </w:r>
            <w:proofErr w:type="spellEnd"/>
            <w:r w:rsidRPr="00524541">
              <w:rPr>
                <w:rFonts w:asciiTheme="majorBidi" w:hAnsiTheme="majorBidi" w:cstheme="majorBidi"/>
                <w:sz w:val="18"/>
                <w:szCs w:val="18"/>
              </w:rPr>
              <w:t xml:space="preserve">, 2018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{"citationID":"Keu5udOU","properties":{"formattedCitation":"(11)","plainCitation":"(11)","noteIndex":0},"citationItems":[{"id":477,"uris":["http://zotero.org/users/11013403/items/VXFG4M2Y"],"itemData":{"id":477,"type":"article-journal","abstract":"BACKGROUND: Few population-based studies have assessed lipid adherence to international guidelines for primary and secondary prevention in stroke/transient  ischaemic attack (TIA) patients. AIMS: This study aims to evaluate adherence to  lipid-lowering therapy (LLT) guidelines amongst patients with ischaemic  stroke/TIA. METHODS: Using hot and cold pursuit methods from multiple  hospital/community sources, all stroke and TIA cases in North Dublin City were  prospectively ascertained over a 1-year period. Adherence to National Cholesterol  Education Programme (NCEP) III guidelines, before and after index ischaemic  stroke/TIA, was assessed. RESULTS: Amongst 616 patients (428 ischaemic stroke,  188 TIA), total cholesterol was measured following the qualifying event in 76.5%  (471/616) and low-density lipoprotein (LDL) in 60.1% (370/616). At initial  stroke/TIA presentation, 54.1% (200/370) met NCEP III LDL goals. Compliance was  associated with prior stroke (odds ratio [OR] 2.19, p = 0.02), diabetes (OR 1.91,  p = 0.04), hypertension (OR 1.57, p = 0.03), atrial fibrillation (OR 1.78,  p = 0.01), pre-event LLT (OR 2.85, p &lt; 0.001) and higher individual LDL goal  (p = 0.001). At stroke/TIA onset, 32.7% (195/596) was on LLT. Nonetheless, LDL  exceeded individual NCEP goal in 29.2% (56/192); 21.6% (53/245) warranting LLT  was not on treatment prior to stroke/TIA onset. After index stroke/TIA, 75.9%  (422/556) was on LLT; 15.3% (30/196) meeting NCEP III criteria was not prescribed  a statin as recommended. By 2 years, actuarial survival was 72.8% and 11.9%  (59/497) experienced stroke recurrence. No association was observed between  initial post-event target adherence and 2-year outcomes. CONCLUSIONS: In this  population-based study, LLT recommended by international guidelines was  under-used, before and after index stroke/TIA. Strategies to improve adherence  are needed.","container-title":"Irish journal of medical science","DOI":"10.1007/s11845-018-1739-8","ISSN":"1863-4362 0021-1265","issue":"3","journalAbbreviation":"Ir J Med Sci","language":"eng","note":"number: 3\npublisher-place: Ireland\nPMID: 29368282","page":"739-746","title":"Suboptimal lipid management before and after ischaemic stroke and TIA-the North Dublin Population Stroke Study.","volume":"187","author":[{"family":"Ní Chróinín","given":"Danielle"},{"family":"Ní Chróinín","given":"Chantelle"},{"family":"Akijian","given":"Layan"},{"family":"Callaly","given":"Elizabeth L."},{"family":"Hannon","given":"Niamh"},{"family":"Kelly","given":"Lisa"},{"family":"Marnane","given":"Michael"},{"family":"Merwick","given":"Áine"},{"family":"Sheehan","given":"Órla"},{"family":"Horgan","given":"Gillian"},{"family":"Duggan","given":"Joseph"},{"family":"Kyne","given":"Lorraine"},{"family":"Dolan","given":"Eamon"},{"family":"Murphy","given":"Seán"},{"family":"Williams","given":"David"},{"family":"Kelly","given":"Peter J."}],"issued":{"date-parts":[["2018",8]]}}}],"schema":"https://github.com/citation-style-language/schema/raw/master/csl-citation.json"}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(11)</w:t>
            </w:r>
            <w:r w:rsidRPr="00524541">
              <w:rPr>
                <w:rFonts w:asciiTheme="majorBidi" w:hAnsiTheme="majorBidi" w:cstheme="majorBidi"/>
                <w:sz w:val="18"/>
                <w:szCs w:val="18"/>
              </w:rPr>
              <w:fldChar w:fldCharType="end"/>
            </w:r>
          </w:p>
        </w:tc>
        <w:tc>
          <w:tcPr>
            <w:tcW w:w="1035" w:type="dxa"/>
          </w:tcPr>
          <w:p w14:paraId="51438D7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79785F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7AFA5BB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719D94A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55BEF2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72F399F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0665916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0188417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634511C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6BC8EAE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15E931E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2E2D5B5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690" w:type="dxa"/>
          </w:tcPr>
          <w:p w14:paraId="1D15F75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1121" w:type="dxa"/>
          </w:tcPr>
          <w:p w14:paraId="6EBDA8A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7CFCF54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 (11)</w:t>
            </w:r>
          </w:p>
        </w:tc>
      </w:tr>
      <w:tr w:rsidR="00760F0D" w:rsidRPr="00524541" w14:paraId="1DDBCAD2" w14:textId="77777777" w:rsidTr="00CF1876">
        <w:trPr>
          <w:trHeight w:val="592"/>
        </w:trPr>
        <w:tc>
          <w:tcPr>
            <w:tcW w:w="1024" w:type="dxa"/>
          </w:tcPr>
          <w:p w14:paraId="19E78A9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Catriona Murphy, 2015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{"citationID":"hdyXwSu3","properties":{"formattedCitation":"(12)","plainCitation":"(12)","noteIndex":0},"citationItems":[{"id":692,"uris":["http://zotero.org/users/11013403/items/T92TRAMJ"],"itemData":{"id":692,"type":"article-journal","abstract":"Objectives: This study aims to examine the extent to which statins are used by adults at high risk of cardiovascular disease (CVD) compared to European clinical guidelines. The high-risk groups examined are those with (1) known CVD, (2) known diabetes and (3) a high or very high risk (≥5%) of CVD mortality based on Systematic COronary Risk Evaluation (SCORE). Design: This study is cross-sectional in design using data from the first wave (2009-2011) of The Irish Longitudinal Study on Ageing (TILDA). Setting and participants: The sample (n=3372) is representative of community living adults aged 50-64 years in Ireland. Results: Statins were used by 68.6% (95% CI 61.5% to 75.8%) of those with known CVD, 57.4% (95% CI 49.1% to 65.7%) of those with known diabetes and by 19.7% (95% CI 13.0% to 26.3%) of adults with a SCORE risk ≥5%. Over a third (38.5%, 95% CI 31.0% to 46.0%) of those with known CVD, 46.8% (95% CI 38.4% to 55.1%) of those with known diabetes and 85.2% (95% CI 79.3% to 91.1%) of those with a SCORE risk ≥5% were at or above the low-density lipoprotein cholesterol (LDL-C) target of 2.5 mmol/L specified in the 2007 European guidelines. Conclusions: Despite strong evidence and clinical guidelines recommending the use of statins for secondary prevention, a gap exists between guidelines and practice in this cohort. It is also of concern that a low proportion of adults with a SCORE risk ≥5% were taking statins. A policy response that strengthens secondary prevention, and improves risk assessment and shared decision-making in the primary prevention of CVD is required.","archive":"Scopus","container-title":"BMJ Open","DOI":"10.1136/bmjopen-2015-008017","issue":"7","note":"number: 7\npublisher: BMJ Publishing Group","title":"Statin use in adults at high risk of cardiovascular disease mortality: Cross-sectional analysis of baseline data from The Irish Longitudinal Study on Ageing (TILDA)","URL":"https://www.scopus.com/inward/record.uri?eid=2-s2.0-84937197924&amp;doi=10.1136%2fbmjopen-2015-008017&amp;partnerID=40&amp;md5=d8f841a657414cd52d4a417bdbc9e3ad","volume":"5","author":[{"family":"Murphy","given":"C."},{"family":"Bennett","given":"K."},{"family":"Fahey","given":"T."},{"family":"Shelley","given":"E."},{"family":"Graham","given":"I."},{"family":"Kenny","given":"R.A."}],"issued":{"date-parts":[["2015"]]}}}],"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(12)</w:t>
            </w:r>
            <w:r w:rsidRPr="00524541">
              <w:rPr>
                <w:rFonts w:asciiTheme="majorBidi" w:hAnsiTheme="majorBidi" w:cstheme="majorBidi"/>
                <w:sz w:val="18"/>
                <w:szCs w:val="18"/>
              </w:rPr>
              <w:fldChar w:fldCharType="end"/>
            </w:r>
          </w:p>
        </w:tc>
        <w:tc>
          <w:tcPr>
            <w:tcW w:w="1035" w:type="dxa"/>
          </w:tcPr>
          <w:p w14:paraId="62BBD11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5A5229B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1D1725B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1C0E242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58E147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16B3A4F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04CD91F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5D65ADE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949" w:type="dxa"/>
          </w:tcPr>
          <w:p w14:paraId="20CE97A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09D5F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776" w:type="dxa"/>
          </w:tcPr>
          <w:p w14:paraId="2074E02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EC8440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23E7D20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0F70796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68EE6D1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(10)</w:t>
            </w:r>
          </w:p>
        </w:tc>
      </w:tr>
      <w:tr w:rsidR="00760F0D" w:rsidRPr="00524541" w14:paraId="5B0B5CB0" w14:textId="77777777" w:rsidTr="00CF1876">
        <w:trPr>
          <w:trHeight w:val="592"/>
        </w:trPr>
        <w:tc>
          <w:tcPr>
            <w:tcW w:w="1024" w:type="dxa"/>
          </w:tcPr>
          <w:p w14:paraId="1400AE5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Kornelia Kotsevaa,2009</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{"citationID":"tZzevoOB","properties":{"formattedCitation":"(13)","plainCitation":"(13)","noteIndex":0},"citationItems":[{"id":726,"uris":["http://zotero.org/users/11013403/items/PW8VKLCA"],"itemData":{"id":726,"type":"article-journal","abstract":"AIM: The aim of the European Action on Secondary and Primary Prevention by Intervention to Reduce Events III (EUROASPIRE III) survey was to determine whether the Joint European Societies' guidelines on cardiovascular prevention are being followed in everyday clinical practice and to describe the lifestyle, risk factor and therapeutic management in patients with coronary heart disease (CHD) in Europe. Methods: The EUROASPIRE III survey was carried out in 2006-2007 in 76 centres from selected geographical areas in 22 countries in Europe. Consecutive patients, with a clinical diagnosis of CHD, were identified retrospectively and then followed up, interviewed and examined at least 6 months after their coronary event. Results: Thirteen thousand nine hundred and thirty-five medical records (27% women) were reviewed and 8966 patients were interviewed. At interview, 17% of patients smoked cigarettes, 35% were obese and 53% centrally obese, 56% had a blood pressure '140/90'mmHg ('130/80 in people with diabetes mellitus), 51% had a serum total cholesterol '4.5'mmol/l and 25% reported a history of diabetes of whom 10% had a fasting plasma glucose less than 6.1'mmol/l and 35% a glycated haemoglobin A1c less than 6.5%. The use of cardioprotective medication was: antiplatelets 91%; β-blockers 80%; angiotensin-converting enzyme inhibitors/angiotensin-receptor blockers 71%; calcium channel blockers 25% and statins 78%. Conclustion: The EUROASPIRE III survey shows that large proportions of coronary patients do not achieve the lifestyle, risk factor and therapeutic targets for cardiovascular disease prevention. Wide variations in risk factor prevalences and the use of cardioprotective drug therapies exist between countries. There is still considerable potential throughout Europe to raise standards of preventive care in order to reduce the risk of recurrent disease and death in patients with CHD. © 2009 The European Society of Cardiology.","archive":"Scopus","container-title":"European Journal of Cardiovascular Prevention and Rehabilitation","DOI":"10.1097/HJR.0b013e3283294b1d","issue":"2","note":"number: 2\npublisher: Lippincott Williams and Wilkins","page":"121-137","title":"EUROASPIRE III: A survey on the lifestyle, risk factors and use of cardioprotective drug therapies in coronary patients from 22 European countries","volume":"16","author":[{"family":"Kotseva","given":"K."},{"family":"Wood","given":"D."},{"family":"De Backer","given":"G."},{"family":"De Bacquer","given":"D."},{"family":"Pyörälä","given":"K."},{"family":"Keil","given":"U."}],"issued":{"date-parts":[["2009"]]}}}],"schema":"https://github.com/citation-style-language/schema/raw/master/csl-citation.json"}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(13)</w:t>
            </w:r>
            <w:r w:rsidRPr="00524541">
              <w:rPr>
                <w:rFonts w:asciiTheme="majorBidi" w:hAnsiTheme="majorBidi" w:cstheme="majorBidi"/>
                <w:sz w:val="18"/>
                <w:szCs w:val="18"/>
              </w:rPr>
              <w:fldChar w:fldCharType="end"/>
            </w:r>
          </w:p>
        </w:tc>
        <w:tc>
          <w:tcPr>
            <w:tcW w:w="1035" w:type="dxa"/>
          </w:tcPr>
          <w:p w14:paraId="792DD19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DCF7E3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4C2968A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1208" w:type="dxa"/>
          </w:tcPr>
          <w:p w14:paraId="6B9FDD4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6EF9B3A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7C6D0D9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7EB0300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483051D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00C08D5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75FAC2C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776" w:type="dxa"/>
          </w:tcPr>
          <w:p w14:paraId="300E4DE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2FCEF8E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322E631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389B7E2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4042BAF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(7)</w:t>
            </w:r>
          </w:p>
        </w:tc>
      </w:tr>
      <w:tr w:rsidR="00760F0D" w:rsidRPr="00524541" w14:paraId="61546476" w14:textId="77777777" w:rsidTr="00CF1876">
        <w:trPr>
          <w:trHeight w:val="592"/>
        </w:trPr>
        <w:tc>
          <w:tcPr>
            <w:tcW w:w="1024" w:type="dxa"/>
          </w:tcPr>
          <w:p w14:paraId="5DEFA64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Ifeanyi Okechukwu,2007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{"citationID":"xxpqVujp","properties":{"formattedCitation":"(14)","plainCitation":"(14)","noteIndex":0},"citationItems":[{"id":580,"uris":["http://zotero.org/users/11013403/items/6Z87KYJJ"],"itemData":{"id":580,"type":"article-journal","abstract":"AIMS: To determine adherence to hypertension guidelines in relation to age and diabetes. METHODS: The Irish HSE-PCRS prescribing database identified patients  initiating antihypertensive monotherapy in 2005. Logistic regression predicted  the likelihood of therapy according to guidelines. RESULTS: The odds ratio (OR)  of receiving therapies according to the guideline recommendations in those &lt;55  years vs. &gt; or =55 years was 1.31 (95% CI 1.26, 1.37). Diabetics were more likely  than nondiabetics to receive antihypertensives other than beta-adrenoceptor  blockers (OR 2.97, 95% CI 2.74, 3.21). CONCLUSIONS: Our findings show some  adherence to the guidelines in relation to age but selective prescribing of  antihypertensives for diabetics.","container-title":"British journal of clinical pharmacology","DOI":"10.1111/j.1365-2125.2007.03005.x","ISSN":"1365-2125 0306-5251","issue":"6","journalAbbreviation":"Br J Clin Pharmacol","language":"eng","note":"number: 6\npublisher-place: England\nPMID: 17953721 \nPMCID: PMC2198782","page":"722-725","title":"Choice of first antihypertensive--are existing guidelines ignored?","volume":"64","author":[{"family":"Okechukwu","given":"Ifeanyi"},{"family":"Mahmud","given":"Azra"},{"family":"Bennett","given":"Kathleen"},{"family":"Feely","given":"John"}],"issued":{"date-parts":[["2007",12]]}}}],"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(14)</w:t>
            </w:r>
            <w:r w:rsidRPr="00524541">
              <w:rPr>
                <w:rFonts w:asciiTheme="majorBidi" w:hAnsiTheme="majorBidi" w:cstheme="majorBidi"/>
                <w:sz w:val="18"/>
                <w:szCs w:val="18"/>
              </w:rPr>
              <w:fldChar w:fldCharType="end"/>
            </w:r>
          </w:p>
        </w:tc>
        <w:tc>
          <w:tcPr>
            <w:tcW w:w="1035" w:type="dxa"/>
          </w:tcPr>
          <w:p w14:paraId="4DCBB40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1AC7865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737A21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F739AB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010466B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20E5E98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776" w:type="dxa"/>
          </w:tcPr>
          <w:p w14:paraId="2F3BBDF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21F3E31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949" w:type="dxa"/>
          </w:tcPr>
          <w:p w14:paraId="245AF10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p w14:paraId="4FDEA188" w14:textId="77777777" w:rsidR="00760F0D" w:rsidRPr="00524541" w:rsidRDefault="00760F0D" w:rsidP="00CF1876">
            <w:pPr>
              <w:spacing w:after="160" w:line="259" w:lineRule="auto"/>
              <w:rPr>
                <w:rFonts w:asciiTheme="majorBidi" w:hAnsiTheme="majorBidi" w:cstheme="majorBidi"/>
                <w:sz w:val="18"/>
                <w:szCs w:val="18"/>
              </w:rPr>
            </w:pPr>
          </w:p>
        </w:tc>
        <w:tc>
          <w:tcPr>
            <w:tcW w:w="690" w:type="dxa"/>
          </w:tcPr>
          <w:p w14:paraId="2AE7AEC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15287AF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D01D61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5A7FA02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6D2ECF0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37CA275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(9)</w:t>
            </w:r>
          </w:p>
        </w:tc>
      </w:tr>
      <w:tr w:rsidR="00760F0D" w:rsidRPr="00524541" w14:paraId="249418BC" w14:textId="77777777" w:rsidTr="00CF1876">
        <w:trPr>
          <w:trHeight w:val="691"/>
        </w:trPr>
        <w:tc>
          <w:tcPr>
            <w:tcW w:w="1024" w:type="dxa"/>
          </w:tcPr>
          <w:p w14:paraId="7D9EE89E" w14:textId="240B55BB" w:rsidR="00760F0D" w:rsidRPr="00524541" w:rsidRDefault="00760F0D" w:rsidP="00D92FCF">
            <w:pPr>
              <w:spacing w:after="160" w:line="259" w:lineRule="auto"/>
              <w:rPr>
                <w:rFonts w:asciiTheme="majorBidi" w:hAnsiTheme="majorBidi" w:cstheme="majorBidi"/>
                <w:sz w:val="18"/>
                <w:szCs w:val="18"/>
              </w:rPr>
            </w:pPr>
            <w:r w:rsidRPr="00524541">
              <w:rPr>
                <w:rFonts w:asciiTheme="majorBidi" w:hAnsiTheme="majorBidi" w:cstheme="majorBidi"/>
                <w:sz w:val="18"/>
                <w:szCs w:val="18"/>
              </w:rPr>
              <w:t>Kornelia Kotseva,2016</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{"citationID":"6BTYgfSr","properties":{"formattedCitation":"(15)","plainCitation":"(15)","noteIndex":0},"citationItems":[{"id":642,"uris":["http://zotero.org/users/11013403/items/GS47L3XB"],"itemData":{"id":642,"type":"article-journal","abstract":"AIMS: To determine whether the Joint European Societies guidelines on cardiovascular prevention are being followed in everyday clinical practice of  secondary prevention and to describe the lifestyle, risk factor and therapeutic  management of coronary patients across Europe. METHODS AND RESULTS: EUROASPIRE IV  was a cross-sectional study undertaken at 78 centres from 24 European countries.  Patients &lt;80 years with coronary disease who had coronary artery bypass graft,  percutaneous coronary intervention or an acute coronary syndrome were identified  from hospital records and interviewed and examined ≥ 6 months later. A total of  16,426 medical records were reviewed and 7998 patients (24.4% females)  interviewed. At interview, 16.0% of patients smoked cigarettes, and 48.6% of  those smoking at the time of the event were persistent smokers. Little or no  physical activity was reported by 59.9%; 37.6% were obese (BMI ≥ 30 kg/m(2)) and  58.2% centrally obese (waist circumference ≥ 102 cm in men or ≥88 cm in women);  42.7% had blood pressure ≥ 140/90 mmHg (≥140/80 in people with diabetes); 80.5%  had low-density lipoprotein cholesterol ≥ 1.8 mmol/l and 26.8% reported having  diabetes. Cardioprotective medication was: anti-platelets 93.8%; beta-blockers  82.6%; angiotensin-converting enzyme inhibitors/angiotensin receptor blockers  75.1%; and statins 85.7%. Of the patients 50.7% were advised to participate in a  cardiac rehabilitation programme and 81.3% of those advised attended at least  one-half of the sessions. CONCLUSION: A large majority of coronary patients do  not achieve the guideline standards for secondary prevention with high  prevalences of persistent smoking, unhealthy diets, physical inactivity and  consequently most patients are overweight or obese with a high prevalence of  diabetes. Risk factor control is inadequate despite high reported use of  medications and there are large variations in secondary prevention practice  between centres. Less than one-half of the coronary patients access cardiac  prevention and rehabilitation programmes. All coronary and vascular patients  require a modern preventive cardiology programme, appropriately adapted to  medical and cultural settings in each country, to achieve healthier lifestyles,  better risk factor control and adherence with cardioprotective medications.","container-title":"European journal of preventive cardiology","DOI":"10.1177/2047487315569401","ISSN":"2047-4881 2047-4873","issue":"6","journalAbbreviation":"Eur J Prev Cardiol","language":"eng","license":"© The European Society of Cardiology 2015.","note":"number: 6\npublisher-place: England\nPMID: 25687109","page":"636-648","title":"EUROASPIRE IV: A European Society of Cardiology survey on the lifestyle, risk factor and therapeutic management of coronary patients from 24 European  countries.","volume":"23","author":[{"family":"Kotseva","given":"Kornelia"},{"family":"Wood","given":"David"},{"family":"De Bacquer","given":"Dirk"},{"family":"De Backer","given":"Guy"},{"family":"Rydén","given":"Lars"},{"family":"Jennings","given":"Catriona"},{"family":"Gyberg","given":"Viveca"},{"family":"Amouyel","given":"Philippe"},{"family":"Bruthans","given":"Jan"},{"family":"Castro Conde","given":"Almudena"},{"family":"Cífková","given":"Renata"},{"family":"Deckers","given":"Jaap W."},{"family":"De Sutter","given":"Johan"},{"family":"Dilic","given":"Mirza"},{"family":"Dolzhenko","given":"Maryna"},{"family":"Erglis","given":"Andrejs"},{"family":"Fras","given":"Zlatko"},{"family":"Gaita","given":"Dan"},{"family":"Gotcheva","given":"Nina"},{"family":"Goudevenos","given":"John"},{"family":"Heuschmann","given":"Peter"},{"family":"Laucevicius","given":"Aleksandras"},{"family":"Lehto","given":"Seppo"},{"family":"Lovic","given":"Dragan"},{"family":"Miličić","given":"Davor"},{"family":"Moore","given":"David"},{"family":"Nicolaides","given":"Evagoras"},{"family":"Oganov","given":"Raphael"},{"family":"Pajak","given":"Andrzej"},{"family":"Pogosova","given":"Nana"},{"family":"Reiner","given":"Zeljko"},{"family":"Stagmo","given":"Martin"},{"family":"Störk","given":"Stefan"},{"family":"Tokgözoğlu","given":"Lale"},{"family":"Vulic","given":"Dusko"}],"issued":{"date-parts":[["2016",4]]}}}],"schema":"https://github.com/citation-style-language/schema/raw/master/csl-citation.json"} </w:instrText>
            </w:r>
            <w:r w:rsidRPr="00524541">
              <w:rPr>
                <w:rFonts w:asciiTheme="majorBidi" w:hAnsiTheme="majorBidi" w:cstheme="majorBidi"/>
                <w:sz w:val="18"/>
                <w:szCs w:val="18"/>
              </w:rPr>
              <w:fldChar w:fldCharType="separate"/>
            </w:r>
            <w:r w:rsidR="00D92FCF" w:rsidRPr="00D92FCF">
              <w:rPr>
                <w:rFonts w:ascii="Times New Roman" w:hAnsi="Times New Roman" w:cs="Times New Roman"/>
                <w:sz w:val="18"/>
              </w:rPr>
              <w:t>(15)</w:t>
            </w:r>
            <w:r w:rsidRPr="00524541">
              <w:rPr>
                <w:rFonts w:asciiTheme="majorBidi" w:hAnsiTheme="majorBidi" w:cstheme="majorBidi"/>
                <w:sz w:val="18"/>
                <w:szCs w:val="18"/>
              </w:rPr>
              <w:fldChar w:fldCharType="end"/>
            </w:r>
          </w:p>
        </w:tc>
        <w:tc>
          <w:tcPr>
            <w:tcW w:w="1035" w:type="dxa"/>
          </w:tcPr>
          <w:p w14:paraId="544EE8D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72483CA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584CA33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1208" w:type="dxa"/>
          </w:tcPr>
          <w:p w14:paraId="0F1F7F0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465912E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6236D5D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CB6CCE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3BE0C44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949" w:type="dxa"/>
          </w:tcPr>
          <w:p w14:paraId="38D63DA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0E07ADB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776" w:type="dxa"/>
          </w:tcPr>
          <w:p w14:paraId="57A0505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C3649E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09BD32C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A50CCD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48CE11F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(8)</w:t>
            </w:r>
          </w:p>
        </w:tc>
      </w:tr>
      <w:tr w:rsidR="00760F0D" w:rsidRPr="00524541" w14:paraId="53DCC9C9" w14:textId="77777777" w:rsidTr="00CF1876">
        <w:trPr>
          <w:trHeight w:val="592"/>
        </w:trPr>
        <w:tc>
          <w:tcPr>
            <w:tcW w:w="1024" w:type="dxa"/>
          </w:tcPr>
          <w:p w14:paraId="60859C4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K. Kotseva,2007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{"citationID":"GPytCDSW","properties":{"formattedCitation":"(16)","plainCitation":"(16)","noteIndex":0},"citationItems":[{"id":1041,"uris":["http://zotero.org/users/11013403/items/5PPQUV2G"],"itemData":{"id":1041,"type":"article-journal","abstract":"Background: During the last decade, the evidence of beneficial effects of cholesterol lowering in patients with coronary heart disease (CHD) has been proven in several clinical trials. This has prompted international guidelines on prevention of CHD to include recommendations on dietary and pharmacological treatment of hyperlipidaemia with set goals on total- and LDL-cholesterol. Methods: The first EUROASPIRE survey performed in 1995/1996 showed poor adherence to the European recommendations on lipid-lowering in patients with CHD. The second survey was carried out in 1999/2000 in 15 European countries and enrolled 8181 patients with CHD. Medical records were assessed and clinical examinations of risk factors including serum lipids were performed. The aim of this survey is to describe the treatment of hyperlipidaemia among CHD patients in Europe. Results: The proportion of patients not reaching the target of 5.0 mmol/l was 58.3% with significant variations between countries. The use of lipid-lowering drugs was relatively high (60.9%). However, the most frequently used doses of lipid-lowering agents were much lower than the doses of proven effect used in clinical trials. Conclusions: Although the treatment of hyperlipidaemia in CHD patients seems to be improving as compared to the first survey, a significant number of patients do not reach treatment goals. If the full potential of lipid-lowering therapy was utilised with all eligible patients treated and doses titrated correctly, more patients would benefit in terms of reduced morbidity and mortality of CHD. © 2007 Elsevier Ireland Ltd. All rights reserved.","archive":"Embase","container-title":"Atherosclerosis","DOI":"10.1016/j.atherosclerosis.2007.07.004","ISSN":"0021-9150","issue":"2","journalAbbreviation":"Atherosclerosis","language":"English","note":"number: 2","page":"710-717","title":"Treatment potential for cholesterol management in patients with coronary heart disease in 15 European countries: Findings from the EUROASPIRE II survey","volume":"197","author":[{"family":"Kotseva","given":"K."},{"family":"Stagmo","given":"M."},{"family":"De Bacquer","given":"D."},{"family":"De Backer","given":"G."},{"family":"Wood","given":"D."}],"issued":{"date-parts":[["2008"]]}}}],"schema":"https://github.com/citation-style-language/schema/raw/master/csl-citation.json"}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(16)</w:t>
            </w:r>
            <w:r w:rsidRPr="00524541">
              <w:rPr>
                <w:rFonts w:asciiTheme="majorBidi" w:hAnsiTheme="majorBidi" w:cstheme="majorBidi"/>
                <w:sz w:val="18"/>
                <w:szCs w:val="18"/>
              </w:rPr>
              <w:fldChar w:fldCharType="end"/>
            </w:r>
          </w:p>
        </w:tc>
        <w:tc>
          <w:tcPr>
            <w:tcW w:w="1035" w:type="dxa"/>
          </w:tcPr>
          <w:p w14:paraId="00C8D0D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300B6C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3D70AEA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6E866F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CC3C9E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3E24B20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20CD8E1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08D16F1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659E76B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0B3CB29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776" w:type="dxa"/>
          </w:tcPr>
          <w:p w14:paraId="329BB3C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1A4CB53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0BD16D6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7C5EE18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5EFE10F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(10)</w:t>
            </w:r>
          </w:p>
        </w:tc>
      </w:tr>
      <w:tr w:rsidR="00760F0D" w:rsidRPr="00524541" w14:paraId="653FB58D" w14:textId="77777777" w:rsidTr="00CF1876">
        <w:trPr>
          <w:trHeight w:val="592"/>
        </w:trPr>
        <w:tc>
          <w:tcPr>
            <w:tcW w:w="1024" w:type="dxa"/>
          </w:tcPr>
          <w:p w14:paraId="583614D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Renata Cı´fkova´,2019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{"citationID":"pAlIhP29","properties":{"formattedCitation":"(17)","plainCitation":"(17)","noteIndex":0},"citationItems":[{"id":3902,"uris":["http://zotero.org/users/11013403/items/8ZTUQKR2"],"itemData":{"id":3902,"type":"article-journal","abstract":"Background:Hypertension is the most prevalent major independent risk factor for developing coronary heart disease (CHD). The present analysis aimed to assess blood pressure (BP) distribution and factors associated with insufficient BP control in coronary patients from 24 countries participating in the European Society of Cardiology (ESC) EURoObservational Research Programme (EORP) EUROASPIRE IV survey.Methods:EUROASPIRE IV is a cross-sectional study conducted in 2012-2013 in patients aged 80 years or less hospitalized for CHD with a follow-up visit at a median of 16 months later. Logistic regression analysis was applied to confirm factors associated with BP control defined as less than 140/90mmHg for nondiabetic patients and less than 140/85mmHg for diabetic patients.Results:A total of 7998 patients (response rate, 48.7%) attended the follow-up visit. Complete data were available in 7653 participants (mean age 62.5±9.6 years). The BP goal was achieved in 57.6%. Patients failing to achieve the BP goal were older, had higher BMI, had more often a history of coronary artery bypass grafting (CABG) and reported diabetes more frequently. Logistic regression confirmed the following independent significant predictors of not achieving the BP goal: A history of diabetes [odds ratio (OR) 1.75], obesity (OR 1.70 vs. normal BMI), overweight (OR 1.28 vs. normal BMI), age at least 65 years (OR 1.53) and CABG as the index event (OR 1.26 vs. acute MI).Conclusion:EUROASPIRE IV found insufficient BP control in a large proportion of patients with stable CHD, with diabetes, increased BMI, older age and CABG as the index event being independent predictors of poor BP control. © 2019 Wolters Kluwer Health, Inc. All rights reserved.","archive":"Scopus","container-title":"Journal of Hypertension","DOI":"10.1097/HJH.0000000000002130","issue":"10","note":"number: 10\npublisher: Lippincott Williams and Wilkins","page":"2015-2023","title":"Blood pressure distribution and control in coronary patients from 24 European countries in the European Society of Cardiology EURoObservational Research Programme European survey of cardiovascular disease prevention and diabetes. EUROASPIRE IV Registry","volume":"37","author":[{"family":"Cífková","given":"R."},{"family":"Lánská","given":"V."},{"family":"Bruthans","given":"J."},{"family":"Mayer","given":"O."},{"family":"Kotseva","given":"K."},{"family":"Wood","given":"D."},{"family":"Lovic","given":"D."},{"family":"De Sutter","given":"J."},{"family":"Reiner","given":"Z."},{"family":"Fras","given":"Z."},{"family":"Deckers","given":"J."},{"family":"Gotcheva","given":"N."},{"family":"Georgiev","given":"B."},{"family":"De Bacquer","given":"D."}],"issued":{"date-parts":[["2019"]]}}}],"schema":"https://github.com/citation-style-language/schema/raw/master/csl-citation.json"}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(17)</w:t>
            </w:r>
            <w:r w:rsidRPr="00524541">
              <w:rPr>
                <w:rFonts w:asciiTheme="majorBidi" w:hAnsiTheme="majorBidi" w:cstheme="majorBidi"/>
                <w:sz w:val="18"/>
                <w:szCs w:val="18"/>
              </w:rPr>
              <w:fldChar w:fldCharType="end"/>
            </w:r>
          </w:p>
        </w:tc>
        <w:tc>
          <w:tcPr>
            <w:tcW w:w="1035" w:type="dxa"/>
          </w:tcPr>
          <w:p w14:paraId="2DCB2AE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639470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3E673F2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19EE599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67EFC5F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748A022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6D8143D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13149FC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1942FEF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A3D44B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Yes </w:t>
            </w:r>
          </w:p>
        </w:tc>
        <w:tc>
          <w:tcPr>
            <w:tcW w:w="776" w:type="dxa"/>
          </w:tcPr>
          <w:p w14:paraId="5B8216A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28AB7C9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690" w:type="dxa"/>
          </w:tcPr>
          <w:p w14:paraId="55D6FBE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1121" w:type="dxa"/>
          </w:tcPr>
          <w:p w14:paraId="338B9BD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0DE6AB2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(9)</w:t>
            </w:r>
          </w:p>
        </w:tc>
      </w:tr>
      <w:tr w:rsidR="00760F0D" w:rsidRPr="00524541" w14:paraId="4D29646A" w14:textId="77777777" w:rsidTr="00CF1876">
        <w:trPr>
          <w:trHeight w:val="592"/>
        </w:trPr>
        <w:tc>
          <w:tcPr>
            <w:tcW w:w="1024" w:type="dxa"/>
          </w:tcPr>
          <w:p w14:paraId="5824D4A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lastRenderedPageBreak/>
              <w:t>Anselm K. Gitt, 2016</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{"citationID":"7JU3NYnP","properties":{"formattedCitation":"(18)","plainCitation":"(18)","noteIndex":0},"citationItems":[{"id":12778,"uris":["http://zotero.org/users/11013403/items/5WQB3AL3"],"itemData":{"id":12778,"type":"article-journal","abstract":"Data presented here refer to 57,885 patients on lipid-lowering statin therapy from the Dyslipidaemia International Study (DYSIS) registry. Subjects were divided into 3 discrete subsets: those at very high-risk, high-risk, and non-high-risk for cardiovascular events, with assigned low density lipoprotein cholesterol (LDL-C) targets of 70mg/dl, 100mg/dl and 115mg/dl, respectively. Overall, the highest proportion of patients meeting their LDL-C target was seen in the UAE and Kuwait (49.5%), while the lowest was seen in Germany (14.3%). The smallest median distance to target was documented in Canada (18.8mg/dl), and the largest in the Baltics (42.1mg/dl). Interpretation and discussion of this data can be found in the manuscript entitled “Low-density lipoprotein cholesterol in a global cohort of 57,885 statin-treated patients” (Gitt et al., 2016) [1].","container-title":"Data in Brief","DOI":"10.1016/j.dib.2016.09.037","ISSN":"2352-3409","journalAbbreviation":"Data in Brief","page":"616-620","title":"Contemporary data on low-density lipoprotein cholesterol target value attainment and distance to target in a cohort of 57,885 statin-treated patients by country and region across the world","volume":"9","author":[{"family":"Gitt","given":"Anselm K."},{"family":"Lautsch","given":"Dominik"},{"family":"Ferrieres","given":"Jean"},{"family":"Kastelein","given":"John"},{"family":"Drexel","given":"Heinz"},{"family":"Horack","given":"Martin"},{"family":"Brudi","given":"Philippe"},{"family":"Vanneste","given":"Brecht"},{"family":"Bramlage","given":"Peter"},{"family":"Chazelle","given":"Francois"},{"family":"Sazonov","given":"Vasilisa"},{"family":"Ambegaonkar","given":"Baishali"}],"issued":{"date-parts":[["2016",12,1]]}}}],"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(18)</w:t>
            </w:r>
            <w:r w:rsidRPr="00524541">
              <w:rPr>
                <w:rFonts w:asciiTheme="majorBidi" w:hAnsiTheme="majorBidi" w:cstheme="majorBidi"/>
                <w:sz w:val="18"/>
                <w:szCs w:val="18"/>
              </w:rPr>
              <w:fldChar w:fldCharType="end"/>
            </w:r>
          </w:p>
        </w:tc>
        <w:tc>
          <w:tcPr>
            <w:tcW w:w="1035" w:type="dxa"/>
          </w:tcPr>
          <w:p w14:paraId="17FE591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13ABB19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3CC82A6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661038C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175F892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71C987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2F12197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6468F82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2A05A46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581A76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776" w:type="dxa"/>
          </w:tcPr>
          <w:p w14:paraId="4A0061B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0BB1FCB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463860F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7BEC492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32BE64A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(8)</w:t>
            </w:r>
          </w:p>
        </w:tc>
      </w:tr>
      <w:tr w:rsidR="00760F0D" w:rsidRPr="00524541" w14:paraId="4C60966E" w14:textId="77777777" w:rsidTr="00CF1876">
        <w:trPr>
          <w:trHeight w:val="592"/>
        </w:trPr>
        <w:tc>
          <w:tcPr>
            <w:tcW w:w="1024" w:type="dxa"/>
          </w:tcPr>
          <w:p w14:paraId="47FE245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Brendan Buckley,2009</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{"citationID":"8tjAcDu3","properties":{"formattedCitation":"(19)","plainCitation":"(19)","noteIndex":0},"citationItems":[{"id":463,"uris":["http://zotero.org/users/11013403/items/8KLEHJ59"],"itemData":{"id":463,"type":"article-journal","abstract":"In Ireland, cardiovascular disease is a major cause of death. However, blood pressure (BP) goal achievement is unsatisfactory. The authors aimed to document  BP control and increase awareness. A total of 1534 patients were enrolled in the  study, with a mean age of 64.7+/-11.9 years (53.8% women). Duration of  hypertension was 8.7+/-7.7 years, and 14.6% had diabetes, 13.8% had coronary  artery disease, and 40.5% were taking antihypertensive monotherapy. beta-Blockers  (39.8%), angiotensin-converting enzyme inhibitors (32.2%), and angiotensin  receptor blockers (22.0%) were prescribed most frequently. Mean BP was  136.0+/-6.1 mm Hg/89.5+/-5.0 mm Hg in nondiabetic patients (48.6% &lt;140/90 mm Hg)  and 131.0+/-7.4 mm Hg/81.7+/-4.6 mm Hg in diabetic patients (16.7% &lt;130/80 mm  Hg). Diet, exercise, and lifestyle modifications (63.5%) were frequently  recommended. Increased patient awareness and compliance together with the  adherence of physicians to current guidelines and greater willingness to take  action in patients with uncontrolled hypertension should help in improving BP  control and thus reduce cardiovascular risk.","container-title":"Journal of clinical hypertension (Greenwich, Conn.)","DOI":"10.1111/j.1751-7176.2009.00151.x","ISSN":"1751-7176 1524-6175","issue":"8","journalAbbreviation":"J Clin Hypertens (Greenwich)","language":"eng","note":"number: 8\npublisher-place: United States\nPMID: 19695031 \nPMCID: PMC8673068","page":"432-440","title":"Blood pressure control in hypertensive patients in Irish primary care practices.","volume":"11","author":[{"family":"Buckley","given":"Brendan"},{"family":"Shanahan","given":"Eamonn"},{"family":"Colwell","given":"Niall"},{"family":"Turgonyi","given":"Eva"},{"family":"Bramlage","given":"Peter"},{"family":"Perry","given":"Ivan J."}],"issued":{"date-parts":[["2009",8]]}}}],"schema":"https://github.com/citation-style-language/schema/raw/master/csl-citation.json"}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(19)</w:t>
            </w:r>
            <w:r w:rsidRPr="00524541">
              <w:rPr>
                <w:rFonts w:asciiTheme="majorBidi" w:hAnsiTheme="majorBidi" w:cstheme="majorBidi"/>
                <w:sz w:val="18"/>
                <w:szCs w:val="18"/>
              </w:rPr>
              <w:fldChar w:fldCharType="end"/>
            </w:r>
          </w:p>
        </w:tc>
        <w:tc>
          <w:tcPr>
            <w:tcW w:w="1035" w:type="dxa"/>
          </w:tcPr>
          <w:p w14:paraId="7BC5757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138888F"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50DBBB7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18B415E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FB83B6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69CC5A2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5FAC562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7172D06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5CB26B1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3C24F0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776" w:type="dxa"/>
          </w:tcPr>
          <w:p w14:paraId="105FAAC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1281E5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3B21AFD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1663FE6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1523CF2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Good</w:t>
            </w:r>
          </w:p>
          <w:p w14:paraId="19CF9A5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(11)</w:t>
            </w:r>
          </w:p>
        </w:tc>
      </w:tr>
      <w:tr w:rsidR="00760F0D" w:rsidRPr="00524541" w14:paraId="0B1038C7" w14:textId="77777777" w:rsidTr="00CF1876">
        <w:trPr>
          <w:trHeight w:val="592"/>
        </w:trPr>
        <w:tc>
          <w:tcPr>
            <w:tcW w:w="1024" w:type="dxa"/>
          </w:tcPr>
          <w:p w14:paraId="3077D4D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 xml:space="preserve">Conor McCaughey, 2022 </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{"citationID":"9ESqMsRb","properties":{"formattedCitation":"(20)","plainCitation":"(20)","noteIndex":0},"citationItems":[{"id":2593,"uris":["http://zotero.org/users/11013403/items/HAPHU57Q"],"itemData":{"id":2593,"type":"article-journal","abstract":"BACKGROUND: Optimisation of low-density lipoprotein cholesterol (LDL-C) targets is one component of cardiac rehabilitation (CR). The 2019 European Society of  Cardiology (ESC) guidelines recommend lower LDL-C targets than those released in  2016. AIMS: To determine the proportion of patients who met 2019 LDL-C targets  and compare these to international standards; examine the effect of the  introduction of the recent ESC guidelines on target achievement. Examine the  choice of lipid lowering therapy (LLT) used in our cohort. METHODS: Retrospective  chart review of 163 patients who attended CR in 2019. Baseline LDL-C levels were  calculated where applicable. Targets achieved were compared with the contemporary  ESC guidance. Required LLT was estimated for those who were unable to meet their  LDL-C target. RESULTS: Overall, 96/163 (59%) patients met their absolute LDL-C  targets, which was favourable when compared to international standards. Fewer  patients treated using the 2019 ESC guidelines met their absolute, (63% (70/112)  vs. 51% (26/51)), or relative LDL-C 43% (22/51) targets. A high intensity statin  was prescribed in 63% (89/163) of patients and only 9% (5/163) patients were  prescribed ezetimibe therapy; increased use of these agents may have led to a  further 20% (33/162) of patients meeting their LDL-C targets. 13% (22/163) of  patients likely require PCSK9i therapy. CONCLUSIONS: Patients may be more likely  to meet LDL-C targets while enrolled in CR compared to standard care. Following  the introduction of lower absolute LDL-C targets and additional &gt; 50% LDL-C  reduction from baseline requirement, fewer patients are meeting the LDL-C targets  set out in the 2019 ESC dyslipidaemia guidelines. Additionally, many patients are  not on maximum statin therapy, ezetimibe is under-prescribed, and a  guideline-reimbursement gap exists for those who require PCSK9i therapy.","container-title":"Irish journal of medical science","DOI":"10.1007/s11845-021-02885-9","ISSN":"1863-4362 0021-1265","issue":"6","journalAbbreviation":"Ir J Med Sci","language":"eng","license":"© 2021. The Author(s), under exclusive licence to Royal Academy of Medicine in Ireland.","note":"number: 6\npublisher-place: Ireland\nPMID: 35031936 \nPMCID: PMC8760105","page":"2569-2577","title":"Dyslipidaemia management in the cardiac rehabilitation clinic of a tertiary referral centre: analysis of the impact of new ESC guidance on LDL-C target  achievement.","volume":"191","author":[{"family":"McCaughey","given":"Conor"},{"family":"Ranganathan","given":"Deepti"},{"family":"Kerins","given":"Mary"},{"family":"Murphy","given":"Gregory"},{"family":"Murphy","given":"Ross"}],"issued":{"date-parts":[["2022",12]]}}}],"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(20)</w:t>
            </w:r>
            <w:r w:rsidRPr="00524541">
              <w:rPr>
                <w:rFonts w:asciiTheme="majorBidi" w:hAnsiTheme="majorBidi" w:cstheme="majorBidi"/>
                <w:sz w:val="18"/>
                <w:szCs w:val="18"/>
              </w:rPr>
              <w:fldChar w:fldCharType="end"/>
            </w:r>
          </w:p>
        </w:tc>
        <w:tc>
          <w:tcPr>
            <w:tcW w:w="1035" w:type="dxa"/>
          </w:tcPr>
          <w:p w14:paraId="002D6F5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6A14FC4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421FE97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1208" w:type="dxa"/>
          </w:tcPr>
          <w:p w14:paraId="5D4B899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5EB25A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1910347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1DB86C1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4717085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59A8D47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3CEBBCA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776" w:type="dxa"/>
          </w:tcPr>
          <w:p w14:paraId="3AB17AA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45BB620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40ABE4E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1D796DA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566F68B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(9)</w:t>
            </w:r>
          </w:p>
        </w:tc>
      </w:tr>
      <w:tr w:rsidR="00760F0D" w:rsidRPr="00524541" w14:paraId="7AE7E6CB" w14:textId="77777777" w:rsidTr="00CF1876">
        <w:trPr>
          <w:trHeight w:val="592"/>
        </w:trPr>
        <w:tc>
          <w:tcPr>
            <w:tcW w:w="1024" w:type="dxa"/>
          </w:tcPr>
          <w:p w14:paraId="085EE20B"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A.A Syed, 2010</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{"citationID":"Gjh0dqYP","properties":{"formattedCitation":"(21)","plainCitation":"(21)","noteIndex":0},"citationItems":[{"id":491,"uris":["http://zotero.org/users/11013403/items/2DVRRD26"],"itemData":{"id":491,"type":"article-journal","abstract":"BACKGROUND: Secondary prevention pharmacotherapy in post-myocardial infarction (MI) patients reduces the risk of subsequent coronary events and overall  mortality. International guidelines recommend use of aspirin, beta-blockers, ACE  inhibitors and statins in post-MI patients. AIMS: We performed this audit to  review the compliance of prescribing practices, in a regional hospital in  Ireland, with international guidelines for secondary prevention of coronary  artery disease. METHODS: We performed a retrospective case review of 172 patients  diagnosed with MI during a 1-year period between January and December 2007.  RESULTS: A total of 134 patients fulfilled the inclusion criteria. On discharge,  aspirin was prescribed to 131 (97.76%) patients, clopidogrel to 126 (94%),  beta-blockers to 117 (87%), ACE inhibitor to 87 (65%), ARB to 10 (7%) and statins  to 116 (87%). CONCLUSION: Our audit shows that targets for prescription of  secondary prevention medications were not met in a small but significant  proportion of patients and calls for review of discharge practices and education  to improve compliance with guidelines.","container-title":"Irish journal of medical science","DOI":"10.1007/s11845-010-0527-x","ISSN":"1863-4362 0021-1265","issue":"4","journalAbbreviation":"Ir J Med Sci","language":"eng","note":"number: 4\npublisher-place: Ireland\nPMID: 20676796","page":"535-537","title":"Secondary prevention for coronary artery disease: are we following the guidelines?","volume":"179","author":[{"family":"Syed","given":"I. A. A."},{"family":"Riaz","given":"A."},{"family":"Ryan","given":"A."},{"family":"Reilly","given":"M. O."}],"issued":{"date-parts":[["2010",12]]}}}],"schema":"https://github.com/citation-style-language/schema/raw/master/csl-citation.json"}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(21)</w:t>
            </w:r>
            <w:r w:rsidRPr="00524541">
              <w:rPr>
                <w:rFonts w:asciiTheme="majorBidi" w:hAnsiTheme="majorBidi" w:cstheme="majorBidi"/>
                <w:sz w:val="18"/>
                <w:szCs w:val="18"/>
              </w:rPr>
              <w:fldChar w:fldCharType="end"/>
            </w:r>
          </w:p>
        </w:tc>
        <w:tc>
          <w:tcPr>
            <w:tcW w:w="1035" w:type="dxa"/>
          </w:tcPr>
          <w:p w14:paraId="3B1278D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4EB3B15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5EA6540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DF1939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7B6D60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2C3E894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7625AA2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1035" w:type="dxa"/>
          </w:tcPr>
          <w:p w14:paraId="1DFE9FC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4C451CF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690" w:type="dxa"/>
          </w:tcPr>
          <w:p w14:paraId="127510F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30198AE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5EF2CDA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23C97F8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042E266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7984E8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(6)</w:t>
            </w:r>
          </w:p>
        </w:tc>
      </w:tr>
      <w:tr w:rsidR="00760F0D" w:rsidRPr="00524541" w14:paraId="1FA08295" w14:textId="77777777" w:rsidTr="00CF1876">
        <w:trPr>
          <w:trHeight w:val="592"/>
        </w:trPr>
        <w:tc>
          <w:tcPr>
            <w:tcW w:w="1024" w:type="dxa"/>
          </w:tcPr>
          <w:p w14:paraId="2D8DE3C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Keating,2022</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{"citationID":"SKEe1uP2","properties":{"formattedCitation":"(22)","plainCitation":"(22)","noteIndex":0},"citationItems":[{"id":2205,"uris":["http://zotero.org/users/11013403/items/VMDFIK33"],"itemData":{"id":2205,"type":"article-journal","abstract":"OBJECTIVE: This study was undertaken to assess and evaluate adherence to secondary prevention recommendations and risk factor modifications among a  patient cohort at a single-tertiary centre in Ireland, following coronary artery  bypass grafting (CABG). METHODS: This is a retrospective observational study  analysing patients who had CABG from 2015 to 2020, identified via the Adult  Cardiac Surgery Database. Patients were asked a number of questions either over  the phone or via postal survey, regarding blood pressure, cholesterol control,  adherence to medication, attendance at cardiac-rehab and lifestyle factors. Any  repeat interventions following CABG were noted. RESULTS: A total of 540 patients  were invited to take part in this study. One hundred seventy-three patients  consented to participate, ranging from 47 to 86 years old. Postoperatively, 59%  of participants attended cardiac rehab. 90.2% of patients report taking a statin,  91.3% report taking an antiplatelet, 77.4% report taking a β-blocker and 75.7%  take an antihypertensive. 93.1% of patients questioned in this study reported  full compliance with their daily medications. Sixteen patients continue to have  hypertension despite their current regimen. Thirteen patients continue to have  hypercholesterolemia despite their current prescription. 62.4% of participants  have quit smoking with only 4.6% remaining current smokers. No patients required  re-operation, and eight patients required stenting. Compliance with diet and  exercise modifications was suboptimal. CONCLUSION: In this patient population,  adherence to medication and control of risk factors is acceptable. However, there  is room for improvement in terms of attendance at cardiac rehab (59%) and  maintenance of a healthy lifestyle post-CABG.","container-title":"Irish journal of medical science","DOI":"10.1007/s11845-022-03129-0","ISSN":"1863-4362 0021-1265","journalAbbreviation":"Ir J Med Sci","language":"eng","license":"© 2022. The Author(s), under exclusive licence to Royal Academy of Medicine in Ireland.","note":"publisher-place: Ireland\nPMID: 36002669 \nPMCID: PMC9402270","page":"1-6","title":"Adherence to secondary prevention recommendations after coronary artery bypass graft surgery.","author":[{"family":"Keating","given":"Taya"},{"family":"AlAdalieh","given":"Mohammad"},{"family":"Chughtai","given":"Zeb"},{"family":"Javadpour","given":"Seyed Hossein"}],"issued":{"date-parts":[["2022",8,25]]}}}],"schema":"https://github.com/citation-style-language/schema/raw/master/csl-citation.json"}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(22)</w:t>
            </w:r>
            <w:r w:rsidRPr="00524541">
              <w:rPr>
                <w:rFonts w:asciiTheme="majorBidi" w:hAnsiTheme="majorBidi" w:cstheme="majorBidi"/>
                <w:sz w:val="18"/>
                <w:szCs w:val="18"/>
              </w:rPr>
              <w:fldChar w:fldCharType="end"/>
            </w:r>
          </w:p>
        </w:tc>
        <w:tc>
          <w:tcPr>
            <w:tcW w:w="1035" w:type="dxa"/>
          </w:tcPr>
          <w:p w14:paraId="3767D74E"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25BBA3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2A8BA33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208" w:type="dxa"/>
          </w:tcPr>
          <w:p w14:paraId="4A016E1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33E84A0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716CF62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7C2C7A4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035" w:type="dxa"/>
          </w:tcPr>
          <w:p w14:paraId="515AF71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29C6015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2C2EA4E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776" w:type="dxa"/>
          </w:tcPr>
          <w:p w14:paraId="1479D9AA"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CD</w:t>
            </w:r>
          </w:p>
        </w:tc>
        <w:tc>
          <w:tcPr>
            <w:tcW w:w="690" w:type="dxa"/>
          </w:tcPr>
          <w:p w14:paraId="219FFFC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1223ADBD"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7DCCF396"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07" w:type="dxa"/>
          </w:tcPr>
          <w:p w14:paraId="3AA9D01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(7)</w:t>
            </w:r>
          </w:p>
        </w:tc>
      </w:tr>
      <w:tr w:rsidR="00760F0D" w:rsidRPr="00524541" w14:paraId="661D69DC" w14:textId="77777777" w:rsidTr="00CF1876">
        <w:trPr>
          <w:trHeight w:val="592"/>
        </w:trPr>
        <w:tc>
          <w:tcPr>
            <w:tcW w:w="1024" w:type="dxa"/>
          </w:tcPr>
          <w:p w14:paraId="6BBE5682" w14:textId="77777777" w:rsidR="00760F0D" w:rsidRPr="00524541" w:rsidRDefault="00760F0D" w:rsidP="00CF1876">
            <w:pPr>
              <w:spacing w:after="160" w:line="259" w:lineRule="auto"/>
              <w:rPr>
                <w:rFonts w:asciiTheme="majorBidi" w:hAnsiTheme="majorBidi" w:cstheme="majorBidi"/>
                <w:sz w:val="18"/>
                <w:szCs w:val="18"/>
              </w:rPr>
            </w:pPr>
            <w:proofErr w:type="spellStart"/>
            <w:r w:rsidRPr="00524541">
              <w:rPr>
                <w:rFonts w:asciiTheme="majorBidi" w:hAnsiTheme="majorBidi" w:cstheme="majorBidi"/>
                <w:sz w:val="18"/>
                <w:szCs w:val="18"/>
              </w:rPr>
              <w:t>Kotseva</w:t>
            </w:r>
            <w:proofErr w:type="spellEnd"/>
            <w:r w:rsidRPr="00524541">
              <w:rPr>
                <w:rFonts w:asciiTheme="majorBidi" w:hAnsiTheme="majorBidi" w:cstheme="majorBidi"/>
                <w:sz w:val="18"/>
                <w:szCs w:val="18"/>
              </w:rPr>
              <w:t>, 2001</w:t>
            </w:r>
            <w:r w:rsidRPr="00524541">
              <w:rPr>
                <w:rFonts w:asciiTheme="majorBidi" w:hAnsiTheme="majorBidi" w:cstheme="majorBidi"/>
                <w:sz w:val="18"/>
                <w:szCs w:val="18"/>
              </w:rPr>
              <w:fldChar w:fldCharType="begin"/>
            </w:r>
            <w:r w:rsidRPr="00524541">
              <w:rPr>
                <w:rFonts w:asciiTheme="majorBidi" w:hAnsiTheme="majorBidi" w:cstheme="majorBidi"/>
                <w:sz w:val="18"/>
                <w:szCs w:val="18"/>
              </w:rPr>
              <w:instrText xml:space="preserve"> ADDIN ZOTERO_ITEM CSL_CITATION {"citationID":"dxwGklWe","properties":{"formattedCitation":"(23)","plainCitation":"(23)","noteIndex":0},"citationItems":[{"id":625,"uris":["http://zotero.org/users/11013403/items/WT7VP7ET"],"itemData":{"id":625,"type":"article-journal","abstract":"AIMS: The principal aim of the second EUROASPIRE survey was to determine in patients with established coronary heart disease whether the Joint European  Societies' recommendations on coronary prevention are being followed in clinical  practice. METHODS: This survey was undertaken in 1999-2000 in 15 European  countries: Belgium, Czech Republic, Finland, France, Germany, Greece, Hungary,  Ireland, Italy, the Netherlands, Poland, Slovenia, Sweden, Spain and the U.K., in  selected geographical areas and 47 centres. Consecutive patients, men and women &lt;  or =70 years were identified retrospectively with the following diagnoses:  coronary artery bypass graft, percutaneous transluminal coronary angioplasty,  acute myocardial infarction and myocardial ischaemia. Data collection was based  on a review of medical records and interview and risk assessment at least 6  months after hospital admission. RESULTS: 8181 medical records (25% women) were  reviewed and 5556 patients (adjusted participation rate 76%) interviewed.  Recording of risk factor history and risk factor measurement in hospital notes  was incomplete, particularly for discharge documents. At interview (median time  1.4 years after hospital discharge), 21% of patients smoked cigarettes, 31% were  obese, 50% had raised blood pressure (systolic blood pressure &gt; or =140 mmHg  and/or diastolic blood pressure &gt; or =90 mmHg), 58% had elevated serum total  cholesterol (total cholesterol &gt; or =5 mmol x l(-1)) and 20% reported a medical  history of diabetes. Glucose control in these diabetic patients was poor with 87%  having plasma glucose &gt;6.0 mmol x l(-1)and 72% &gt; or =7.0 mmol x l(-1). Among the  patients interviewed the use of prophylactic drug therapies on admission, at  discharge and at interview was as follows: aspirin or other antiplatelets drugs  47%, 90% and 86%; beta-blockers 44%, 66% and 63%; ACE inhibitors 24%, 38% and  38%; and lipid-lowering drugs 26%, 43% and 61%, respectively. With the exception  of antiplatelet drugs, wide variations in the use of prophylactic drug therapies  exist between countries. CONCLUSIONS: This European survey of coronary patients  shows a high prevalence of unhealthy lifestyles, modifiable risk factors and  inadequate use of drug therapies to achieve blood pressure and lipid goals. There  is considerable potential throughout Europe to raise the standard of preventive  cardiology through more effective lifestyle intervention, control of other risk  factors and optimal use of prophylactic drug therapies in order to reduce  coronary morbidity and mortality.","container-title":"European heart journal","DOI":"10.1053/euhj.2001.2610","ISSN":"0195-668X","issue":"7","journalAbbreviation":"Eur Heart J","language":"eng","license":"Copyright 2001 The European Society of Cardiology.","note":"number: 7\npublisher-place: England\nPMID: 11259143","page":"554-572","title":"Lifestyle and risk factor management and use of drug therapies in coronary patients from 15 countries; principal results from EUROASPIRE II Euro Heart  Survey Programme.","volume":"22","issued":{"date-parts":[["2001",4]]}}}],"schema":"https://github.com/citation-style-language/schema/raw/master/csl-citation.json"} </w:instrText>
            </w:r>
            <w:r w:rsidRPr="00524541">
              <w:rPr>
                <w:rFonts w:asciiTheme="majorBidi" w:hAnsiTheme="majorBidi" w:cstheme="majorBidi"/>
                <w:sz w:val="18"/>
                <w:szCs w:val="18"/>
              </w:rPr>
              <w:fldChar w:fldCharType="separate"/>
            </w:r>
            <w:r w:rsidRPr="00524541">
              <w:rPr>
                <w:rFonts w:asciiTheme="majorBidi" w:hAnsiTheme="majorBidi" w:cstheme="majorBidi"/>
                <w:sz w:val="18"/>
                <w:szCs w:val="18"/>
              </w:rPr>
              <w:t>(23)</w:t>
            </w:r>
            <w:r w:rsidRPr="00524541">
              <w:rPr>
                <w:rFonts w:asciiTheme="majorBidi" w:hAnsiTheme="majorBidi" w:cstheme="majorBidi"/>
                <w:sz w:val="18"/>
                <w:szCs w:val="18"/>
              </w:rPr>
              <w:fldChar w:fldCharType="end"/>
            </w:r>
          </w:p>
        </w:tc>
        <w:tc>
          <w:tcPr>
            <w:tcW w:w="1035" w:type="dxa"/>
          </w:tcPr>
          <w:p w14:paraId="0009A4E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121" w:type="dxa"/>
          </w:tcPr>
          <w:p w14:paraId="0D07E625"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0314E413"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1208" w:type="dxa"/>
          </w:tcPr>
          <w:p w14:paraId="537E6AB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121" w:type="dxa"/>
          </w:tcPr>
          <w:p w14:paraId="33D1A109"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949" w:type="dxa"/>
          </w:tcPr>
          <w:p w14:paraId="0C1B9C6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776" w:type="dxa"/>
          </w:tcPr>
          <w:p w14:paraId="1A4BF5D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No</w:t>
            </w:r>
          </w:p>
        </w:tc>
        <w:tc>
          <w:tcPr>
            <w:tcW w:w="1035" w:type="dxa"/>
          </w:tcPr>
          <w:p w14:paraId="6F23B59C"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49" w:type="dxa"/>
          </w:tcPr>
          <w:p w14:paraId="47FB26D2"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090D179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776" w:type="dxa"/>
          </w:tcPr>
          <w:p w14:paraId="564EB267"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690" w:type="dxa"/>
          </w:tcPr>
          <w:p w14:paraId="241EFC40"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NR</w:t>
            </w:r>
          </w:p>
        </w:tc>
        <w:tc>
          <w:tcPr>
            <w:tcW w:w="690" w:type="dxa"/>
          </w:tcPr>
          <w:p w14:paraId="53BFED21"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NA</w:t>
            </w:r>
          </w:p>
        </w:tc>
        <w:tc>
          <w:tcPr>
            <w:tcW w:w="1121" w:type="dxa"/>
          </w:tcPr>
          <w:p w14:paraId="04F8E894"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Yes</w:t>
            </w:r>
          </w:p>
        </w:tc>
        <w:tc>
          <w:tcPr>
            <w:tcW w:w="907" w:type="dxa"/>
          </w:tcPr>
          <w:p w14:paraId="5BFF2438" w14:textId="77777777" w:rsidR="00760F0D" w:rsidRPr="00524541" w:rsidRDefault="00760F0D" w:rsidP="00CF1876">
            <w:pPr>
              <w:spacing w:after="160" w:line="259" w:lineRule="auto"/>
              <w:rPr>
                <w:rFonts w:asciiTheme="majorBidi" w:hAnsiTheme="majorBidi" w:cstheme="majorBidi"/>
                <w:sz w:val="18"/>
                <w:szCs w:val="18"/>
              </w:rPr>
            </w:pPr>
            <w:r w:rsidRPr="00524541">
              <w:rPr>
                <w:rFonts w:asciiTheme="majorBidi" w:hAnsiTheme="majorBidi" w:cstheme="majorBidi"/>
                <w:sz w:val="18"/>
                <w:szCs w:val="18"/>
              </w:rPr>
              <w:t>Fair (8)</w:t>
            </w:r>
          </w:p>
        </w:tc>
      </w:tr>
    </w:tbl>
    <w:p w14:paraId="1172FDE2" w14:textId="4DFECC72" w:rsidR="00760F0D" w:rsidRPr="00524541" w:rsidRDefault="00760F0D" w:rsidP="00760F0D">
      <w:pPr>
        <w:rPr>
          <w:rFonts w:asciiTheme="majorBidi" w:hAnsiTheme="majorBidi" w:cstheme="majorBidi"/>
          <w:b/>
          <w:bCs/>
          <w:sz w:val="18"/>
          <w:szCs w:val="18"/>
        </w:rPr>
      </w:pPr>
      <w:r w:rsidRPr="00524541">
        <w:rPr>
          <w:rFonts w:asciiTheme="majorBidi" w:hAnsiTheme="majorBidi" w:cstheme="majorBidi"/>
          <w:b/>
          <w:bCs/>
          <w:sz w:val="18"/>
          <w:szCs w:val="18"/>
        </w:rPr>
        <w:t xml:space="preserve">Quality was rated for poor (0–4 out of 14 questions), for fair (5–10 out of 14 questions), or for good (11–14 out of 14 questions); NA: not applicable, NR: not reported </w:t>
      </w:r>
      <w:r w:rsidRPr="00524541">
        <w:rPr>
          <w:rFonts w:asciiTheme="majorBidi" w:hAnsiTheme="majorBidi" w:cstheme="majorBidi"/>
          <w:b/>
          <w:bCs/>
          <w:sz w:val="18"/>
          <w:szCs w:val="18"/>
        </w:rPr>
        <w:fldChar w:fldCharType="begin"/>
      </w:r>
      <w:r w:rsidRPr="00524541">
        <w:rPr>
          <w:rFonts w:asciiTheme="majorBidi" w:hAnsiTheme="majorBidi" w:cstheme="majorBidi"/>
          <w:b/>
          <w:bCs/>
          <w:sz w:val="18"/>
          <w:szCs w:val="18"/>
        </w:rPr>
        <w:instrText xml:space="preserve"> ADDIN ZOTERO_ITEM CSL_CITATION {"citationID":"bmjAOzIh","properties":{"formattedCitation":"(24,25)","plainCitation":"(24,25)","noteIndex":0},"citationItems":[{"id":12849,"uris":["http://zotero.org/users/11013403/items/M7P2EI33"],"itemData":{"id":12849,"type":"article-journal","abstract":"Childhood obesity is a growing epidemic. Early identification of high-risk groups will allow for the development of prevention strategies. Cord blood adipocytokines have been previously examined as biomarkers predicting future obesity. We conducted a systematic review looking at the association between cord blood leptin and adiponectin with adiposity up to 5 years of age. A literature review was performed between January 1994 and August 2020 using two bibliographic databases (Medline/Pubmed and EMBASE) and was registered on PROSPERO (CRD42017069024). Studies using skinfold thickness and direct methods of assessing body composition in full term neonates were considered. Partial correlation and multiple regression models were used to present the results. Meta-analysis was performed, were possible, using a random effects model. Cochran’s Q test was used to assess heterogeneity and I2 statistics to calculate the percentage of variation across studies. The potential for publication bias was assessed using funnel plots. Data from 22 studies were retrieved and reviewed by two independent reviewers. Cord blood leptin was positively associated with adiposity at birth (r = 0.487; 95% CI: 0.444, 0.531) but was inversely related to adiposity up to 3 years of age. The association was not sustained at 5 years. There was a weak positive association between adiponectin in cord blood and adiposity at birth (r = 0.201; 95% CI: 0.125, 0.277). No correlation was found between cord blood adiponectin in young children, but data were limited. This review supports that cord blood leptin and adiponectin are associated with adiposity at birth. The results of this study provide insight into the role of adipocytokines at birth on future metabolic health and their potential use as risk stratification tools.","container-title":"International Journal of Environmental Research and Public Health","DOI":"10.3390/ijerph18041897","ISSN":"1660-4601","issue":"4","title":"Cord Blood Adipocytokines and Body Composition in Early Childhood: A Systematic Review and Meta-Analysis","volume":"18","author":[{"family":"Bagias","given":"Christos"},{"family":"Sukumar","given":"Nithya"},{"family":"Weldeselassie","given":"Yonas"},{"family":"Oyebode","given":"Oyinlola"},{"family":"Saravanan","given":"Ponnusamy"}],"issued":{"date-parts":[["2021"]]}},"label":"page"},{"id":12800,"uris":["http://zotero.org/users/11013403/items/NUQRUSMV"],"itemData":{"id":12800,"type":"standard","title":"the National Heart, Lung, and Blood Institute Quality Assessment Tool for Observational Cohort  and Cross-sectional Studies. (Accessed May 2023)","URL":"https://www.nhlbi.nih.gov/health-topics/study-quality-assessment-tools","version":"2021"},"label":"page"}],"schema":"https://github.com/citation-style-language/schema/raw/master/csl-citation.json"} </w:instrText>
      </w:r>
      <w:r w:rsidRPr="00524541">
        <w:rPr>
          <w:rFonts w:asciiTheme="majorBidi" w:hAnsiTheme="majorBidi" w:cstheme="majorBidi"/>
          <w:b/>
          <w:bCs/>
          <w:sz w:val="18"/>
          <w:szCs w:val="18"/>
        </w:rPr>
        <w:fldChar w:fldCharType="separate"/>
      </w:r>
      <w:r w:rsidRPr="00524541">
        <w:rPr>
          <w:rFonts w:asciiTheme="majorBidi" w:hAnsiTheme="majorBidi" w:cstheme="majorBidi"/>
          <w:b/>
          <w:bCs/>
          <w:sz w:val="18"/>
          <w:szCs w:val="18"/>
        </w:rPr>
        <w:t>(24,25)</w:t>
      </w:r>
      <w:r w:rsidRPr="00524541">
        <w:rPr>
          <w:rFonts w:asciiTheme="majorBidi" w:hAnsiTheme="majorBidi" w:cstheme="majorBidi"/>
          <w:b/>
          <w:bCs/>
          <w:sz w:val="18"/>
          <w:szCs w:val="18"/>
        </w:rPr>
        <w:fldChar w:fldCharType="end"/>
      </w:r>
      <w:r w:rsidRPr="00524541">
        <w:rPr>
          <w:rFonts w:asciiTheme="majorBidi" w:hAnsiTheme="majorBidi" w:cstheme="majorBidi"/>
          <w:b/>
          <w:bCs/>
          <w:sz w:val="18"/>
          <w:szCs w:val="18"/>
        </w:rPr>
        <w:t>.</w:t>
      </w:r>
    </w:p>
    <w:p w14:paraId="5192DE89" w14:textId="77777777" w:rsidR="00100AAE" w:rsidRDefault="00100AAE"/>
    <w:p w14:paraId="38C744F9" w14:textId="77777777" w:rsidR="00D8271B" w:rsidRDefault="00D8271B"/>
    <w:p w14:paraId="5A30728F" w14:textId="77777777" w:rsidR="00D8271B" w:rsidRDefault="00D8271B"/>
    <w:p w14:paraId="31398E96" w14:textId="77777777" w:rsidR="00D8271B" w:rsidRDefault="00D8271B"/>
    <w:p w14:paraId="4C538634" w14:textId="77777777" w:rsidR="00D8271B" w:rsidRDefault="00D8271B"/>
    <w:p w14:paraId="15C7477C" w14:textId="77777777" w:rsidR="00D8271B" w:rsidRDefault="00D8271B"/>
    <w:p w14:paraId="4DB93A36" w14:textId="77777777" w:rsidR="00D8271B" w:rsidRDefault="00D8271B"/>
    <w:p w14:paraId="72F817BB" w14:textId="77777777" w:rsidR="00D8271B" w:rsidRDefault="00D8271B"/>
    <w:p w14:paraId="51E9A377" w14:textId="41DB733F" w:rsidR="00D8271B" w:rsidRDefault="002475D4">
      <w:r>
        <w:lastRenderedPageBreak/>
        <w:t xml:space="preserve">Reference: </w:t>
      </w:r>
    </w:p>
    <w:p w14:paraId="130647D3" w14:textId="77777777" w:rsidR="00D92FCF" w:rsidRPr="00D92FCF" w:rsidRDefault="00D92FCF" w:rsidP="00D92FCF">
      <w:pPr>
        <w:pStyle w:val="Bibliography"/>
        <w:rPr>
          <w:rFonts w:ascii="Aptos" w:hAnsi="Aptos"/>
        </w:rPr>
      </w:pPr>
      <w:r>
        <w:fldChar w:fldCharType="begin"/>
      </w:r>
      <w:r>
        <w:instrText xml:space="preserve"> ADDIN ZOTERO_BIBL {"uncited":[],"omitted":[],"custom":[]} CSL_BIBLIOGRAPHY </w:instrText>
      </w:r>
      <w:r>
        <w:fldChar w:fldCharType="separate"/>
      </w:r>
      <w:r w:rsidRPr="00D92FCF">
        <w:rPr>
          <w:rFonts w:ascii="Aptos" w:hAnsi="Aptos"/>
        </w:rPr>
        <w:t>1.</w:t>
      </w:r>
      <w:r w:rsidRPr="00D92FCF">
        <w:rPr>
          <w:rFonts w:ascii="Aptos" w:hAnsi="Aptos"/>
        </w:rPr>
        <w:tab/>
        <w:t xml:space="preserve">Offiah G, O’Connor C, Kennedy C, Gallagher J, O’Connor P, McAdam B, et al. The DA VINCI study: is Ireland achieving ESC/EAS guideline-directed LDL-C goals? </w:t>
      </w:r>
      <w:proofErr w:type="spellStart"/>
      <w:r w:rsidRPr="00D92FCF">
        <w:rPr>
          <w:rFonts w:ascii="Aptos" w:hAnsi="Aptos"/>
        </w:rPr>
        <w:t>Ir</w:t>
      </w:r>
      <w:proofErr w:type="spellEnd"/>
      <w:r w:rsidRPr="00D92FCF">
        <w:rPr>
          <w:rFonts w:ascii="Aptos" w:hAnsi="Aptos"/>
        </w:rPr>
        <w:t xml:space="preserve"> J Med Sci [Internet]. 2022 Jul 1; Available from: https://www.scopus.com/inward/record.uri?eid=2-s2.0-85133257089&amp;doi=10.1007%2fs11845-022-03050-6&amp;partnerID=40&amp;md5=66d49f0377acba1c047ce56ac51294cc</w:t>
      </w:r>
    </w:p>
    <w:p w14:paraId="72FE3301" w14:textId="77777777" w:rsidR="00D92FCF" w:rsidRPr="00D92FCF" w:rsidRDefault="00D92FCF" w:rsidP="00D92FCF">
      <w:pPr>
        <w:pStyle w:val="Bibliography"/>
        <w:rPr>
          <w:rFonts w:ascii="Aptos" w:hAnsi="Aptos"/>
        </w:rPr>
      </w:pPr>
      <w:r w:rsidRPr="00D92FCF">
        <w:rPr>
          <w:rFonts w:ascii="Aptos" w:hAnsi="Aptos"/>
        </w:rPr>
        <w:t>2.</w:t>
      </w:r>
      <w:r w:rsidRPr="00D92FCF">
        <w:rPr>
          <w:rFonts w:ascii="Aptos" w:hAnsi="Aptos"/>
        </w:rPr>
        <w:tab/>
        <w:t xml:space="preserve">Dunne M, Mac </w:t>
      </w:r>
      <w:proofErr w:type="spellStart"/>
      <w:r w:rsidRPr="00D92FCF">
        <w:rPr>
          <w:rFonts w:ascii="Aptos" w:hAnsi="Aptos"/>
        </w:rPr>
        <w:t>Ananey</w:t>
      </w:r>
      <w:proofErr w:type="spellEnd"/>
      <w:r w:rsidRPr="00D92FCF">
        <w:rPr>
          <w:rFonts w:ascii="Aptos" w:hAnsi="Aptos"/>
        </w:rPr>
        <w:t xml:space="preserve"> O, Markham C, Maher V. Lipid targets in clinical practice: Successes, failures and lessons to be learned. Irish Journal of Medical Science. 2013;182(4):673–8. </w:t>
      </w:r>
    </w:p>
    <w:p w14:paraId="1CF7A6E6" w14:textId="77777777" w:rsidR="00D92FCF" w:rsidRPr="00D92FCF" w:rsidRDefault="00D92FCF" w:rsidP="00D92FCF">
      <w:pPr>
        <w:pStyle w:val="Bibliography"/>
        <w:rPr>
          <w:rFonts w:ascii="Aptos" w:hAnsi="Aptos"/>
        </w:rPr>
      </w:pPr>
      <w:r w:rsidRPr="00D92FCF">
        <w:rPr>
          <w:rFonts w:ascii="Aptos" w:hAnsi="Aptos"/>
        </w:rPr>
        <w:t>3.</w:t>
      </w:r>
      <w:r w:rsidRPr="00D92FCF">
        <w:rPr>
          <w:rFonts w:ascii="Aptos" w:hAnsi="Aptos"/>
        </w:rPr>
        <w:tab/>
        <w:t xml:space="preserve">Hayes P, Casey M, Glynn LG, Molloy GJ, Durand H, O’Brien E, et al. Measuring adherence to therapy in apparent treatment-resistant hypertension: a feasibility study in Irish primary care. Br J Gen </w:t>
      </w:r>
      <w:proofErr w:type="spellStart"/>
      <w:r w:rsidRPr="00D92FCF">
        <w:rPr>
          <w:rFonts w:ascii="Aptos" w:hAnsi="Aptos"/>
        </w:rPr>
        <w:t>Pract</w:t>
      </w:r>
      <w:proofErr w:type="spellEnd"/>
      <w:r w:rsidRPr="00D92FCF">
        <w:rPr>
          <w:rFonts w:ascii="Aptos" w:hAnsi="Aptos"/>
        </w:rPr>
        <w:t xml:space="preserve">. 2019 Sep;69(686):e621–8. </w:t>
      </w:r>
    </w:p>
    <w:p w14:paraId="63CA9101" w14:textId="77777777" w:rsidR="00D92FCF" w:rsidRPr="00D92FCF" w:rsidRDefault="00D92FCF" w:rsidP="00D92FCF">
      <w:pPr>
        <w:pStyle w:val="Bibliography"/>
        <w:rPr>
          <w:rFonts w:ascii="Aptos" w:hAnsi="Aptos"/>
        </w:rPr>
      </w:pPr>
      <w:r w:rsidRPr="00D92FCF">
        <w:rPr>
          <w:rFonts w:ascii="Aptos" w:hAnsi="Aptos"/>
        </w:rPr>
        <w:t>4.</w:t>
      </w:r>
      <w:r w:rsidRPr="00D92FCF">
        <w:rPr>
          <w:rFonts w:ascii="Aptos" w:hAnsi="Aptos"/>
        </w:rPr>
        <w:tab/>
        <w:t xml:space="preserve">Dillon P, Smith SM, Gallagher P, Cousins G. Impact of financial burden, resulting from prescription co-payments, on antihypertensive medication adherence in an older </w:t>
      </w:r>
      <w:proofErr w:type="spellStart"/>
      <w:r w:rsidRPr="00D92FCF">
        <w:rPr>
          <w:rFonts w:ascii="Aptos" w:hAnsi="Aptos"/>
        </w:rPr>
        <w:t>publically</w:t>
      </w:r>
      <w:proofErr w:type="spellEnd"/>
      <w:r w:rsidRPr="00D92FCF">
        <w:rPr>
          <w:rFonts w:ascii="Aptos" w:hAnsi="Aptos"/>
        </w:rPr>
        <w:t xml:space="preserve"> insured population. BMC Public Health. 2018 Nov 20;18(1):1282. </w:t>
      </w:r>
    </w:p>
    <w:p w14:paraId="6D29D031" w14:textId="77777777" w:rsidR="00D92FCF" w:rsidRPr="00D92FCF" w:rsidRDefault="00D92FCF" w:rsidP="00D92FCF">
      <w:pPr>
        <w:pStyle w:val="Bibliography"/>
        <w:rPr>
          <w:rFonts w:ascii="Aptos" w:hAnsi="Aptos"/>
        </w:rPr>
      </w:pPr>
      <w:r w:rsidRPr="00D92FCF">
        <w:rPr>
          <w:rFonts w:ascii="Aptos" w:hAnsi="Aptos"/>
        </w:rPr>
        <w:t>5.</w:t>
      </w:r>
      <w:r w:rsidRPr="00D92FCF">
        <w:rPr>
          <w:rFonts w:ascii="Aptos" w:hAnsi="Aptos"/>
        </w:rPr>
        <w:tab/>
        <w:t xml:space="preserve">Kim S, Bennett K, Wallace E, Fahey T, Cahir C. Measuring medication adherence in older community-dwelling patients with multimorbidity. </w:t>
      </w:r>
      <w:proofErr w:type="spellStart"/>
      <w:r w:rsidRPr="00D92FCF">
        <w:rPr>
          <w:rFonts w:ascii="Aptos" w:hAnsi="Aptos"/>
        </w:rPr>
        <w:t>Eur</w:t>
      </w:r>
      <w:proofErr w:type="spellEnd"/>
      <w:r w:rsidRPr="00D92FCF">
        <w:rPr>
          <w:rFonts w:ascii="Aptos" w:hAnsi="Aptos"/>
        </w:rPr>
        <w:t xml:space="preserve"> J Clin </w:t>
      </w:r>
      <w:proofErr w:type="spellStart"/>
      <w:r w:rsidRPr="00D92FCF">
        <w:rPr>
          <w:rFonts w:ascii="Aptos" w:hAnsi="Aptos"/>
        </w:rPr>
        <w:t>Pharmacol</w:t>
      </w:r>
      <w:proofErr w:type="spellEnd"/>
      <w:r w:rsidRPr="00D92FCF">
        <w:rPr>
          <w:rFonts w:ascii="Aptos" w:hAnsi="Aptos"/>
        </w:rPr>
        <w:t xml:space="preserve">. 2018 Mar;74(3):357–64. </w:t>
      </w:r>
    </w:p>
    <w:p w14:paraId="7824D92A" w14:textId="77777777" w:rsidR="00D92FCF" w:rsidRPr="00D92FCF" w:rsidRDefault="00D92FCF" w:rsidP="00D92FCF">
      <w:pPr>
        <w:pStyle w:val="Bibliography"/>
        <w:rPr>
          <w:rFonts w:ascii="Aptos" w:hAnsi="Aptos"/>
        </w:rPr>
      </w:pPr>
      <w:r w:rsidRPr="00D92FCF">
        <w:rPr>
          <w:rFonts w:ascii="Aptos" w:hAnsi="Aptos"/>
        </w:rPr>
        <w:t>6.</w:t>
      </w:r>
      <w:r w:rsidRPr="00D92FCF">
        <w:rPr>
          <w:rFonts w:ascii="Aptos" w:hAnsi="Aptos"/>
        </w:rPr>
        <w:tab/>
        <w:t xml:space="preserve">Murphy SJX, Coughlan CA, Tobin O, Kinsella J, Lonergan R, Gutkin M, et al. Continuation and adherence rates on initially-prescribed intensive secondary prevention therapy after Rapid Access Stroke Prevention (RASP) service  assessment. J Neurol Sci. 2016 Feb 15;361:13–8. </w:t>
      </w:r>
    </w:p>
    <w:p w14:paraId="38AC19B8" w14:textId="77777777" w:rsidR="00D92FCF" w:rsidRPr="00D92FCF" w:rsidRDefault="00D92FCF" w:rsidP="00D92FCF">
      <w:pPr>
        <w:pStyle w:val="Bibliography"/>
        <w:rPr>
          <w:rFonts w:ascii="Aptos" w:hAnsi="Aptos"/>
        </w:rPr>
      </w:pPr>
      <w:r w:rsidRPr="00D92FCF">
        <w:rPr>
          <w:rFonts w:ascii="Aptos" w:hAnsi="Aptos"/>
        </w:rPr>
        <w:t>7.</w:t>
      </w:r>
      <w:r w:rsidRPr="00D92FCF">
        <w:rPr>
          <w:rFonts w:ascii="Aptos" w:hAnsi="Aptos"/>
        </w:rPr>
        <w:tab/>
      </w:r>
      <w:proofErr w:type="spellStart"/>
      <w:r w:rsidRPr="00D92FCF">
        <w:rPr>
          <w:rFonts w:ascii="Aptos" w:hAnsi="Aptos"/>
        </w:rPr>
        <w:t>Curneen</w:t>
      </w:r>
      <w:proofErr w:type="spellEnd"/>
      <w:r w:rsidRPr="00D92FCF">
        <w:rPr>
          <w:rFonts w:ascii="Aptos" w:hAnsi="Aptos"/>
        </w:rPr>
        <w:t xml:space="preserve"> JMG, Rabbitt L, Browne D, O’Donoghue DF, Alansari Y, </w:t>
      </w:r>
      <w:proofErr w:type="spellStart"/>
      <w:r w:rsidRPr="00D92FCF">
        <w:rPr>
          <w:rFonts w:ascii="Aptos" w:hAnsi="Aptos"/>
        </w:rPr>
        <w:t>Harhen</w:t>
      </w:r>
      <w:proofErr w:type="spellEnd"/>
      <w:r w:rsidRPr="00D92FCF">
        <w:rPr>
          <w:rFonts w:ascii="Aptos" w:hAnsi="Aptos"/>
        </w:rPr>
        <w:t xml:space="preserve"> B, et al. Major disparities in patient-reported adherence compared to objective assessment of adherence using mass spectrometry: A prospective study in a tertiary-referral  hypertension clinic. Br J Clin </w:t>
      </w:r>
      <w:proofErr w:type="spellStart"/>
      <w:r w:rsidRPr="00D92FCF">
        <w:rPr>
          <w:rFonts w:ascii="Aptos" w:hAnsi="Aptos"/>
        </w:rPr>
        <w:t>Pharmacol</w:t>
      </w:r>
      <w:proofErr w:type="spellEnd"/>
      <w:r w:rsidRPr="00D92FCF">
        <w:rPr>
          <w:rFonts w:ascii="Aptos" w:hAnsi="Aptos"/>
        </w:rPr>
        <w:t xml:space="preserve">. 2022 Feb 23; </w:t>
      </w:r>
    </w:p>
    <w:p w14:paraId="3D636C41" w14:textId="77777777" w:rsidR="00D92FCF" w:rsidRPr="00D92FCF" w:rsidRDefault="00D92FCF" w:rsidP="00D92FCF">
      <w:pPr>
        <w:pStyle w:val="Bibliography"/>
        <w:rPr>
          <w:rFonts w:ascii="Aptos" w:hAnsi="Aptos"/>
        </w:rPr>
      </w:pPr>
      <w:r w:rsidRPr="00D92FCF">
        <w:rPr>
          <w:rFonts w:ascii="Aptos" w:hAnsi="Aptos"/>
        </w:rPr>
        <w:t>8.</w:t>
      </w:r>
      <w:r w:rsidRPr="00D92FCF">
        <w:rPr>
          <w:rFonts w:ascii="Aptos" w:hAnsi="Aptos"/>
        </w:rPr>
        <w:tab/>
        <w:t xml:space="preserve">Dillon P, Smith SM, Gallagher P, Cousins G. The association between pharmacy refill-adherence metrics and healthcare </w:t>
      </w:r>
      <w:proofErr w:type="spellStart"/>
      <w:r w:rsidRPr="00D92FCF">
        <w:rPr>
          <w:rFonts w:ascii="Aptos" w:hAnsi="Aptos"/>
        </w:rPr>
        <w:t>utilisation</w:t>
      </w:r>
      <w:proofErr w:type="spellEnd"/>
      <w:r w:rsidRPr="00D92FCF">
        <w:rPr>
          <w:rFonts w:ascii="Aptos" w:hAnsi="Aptos"/>
        </w:rPr>
        <w:t xml:space="preserve">: a prospective cohort study of older hypertensive adults. Int J Pharm </w:t>
      </w:r>
      <w:proofErr w:type="spellStart"/>
      <w:r w:rsidRPr="00D92FCF">
        <w:rPr>
          <w:rFonts w:ascii="Aptos" w:hAnsi="Aptos"/>
        </w:rPr>
        <w:t>Pract</w:t>
      </w:r>
      <w:proofErr w:type="spellEnd"/>
      <w:r w:rsidRPr="00D92FCF">
        <w:rPr>
          <w:rFonts w:ascii="Aptos" w:hAnsi="Aptos"/>
        </w:rPr>
        <w:t xml:space="preserve">. 2019 Oct;27(5):459–67. </w:t>
      </w:r>
    </w:p>
    <w:p w14:paraId="2A3CCD3C" w14:textId="77777777" w:rsidR="00D92FCF" w:rsidRPr="00D92FCF" w:rsidRDefault="00D92FCF" w:rsidP="00D92FCF">
      <w:pPr>
        <w:pStyle w:val="Bibliography"/>
        <w:rPr>
          <w:rFonts w:ascii="Aptos" w:hAnsi="Aptos"/>
        </w:rPr>
      </w:pPr>
      <w:r w:rsidRPr="00D92FCF">
        <w:rPr>
          <w:rFonts w:ascii="Aptos" w:hAnsi="Aptos"/>
        </w:rPr>
        <w:t>9.</w:t>
      </w:r>
      <w:r w:rsidRPr="00D92FCF">
        <w:rPr>
          <w:rFonts w:ascii="Aptos" w:hAnsi="Aptos"/>
        </w:rPr>
        <w:tab/>
        <w:t xml:space="preserve">Walsh CA, Cahir C, Bennett KE. Association between adherence to antihypertensive medications and health outcomes in middle and older aged community dwelling adults; results from the Irish  longitudinal study on ageing. </w:t>
      </w:r>
      <w:proofErr w:type="spellStart"/>
      <w:r w:rsidRPr="00D92FCF">
        <w:rPr>
          <w:rFonts w:ascii="Aptos" w:hAnsi="Aptos"/>
        </w:rPr>
        <w:t>Eur</w:t>
      </w:r>
      <w:proofErr w:type="spellEnd"/>
      <w:r w:rsidRPr="00D92FCF">
        <w:rPr>
          <w:rFonts w:ascii="Aptos" w:hAnsi="Aptos"/>
        </w:rPr>
        <w:t xml:space="preserve"> J Clin </w:t>
      </w:r>
      <w:proofErr w:type="spellStart"/>
      <w:r w:rsidRPr="00D92FCF">
        <w:rPr>
          <w:rFonts w:ascii="Aptos" w:hAnsi="Aptos"/>
        </w:rPr>
        <w:t>Pharmacol</w:t>
      </w:r>
      <w:proofErr w:type="spellEnd"/>
      <w:r w:rsidRPr="00D92FCF">
        <w:rPr>
          <w:rFonts w:ascii="Aptos" w:hAnsi="Aptos"/>
        </w:rPr>
        <w:t xml:space="preserve">. 2019 Sep;75(9):1283–92. </w:t>
      </w:r>
    </w:p>
    <w:p w14:paraId="799A458B" w14:textId="77777777" w:rsidR="00D92FCF" w:rsidRPr="00D92FCF" w:rsidRDefault="00D92FCF" w:rsidP="00D92FCF">
      <w:pPr>
        <w:pStyle w:val="Bibliography"/>
        <w:rPr>
          <w:rFonts w:ascii="Aptos" w:hAnsi="Aptos"/>
        </w:rPr>
      </w:pPr>
      <w:r w:rsidRPr="00D92FCF">
        <w:rPr>
          <w:rFonts w:ascii="Aptos" w:hAnsi="Aptos"/>
        </w:rPr>
        <w:t>10.</w:t>
      </w:r>
      <w:r w:rsidRPr="00D92FCF">
        <w:rPr>
          <w:rFonts w:ascii="Aptos" w:hAnsi="Aptos"/>
        </w:rPr>
        <w:tab/>
        <w:t xml:space="preserve">Bermingham M, Hayden J, Dawkins I, Miwa S, Gibson D, McDonald K, et al. Prospective analysis of LDL-C goal achievement and self-reported medication adherence among statin users in primary care. Clin Ther. 2011 Sep;33(9):1180–9. </w:t>
      </w:r>
    </w:p>
    <w:p w14:paraId="2E6AE207" w14:textId="77777777" w:rsidR="00D92FCF" w:rsidRPr="00D92FCF" w:rsidRDefault="00D92FCF" w:rsidP="00D92FCF">
      <w:pPr>
        <w:pStyle w:val="Bibliography"/>
        <w:rPr>
          <w:rFonts w:ascii="Aptos" w:hAnsi="Aptos"/>
        </w:rPr>
      </w:pPr>
      <w:r w:rsidRPr="00D92FCF">
        <w:rPr>
          <w:rFonts w:ascii="Aptos" w:hAnsi="Aptos"/>
        </w:rPr>
        <w:lastRenderedPageBreak/>
        <w:t>11.</w:t>
      </w:r>
      <w:r w:rsidRPr="00D92FCF">
        <w:rPr>
          <w:rFonts w:ascii="Aptos" w:hAnsi="Aptos"/>
        </w:rPr>
        <w:tab/>
        <w:t xml:space="preserve">Ní </w:t>
      </w:r>
      <w:proofErr w:type="spellStart"/>
      <w:r w:rsidRPr="00D92FCF">
        <w:rPr>
          <w:rFonts w:ascii="Aptos" w:hAnsi="Aptos"/>
        </w:rPr>
        <w:t>Chróinín</w:t>
      </w:r>
      <w:proofErr w:type="spellEnd"/>
      <w:r w:rsidRPr="00D92FCF">
        <w:rPr>
          <w:rFonts w:ascii="Aptos" w:hAnsi="Aptos"/>
        </w:rPr>
        <w:t xml:space="preserve"> D, Ní </w:t>
      </w:r>
      <w:proofErr w:type="spellStart"/>
      <w:r w:rsidRPr="00D92FCF">
        <w:rPr>
          <w:rFonts w:ascii="Aptos" w:hAnsi="Aptos"/>
        </w:rPr>
        <w:t>Chróinín</w:t>
      </w:r>
      <w:proofErr w:type="spellEnd"/>
      <w:r w:rsidRPr="00D92FCF">
        <w:rPr>
          <w:rFonts w:ascii="Aptos" w:hAnsi="Aptos"/>
        </w:rPr>
        <w:t xml:space="preserve"> C, </w:t>
      </w:r>
      <w:proofErr w:type="spellStart"/>
      <w:r w:rsidRPr="00D92FCF">
        <w:rPr>
          <w:rFonts w:ascii="Aptos" w:hAnsi="Aptos"/>
        </w:rPr>
        <w:t>Akijian</w:t>
      </w:r>
      <w:proofErr w:type="spellEnd"/>
      <w:r w:rsidRPr="00D92FCF">
        <w:rPr>
          <w:rFonts w:ascii="Aptos" w:hAnsi="Aptos"/>
        </w:rPr>
        <w:t xml:space="preserve"> L, </w:t>
      </w:r>
      <w:proofErr w:type="spellStart"/>
      <w:r w:rsidRPr="00D92FCF">
        <w:rPr>
          <w:rFonts w:ascii="Aptos" w:hAnsi="Aptos"/>
        </w:rPr>
        <w:t>Callaly</w:t>
      </w:r>
      <w:proofErr w:type="spellEnd"/>
      <w:r w:rsidRPr="00D92FCF">
        <w:rPr>
          <w:rFonts w:ascii="Aptos" w:hAnsi="Aptos"/>
        </w:rPr>
        <w:t xml:space="preserve"> EL, Hannon N, Kelly L, et al. Suboptimal lipid management before and after </w:t>
      </w:r>
      <w:proofErr w:type="spellStart"/>
      <w:r w:rsidRPr="00D92FCF">
        <w:rPr>
          <w:rFonts w:ascii="Aptos" w:hAnsi="Aptos"/>
        </w:rPr>
        <w:t>ischaemic</w:t>
      </w:r>
      <w:proofErr w:type="spellEnd"/>
      <w:r w:rsidRPr="00D92FCF">
        <w:rPr>
          <w:rFonts w:ascii="Aptos" w:hAnsi="Aptos"/>
        </w:rPr>
        <w:t xml:space="preserve"> stroke and TIA-the North Dublin Population Stroke Study. </w:t>
      </w:r>
      <w:proofErr w:type="spellStart"/>
      <w:r w:rsidRPr="00D92FCF">
        <w:rPr>
          <w:rFonts w:ascii="Aptos" w:hAnsi="Aptos"/>
        </w:rPr>
        <w:t>Ir</w:t>
      </w:r>
      <w:proofErr w:type="spellEnd"/>
      <w:r w:rsidRPr="00D92FCF">
        <w:rPr>
          <w:rFonts w:ascii="Aptos" w:hAnsi="Aptos"/>
        </w:rPr>
        <w:t xml:space="preserve"> J Med Sci. 2018 Aug;187(3):739–46. </w:t>
      </w:r>
    </w:p>
    <w:p w14:paraId="556DFC2F" w14:textId="77777777" w:rsidR="00D92FCF" w:rsidRPr="00D92FCF" w:rsidRDefault="00D92FCF" w:rsidP="00D92FCF">
      <w:pPr>
        <w:pStyle w:val="Bibliography"/>
        <w:rPr>
          <w:rFonts w:ascii="Aptos" w:hAnsi="Aptos"/>
        </w:rPr>
      </w:pPr>
      <w:r w:rsidRPr="00D92FCF">
        <w:rPr>
          <w:rFonts w:ascii="Aptos" w:hAnsi="Aptos"/>
        </w:rPr>
        <w:t>12.</w:t>
      </w:r>
      <w:r w:rsidRPr="00D92FCF">
        <w:rPr>
          <w:rFonts w:ascii="Aptos" w:hAnsi="Aptos"/>
        </w:rPr>
        <w:tab/>
        <w:t>Murphy C, Bennett K, Fahey T, Shelley E, Graham I, Kenny RA. Statin use in adults at high risk of cardiovascular disease mortality: Cross-sectional analysis of baseline data from The Irish Longitudinal Study on Ageing (TILDA). BMJ Open [Internet]. 2015;5(7). Available from: https://www.scopus.com/inward/record.uri?eid=2-s2.0-84937197924&amp;doi=10.1136%2fbmjopen-2015-008017&amp;partnerID=40&amp;md5=d8f841a657414cd52d4a417bdbc9e3ad</w:t>
      </w:r>
    </w:p>
    <w:p w14:paraId="77708883" w14:textId="77777777" w:rsidR="00D92FCF" w:rsidRPr="00D92FCF" w:rsidRDefault="00D92FCF" w:rsidP="00D92FCF">
      <w:pPr>
        <w:pStyle w:val="Bibliography"/>
        <w:rPr>
          <w:rFonts w:ascii="Aptos" w:hAnsi="Aptos"/>
        </w:rPr>
      </w:pPr>
      <w:r w:rsidRPr="00D92FCF">
        <w:rPr>
          <w:rFonts w:ascii="Aptos" w:hAnsi="Aptos"/>
        </w:rPr>
        <w:t>13.</w:t>
      </w:r>
      <w:r w:rsidRPr="00D92FCF">
        <w:rPr>
          <w:rFonts w:ascii="Aptos" w:hAnsi="Aptos"/>
        </w:rPr>
        <w:tab/>
      </w:r>
      <w:proofErr w:type="spellStart"/>
      <w:r w:rsidRPr="00D92FCF">
        <w:rPr>
          <w:rFonts w:ascii="Aptos" w:hAnsi="Aptos"/>
        </w:rPr>
        <w:t>Kotseva</w:t>
      </w:r>
      <w:proofErr w:type="spellEnd"/>
      <w:r w:rsidRPr="00D92FCF">
        <w:rPr>
          <w:rFonts w:ascii="Aptos" w:hAnsi="Aptos"/>
        </w:rPr>
        <w:t xml:space="preserve"> K, Wood D, De Backer G, De </w:t>
      </w:r>
      <w:proofErr w:type="spellStart"/>
      <w:r w:rsidRPr="00D92FCF">
        <w:rPr>
          <w:rFonts w:ascii="Aptos" w:hAnsi="Aptos"/>
        </w:rPr>
        <w:t>Bacquer</w:t>
      </w:r>
      <w:proofErr w:type="spellEnd"/>
      <w:r w:rsidRPr="00D92FCF">
        <w:rPr>
          <w:rFonts w:ascii="Aptos" w:hAnsi="Aptos"/>
        </w:rPr>
        <w:t xml:space="preserve"> D, </w:t>
      </w:r>
      <w:proofErr w:type="spellStart"/>
      <w:r w:rsidRPr="00D92FCF">
        <w:rPr>
          <w:rFonts w:ascii="Aptos" w:hAnsi="Aptos"/>
        </w:rPr>
        <w:t>Pyörälä</w:t>
      </w:r>
      <w:proofErr w:type="spellEnd"/>
      <w:r w:rsidRPr="00D92FCF">
        <w:rPr>
          <w:rFonts w:ascii="Aptos" w:hAnsi="Aptos"/>
        </w:rPr>
        <w:t xml:space="preserve"> K, Keil U. EUROASPIRE III: A survey on the lifestyle, risk factors and use of cardioprotective drug therapies in coronary patients from 22 European countries. European Journal of Cardiovascular Prevention and Rehabilitation. 2009;16(2):121–37. </w:t>
      </w:r>
    </w:p>
    <w:p w14:paraId="333209F1" w14:textId="77777777" w:rsidR="00D92FCF" w:rsidRPr="00D92FCF" w:rsidRDefault="00D92FCF" w:rsidP="00D92FCF">
      <w:pPr>
        <w:pStyle w:val="Bibliography"/>
        <w:rPr>
          <w:rFonts w:ascii="Aptos" w:hAnsi="Aptos"/>
        </w:rPr>
      </w:pPr>
      <w:r w:rsidRPr="00D92FCF">
        <w:rPr>
          <w:rFonts w:ascii="Aptos" w:hAnsi="Aptos"/>
        </w:rPr>
        <w:t>14.</w:t>
      </w:r>
      <w:r w:rsidRPr="00D92FCF">
        <w:rPr>
          <w:rFonts w:ascii="Aptos" w:hAnsi="Aptos"/>
        </w:rPr>
        <w:tab/>
        <w:t xml:space="preserve">Okechukwu I, Mahmud A, Bennett K, Feely J. Choice of first antihypertensive--are existing guidelines ignored? Br J Clin </w:t>
      </w:r>
      <w:proofErr w:type="spellStart"/>
      <w:r w:rsidRPr="00D92FCF">
        <w:rPr>
          <w:rFonts w:ascii="Aptos" w:hAnsi="Aptos"/>
        </w:rPr>
        <w:t>Pharmacol</w:t>
      </w:r>
      <w:proofErr w:type="spellEnd"/>
      <w:r w:rsidRPr="00D92FCF">
        <w:rPr>
          <w:rFonts w:ascii="Aptos" w:hAnsi="Aptos"/>
        </w:rPr>
        <w:t xml:space="preserve">. 2007 Dec;64(6):722–5. </w:t>
      </w:r>
    </w:p>
    <w:p w14:paraId="21B4423D" w14:textId="77777777" w:rsidR="00D92FCF" w:rsidRPr="00D92FCF" w:rsidRDefault="00D92FCF" w:rsidP="00D92FCF">
      <w:pPr>
        <w:pStyle w:val="Bibliography"/>
        <w:rPr>
          <w:rFonts w:ascii="Aptos" w:hAnsi="Aptos"/>
        </w:rPr>
      </w:pPr>
      <w:r w:rsidRPr="00D92FCF">
        <w:rPr>
          <w:rFonts w:ascii="Aptos" w:hAnsi="Aptos"/>
        </w:rPr>
        <w:t>15.</w:t>
      </w:r>
      <w:r w:rsidRPr="00D92FCF">
        <w:rPr>
          <w:rFonts w:ascii="Aptos" w:hAnsi="Aptos"/>
        </w:rPr>
        <w:tab/>
      </w:r>
      <w:proofErr w:type="spellStart"/>
      <w:r w:rsidRPr="00D92FCF">
        <w:rPr>
          <w:rFonts w:ascii="Aptos" w:hAnsi="Aptos"/>
        </w:rPr>
        <w:t>Kotseva</w:t>
      </w:r>
      <w:proofErr w:type="spellEnd"/>
      <w:r w:rsidRPr="00D92FCF">
        <w:rPr>
          <w:rFonts w:ascii="Aptos" w:hAnsi="Aptos"/>
        </w:rPr>
        <w:t xml:space="preserve"> K, Wood D, De </w:t>
      </w:r>
      <w:proofErr w:type="spellStart"/>
      <w:r w:rsidRPr="00D92FCF">
        <w:rPr>
          <w:rFonts w:ascii="Aptos" w:hAnsi="Aptos"/>
        </w:rPr>
        <w:t>Bacquer</w:t>
      </w:r>
      <w:proofErr w:type="spellEnd"/>
      <w:r w:rsidRPr="00D92FCF">
        <w:rPr>
          <w:rFonts w:ascii="Aptos" w:hAnsi="Aptos"/>
        </w:rPr>
        <w:t xml:space="preserve"> D, De Backer G, Rydén L, Jennings C, et al. EUROASPIRE IV: A European Society of Cardiology survey on the lifestyle, risk factor and therapeutic management of coronary patients from 24 European  countries. </w:t>
      </w:r>
      <w:proofErr w:type="spellStart"/>
      <w:r w:rsidRPr="00D92FCF">
        <w:rPr>
          <w:rFonts w:ascii="Aptos" w:hAnsi="Aptos"/>
        </w:rPr>
        <w:t>Eur</w:t>
      </w:r>
      <w:proofErr w:type="spellEnd"/>
      <w:r w:rsidRPr="00D92FCF">
        <w:rPr>
          <w:rFonts w:ascii="Aptos" w:hAnsi="Aptos"/>
        </w:rPr>
        <w:t xml:space="preserve"> J Prev </w:t>
      </w:r>
      <w:proofErr w:type="spellStart"/>
      <w:r w:rsidRPr="00D92FCF">
        <w:rPr>
          <w:rFonts w:ascii="Aptos" w:hAnsi="Aptos"/>
        </w:rPr>
        <w:t>Cardiol</w:t>
      </w:r>
      <w:proofErr w:type="spellEnd"/>
      <w:r w:rsidRPr="00D92FCF">
        <w:rPr>
          <w:rFonts w:ascii="Aptos" w:hAnsi="Aptos"/>
        </w:rPr>
        <w:t xml:space="preserve">. 2016 Apr;23(6):636–48. </w:t>
      </w:r>
    </w:p>
    <w:p w14:paraId="1B5DCFEA" w14:textId="77777777" w:rsidR="00D92FCF" w:rsidRPr="00D92FCF" w:rsidRDefault="00D92FCF" w:rsidP="00D92FCF">
      <w:pPr>
        <w:pStyle w:val="Bibliography"/>
        <w:rPr>
          <w:rFonts w:ascii="Aptos" w:hAnsi="Aptos"/>
        </w:rPr>
      </w:pPr>
      <w:r w:rsidRPr="00D92FCF">
        <w:rPr>
          <w:rFonts w:ascii="Aptos" w:hAnsi="Aptos"/>
        </w:rPr>
        <w:t>16.</w:t>
      </w:r>
      <w:r w:rsidRPr="00D92FCF">
        <w:rPr>
          <w:rFonts w:ascii="Aptos" w:hAnsi="Aptos"/>
        </w:rPr>
        <w:tab/>
      </w:r>
      <w:proofErr w:type="spellStart"/>
      <w:r w:rsidRPr="00D92FCF">
        <w:rPr>
          <w:rFonts w:ascii="Aptos" w:hAnsi="Aptos"/>
        </w:rPr>
        <w:t>Kotseva</w:t>
      </w:r>
      <w:proofErr w:type="spellEnd"/>
      <w:r w:rsidRPr="00D92FCF">
        <w:rPr>
          <w:rFonts w:ascii="Aptos" w:hAnsi="Aptos"/>
        </w:rPr>
        <w:t xml:space="preserve"> K, </w:t>
      </w:r>
      <w:proofErr w:type="spellStart"/>
      <w:r w:rsidRPr="00D92FCF">
        <w:rPr>
          <w:rFonts w:ascii="Aptos" w:hAnsi="Aptos"/>
        </w:rPr>
        <w:t>Stagmo</w:t>
      </w:r>
      <w:proofErr w:type="spellEnd"/>
      <w:r w:rsidRPr="00D92FCF">
        <w:rPr>
          <w:rFonts w:ascii="Aptos" w:hAnsi="Aptos"/>
        </w:rPr>
        <w:t xml:space="preserve"> M, De </w:t>
      </w:r>
      <w:proofErr w:type="spellStart"/>
      <w:r w:rsidRPr="00D92FCF">
        <w:rPr>
          <w:rFonts w:ascii="Aptos" w:hAnsi="Aptos"/>
        </w:rPr>
        <w:t>Bacquer</w:t>
      </w:r>
      <w:proofErr w:type="spellEnd"/>
      <w:r w:rsidRPr="00D92FCF">
        <w:rPr>
          <w:rFonts w:ascii="Aptos" w:hAnsi="Aptos"/>
        </w:rPr>
        <w:t xml:space="preserve"> D, De Backer G, Wood D. Treatment potential for cholesterol management in patients with coronary heart disease in 15 European countries: Findings from the EUROASPIRE II survey. Atherosclerosis. 2008;197(2):710–7. </w:t>
      </w:r>
    </w:p>
    <w:p w14:paraId="78FE0EDC" w14:textId="77777777" w:rsidR="00D92FCF" w:rsidRPr="00D92FCF" w:rsidRDefault="00D92FCF" w:rsidP="00D92FCF">
      <w:pPr>
        <w:pStyle w:val="Bibliography"/>
        <w:rPr>
          <w:rFonts w:ascii="Aptos" w:hAnsi="Aptos"/>
        </w:rPr>
      </w:pPr>
      <w:r w:rsidRPr="00D92FCF">
        <w:rPr>
          <w:rFonts w:ascii="Aptos" w:hAnsi="Aptos"/>
        </w:rPr>
        <w:t>17.</w:t>
      </w:r>
      <w:r w:rsidRPr="00D92FCF">
        <w:rPr>
          <w:rFonts w:ascii="Aptos" w:hAnsi="Aptos"/>
        </w:rPr>
        <w:tab/>
      </w:r>
      <w:proofErr w:type="spellStart"/>
      <w:r w:rsidRPr="00D92FCF">
        <w:rPr>
          <w:rFonts w:ascii="Aptos" w:hAnsi="Aptos"/>
        </w:rPr>
        <w:t>Cífková</w:t>
      </w:r>
      <w:proofErr w:type="spellEnd"/>
      <w:r w:rsidRPr="00D92FCF">
        <w:rPr>
          <w:rFonts w:ascii="Aptos" w:hAnsi="Aptos"/>
        </w:rPr>
        <w:t xml:space="preserve"> R, Lánská V, </w:t>
      </w:r>
      <w:proofErr w:type="spellStart"/>
      <w:r w:rsidRPr="00D92FCF">
        <w:rPr>
          <w:rFonts w:ascii="Aptos" w:hAnsi="Aptos"/>
        </w:rPr>
        <w:t>Bruthans</w:t>
      </w:r>
      <w:proofErr w:type="spellEnd"/>
      <w:r w:rsidRPr="00D92FCF">
        <w:rPr>
          <w:rFonts w:ascii="Aptos" w:hAnsi="Aptos"/>
        </w:rPr>
        <w:t xml:space="preserve"> J, Mayer O, </w:t>
      </w:r>
      <w:proofErr w:type="spellStart"/>
      <w:r w:rsidRPr="00D92FCF">
        <w:rPr>
          <w:rFonts w:ascii="Aptos" w:hAnsi="Aptos"/>
        </w:rPr>
        <w:t>Kotseva</w:t>
      </w:r>
      <w:proofErr w:type="spellEnd"/>
      <w:r w:rsidRPr="00D92FCF">
        <w:rPr>
          <w:rFonts w:ascii="Aptos" w:hAnsi="Aptos"/>
        </w:rPr>
        <w:t xml:space="preserve"> K, Wood D, et al. Blood pressure distribution and control in coronary patients from 24 European countries in the European Society of Cardiology </w:t>
      </w:r>
      <w:proofErr w:type="spellStart"/>
      <w:r w:rsidRPr="00D92FCF">
        <w:rPr>
          <w:rFonts w:ascii="Aptos" w:hAnsi="Aptos"/>
        </w:rPr>
        <w:t>EURoObservational</w:t>
      </w:r>
      <w:proofErr w:type="spellEnd"/>
      <w:r w:rsidRPr="00D92FCF">
        <w:rPr>
          <w:rFonts w:ascii="Aptos" w:hAnsi="Aptos"/>
        </w:rPr>
        <w:t xml:space="preserve"> Research </w:t>
      </w:r>
      <w:proofErr w:type="spellStart"/>
      <w:r w:rsidRPr="00D92FCF">
        <w:rPr>
          <w:rFonts w:ascii="Aptos" w:hAnsi="Aptos"/>
        </w:rPr>
        <w:t>Programme</w:t>
      </w:r>
      <w:proofErr w:type="spellEnd"/>
      <w:r w:rsidRPr="00D92FCF">
        <w:rPr>
          <w:rFonts w:ascii="Aptos" w:hAnsi="Aptos"/>
        </w:rPr>
        <w:t xml:space="preserve"> European survey of cardiovascular disease prevention and diabetes. EUROASPIRE IV Registry. Journal of Hypertension. 2019;37(10):2015–23. </w:t>
      </w:r>
    </w:p>
    <w:p w14:paraId="458CF95E" w14:textId="77777777" w:rsidR="00D92FCF" w:rsidRPr="00D92FCF" w:rsidRDefault="00D92FCF" w:rsidP="00D92FCF">
      <w:pPr>
        <w:pStyle w:val="Bibliography"/>
        <w:rPr>
          <w:rFonts w:ascii="Aptos" w:hAnsi="Aptos"/>
        </w:rPr>
      </w:pPr>
      <w:r w:rsidRPr="00D92FCF">
        <w:rPr>
          <w:rFonts w:ascii="Aptos" w:hAnsi="Aptos"/>
        </w:rPr>
        <w:t>18.</w:t>
      </w:r>
      <w:r w:rsidRPr="00D92FCF">
        <w:rPr>
          <w:rFonts w:ascii="Aptos" w:hAnsi="Aptos"/>
        </w:rPr>
        <w:tab/>
        <w:t xml:space="preserve">Gitt AK, </w:t>
      </w:r>
      <w:proofErr w:type="spellStart"/>
      <w:r w:rsidRPr="00D92FCF">
        <w:rPr>
          <w:rFonts w:ascii="Aptos" w:hAnsi="Aptos"/>
        </w:rPr>
        <w:t>Lautsch</w:t>
      </w:r>
      <w:proofErr w:type="spellEnd"/>
      <w:r w:rsidRPr="00D92FCF">
        <w:rPr>
          <w:rFonts w:ascii="Aptos" w:hAnsi="Aptos"/>
        </w:rPr>
        <w:t xml:space="preserve"> D, </w:t>
      </w:r>
      <w:proofErr w:type="spellStart"/>
      <w:r w:rsidRPr="00D92FCF">
        <w:rPr>
          <w:rFonts w:ascii="Aptos" w:hAnsi="Aptos"/>
        </w:rPr>
        <w:t>Ferrieres</w:t>
      </w:r>
      <w:proofErr w:type="spellEnd"/>
      <w:r w:rsidRPr="00D92FCF">
        <w:rPr>
          <w:rFonts w:ascii="Aptos" w:hAnsi="Aptos"/>
        </w:rPr>
        <w:t xml:space="preserve"> J, </w:t>
      </w:r>
      <w:proofErr w:type="spellStart"/>
      <w:r w:rsidRPr="00D92FCF">
        <w:rPr>
          <w:rFonts w:ascii="Aptos" w:hAnsi="Aptos"/>
        </w:rPr>
        <w:t>Kastelein</w:t>
      </w:r>
      <w:proofErr w:type="spellEnd"/>
      <w:r w:rsidRPr="00D92FCF">
        <w:rPr>
          <w:rFonts w:ascii="Aptos" w:hAnsi="Aptos"/>
        </w:rPr>
        <w:t xml:space="preserve"> J, Drexel H, Horack M, et al. Contemporary data on low-density lipoprotein cholesterol target value attainment and distance to target in a cohort of 57,885 statin-treated patients by country and region across the world. Data in Brief. 2016 Dec 1;9:616–20. </w:t>
      </w:r>
    </w:p>
    <w:p w14:paraId="4C477745" w14:textId="77777777" w:rsidR="00D92FCF" w:rsidRPr="00D92FCF" w:rsidRDefault="00D92FCF" w:rsidP="00D92FCF">
      <w:pPr>
        <w:pStyle w:val="Bibliography"/>
        <w:rPr>
          <w:rFonts w:ascii="Aptos" w:hAnsi="Aptos"/>
        </w:rPr>
      </w:pPr>
      <w:r w:rsidRPr="00D92FCF">
        <w:rPr>
          <w:rFonts w:ascii="Aptos" w:hAnsi="Aptos"/>
        </w:rPr>
        <w:t>19.</w:t>
      </w:r>
      <w:r w:rsidRPr="00D92FCF">
        <w:rPr>
          <w:rFonts w:ascii="Aptos" w:hAnsi="Aptos"/>
        </w:rPr>
        <w:tab/>
        <w:t xml:space="preserve">Buckley B, Shanahan E, Colwell N, Turgonyi E, Bramlage P, Perry IJ. Blood pressure control in hypertensive patients in Irish primary care practices. J Clin </w:t>
      </w:r>
      <w:proofErr w:type="spellStart"/>
      <w:r w:rsidRPr="00D92FCF">
        <w:rPr>
          <w:rFonts w:ascii="Aptos" w:hAnsi="Aptos"/>
        </w:rPr>
        <w:t>Hypertens</w:t>
      </w:r>
      <w:proofErr w:type="spellEnd"/>
      <w:r w:rsidRPr="00D92FCF">
        <w:rPr>
          <w:rFonts w:ascii="Aptos" w:hAnsi="Aptos"/>
        </w:rPr>
        <w:t xml:space="preserve"> (Greenwich). 2009 Aug;11(8):432–40. </w:t>
      </w:r>
    </w:p>
    <w:p w14:paraId="6CB77006" w14:textId="77777777" w:rsidR="00D92FCF" w:rsidRPr="00D92FCF" w:rsidRDefault="00D92FCF" w:rsidP="00D92FCF">
      <w:pPr>
        <w:pStyle w:val="Bibliography"/>
        <w:rPr>
          <w:rFonts w:ascii="Aptos" w:hAnsi="Aptos"/>
        </w:rPr>
      </w:pPr>
      <w:r w:rsidRPr="00D92FCF">
        <w:rPr>
          <w:rFonts w:ascii="Aptos" w:hAnsi="Aptos"/>
        </w:rPr>
        <w:lastRenderedPageBreak/>
        <w:t>20.</w:t>
      </w:r>
      <w:r w:rsidRPr="00D92FCF">
        <w:rPr>
          <w:rFonts w:ascii="Aptos" w:hAnsi="Aptos"/>
        </w:rPr>
        <w:tab/>
        <w:t xml:space="preserve">McCaughey C, Ranganathan D, Kerins M, Murphy G, Murphy R. </w:t>
      </w:r>
      <w:proofErr w:type="spellStart"/>
      <w:r w:rsidRPr="00D92FCF">
        <w:rPr>
          <w:rFonts w:ascii="Aptos" w:hAnsi="Aptos"/>
        </w:rPr>
        <w:t>Dyslipidaemia</w:t>
      </w:r>
      <w:proofErr w:type="spellEnd"/>
      <w:r w:rsidRPr="00D92FCF">
        <w:rPr>
          <w:rFonts w:ascii="Aptos" w:hAnsi="Aptos"/>
        </w:rPr>
        <w:t xml:space="preserve"> management in the cardiac rehabilitation clinic of a tertiary referral </w:t>
      </w:r>
      <w:proofErr w:type="spellStart"/>
      <w:r w:rsidRPr="00D92FCF">
        <w:rPr>
          <w:rFonts w:ascii="Aptos" w:hAnsi="Aptos"/>
        </w:rPr>
        <w:t>centre</w:t>
      </w:r>
      <w:proofErr w:type="spellEnd"/>
      <w:r w:rsidRPr="00D92FCF">
        <w:rPr>
          <w:rFonts w:ascii="Aptos" w:hAnsi="Aptos"/>
        </w:rPr>
        <w:t xml:space="preserve">: analysis of the impact of new ESC guidance on LDL-C target  achievement. </w:t>
      </w:r>
      <w:proofErr w:type="spellStart"/>
      <w:r w:rsidRPr="00D92FCF">
        <w:rPr>
          <w:rFonts w:ascii="Aptos" w:hAnsi="Aptos"/>
        </w:rPr>
        <w:t>Ir</w:t>
      </w:r>
      <w:proofErr w:type="spellEnd"/>
      <w:r w:rsidRPr="00D92FCF">
        <w:rPr>
          <w:rFonts w:ascii="Aptos" w:hAnsi="Aptos"/>
        </w:rPr>
        <w:t xml:space="preserve"> J Med Sci. 2022 Dec;191(6):2569–77. </w:t>
      </w:r>
    </w:p>
    <w:p w14:paraId="54518DD7" w14:textId="77777777" w:rsidR="00D92FCF" w:rsidRPr="00D92FCF" w:rsidRDefault="00D92FCF" w:rsidP="00D92FCF">
      <w:pPr>
        <w:pStyle w:val="Bibliography"/>
        <w:rPr>
          <w:rFonts w:ascii="Aptos" w:hAnsi="Aptos"/>
        </w:rPr>
      </w:pPr>
      <w:r w:rsidRPr="00D92FCF">
        <w:rPr>
          <w:rFonts w:ascii="Aptos" w:hAnsi="Aptos"/>
        </w:rPr>
        <w:t>21.</w:t>
      </w:r>
      <w:r w:rsidRPr="00D92FCF">
        <w:rPr>
          <w:rFonts w:ascii="Aptos" w:hAnsi="Aptos"/>
        </w:rPr>
        <w:tab/>
        <w:t xml:space="preserve">Syed IAA, Riaz A, Ryan A, Reilly MO. Secondary prevention for coronary artery disease: are we following the guidelines? </w:t>
      </w:r>
      <w:proofErr w:type="spellStart"/>
      <w:r w:rsidRPr="00D92FCF">
        <w:rPr>
          <w:rFonts w:ascii="Aptos" w:hAnsi="Aptos"/>
        </w:rPr>
        <w:t>Ir</w:t>
      </w:r>
      <w:proofErr w:type="spellEnd"/>
      <w:r w:rsidRPr="00D92FCF">
        <w:rPr>
          <w:rFonts w:ascii="Aptos" w:hAnsi="Aptos"/>
        </w:rPr>
        <w:t xml:space="preserve"> J Med Sci. 2010 Dec;179(4):535–7. </w:t>
      </w:r>
    </w:p>
    <w:p w14:paraId="57BB4E17" w14:textId="77777777" w:rsidR="00D92FCF" w:rsidRPr="00D92FCF" w:rsidRDefault="00D92FCF" w:rsidP="00D92FCF">
      <w:pPr>
        <w:pStyle w:val="Bibliography"/>
        <w:rPr>
          <w:rFonts w:ascii="Aptos" w:hAnsi="Aptos"/>
        </w:rPr>
      </w:pPr>
      <w:r w:rsidRPr="00D92FCF">
        <w:rPr>
          <w:rFonts w:ascii="Aptos" w:hAnsi="Aptos"/>
        </w:rPr>
        <w:t>22.</w:t>
      </w:r>
      <w:r w:rsidRPr="00D92FCF">
        <w:rPr>
          <w:rFonts w:ascii="Aptos" w:hAnsi="Aptos"/>
        </w:rPr>
        <w:tab/>
        <w:t xml:space="preserve">Keating T, </w:t>
      </w:r>
      <w:proofErr w:type="spellStart"/>
      <w:r w:rsidRPr="00D92FCF">
        <w:rPr>
          <w:rFonts w:ascii="Aptos" w:hAnsi="Aptos"/>
        </w:rPr>
        <w:t>AlAdalieh</w:t>
      </w:r>
      <w:proofErr w:type="spellEnd"/>
      <w:r w:rsidRPr="00D92FCF">
        <w:rPr>
          <w:rFonts w:ascii="Aptos" w:hAnsi="Aptos"/>
        </w:rPr>
        <w:t xml:space="preserve"> M, Chughtai Z, </w:t>
      </w:r>
      <w:proofErr w:type="spellStart"/>
      <w:r w:rsidRPr="00D92FCF">
        <w:rPr>
          <w:rFonts w:ascii="Aptos" w:hAnsi="Aptos"/>
        </w:rPr>
        <w:t>Javadpour</w:t>
      </w:r>
      <w:proofErr w:type="spellEnd"/>
      <w:r w:rsidRPr="00D92FCF">
        <w:rPr>
          <w:rFonts w:ascii="Aptos" w:hAnsi="Aptos"/>
        </w:rPr>
        <w:t xml:space="preserve"> SH. Adherence to secondary prevention recommendations after coronary artery bypass graft surgery. </w:t>
      </w:r>
      <w:proofErr w:type="spellStart"/>
      <w:r w:rsidRPr="00D92FCF">
        <w:rPr>
          <w:rFonts w:ascii="Aptos" w:hAnsi="Aptos"/>
        </w:rPr>
        <w:t>Ir</w:t>
      </w:r>
      <w:proofErr w:type="spellEnd"/>
      <w:r w:rsidRPr="00D92FCF">
        <w:rPr>
          <w:rFonts w:ascii="Aptos" w:hAnsi="Aptos"/>
        </w:rPr>
        <w:t xml:space="preserve"> J Med Sci. 2022 Aug 25;1–6. </w:t>
      </w:r>
    </w:p>
    <w:p w14:paraId="47AFB227" w14:textId="77777777" w:rsidR="00D92FCF" w:rsidRPr="00D92FCF" w:rsidRDefault="00D92FCF" w:rsidP="00D92FCF">
      <w:pPr>
        <w:pStyle w:val="Bibliography"/>
        <w:rPr>
          <w:rFonts w:ascii="Aptos" w:hAnsi="Aptos"/>
        </w:rPr>
      </w:pPr>
      <w:r w:rsidRPr="00D92FCF">
        <w:rPr>
          <w:rFonts w:ascii="Aptos" w:hAnsi="Aptos"/>
        </w:rPr>
        <w:t>23.</w:t>
      </w:r>
      <w:r w:rsidRPr="00D92FCF">
        <w:rPr>
          <w:rFonts w:ascii="Aptos" w:hAnsi="Aptos"/>
        </w:rPr>
        <w:tab/>
        <w:t xml:space="preserve">Lifestyle and risk factor management and use of drug therapies in coronary patients from 15 countries; principal results from EUROASPIRE II Euro Heart  Survey </w:t>
      </w:r>
      <w:proofErr w:type="spellStart"/>
      <w:r w:rsidRPr="00D92FCF">
        <w:rPr>
          <w:rFonts w:ascii="Aptos" w:hAnsi="Aptos"/>
        </w:rPr>
        <w:t>Programme</w:t>
      </w:r>
      <w:proofErr w:type="spellEnd"/>
      <w:r w:rsidRPr="00D92FCF">
        <w:rPr>
          <w:rFonts w:ascii="Aptos" w:hAnsi="Aptos"/>
        </w:rPr>
        <w:t xml:space="preserve">. </w:t>
      </w:r>
      <w:proofErr w:type="spellStart"/>
      <w:r w:rsidRPr="00D92FCF">
        <w:rPr>
          <w:rFonts w:ascii="Aptos" w:hAnsi="Aptos"/>
        </w:rPr>
        <w:t>Eur</w:t>
      </w:r>
      <w:proofErr w:type="spellEnd"/>
      <w:r w:rsidRPr="00D92FCF">
        <w:rPr>
          <w:rFonts w:ascii="Aptos" w:hAnsi="Aptos"/>
        </w:rPr>
        <w:t xml:space="preserve"> Heart J. 2001 Apr;22(7):554–72. </w:t>
      </w:r>
    </w:p>
    <w:p w14:paraId="3A526E4A" w14:textId="77777777" w:rsidR="00D92FCF" w:rsidRPr="00D92FCF" w:rsidRDefault="00D92FCF" w:rsidP="00D92FCF">
      <w:pPr>
        <w:pStyle w:val="Bibliography"/>
        <w:rPr>
          <w:rFonts w:ascii="Aptos" w:hAnsi="Aptos"/>
        </w:rPr>
      </w:pPr>
      <w:r w:rsidRPr="00D92FCF">
        <w:rPr>
          <w:rFonts w:ascii="Aptos" w:hAnsi="Aptos"/>
        </w:rPr>
        <w:t>24.</w:t>
      </w:r>
      <w:r w:rsidRPr="00D92FCF">
        <w:rPr>
          <w:rFonts w:ascii="Aptos" w:hAnsi="Aptos"/>
        </w:rPr>
        <w:tab/>
      </w:r>
      <w:proofErr w:type="spellStart"/>
      <w:r w:rsidRPr="00D92FCF">
        <w:rPr>
          <w:rFonts w:ascii="Aptos" w:hAnsi="Aptos"/>
        </w:rPr>
        <w:t>Bagias</w:t>
      </w:r>
      <w:proofErr w:type="spellEnd"/>
      <w:r w:rsidRPr="00D92FCF">
        <w:rPr>
          <w:rFonts w:ascii="Aptos" w:hAnsi="Aptos"/>
        </w:rPr>
        <w:t xml:space="preserve"> C, Sukumar N, </w:t>
      </w:r>
      <w:proofErr w:type="spellStart"/>
      <w:r w:rsidRPr="00D92FCF">
        <w:rPr>
          <w:rFonts w:ascii="Aptos" w:hAnsi="Aptos"/>
        </w:rPr>
        <w:t>Weldeselassie</w:t>
      </w:r>
      <w:proofErr w:type="spellEnd"/>
      <w:r w:rsidRPr="00D92FCF">
        <w:rPr>
          <w:rFonts w:ascii="Aptos" w:hAnsi="Aptos"/>
        </w:rPr>
        <w:t xml:space="preserve"> Y, </w:t>
      </w:r>
      <w:proofErr w:type="spellStart"/>
      <w:r w:rsidRPr="00D92FCF">
        <w:rPr>
          <w:rFonts w:ascii="Aptos" w:hAnsi="Aptos"/>
        </w:rPr>
        <w:t>Oyebode</w:t>
      </w:r>
      <w:proofErr w:type="spellEnd"/>
      <w:r w:rsidRPr="00D92FCF">
        <w:rPr>
          <w:rFonts w:ascii="Aptos" w:hAnsi="Aptos"/>
        </w:rPr>
        <w:t xml:space="preserve"> O, Saravanan P. Cord Blood Adipocytokines and Body Composition in Early Childhood: A Systematic Review and Meta-Analysis. International Journal of Environmental Research and Public Health. 2021;18(4). </w:t>
      </w:r>
    </w:p>
    <w:p w14:paraId="075DEAD9" w14:textId="77777777" w:rsidR="00D92FCF" w:rsidRPr="00D92FCF" w:rsidRDefault="00D92FCF" w:rsidP="00D92FCF">
      <w:pPr>
        <w:pStyle w:val="Bibliography"/>
        <w:rPr>
          <w:rFonts w:ascii="Aptos" w:hAnsi="Aptos"/>
        </w:rPr>
      </w:pPr>
      <w:r w:rsidRPr="00D92FCF">
        <w:rPr>
          <w:rFonts w:ascii="Aptos" w:hAnsi="Aptos"/>
        </w:rPr>
        <w:t>25.</w:t>
      </w:r>
      <w:r w:rsidRPr="00D92FCF">
        <w:rPr>
          <w:rFonts w:ascii="Aptos" w:hAnsi="Aptos"/>
        </w:rPr>
        <w:tab/>
        <w:t>the National Heart, Lung, and Blood Institute Quality Assessment Tool for Observational Cohort  and Cross-sectional Studies. (Accessed May 2023) [Internet]. Available from: https://www.nhlbi.nih.gov/health-topics/study-quality-assessment-tools</w:t>
      </w:r>
    </w:p>
    <w:p w14:paraId="45A31310" w14:textId="6323805D" w:rsidR="002475D4" w:rsidRDefault="00D92FCF">
      <w:r>
        <w:fldChar w:fldCharType="end"/>
      </w:r>
    </w:p>
    <w:p w14:paraId="70023AAC" w14:textId="77777777" w:rsidR="00D8271B" w:rsidRDefault="00D8271B"/>
    <w:p w14:paraId="12F6CEEF" w14:textId="77777777" w:rsidR="00D8271B" w:rsidRDefault="00D8271B"/>
    <w:p w14:paraId="7BCC2687" w14:textId="77777777" w:rsidR="00D8271B" w:rsidRDefault="00D8271B"/>
    <w:p w14:paraId="2AB86242" w14:textId="77777777" w:rsidR="00D8271B" w:rsidRDefault="00D8271B"/>
    <w:p w14:paraId="19377A26" w14:textId="77777777" w:rsidR="00D8271B" w:rsidRDefault="00D8271B"/>
    <w:p w14:paraId="6F25D6D8" w14:textId="77777777" w:rsidR="00393ECC" w:rsidRDefault="00393ECC"/>
    <w:p w14:paraId="113AE769" w14:textId="33265B2F" w:rsidR="00393ECC" w:rsidRDefault="00393ECC"/>
    <w:p w14:paraId="5BFE9DF6" w14:textId="77777777" w:rsidR="00524541" w:rsidRDefault="00524541"/>
    <w:p w14:paraId="3995AF96" w14:textId="77777777" w:rsidR="00524541" w:rsidRDefault="00524541"/>
    <w:p w14:paraId="7B57C521" w14:textId="77777777" w:rsidR="00524541" w:rsidRDefault="00524541"/>
    <w:p w14:paraId="3AF693EE" w14:textId="77777777" w:rsidR="00524541" w:rsidRDefault="00524541"/>
    <w:p w14:paraId="2FF85719" w14:textId="77777777" w:rsidR="00524541" w:rsidRDefault="00524541"/>
    <w:p w14:paraId="4FD10F7F" w14:textId="77777777" w:rsidR="00524541" w:rsidRDefault="00524541"/>
    <w:p w14:paraId="6467D7DF" w14:textId="77777777" w:rsidR="00524541" w:rsidRDefault="00524541"/>
    <w:p w14:paraId="6C47B692" w14:textId="77777777" w:rsidR="00044654" w:rsidRDefault="00044654"/>
    <w:p w14:paraId="053338B0" w14:textId="5FEBD0B6" w:rsidR="00524541" w:rsidRDefault="00524541"/>
    <w:p w14:paraId="5D2BB1FB" w14:textId="77777777" w:rsidR="00727C95" w:rsidRDefault="00727C95"/>
    <w:p w14:paraId="0393C483" w14:textId="77777777" w:rsidR="00690157" w:rsidRDefault="00690157">
      <w:pPr>
        <w:rPr>
          <w:b/>
          <w:bCs/>
        </w:rPr>
      </w:pPr>
    </w:p>
    <w:p w14:paraId="2199BA5B" w14:textId="77777777" w:rsidR="005A5048" w:rsidRDefault="005A5048">
      <w:pPr>
        <w:rPr>
          <w:b/>
          <w:bCs/>
        </w:rPr>
      </w:pPr>
    </w:p>
    <w:p w14:paraId="049AE901" w14:textId="77777777" w:rsidR="005A5048" w:rsidRDefault="005A5048">
      <w:pPr>
        <w:rPr>
          <w:b/>
          <w:bCs/>
        </w:rPr>
      </w:pPr>
    </w:p>
    <w:sectPr w:rsidR="005A5048" w:rsidSect="0071389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B74"/>
    <w:rsid w:val="0000586C"/>
    <w:rsid w:val="0001681B"/>
    <w:rsid w:val="00024E3F"/>
    <w:rsid w:val="00044654"/>
    <w:rsid w:val="00065752"/>
    <w:rsid w:val="000838C2"/>
    <w:rsid w:val="000A6935"/>
    <w:rsid w:val="000D5CCF"/>
    <w:rsid w:val="00100AAE"/>
    <w:rsid w:val="00153D0C"/>
    <w:rsid w:val="001759D9"/>
    <w:rsid w:val="002003AD"/>
    <w:rsid w:val="00234FA5"/>
    <w:rsid w:val="00235D3E"/>
    <w:rsid w:val="002475D4"/>
    <w:rsid w:val="00256D3B"/>
    <w:rsid w:val="00267858"/>
    <w:rsid w:val="002775BD"/>
    <w:rsid w:val="00290131"/>
    <w:rsid w:val="00294309"/>
    <w:rsid w:val="002E0E59"/>
    <w:rsid w:val="002E7084"/>
    <w:rsid w:val="00391E66"/>
    <w:rsid w:val="00393ECC"/>
    <w:rsid w:val="00396B79"/>
    <w:rsid w:val="00397C9B"/>
    <w:rsid w:val="003D27CA"/>
    <w:rsid w:val="003F2F72"/>
    <w:rsid w:val="003F6561"/>
    <w:rsid w:val="003F7E86"/>
    <w:rsid w:val="00422447"/>
    <w:rsid w:val="004B6A3E"/>
    <w:rsid w:val="004F1DAA"/>
    <w:rsid w:val="00524541"/>
    <w:rsid w:val="00557D3D"/>
    <w:rsid w:val="005A5048"/>
    <w:rsid w:val="005C53AC"/>
    <w:rsid w:val="005E3B74"/>
    <w:rsid w:val="005E4A6B"/>
    <w:rsid w:val="005E6D95"/>
    <w:rsid w:val="006142BC"/>
    <w:rsid w:val="006225C4"/>
    <w:rsid w:val="00641604"/>
    <w:rsid w:val="00664327"/>
    <w:rsid w:val="00667444"/>
    <w:rsid w:val="00690157"/>
    <w:rsid w:val="006C4AE4"/>
    <w:rsid w:val="00700EE7"/>
    <w:rsid w:val="0071389E"/>
    <w:rsid w:val="00720CE4"/>
    <w:rsid w:val="00727C95"/>
    <w:rsid w:val="00743E00"/>
    <w:rsid w:val="00746C75"/>
    <w:rsid w:val="00760F0D"/>
    <w:rsid w:val="007F5C25"/>
    <w:rsid w:val="0081377C"/>
    <w:rsid w:val="008137A5"/>
    <w:rsid w:val="00813FE6"/>
    <w:rsid w:val="00851CDF"/>
    <w:rsid w:val="00852FF9"/>
    <w:rsid w:val="008B0194"/>
    <w:rsid w:val="008C12CE"/>
    <w:rsid w:val="008D4463"/>
    <w:rsid w:val="008E6323"/>
    <w:rsid w:val="00927D1F"/>
    <w:rsid w:val="009571EA"/>
    <w:rsid w:val="0097460C"/>
    <w:rsid w:val="009838E7"/>
    <w:rsid w:val="00991998"/>
    <w:rsid w:val="009D26CC"/>
    <w:rsid w:val="00A248D9"/>
    <w:rsid w:val="00A27601"/>
    <w:rsid w:val="00A40F4F"/>
    <w:rsid w:val="00A64731"/>
    <w:rsid w:val="00A76F3C"/>
    <w:rsid w:val="00A8651C"/>
    <w:rsid w:val="00AA603F"/>
    <w:rsid w:val="00AF05F2"/>
    <w:rsid w:val="00B52B74"/>
    <w:rsid w:val="00B8280F"/>
    <w:rsid w:val="00B93789"/>
    <w:rsid w:val="00BC0DDE"/>
    <w:rsid w:val="00BC1B70"/>
    <w:rsid w:val="00BC679C"/>
    <w:rsid w:val="00BD12BD"/>
    <w:rsid w:val="00C25867"/>
    <w:rsid w:val="00C85A9A"/>
    <w:rsid w:val="00C861C0"/>
    <w:rsid w:val="00CA62D3"/>
    <w:rsid w:val="00CD445F"/>
    <w:rsid w:val="00CF73E9"/>
    <w:rsid w:val="00D031EA"/>
    <w:rsid w:val="00D35D91"/>
    <w:rsid w:val="00D51197"/>
    <w:rsid w:val="00D8271B"/>
    <w:rsid w:val="00D850BF"/>
    <w:rsid w:val="00D92FCF"/>
    <w:rsid w:val="00DC6E9A"/>
    <w:rsid w:val="00E13DBD"/>
    <w:rsid w:val="00E21B18"/>
    <w:rsid w:val="00E44529"/>
    <w:rsid w:val="00E57B2D"/>
    <w:rsid w:val="00E713B7"/>
    <w:rsid w:val="00E80545"/>
    <w:rsid w:val="00E95AD7"/>
    <w:rsid w:val="00EA71FF"/>
    <w:rsid w:val="00EC51FD"/>
    <w:rsid w:val="00F41252"/>
    <w:rsid w:val="00F53AAF"/>
    <w:rsid w:val="00FB5796"/>
    <w:rsid w:val="00FC6FB3"/>
    <w:rsid w:val="00FE0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ABAA3"/>
  <w15:chartTrackingRefBased/>
  <w15:docId w15:val="{6A9A0B76-B75F-4E13-A3C0-FFBC607F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AAE"/>
  </w:style>
  <w:style w:type="paragraph" w:styleId="Heading1">
    <w:name w:val="heading 1"/>
    <w:basedOn w:val="Normal"/>
    <w:next w:val="Normal"/>
    <w:link w:val="Heading1Char"/>
    <w:uiPriority w:val="9"/>
    <w:qFormat/>
    <w:rsid w:val="005E3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B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B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B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B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B74"/>
    <w:rPr>
      <w:rFonts w:eastAsiaTheme="majorEastAsia" w:cstheme="majorBidi"/>
      <w:color w:val="272727" w:themeColor="text1" w:themeTint="D8"/>
    </w:rPr>
  </w:style>
  <w:style w:type="paragraph" w:styleId="Title">
    <w:name w:val="Title"/>
    <w:basedOn w:val="Normal"/>
    <w:next w:val="Normal"/>
    <w:link w:val="TitleChar"/>
    <w:uiPriority w:val="10"/>
    <w:qFormat/>
    <w:rsid w:val="005E3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B74"/>
    <w:pPr>
      <w:spacing w:before="160"/>
      <w:jc w:val="center"/>
    </w:pPr>
    <w:rPr>
      <w:i/>
      <w:iCs/>
      <w:color w:val="404040" w:themeColor="text1" w:themeTint="BF"/>
    </w:rPr>
  </w:style>
  <w:style w:type="character" w:customStyle="1" w:styleId="QuoteChar">
    <w:name w:val="Quote Char"/>
    <w:basedOn w:val="DefaultParagraphFont"/>
    <w:link w:val="Quote"/>
    <w:uiPriority w:val="29"/>
    <w:rsid w:val="005E3B74"/>
    <w:rPr>
      <w:i/>
      <w:iCs/>
      <w:color w:val="404040" w:themeColor="text1" w:themeTint="BF"/>
    </w:rPr>
  </w:style>
  <w:style w:type="paragraph" w:styleId="ListParagraph">
    <w:name w:val="List Paragraph"/>
    <w:basedOn w:val="Normal"/>
    <w:uiPriority w:val="34"/>
    <w:qFormat/>
    <w:rsid w:val="005E3B74"/>
    <w:pPr>
      <w:ind w:left="720"/>
      <w:contextualSpacing/>
    </w:pPr>
  </w:style>
  <w:style w:type="character" w:styleId="IntenseEmphasis">
    <w:name w:val="Intense Emphasis"/>
    <w:basedOn w:val="DefaultParagraphFont"/>
    <w:uiPriority w:val="21"/>
    <w:qFormat/>
    <w:rsid w:val="005E3B74"/>
    <w:rPr>
      <w:i/>
      <w:iCs/>
      <w:color w:val="0F4761" w:themeColor="accent1" w:themeShade="BF"/>
    </w:rPr>
  </w:style>
  <w:style w:type="paragraph" w:styleId="IntenseQuote">
    <w:name w:val="Intense Quote"/>
    <w:basedOn w:val="Normal"/>
    <w:next w:val="Normal"/>
    <w:link w:val="IntenseQuoteChar"/>
    <w:uiPriority w:val="30"/>
    <w:qFormat/>
    <w:rsid w:val="005E3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B74"/>
    <w:rPr>
      <w:i/>
      <w:iCs/>
      <w:color w:val="0F4761" w:themeColor="accent1" w:themeShade="BF"/>
    </w:rPr>
  </w:style>
  <w:style w:type="character" w:styleId="IntenseReference">
    <w:name w:val="Intense Reference"/>
    <w:basedOn w:val="DefaultParagraphFont"/>
    <w:uiPriority w:val="32"/>
    <w:qFormat/>
    <w:rsid w:val="005E3B74"/>
    <w:rPr>
      <w:b/>
      <w:bCs/>
      <w:smallCaps/>
      <w:color w:val="0F4761" w:themeColor="accent1" w:themeShade="BF"/>
      <w:spacing w:val="5"/>
    </w:rPr>
  </w:style>
  <w:style w:type="table" w:styleId="TableGrid">
    <w:name w:val="Table Grid"/>
    <w:basedOn w:val="TableNormal"/>
    <w:uiPriority w:val="39"/>
    <w:rsid w:val="00100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89E"/>
  </w:style>
  <w:style w:type="paragraph" w:styleId="Bibliography">
    <w:name w:val="Bibliography"/>
    <w:basedOn w:val="Normal"/>
    <w:next w:val="Normal"/>
    <w:uiPriority w:val="37"/>
    <w:unhideWhenUsed/>
    <w:rsid w:val="00D92FCF"/>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102616">
      <w:bodyDiv w:val="1"/>
      <w:marLeft w:val="0"/>
      <w:marRight w:val="0"/>
      <w:marTop w:val="0"/>
      <w:marBottom w:val="0"/>
      <w:divBdr>
        <w:top w:val="none" w:sz="0" w:space="0" w:color="auto"/>
        <w:left w:val="none" w:sz="0" w:space="0" w:color="auto"/>
        <w:bottom w:val="none" w:sz="0" w:space="0" w:color="auto"/>
        <w:right w:val="none" w:sz="0" w:space="0" w:color="auto"/>
      </w:divBdr>
    </w:div>
    <w:div w:id="69593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13187</Words>
  <Characters>75168</Characters>
  <Application>Microsoft Office Word</Application>
  <DocSecurity>0</DocSecurity>
  <Lines>626</Lines>
  <Paragraphs>176</Paragraphs>
  <ScaleCrop>false</ScaleCrop>
  <Company/>
  <LinksUpToDate>false</LinksUpToDate>
  <CharactersWithSpaces>88179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Rehab Hassan Ahmed Elhiny (Umail)</dc:creator>
  <cp:keywords/>
  <dc:description/>
  <cp:lastModifiedBy>Rehab Hassan Ahmed Elhiny (Umail)</cp:lastModifiedBy>
  <cp:revision>107</cp:revision>
  <dcterms:created xsi:type="dcterms:W3CDTF">2024-05-22T15:18:00Z</dcterms:created>
  <dcterms:modified xsi:type="dcterms:W3CDTF">2024-09-27T19:47:00Z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zotero-version="6.0.35"&gt;&lt;session id="oNf7rf7j"/&gt;&lt;style id="http://www.zotero.org/styles/vancouver" locale="en-US" hasBibliography="1" bibliographyStyleHasBeenSet="1"/&gt;&lt;prefs&gt;&lt;pref name="fieldType" value="Field"/&gt;&lt;/prefs&gt;&lt;/data&gt;</vt:lpwstr>
  </property>
</Properties>
</file>