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95" w:rsidRPr="00F30A18" w:rsidRDefault="00E33095" w:rsidP="00E33095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  <w:r w:rsidRPr="00F30A18">
        <w:t xml:space="preserve">Table S1. The annual incidence of first unprovoked </w:t>
      </w:r>
      <w:proofErr w:type="gramStart"/>
      <w:r w:rsidRPr="00F30A18">
        <w:t>seizures,</w:t>
      </w:r>
      <w:proofErr w:type="gramEnd"/>
      <w:r w:rsidRPr="00F30A18">
        <w:t xml:space="preserve"> first provoked seizures and new diagnosis of epilepsy per 100,000 population in those 15 to 64 years of age and in those </w:t>
      </w:r>
      <w:r w:rsidRPr="00F30A18">
        <w:rPr>
          <w:rFonts w:ascii="Cambria" w:hAnsi="Cambria"/>
        </w:rPr>
        <w:t>≥6</w:t>
      </w:r>
      <w:r w:rsidRPr="00F30A18">
        <w:t>5 years of age in the most deprived electoral divisions compared to the least deprived electoral divisions.</w:t>
      </w:r>
      <w:r w:rsidRPr="00F30A18">
        <w:rPr>
          <w:rStyle w:val="FootnoteReference"/>
        </w:rPr>
        <w:footnoteReference w:id="1"/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624"/>
        <w:gridCol w:w="1356"/>
        <w:gridCol w:w="452"/>
        <w:gridCol w:w="1716"/>
        <w:gridCol w:w="542"/>
        <w:gridCol w:w="1626"/>
        <w:gridCol w:w="452"/>
        <w:gridCol w:w="1808"/>
      </w:tblGrid>
      <w:tr w:rsidR="00E33095" w:rsidRPr="00F30A18" w:rsidTr="00306EF7">
        <w:tc>
          <w:tcPr>
            <w:tcW w:w="848" w:type="pct"/>
            <w:shd w:val="clear" w:color="auto" w:fill="FFFFFF" w:themeFill="background1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Persons 15-64 years old</w:t>
            </w:r>
          </w:p>
        </w:tc>
        <w:tc>
          <w:tcPr>
            <w:tcW w:w="708" w:type="pct"/>
            <w:shd w:val="clear" w:color="auto" w:fill="FFFFFF" w:themeFill="background1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Study population</w:t>
            </w:r>
          </w:p>
        </w:tc>
        <w:tc>
          <w:tcPr>
            <w:tcW w:w="1132" w:type="pct"/>
            <w:gridSpan w:val="2"/>
            <w:shd w:val="clear" w:color="auto" w:fill="FFFFFF" w:themeFill="background1"/>
          </w:tcPr>
          <w:p w:rsidR="00E33095" w:rsidRPr="00F30A18" w:rsidRDefault="00E33095" w:rsidP="00306EF7">
            <w:pPr>
              <w:spacing w:line="360" w:lineRule="auto"/>
              <w:ind w:right="-108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First unprovoked seizure</w:t>
            </w:r>
          </w:p>
        </w:tc>
        <w:tc>
          <w:tcPr>
            <w:tcW w:w="1132" w:type="pct"/>
            <w:gridSpan w:val="2"/>
            <w:shd w:val="clear" w:color="auto" w:fill="FFFFFF" w:themeFill="background1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First provoked seizure</w:t>
            </w:r>
          </w:p>
        </w:tc>
        <w:tc>
          <w:tcPr>
            <w:tcW w:w="1180" w:type="pct"/>
            <w:gridSpan w:val="2"/>
            <w:shd w:val="clear" w:color="auto" w:fill="FFFFFF" w:themeFill="background1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New diagnosis of epilepsy</w:t>
            </w:r>
          </w:p>
        </w:tc>
      </w:tr>
      <w:tr w:rsidR="00E33095" w:rsidRPr="00F30A18" w:rsidTr="00306EF7">
        <w:tc>
          <w:tcPr>
            <w:tcW w:w="848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Quintile</w:t>
            </w:r>
          </w:p>
        </w:tc>
        <w:tc>
          <w:tcPr>
            <w:tcW w:w="708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236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896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Incidence (95%CI)</w:t>
            </w:r>
          </w:p>
        </w:tc>
        <w:tc>
          <w:tcPr>
            <w:tcW w:w="283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849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Incidence (95%CI)</w:t>
            </w:r>
          </w:p>
        </w:tc>
        <w:tc>
          <w:tcPr>
            <w:tcW w:w="236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944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Incidence (95%CI)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 (most deprived)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70,245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39</w:t>
            </w:r>
          </w:p>
        </w:tc>
        <w:tc>
          <w:tcPr>
            <w:tcW w:w="89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55·5 (40·0, 75·1)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IR=1·73 (1·04, 2·88)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p=0.03</w:t>
            </w:r>
          </w:p>
        </w:tc>
        <w:tc>
          <w:tcPr>
            <w:tcW w:w="283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41</w:t>
            </w:r>
          </w:p>
        </w:tc>
        <w:tc>
          <w:tcPr>
            <w:tcW w:w="849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58·4 (42·4, 78·4)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IR=2·08 (1·23, 3·52)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p=0.005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34</w:t>
            </w:r>
          </w:p>
        </w:tc>
        <w:tc>
          <w:tcPr>
            <w:tcW w:w="944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48·4 (34·1, 66·9)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IR=1·73 (1·00, 2·97)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p=0.046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</w:t>
            </w:r>
          </w:p>
        </w:tc>
        <w:tc>
          <w:tcPr>
            <w:tcW w:w="70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68,737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33</w:t>
            </w:r>
          </w:p>
        </w:tc>
        <w:tc>
          <w:tcPr>
            <w:tcW w:w="89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48·0 (33·6, 66·6)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IR=1·50 (0·89, 2·53)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p=1·29</w:t>
            </w:r>
          </w:p>
        </w:tc>
        <w:tc>
          <w:tcPr>
            <w:tcW w:w="283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13</w:t>
            </w:r>
          </w:p>
        </w:tc>
        <w:tc>
          <w:tcPr>
            <w:tcW w:w="849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18·9 (10·5, 31·5)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IR=0·67 (0·34, 1·35)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p=0·26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36</w:t>
            </w:r>
          </w:p>
        </w:tc>
        <w:tc>
          <w:tcPr>
            <w:tcW w:w="944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52·4 (37·2, 71·7)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IR=1·87 (1·09, 3·20)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p=0·02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70209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21</w:t>
            </w:r>
          </w:p>
        </w:tc>
        <w:tc>
          <w:tcPr>
            <w:tcW w:w="89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29·9 (19·0, 44·9)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IR=0·93 (0·52, 1·68)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p=0·82</w:t>
            </w:r>
          </w:p>
        </w:tc>
        <w:tc>
          <w:tcPr>
            <w:tcW w:w="283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16</w:t>
            </w:r>
          </w:p>
        </w:tc>
        <w:tc>
          <w:tcPr>
            <w:tcW w:w="849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22·8 (13·5, 36·2)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IR=0·81 (0·42, 1·56)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p=0·53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14</w:t>
            </w:r>
          </w:p>
        </w:tc>
        <w:tc>
          <w:tcPr>
            <w:tcW w:w="944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19·9 (11·3, 32·7)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IR=0·71 (0·36, 1·40)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p=0·32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4</w:t>
            </w:r>
          </w:p>
        </w:tc>
        <w:tc>
          <w:tcPr>
            <w:tcW w:w="70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71389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26</w:t>
            </w:r>
          </w:p>
        </w:tc>
        <w:tc>
          <w:tcPr>
            <w:tcW w:w="89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36·4 (24·3, 52·6)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IR=1·14 (0·65, 1·98)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p=0·65</w:t>
            </w:r>
          </w:p>
        </w:tc>
        <w:tc>
          <w:tcPr>
            <w:tcW w:w="283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18</w:t>
            </w:r>
          </w:p>
        </w:tc>
        <w:tc>
          <w:tcPr>
            <w:tcW w:w="849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25·2 (15·4, 39</w:t>
            </w:r>
            <w:proofErr w:type="gramStart"/>
            <w:r w:rsidRPr="00F30A18">
              <w:rPr>
                <w:sz w:val="20"/>
              </w:rPr>
              <w:t>.·</w:t>
            </w:r>
            <w:proofErr w:type="gramEnd"/>
            <w:r w:rsidRPr="00F30A18">
              <w:rPr>
                <w:sz w:val="20"/>
              </w:rPr>
              <w:t>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IR=0·90 (0·48, 1·69)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p=0·74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23</w:t>
            </w:r>
          </w:p>
        </w:tc>
        <w:tc>
          <w:tcPr>
            <w:tcW w:w="944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32·2 (20·9, 47·6)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IR=1·15 (0·64, 2·08)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p=0·64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lastRenderedPageBreak/>
              <w:t>5 (least deprived)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74,914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24</w:t>
            </w:r>
          </w:p>
        </w:tc>
        <w:tc>
          <w:tcPr>
            <w:tcW w:w="89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32·0 (21·0, 47·7)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Reference</w:t>
            </w:r>
          </w:p>
        </w:tc>
        <w:tc>
          <w:tcPr>
            <w:tcW w:w="283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21</w:t>
            </w:r>
          </w:p>
        </w:tc>
        <w:tc>
          <w:tcPr>
            <w:tcW w:w="849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28·0 (17·8, 42·1)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Reference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21</w:t>
            </w:r>
          </w:p>
        </w:tc>
        <w:tc>
          <w:tcPr>
            <w:tcW w:w="944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28·0 (17·8, 42·1)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Reference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 for trend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132" w:type="pct"/>
            <w:gridSpan w:val="2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p= 0·01</w:t>
            </w:r>
          </w:p>
        </w:tc>
        <w:tc>
          <w:tcPr>
            <w:tcW w:w="1132" w:type="pct"/>
            <w:gridSpan w:val="2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p=0·002</w:t>
            </w:r>
          </w:p>
        </w:tc>
        <w:tc>
          <w:tcPr>
            <w:tcW w:w="1180" w:type="pct"/>
            <w:gridSpan w:val="2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p=0·0059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 xml:space="preserve">Persons </w:t>
            </w:r>
            <w:r w:rsidRPr="00F30A18">
              <w:rPr>
                <w:rFonts w:ascii="Cambria" w:hAnsi="Cambria"/>
                <w:b/>
                <w:sz w:val="20"/>
              </w:rPr>
              <w:t>≥</w:t>
            </w:r>
            <w:r w:rsidRPr="00F30A18">
              <w:rPr>
                <w:b/>
                <w:sz w:val="20"/>
              </w:rPr>
              <w:t xml:space="preserve"> 65 years old</w:t>
            </w:r>
          </w:p>
        </w:tc>
        <w:tc>
          <w:tcPr>
            <w:tcW w:w="70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Study population</w:t>
            </w:r>
          </w:p>
        </w:tc>
        <w:tc>
          <w:tcPr>
            <w:tcW w:w="1132" w:type="pct"/>
            <w:gridSpan w:val="2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ind w:right="-108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First unprovoked seizure</w:t>
            </w:r>
          </w:p>
        </w:tc>
        <w:tc>
          <w:tcPr>
            <w:tcW w:w="1132" w:type="pct"/>
            <w:gridSpan w:val="2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First provoked seizure</w:t>
            </w:r>
          </w:p>
        </w:tc>
        <w:tc>
          <w:tcPr>
            <w:tcW w:w="1180" w:type="pct"/>
            <w:gridSpan w:val="2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b/>
                <w:sz w:val="20"/>
              </w:rPr>
            </w:pPr>
            <w:r w:rsidRPr="00F30A18">
              <w:rPr>
                <w:b/>
                <w:sz w:val="20"/>
              </w:rPr>
              <w:t>New diagnosis of epilepsy</w:t>
            </w:r>
          </w:p>
        </w:tc>
      </w:tr>
      <w:tr w:rsidR="00E33095" w:rsidRPr="00F30A18" w:rsidTr="00306EF7">
        <w:tc>
          <w:tcPr>
            <w:tcW w:w="848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Quintile</w:t>
            </w:r>
          </w:p>
        </w:tc>
        <w:tc>
          <w:tcPr>
            <w:tcW w:w="708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236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896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Incidence (95%CI)</w:t>
            </w:r>
          </w:p>
        </w:tc>
        <w:tc>
          <w:tcPr>
            <w:tcW w:w="283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849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Incidence (95%CI)</w:t>
            </w:r>
          </w:p>
        </w:tc>
        <w:tc>
          <w:tcPr>
            <w:tcW w:w="236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n</w:t>
            </w:r>
          </w:p>
        </w:tc>
        <w:tc>
          <w:tcPr>
            <w:tcW w:w="944" w:type="pct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Incidence (95%CI)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 (most deprived)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18,167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31</w:t>
            </w:r>
          </w:p>
        </w:tc>
        <w:tc>
          <w:tcPr>
            <w:tcW w:w="89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170·6 (118·0, 239·1)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IR=1·33 (0·79, 2·23)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p=0·36</w:t>
            </w:r>
          </w:p>
        </w:tc>
        <w:tc>
          <w:tcPr>
            <w:tcW w:w="283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18</w:t>
            </w:r>
          </w:p>
        </w:tc>
        <w:tc>
          <w:tcPr>
            <w:tcW w:w="849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99·1 (60·6, 153·5)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IR=0·89 (0·44, 1·82)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p=0·75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30</w:t>
            </w:r>
          </w:p>
        </w:tc>
        <w:tc>
          <w:tcPr>
            <w:tcW w:w="944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165·1 (113·5, 232·7)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IR=1·29 (0·69, 2·39)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p=0·42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</w:t>
            </w:r>
          </w:p>
        </w:tc>
        <w:tc>
          <w:tcPr>
            <w:tcW w:w="70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16,797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39</w:t>
            </w:r>
          </w:p>
        </w:tc>
        <w:tc>
          <w:tcPr>
            <w:tcW w:w="89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232·2 (167·4, 314·1)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IR=1·81 (1·00, 3·28)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p=0·047</w:t>
            </w:r>
          </w:p>
        </w:tc>
        <w:tc>
          <w:tcPr>
            <w:tcW w:w="283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10</w:t>
            </w:r>
          </w:p>
        </w:tc>
        <w:tc>
          <w:tcPr>
            <w:tcW w:w="849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59·5 (30·2, 106·2)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IR=0·54 (0·23, 1·22)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p=0·13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37</w:t>
            </w:r>
          </w:p>
        </w:tc>
        <w:tc>
          <w:tcPr>
            <w:tcW w:w="944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220·3 (157·2, 300·3)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IR=1·72 (0·93, 3·13)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p=0·07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3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14,162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22</w:t>
            </w:r>
          </w:p>
        </w:tc>
        <w:tc>
          <w:tcPr>
            <w:tcW w:w="89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155·3 (99·8, 231·2)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IR=1·21 (0·63, 2·34)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p=0·57</w:t>
            </w:r>
          </w:p>
        </w:tc>
        <w:tc>
          <w:tcPr>
            <w:tcW w:w="283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13</w:t>
            </w:r>
          </w:p>
        </w:tc>
        <w:tc>
          <w:tcPr>
            <w:tcW w:w="849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91·8 (51·1, 153·0)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IR=0·83 (0·38, 1·78)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p=0·62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19</w:t>
            </w:r>
          </w:p>
        </w:tc>
        <w:tc>
          <w:tcPr>
            <w:tcW w:w="944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134·2 (83·2, 205·5)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IR=1·05 (0·53, 2·06)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p=0·90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4</w:t>
            </w:r>
          </w:p>
        </w:tc>
        <w:tc>
          <w:tcPr>
            <w:tcW w:w="708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13,021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19</w:t>
            </w:r>
          </w:p>
        </w:tc>
        <w:tc>
          <w:tcPr>
            <w:tcW w:w="89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145·9 (90·5, 223·6)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IR=1·14 (0·59, 2·24)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lastRenderedPageBreak/>
              <w:t>p=0·71</w:t>
            </w:r>
          </w:p>
        </w:tc>
        <w:tc>
          <w:tcPr>
            <w:tcW w:w="283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lastRenderedPageBreak/>
              <w:t>7</w:t>
            </w:r>
          </w:p>
        </w:tc>
        <w:tc>
          <w:tcPr>
            <w:tcW w:w="849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53·8 (23·5, 106·3)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IR=0·48 (0·19, 1·21)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lastRenderedPageBreak/>
              <w:t>p=0·11</w:t>
            </w:r>
          </w:p>
        </w:tc>
        <w:tc>
          <w:tcPr>
            <w:tcW w:w="236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lastRenderedPageBreak/>
              <w:t>15</w:t>
            </w:r>
          </w:p>
        </w:tc>
        <w:tc>
          <w:tcPr>
            <w:tcW w:w="944" w:type="pct"/>
            <w:shd w:val="clear" w:color="auto" w:fill="auto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115·2 (66·9, 185·7)</w:t>
            </w:r>
          </w:p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IR=0·90 (0·44, 1·84)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p=0·77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lastRenderedPageBreak/>
              <w:t>5 (least deprived)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11,696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15</w:t>
            </w:r>
          </w:p>
        </w:tc>
        <w:tc>
          <w:tcPr>
            <w:tcW w:w="89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128·2 (74·5, 206·7)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Reference</w:t>
            </w:r>
          </w:p>
        </w:tc>
        <w:tc>
          <w:tcPr>
            <w:tcW w:w="283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13</w:t>
            </w:r>
          </w:p>
        </w:tc>
        <w:tc>
          <w:tcPr>
            <w:tcW w:w="849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111·1 (61·8, 185·2)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Reference</w:t>
            </w:r>
          </w:p>
        </w:tc>
        <w:tc>
          <w:tcPr>
            <w:tcW w:w="236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15</w:t>
            </w:r>
          </w:p>
        </w:tc>
        <w:tc>
          <w:tcPr>
            <w:tcW w:w="944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F30A18">
              <w:rPr>
                <w:sz w:val="20"/>
              </w:rPr>
              <w:t>128·2 (74·5, 206·7)</w:t>
            </w:r>
          </w:p>
          <w:p w:rsidR="00E33095" w:rsidRPr="00F30A18" w:rsidRDefault="00E33095" w:rsidP="00306EF7">
            <w:pPr>
              <w:spacing w:line="360" w:lineRule="auto"/>
              <w:rPr>
                <w:sz w:val="20"/>
              </w:rPr>
            </w:pPr>
            <w:r w:rsidRPr="00F30A18">
              <w:rPr>
                <w:sz w:val="20"/>
              </w:rPr>
              <w:t>Reference</w:t>
            </w:r>
          </w:p>
        </w:tc>
      </w:tr>
      <w:tr w:rsidR="00E33095" w:rsidRPr="00F30A18" w:rsidTr="00306EF7">
        <w:tc>
          <w:tcPr>
            <w:tcW w:w="84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 for trend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132" w:type="pct"/>
            <w:gridSpan w:val="2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p=0·20</w:t>
            </w:r>
          </w:p>
        </w:tc>
        <w:tc>
          <w:tcPr>
            <w:tcW w:w="1132" w:type="pct"/>
            <w:gridSpan w:val="2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p=0·90</w:t>
            </w:r>
          </w:p>
        </w:tc>
        <w:tc>
          <w:tcPr>
            <w:tcW w:w="1180" w:type="pct"/>
            <w:gridSpan w:val="2"/>
            <w:shd w:val="clear" w:color="auto" w:fill="F2F2F2" w:themeFill="background1" w:themeFillShade="F2"/>
          </w:tcPr>
          <w:p w:rsidR="00E33095" w:rsidRPr="00F30A18" w:rsidRDefault="00E33095" w:rsidP="00306EF7">
            <w:pPr>
              <w:spacing w:line="360" w:lineRule="auto"/>
              <w:rPr>
                <w:i/>
                <w:sz w:val="20"/>
                <w:szCs w:val="20"/>
              </w:rPr>
            </w:pPr>
            <w:r w:rsidRPr="00F30A18">
              <w:rPr>
                <w:i/>
                <w:sz w:val="20"/>
                <w:szCs w:val="20"/>
              </w:rPr>
              <w:t>p=0·12</w:t>
            </w:r>
          </w:p>
        </w:tc>
      </w:tr>
    </w:tbl>
    <w:p w:rsidR="00E33095" w:rsidRDefault="00E33095" w:rsidP="00E33095">
      <w:pPr>
        <w:spacing w:line="360" w:lineRule="auto"/>
      </w:pPr>
    </w:p>
    <w:p w:rsidR="00E5190B" w:rsidRDefault="00E5190B"/>
    <w:sectPr w:rsidR="00E519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095" w:rsidRDefault="00E33095" w:rsidP="00E33095">
      <w:pPr>
        <w:spacing w:after="0" w:line="240" w:lineRule="auto"/>
      </w:pPr>
      <w:r>
        <w:separator/>
      </w:r>
    </w:p>
  </w:endnote>
  <w:endnote w:type="continuationSeparator" w:id="0">
    <w:p w:rsidR="00E33095" w:rsidRDefault="00E33095" w:rsidP="00E3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095" w:rsidRDefault="00E33095" w:rsidP="00E33095">
      <w:pPr>
        <w:spacing w:after="0" w:line="240" w:lineRule="auto"/>
      </w:pPr>
      <w:r>
        <w:separator/>
      </w:r>
    </w:p>
  </w:footnote>
  <w:footnote w:type="continuationSeparator" w:id="0">
    <w:p w:rsidR="00E33095" w:rsidRDefault="00E33095" w:rsidP="00E33095">
      <w:pPr>
        <w:spacing w:after="0" w:line="240" w:lineRule="auto"/>
      </w:pPr>
      <w:r>
        <w:continuationSeparator/>
      </w:r>
    </w:p>
  </w:footnote>
  <w:footnote w:id="1">
    <w:p w:rsidR="00E33095" w:rsidRPr="00F30A18" w:rsidRDefault="00E33095" w:rsidP="00E33095">
      <w:pPr>
        <w:pStyle w:val="FootnoteText"/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30A18">
        <w:rPr>
          <w:rStyle w:val="FootnoteReference"/>
          <w:sz w:val="20"/>
          <w:szCs w:val="20"/>
        </w:rPr>
        <w:footnoteRef/>
      </w:r>
      <w:r w:rsidRPr="00F30A18">
        <w:rPr>
          <w:sz w:val="20"/>
          <w:szCs w:val="20"/>
        </w:rPr>
        <w:t xml:space="preserve"> IR=incidence ratio; 95%CI= 95% confidence intervals. Trend calculated by logistic regression of median Relative Deprivation Index for cases and non-cases in each quintile.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95"/>
    <w:rsid w:val="001A5114"/>
    <w:rsid w:val="00414CF4"/>
    <w:rsid w:val="00E33095"/>
    <w:rsid w:val="00E5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33095"/>
    <w:pPr>
      <w:spacing w:after="0" w:line="240" w:lineRule="auto"/>
    </w:pPr>
    <w:rPr>
      <w:rFonts w:eastAsiaTheme="minorEastAsia"/>
      <w:sz w:val="24"/>
      <w:szCs w:val="24"/>
      <w:lang w:val="en-IE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3095"/>
    <w:rPr>
      <w:rFonts w:eastAsiaTheme="minorEastAsia"/>
      <w:sz w:val="24"/>
      <w:szCs w:val="24"/>
      <w:lang w:val="en-IE" w:eastAsia="ja-JP"/>
    </w:rPr>
  </w:style>
  <w:style w:type="character" w:styleId="FootnoteReference">
    <w:name w:val="footnote reference"/>
    <w:basedOn w:val="DefaultParagraphFont"/>
    <w:uiPriority w:val="99"/>
    <w:unhideWhenUsed/>
    <w:rsid w:val="00E330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33095"/>
    <w:pPr>
      <w:spacing w:after="0" w:line="240" w:lineRule="auto"/>
    </w:pPr>
    <w:rPr>
      <w:rFonts w:eastAsiaTheme="minorEastAsia"/>
      <w:sz w:val="24"/>
      <w:szCs w:val="24"/>
      <w:lang w:val="en-IE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3095"/>
    <w:rPr>
      <w:rFonts w:eastAsiaTheme="minorEastAsia"/>
      <w:sz w:val="24"/>
      <w:szCs w:val="24"/>
      <w:lang w:val="en-IE" w:eastAsia="ja-JP"/>
    </w:rPr>
  </w:style>
  <w:style w:type="character" w:styleId="FootnoteReference">
    <w:name w:val="footnote reference"/>
    <w:basedOn w:val="DefaultParagraphFont"/>
    <w:uiPriority w:val="99"/>
    <w:unhideWhenUsed/>
    <w:rsid w:val="00E330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E406956</dc:creator>
  <cp:lastModifiedBy>E406956</cp:lastModifiedBy>
  <cp:revision>1</cp:revision>
  <dcterms:created xsi:type="dcterms:W3CDTF">2022-05-25T01:32:00Z</dcterms:created>
  <dcterms:modified xsi:type="dcterms:W3CDTF">2022-05-25T01:32:00Z</dcterms:modified>
</cp:coreProperties>
</file>