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50D4E" w14:textId="2A0230DE" w:rsidR="00B313B9" w:rsidRPr="004B126D" w:rsidRDefault="00B313B9">
      <w:pPr>
        <w:rPr>
          <w:lang w:val="en-US"/>
        </w:rPr>
      </w:pPr>
      <w:r w:rsidRPr="004B126D">
        <w:rPr>
          <w:lang w:val="en-US"/>
        </w:rPr>
        <w:t>Additional file 2</w:t>
      </w:r>
    </w:p>
    <w:p w14:paraId="65D5883A" w14:textId="45AD722E" w:rsidR="00B313B9" w:rsidRDefault="00B313B9" w:rsidP="00B313B9">
      <w:pPr>
        <w:rPr>
          <w:lang w:val="en-US"/>
        </w:rPr>
      </w:pPr>
      <w:r>
        <w:rPr>
          <w:lang w:val="en-US"/>
        </w:rPr>
        <w:t>T</w:t>
      </w:r>
      <w:r w:rsidRPr="00866C49">
        <w:rPr>
          <w:lang w:val="en-US"/>
        </w:rPr>
        <w:t>able S2. Bootstrap estimates for indirect and total effects (5,000 resamples)</w:t>
      </w:r>
    </w:p>
    <w:tbl>
      <w:tblPr>
        <w:tblStyle w:val="PlainTable2"/>
        <w:tblW w:w="9001" w:type="dxa"/>
        <w:tblLook w:val="04A0" w:firstRow="1" w:lastRow="0" w:firstColumn="1" w:lastColumn="0" w:noHBand="0" w:noVBand="1"/>
      </w:tblPr>
      <w:tblGrid>
        <w:gridCol w:w="1334"/>
        <w:gridCol w:w="2433"/>
        <w:gridCol w:w="747"/>
        <w:gridCol w:w="653"/>
        <w:gridCol w:w="747"/>
        <w:gridCol w:w="651"/>
        <w:gridCol w:w="1689"/>
        <w:gridCol w:w="747"/>
      </w:tblGrid>
      <w:tr w:rsidR="00B313B9" w:rsidRPr="00866C49" w14:paraId="0DD69ECA" w14:textId="77777777" w:rsidTr="00687A7E">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4BD804AB" w14:textId="77777777" w:rsidR="00B313B9" w:rsidRPr="00866C49" w:rsidRDefault="00B313B9" w:rsidP="00687A7E">
            <w:pPr>
              <w:jc w:val="center"/>
              <w:rPr>
                <w:rFonts w:eastAsia="Times New Roman" w:cstheme="minorHAnsi"/>
                <w:sz w:val="18"/>
                <w:szCs w:val="18"/>
                <w:lang w:eastAsia="de-DE"/>
              </w:rPr>
            </w:pPr>
            <w:r w:rsidRPr="00866C49">
              <w:rPr>
                <w:rFonts w:eastAsia="Times New Roman" w:cstheme="minorHAnsi"/>
                <w:sz w:val="18"/>
                <w:szCs w:val="18"/>
                <w:lang w:eastAsia="de-DE"/>
              </w:rPr>
              <w:t>Outcome</w:t>
            </w:r>
          </w:p>
        </w:tc>
        <w:tc>
          <w:tcPr>
            <w:tcW w:w="0" w:type="auto"/>
            <w:hideMark/>
          </w:tcPr>
          <w:p w14:paraId="3937E7AB" w14:textId="77777777" w:rsidR="00B313B9" w:rsidRPr="00866C49" w:rsidRDefault="00B313B9" w:rsidP="00687A7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proofErr w:type="spellStart"/>
            <w:r w:rsidRPr="00866C49">
              <w:rPr>
                <w:rFonts w:eastAsia="Times New Roman" w:cstheme="minorHAnsi"/>
                <w:sz w:val="18"/>
                <w:szCs w:val="18"/>
                <w:lang w:eastAsia="de-DE"/>
              </w:rPr>
              <w:t>Effect</w:t>
            </w:r>
            <w:proofErr w:type="spellEnd"/>
            <w:r w:rsidRPr="00866C49">
              <w:rPr>
                <w:rFonts w:eastAsia="Times New Roman" w:cstheme="minorHAnsi"/>
                <w:sz w:val="18"/>
                <w:szCs w:val="18"/>
                <w:lang w:eastAsia="de-DE"/>
              </w:rPr>
              <w:t xml:space="preserve"> type</w:t>
            </w:r>
          </w:p>
        </w:tc>
        <w:tc>
          <w:tcPr>
            <w:tcW w:w="0" w:type="auto"/>
            <w:hideMark/>
          </w:tcPr>
          <w:p w14:paraId="30BF52E7" w14:textId="77777777" w:rsidR="00B313B9" w:rsidRPr="00866C49" w:rsidRDefault="00B313B9" w:rsidP="00687A7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Est.</w:t>
            </w:r>
          </w:p>
        </w:tc>
        <w:tc>
          <w:tcPr>
            <w:tcW w:w="0" w:type="auto"/>
            <w:hideMark/>
          </w:tcPr>
          <w:p w14:paraId="36DC4235" w14:textId="77777777" w:rsidR="00B313B9" w:rsidRPr="00866C49" w:rsidRDefault="00B313B9" w:rsidP="00687A7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SE</w:t>
            </w:r>
          </w:p>
        </w:tc>
        <w:tc>
          <w:tcPr>
            <w:tcW w:w="0" w:type="auto"/>
            <w:hideMark/>
          </w:tcPr>
          <w:p w14:paraId="3AE4C060" w14:textId="77777777" w:rsidR="00B313B9" w:rsidRPr="00866C49" w:rsidRDefault="00B313B9" w:rsidP="00687A7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z</w:t>
            </w:r>
          </w:p>
        </w:tc>
        <w:tc>
          <w:tcPr>
            <w:tcW w:w="0" w:type="auto"/>
            <w:hideMark/>
          </w:tcPr>
          <w:p w14:paraId="74B4E389" w14:textId="77777777" w:rsidR="00B313B9" w:rsidRPr="00866C49" w:rsidRDefault="00B313B9" w:rsidP="00687A7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p</w:t>
            </w:r>
          </w:p>
        </w:tc>
        <w:tc>
          <w:tcPr>
            <w:tcW w:w="0" w:type="auto"/>
            <w:hideMark/>
          </w:tcPr>
          <w:p w14:paraId="5A89F59B" w14:textId="77777777" w:rsidR="00B313B9" w:rsidRPr="00866C49" w:rsidRDefault="00B313B9" w:rsidP="00687A7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95% CI (</w:t>
            </w:r>
            <w:proofErr w:type="spellStart"/>
            <w:r w:rsidRPr="00866C49">
              <w:rPr>
                <w:rFonts w:eastAsia="Times New Roman" w:cstheme="minorHAnsi"/>
                <w:sz w:val="18"/>
                <w:szCs w:val="18"/>
                <w:lang w:eastAsia="de-DE"/>
              </w:rPr>
              <w:t>percentile</w:t>
            </w:r>
            <w:proofErr w:type="spellEnd"/>
            <w:r w:rsidRPr="00866C49">
              <w:rPr>
                <w:rFonts w:eastAsia="Times New Roman" w:cstheme="minorHAnsi"/>
                <w:sz w:val="18"/>
                <w:szCs w:val="18"/>
                <w:lang w:eastAsia="de-DE"/>
              </w:rPr>
              <w:t>)</w:t>
            </w:r>
          </w:p>
        </w:tc>
        <w:tc>
          <w:tcPr>
            <w:tcW w:w="0" w:type="auto"/>
            <w:hideMark/>
          </w:tcPr>
          <w:p w14:paraId="79A01871" w14:textId="77777777" w:rsidR="00B313B9" w:rsidRPr="00866C49" w:rsidRDefault="00B313B9" w:rsidP="00687A7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Std. β</w:t>
            </w:r>
          </w:p>
        </w:tc>
      </w:tr>
      <w:tr w:rsidR="00B313B9" w:rsidRPr="00866C49" w14:paraId="2035409A" w14:textId="77777777" w:rsidTr="00687A7E">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D96690C" w14:textId="77777777" w:rsidR="00B313B9" w:rsidRPr="00866C49" w:rsidRDefault="00B313B9" w:rsidP="00687A7E">
            <w:pPr>
              <w:rPr>
                <w:rFonts w:eastAsia="Times New Roman" w:cstheme="minorHAnsi"/>
                <w:b w:val="0"/>
                <w:bCs w:val="0"/>
                <w:sz w:val="18"/>
                <w:szCs w:val="18"/>
                <w:lang w:eastAsia="de-DE"/>
              </w:rPr>
            </w:pPr>
            <w:r w:rsidRPr="00866C49">
              <w:rPr>
                <w:rFonts w:eastAsia="Times New Roman" w:cstheme="minorHAnsi"/>
                <w:sz w:val="18"/>
                <w:szCs w:val="18"/>
                <w:lang w:eastAsia="de-DE"/>
              </w:rPr>
              <w:t>Burnout (BAT)</w:t>
            </w:r>
          </w:p>
          <w:p w14:paraId="0E48DE02" w14:textId="77777777" w:rsidR="00B313B9" w:rsidRPr="00866C49" w:rsidRDefault="00B313B9" w:rsidP="00687A7E">
            <w:pPr>
              <w:rPr>
                <w:rFonts w:eastAsia="Times New Roman" w:cstheme="minorHAnsi"/>
                <w:sz w:val="18"/>
                <w:szCs w:val="18"/>
                <w:lang w:eastAsia="de-DE"/>
              </w:rPr>
            </w:pPr>
          </w:p>
        </w:tc>
        <w:tc>
          <w:tcPr>
            <w:tcW w:w="0" w:type="auto"/>
            <w:hideMark/>
          </w:tcPr>
          <w:p w14:paraId="1C79B4E4"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proofErr w:type="spellStart"/>
            <w:r w:rsidRPr="00866C49">
              <w:rPr>
                <w:rFonts w:eastAsia="Times New Roman" w:cstheme="minorHAnsi"/>
                <w:sz w:val="18"/>
                <w:szCs w:val="18"/>
                <w:lang w:eastAsia="de-DE"/>
              </w:rPr>
              <w:t>Indirect</w:t>
            </w:r>
            <w:proofErr w:type="spellEnd"/>
            <w:r w:rsidRPr="00866C49">
              <w:rPr>
                <w:rFonts w:eastAsia="Times New Roman" w:cstheme="minorHAnsi"/>
                <w:sz w:val="18"/>
                <w:szCs w:val="18"/>
                <w:lang w:eastAsia="de-DE"/>
              </w:rPr>
              <w:t xml:space="preserve"> (EL → JR → Burnout)</w:t>
            </w:r>
          </w:p>
        </w:tc>
        <w:tc>
          <w:tcPr>
            <w:tcW w:w="0" w:type="auto"/>
            <w:hideMark/>
          </w:tcPr>
          <w:p w14:paraId="041D5138"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–0.169</w:t>
            </w:r>
          </w:p>
        </w:tc>
        <w:tc>
          <w:tcPr>
            <w:tcW w:w="0" w:type="auto"/>
            <w:hideMark/>
          </w:tcPr>
          <w:p w14:paraId="73C18245"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0.016</w:t>
            </w:r>
          </w:p>
        </w:tc>
        <w:tc>
          <w:tcPr>
            <w:tcW w:w="0" w:type="auto"/>
            <w:hideMark/>
          </w:tcPr>
          <w:p w14:paraId="61AF825B"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–10.81</w:t>
            </w:r>
          </w:p>
        </w:tc>
        <w:tc>
          <w:tcPr>
            <w:tcW w:w="0" w:type="auto"/>
            <w:hideMark/>
          </w:tcPr>
          <w:p w14:paraId="2528CF7A"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&lt;.001</w:t>
            </w:r>
          </w:p>
        </w:tc>
        <w:tc>
          <w:tcPr>
            <w:tcW w:w="0" w:type="auto"/>
            <w:hideMark/>
          </w:tcPr>
          <w:p w14:paraId="29AC3CCF"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[–0.201, –0.140]</w:t>
            </w:r>
          </w:p>
        </w:tc>
        <w:tc>
          <w:tcPr>
            <w:tcW w:w="0" w:type="auto"/>
            <w:hideMark/>
          </w:tcPr>
          <w:p w14:paraId="4FA5A199"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–0.254</w:t>
            </w:r>
          </w:p>
        </w:tc>
      </w:tr>
      <w:tr w:rsidR="00B313B9" w:rsidRPr="00866C49" w14:paraId="34E77171" w14:textId="77777777" w:rsidTr="00687A7E">
        <w:trPr>
          <w:trHeight w:val="167"/>
        </w:trPr>
        <w:tc>
          <w:tcPr>
            <w:cnfStyle w:val="001000000000" w:firstRow="0" w:lastRow="0" w:firstColumn="1" w:lastColumn="0" w:oddVBand="0" w:evenVBand="0" w:oddHBand="0" w:evenHBand="0" w:firstRowFirstColumn="0" w:firstRowLastColumn="0" w:lastRowFirstColumn="0" w:lastRowLastColumn="0"/>
            <w:tcW w:w="0" w:type="auto"/>
            <w:vMerge/>
            <w:hideMark/>
          </w:tcPr>
          <w:p w14:paraId="35FC1B81" w14:textId="77777777" w:rsidR="00B313B9" w:rsidRPr="00866C49" w:rsidRDefault="00B313B9" w:rsidP="00687A7E">
            <w:pPr>
              <w:rPr>
                <w:rFonts w:eastAsia="Times New Roman" w:cstheme="minorHAnsi"/>
                <w:sz w:val="18"/>
                <w:szCs w:val="18"/>
                <w:lang w:eastAsia="de-DE"/>
              </w:rPr>
            </w:pPr>
          </w:p>
        </w:tc>
        <w:tc>
          <w:tcPr>
            <w:tcW w:w="0" w:type="auto"/>
            <w:hideMark/>
          </w:tcPr>
          <w:p w14:paraId="23B7E940"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Total (</w:t>
            </w:r>
            <w:proofErr w:type="spellStart"/>
            <w:r w:rsidRPr="00866C49">
              <w:rPr>
                <w:rFonts w:eastAsia="Times New Roman" w:cstheme="minorHAnsi"/>
                <w:sz w:val="18"/>
                <w:szCs w:val="18"/>
                <w:lang w:eastAsia="de-DE"/>
              </w:rPr>
              <w:t>direct</w:t>
            </w:r>
            <w:proofErr w:type="spellEnd"/>
            <w:r w:rsidRPr="00866C49">
              <w:rPr>
                <w:rFonts w:eastAsia="Times New Roman" w:cstheme="minorHAnsi"/>
                <w:sz w:val="18"/>
                <w:szCs w:val="18"/>
                <w:lang w:eastAsia="de-DE"/>
              </w:rPr>
              <w:t xml:space="preserve"> + </w:t>
            </w:r>
            <w:proofErr w:type="spellStart"/>
            <w:r w:rsidRPr="00866C49">
              <w:rPr>
                <w:rFonts w:eastAsia="Times New Roman" w:cstheme="minorHAnsi"/>
                <w:sz w:val="18"/>
                <w:szCs w:val="18"/>
                <w:lang w:eastAsia="de-DE"/>
              </w:rPr>
              <w:t>indirect</w:t>
            </w:r>
            <w:proofErr w:type="spellEnd"/>
            <w:r w:rsidRPr="00866C49">
              <w:rPr>
                <w:rFonts w:eastAsia="Times New Roman" w:cstheme="minorHAnsi"/>
                <w:sz w:val="18"/>
                <w:szCs w:val="18"/>
                <w:lang w:eastAsia="de-DE"/>
              </w:rPr>
              <w:t>)</w:t>
            </w:r>
          </w:p>
        </w:tc>
        <w:tc>
          <w:tcPr>
            <w:tcW w:w="0" w:type="auto"/>
            <w:hideMark/>
          </w:tcPr>
          <w:p w14:paraId="617BF75E"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–0.240</w:t>
            </w:r>
          </w:p>
        </w:tc>
        <w:tc>
          <w:tcPr>
            <w:tcW w:w="0" w:type="auto"/>
            <w:hideMark/>
          </w:tcPr>
          <w:p w14:paraId="6BCDB70C"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0.019</w:t>
            </w:r>
          </w:p>
        </w:tc>
        <w:tc>
          <w:tcPr>
            <w:tcW w:w="0" w:type="auto"/>
            <w:hideMark/>
          </w:tcPr>
          <w:p w14:paraId="4DF448C3"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–12.76</w:t>
            </w:r>
          </w:p>
        </w:tc>
        <w:tc>
          <w:tcPr>
            <w:tcW w:w="0" w:type="auto"/>
            <w:hideMark/>
          </w:tcPr>
          <w:p w14:paraId="2F982EFE"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&lt;.001</w:t>
            </w:r>
          </w:p>
        </w:tc>
        <w:tc>
          <w:tcPr>
            <w:tcW w:w="0" w:type="auto"/>
            <w:hideMark/>
          </w:tcPr>
          <w:p w14:paraId="7C4F8B0E"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[–0.277, –0.204]</w:t>
            </w:r>
          </w:p>
        </w:tc>
        <w:tc>
          <w:tcPr>
            <w:tcW w:w="0" w:type="auto"/>
            <w:hideMark/>
          </w:tcPr>
          <w:p w14:paraId="12968E8D"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–0.361</w:t>
            </w:r>
          </w:p>
        </w:tc>
      </w:tr>
      <w:tr w:rsidR="00B313B9" w:rsidRPr="00866C49" w14:paraId="512B58CF" w14:textId="77777777" w:rsidTr="00687A7E">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DF7DB10" w14:textId="77777777" w:rsidR="00B313B9" w:rsidRPr="00866C49" w:rsidRDefault="00B313B9" w:rsidP="00687A7E">
            <w:pPr>
              <w:rPr>
                <w:rFonts w:eastAsia="Times New Roman" w:cstheme="minorHAnsi"/>
                <w:b w:val="0"/>
                <w:bCs w:val="0"/>
                <w:sz w:val="18"/>
                <w:szCs w:val="18"/>
                <w:lang w:eastAsia="de-DE"/>
              </w:rPr>
            </w:pPr>
            <w:r w:rsidRPr="00866C49">
              <w:rPr>
                <w:rFonts w:eastAsia="Times New Roman" w:cstheme="minorHAnsi"/>
                <w:sz w:val="18"/>
                <w:szCs w:val="18"/>
                <w:lang w:eastAsia="de-DE"/>
              </w:rPr>
              <w:t>PHQ-2</w:t>
            </w:r>
          </w:p>
          <w:p w14:paraId="189BB494" w14:textId="77777777" w:rsidR="00B313B9" w:rsidRPr="00866C49" w:rsidRDefault="00B313B9" w:rsidP="00687A7E">
            <w:pPr>
              <w:rPr>
                <w:rFonts w:eastAsia="Times New Roman" w:cstheme="minorHAnsi"/>
                <w:sz w:val="18"/>
                <w:szCs w:val="18"/>
                <w:lang w:eastAsia="de-DE"/>
              </w:rPr>
            </w:pPr>
          </w:p>
        </w:tc>
        <w:tc>
          <w:tcPr>
            <w:tcW w:w="0" w:type="auto"/>
            <w:hideMark/>
          </w:tcPr>
          <w:p w14:paraId="286B5B59"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proofErr w:type="spellStart"/>
            <w:r w:rsidRPr="00866C49">
              <w:rPr>
                <w:rFonts w:eastAsia="Times New Roman" w:cstheme="minorHAnsi"/>
                <w:sz w:val="18"/>
                <w:szCs w:val="18"/>
                <w:lang w:eastAsia="de-DE"/>
              </w:rPr>
              <w:t>Indirect</w:t>
            </w:r>
            <w:proofErr w:type="spellEnd"/>
            <w:r w:rsidRPr="00866C49">
              <w:rPr>
                <w:rFonts w:eastAsia="Times New Roman" w:cstheme="minorHAnsi"/>
                <w:sz w:val="18"/>
                <w:szCs w:val="18"/>
                <w:lang w:eastAsia="de-DE"/>
              </w:rPr>
              <w:t xml:space="preserve"> (EL → JR → PHQ-2)</w:t>
            </w:r>
          </w:p>
        </w:tc>
        <w:tc>
          <w:tcPr>
            <w:tcW w:w="0" w:type="auto"/>
            <w:hideMark/>
          </w:tcPr>
          <w:p w14:paraId="399C270B"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–0.292</w:t>
            </w:r>
          </w:p>
        </w:tc>
        <w:tc>
          <w:tcPr>
            <w:tcW w:w="0" w:type="auto"/>
            <w:hideMark/>
          </w:tcPr>
          <w:p w14:paraId="3692B64D"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0.034</w:t>
            </w:r>
          </w:p>
        </w:tc>
        <w:tc>
          <w:tcPr>
            <w:tcW w:w="0" w:type="auto"/>
            <w:hideMark/>
          </w:tcPr>
          <w:p w14:paraId="356871A1"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–8.62</w:t>
            </w:r>
          </w:p>
        </w:tc>
        <w:tc>
          <w:tcPr>
            <w:tcW w:w="0" w:type="auto"/>
            <w:hideMark/>
          </w:tcPr>
          <w:p w14:paraId="02DBF62C"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&lt;.001</w:t>
            </w:r>
          </w:p>
        </w:tc>
        <w:tc>
          <w:tcPr>
            <w:tcW w:w="0" w:type="auto"/>
            <w:hideMark/>
          </w:tcPr>
          <w:p w14:paraId="4B7FB0CD"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[–0.359, –0.226]</w:t>
            </w:r>
          </w:p>
        </w:tc>
        <w:tc>
          <w:tcPr>
            <w:tcW w:w="0" w:type="auto"/>
            <w:hideMark/>
          </w:tcPr>
          <w:p w14:paraId="7CAE98DD"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–0.195</w:t>
            </w:r>
          </w:p>
        </w:tc>
      </w:tr>
      <w:tr w:rsidR="00B313B9" w:rsidRPr="00866C49" w14:paraId="0164A640" w14:textId="77777777" w:rsidTr="00687A7E">
        <w:trPr>
          <w:trHeight w:val="167"/>
        </w:trPr>
        <w:tc>
          <w:tcPr>
            <w:cnfStyle w:val="001000000000" w:firstRow="0" w:lastRow="0" w:firstColumn="1" w:lastColumn="0" w:oddVBand="0" w:evenVBand="0" w:oddHBand="0" w:evenHBand="0" w:firstRowFirstColumn="0" w:firstRowLastColumn="0" w:lastRowFirstColumn="0" w:lastRowLastColumn="0"/>
            <w:tcW w:w="0" w:type="auto"/>
            <w:vMerge/>
            <w:hideMark/>
          </w:tcPr>
          <w:p w14:paraId="06FAE73A" w14:textId="77777777" w:rsidR="00B313B9" w:rsidRPr="00866C49" w:rsidRDefault="00B313B9" w:rsidP="00687A7E">
            <w:pPr>
              <w:rPr>
                <w:rFonts w:eastAsia="Times New Roman" w:cstheme="minorHAnsi"/>
                <w:sz w:val="18"/>
                <w:szCs w:val="18"/>
                <w:lang w:eastAsia="de-DE"/>
              </w:rPr>
            </w:pPr>
          </w:p>
        </w:tc>
        <w:tc>
          <w:tcPr>
            <w:tcW w:w="0" w:type="auto"/>
            <w:hideMark/>
          </w:tcPr>
          <w:p w14:paraId="6285505E"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Total (</w:t>
            </w:r>
            <w:proofErr w:type="spellStart"/>
            <w:r w:rsidRPr="00866C49">
              <w:rPr>
                <w:rFonts w:eastAsia="Times New Roman" w:cstheme="minorHAnsi"/>
                <w:sz w:val="18"/>
                <w:szCs w:val="18"/>
                <w:lang w:eastAsia="de-DE"/>
              </w:rPr>
              <w:t>direct</w:t>
            </w:r>
            <w:proofErr w:type="spellEnd"/>
            <w:r w:rsidRPr="00866C49">
              <w:rPr>
                <w:rFonts w:eastAsia="Times New Roman" w:cstheme="minorHAnsi"/>
                <w:sz w:val="18"/>
                <w:szCs w:val="18"/>
                <w:lang w:eastAsia="de-DE"/>
              </w:rPr>
              <w:t xml:space="preserve"> + </w:t>
            </w:r>
            <w:proofErr w:type="spellStart"/>
            <w:r w:rsidRPr="00866C49">
              <w:rPr>
                <w:rFonts w:eastAsia="Times New Roman" w:cstheme="minorHAnsi"/>
                <w:sz w:val="18"/>
                <w:szCs w:val="18"/>
                <w:lang w:eastAsia="de-DE"/>
              </w:rPr>
              <w:t>indirect</w:t>
            </w:r>
            <w:proofErr w:type="spellEnd"/>
            <w:r w:rsidRPr="00866C49">
              <w:rPr>
                <w:rFonts w:eastAsia="Times New Roman" w:cstheme="minorHAnsi"/>
                <w:sz w:val="18"/>
                <w:szCs w:val="18"/>
                <w:lang w:eastAsia="de-DE"/>
              </w:rPr>
              <w:t>)</w:t>
            </w:r>
          </w:p>
        </w:tc>
        <w:tc>
          <w:tcPr>
            <w:tcW w:w="0" w:type="auto"/>
            <w:hideMark/>
          </w:tcPr>
          <w:p w14:paraId="2F691E1C"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–0.432</w:t>
            </w:r>
          </w:p>
        </w:tc>
        <w:tc>
          <w:tcPr>
            <w:tcW w:w="0" w:type="auto"/>
            <w:hideMark/>
          </w:tcPr>
          <w:p w14:paraId="6EB4EA97"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0.043</w:t>
            </w:r>
          </w:p>
        </w:tc>
        <w:tc>
          <w:tcPr>
            <w:tcW w:w="0" w:type="auto"/>
            <w:hideMark/>
          </w:tcPr>
          <w:p w14:paraId="2D989B91"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–9.96</w:t>
            </w:r>
          </w:p>
        </w:tc>
        <w:tc>
          <w:tcPr>
            <w:tcW w:w="0" w:type="auto"/>
            <w:hideMark/>
          </w:tcPr>
          <w:p w14:paraId="5294D521"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&lt;.001</w:t>
            </w:r>
          </w:p>
        </w:tc>
        <w:tc>
          <w:tcPr>
            <w:tcW w:w="0" w:type="auto"/>
            <w:hideMark/>
          </w:tcPr>
          <w:p w14:paraId="32C12975"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[–0.516, –0.347]</w:t>
            </w:r>
          </w:p>
        </w:tc>
        <w:tc>
          <w:tcPr>
            <w:tcW w:w="0" w:type="auto"/>
            <w:hideMark/>
          </w:tcPr>
          <w:p w14:paraId="37603882"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–0.288</w:t>
            </w:r>
          </w:p>
        </w:tc>
      </w:tr>
      <w:tr w:rsidR="00B313B9" w:rsidRPr="00866C49" w14:paraId="6FFAB140" w14:textId="77777777" w:rsidTr="00687A7E">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D4AA29F" w14:textId="77777777" w:rsidR="00B313B9" w:rsidRPr="00866C49" w:rsidRDefault="00B313B9" w:rsidP="00687A7E">
            <w:pPr>
              <w:rPr>
                <w:rFonts w:eastAsia="Times New Roman" w:cstheme="minorHAnsi"/>
                <w:b w:val="0"/>
                <w:bCs w:val="0"/>
                <w:sz w:val="18"/>
                <w:szCs w:val="18"/>
                <w:lang w:eastAsia="de-DE"/>
              </w:rPr>
            </w:pPr>
            <w:r w:rsidRPr="00866C49">
              <w:rPr>
                <w:rFonts w:eastAsia="Times New Roman" w:cstheme="minorHAnsi"/>
                <w:sz w:val="18"/>
                <w:szCs w:val="18"/>
                <w:lang w:eastAsia="de-DE"/>
              </w:rPr>
              <w:t>GAD-2</w:t>
            </w:r>
          </w:p>
          <w:p w14:paraId="034D582D" w14:textId="77777777" w:rsidR="00B313B9" w:rsidRPr="00866C49" w:rsidRDefault="00B313B9" w:rsidP="00687A7E">
            <w:pPr>
              <w:rPr>
                <w:rFonts w:eastAsia="Times New Roman" w:cstheme="minorHAnsi"/>
                <w:sz w:val="18"/>
                <w:szCs w:val="18"/>
                <w:lang w:eastAsia="de-DE"/>
              </w:rPr>
            </w:pPr>
          </w:p>
        </w:tc>
        <w:tc>
          <w:tcPr>
            <w:tcW w:w="0" w:type="auto"/>
            <w:hideMark/>
          </w:tcPr>
          <w:p w14:paraId="493C6DFB"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proofErr w:type="spellStart"/>
            <w:r w:rsidRPr="00866C49">
              <w:rPr>
                <w:rFonts w:eastAsia="Times New Roman" w:cstheme="minorHAnsi"/>
                <w:sz w:val="18"/>
                <w:szCs w:val="18"/>
                <w:lang w:eastAsia="de-DE"/>
              </w:rPr>
              <w:t>Indirect</w:t>
            </w:r>
            <w:proofErr w:type="spellEnd"/>
            <w:r w:rsidRPr="00866C49">
              <w:rPr>
                <w:rFonts w:eastAsia="Times New Roman" w:cstheme="minorHAnsi"/>
                <w:sz w:val="18"/>
                <w:szCs w:val="18"/>
                <w:lang w:eastAsia="de-DE"/>
              </w:rPr>
              <w:t xml:space="preserve"> (EL → JR → GAD-2)</w:t>
            </w:r>
          </w:p>
        </w:tc>
        <w:tc>
          <w:tcPr>
            <w:tcW w:w="0" w:type="auto"/>
            <w:hideMark/>
          </w:tcPr>
          <w:p w14:paraId="2E541E26"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–0.243</w:t>
            </w:r>
          </w:p>
        </w:tc>
        <w:tc>
          <w:tcPr>
            <w:tcW w:w="0" w:type="auto"/>
            <w:hideMark/>
          </w:tcPr>
          <w:p w14:paraId="6C157670"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0.035</w:t>
            </w:r>
          </w:p>
        </w:tc>
        <w:tc>
          <w:tcPr>
            <w:tcW w:w="0" w:type="auto"/>
            <w:hideMark/>
          </w:tcPr>
          <w:p w14:paraId="0E6D9057"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–6.85</w:t>
            </w:r>
          </w:p>
        </w:tc>
        <w:tc>
          <w:tcPr>
            <w:tcW w:w="0" w:type="auto"/>
            <w:hideMark/>
          </w:tcPr>
          <w:p w14:paraId="1C471194"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&lt;.001</w:t>
            </w:r>
          </w:p>
        </w:tc>
        <w:tc>
          <w:tcPr>
            <w:tcW w:w="0" w:type="auto"/>
            <w:hideMark/>
          </w:tcPr>
          <w:p w14:paraId="6D7A288A"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[–0.314, –0.176]</w:t>
            </w:r>
          </w:p>
        </w:tc>
        <w:tc>
          <w:tcPr>
            <w:tcW w:w="0" w:type="auto"/>
            <w:hideMark/>
          </w:tcPr>
          <w:p w14:paraId="027224CE" w14:textId="77777777" w:rsidR="00B313B9" w:rsidRPr="00866C49" w:rsidRDefault="00B313B9" w:rsidP="00687A7E">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–0.161</w:t>
            </w:r>
          </w:p>
        </w:tc>
      </w:tr>
      <w:tr w:rsidR="00B313B9" w:rsidRPr="00866C49" w14:paraId="1CFC739F" w14:textId="77777777" w:rsidTr="00687A7E">
        <w:trPr>
          <w:trHeight w:val="167"/>
        </w:trPr>
        <w:tc>
          <w:tcPr>
            <w:cnfStyle w:val="001000000000" w:firstRow="0" w:lastRow="0" w:firstColumn="1" w:lastColumn="0" w:oddVBand="0" w:evenVBand="0" w:oddHBand="0" w:evenHBand="0" w:firstRowFirstColumn="0" w:firstRowLastColumn="0" w:lastRowFirstColumn="0" w:lastRowLastColumn="0"/>
            <w:tcW w:w="0" w:type="auto"/>
            <w:vMerge/>
            <w:hideMark/>
          </w:tcPr>
          <w:p w14:paraId="7F6EC9DA" w14:textId="77777777" w:rsidR="00B313B9" w:rsidRPr="00866C49" w:rsidRDefault="00B313B9" w:rsidP="00687A7E">
            <w:pPr>
              <w:rPr>
                <w:rFonts w:eastAsia="Times New Roman" w:cstheme="minorHAnsi"/>
                <w:sz w:val="18"/>
                <w:szCs w:val="18"/>
                <w:lang w:eastAsia="de-DE"/>
              </w:rPr>
            </w:pPr>
          </w:p>
        </w:tc>
        <w:tc>
          <w:tcPr>
            <w:tcW w:w="0" w:type="auto"/>
            <w:hideMark/>
          </w:tcPr>
          <w:p w14:paraId="5842ACCD"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Total (</w:t>
            </w:r>
            <w:proofErr w:type="spellStart"/>
            <w:r w:rsidRPr="00866C49">
              <w:rPr>
                <w:rFonts w:eastAsia="Times New Roman" w:cstheme="minorHAnsi"/>
                <w:sz w:val="18"/>
                <w:szCs w:val="18"/>
                <w:lang w:eastAsia="de-DE"/>
              </w:rPr>
              <w:t>direct</w:t>
            </w:r>
            <w:proofErr w:type="spellEnd"/>
            <w:r w:rsidRPr="00866C49">
              <w:rPr>
                <w:rFonts w:eastAsia="Times New Roman" w:cstheme="minorHAnsi"/>
                <w:sz w:val="18"/>
                <w:szCs w:val="18"/>
                <w:lang w:eastAsia="de-DE"/>
              </w:rPr>
              <w:t xml:space="preserve"> + </w:t>
            </w:r>
            <w:proofErr w:type="spellStart"/>
            <w:r w:rsidRPr="00866C49">
              <w:rPr>
                <w:rFonts w:eastAsia="Times New Roman" w:cstheme="minorHAnsi"/>
                <w:sz w:val="18"/>
                <w:szCs w:val="18"/>
                <w:lang w:eastAsia="de-DE"/>
              </w:rPr>
              <w:t>indirect</w:t>
            </w:r>
            <w:proofErr w:type="spellEnd"/>
            <w:r w:rsidRPr="00866C49">
              <w:rPr>
                <w:rFonts w:eastAsia="Times New Roman" w:cstheme="minorHAnsi"/>
                <w:sz w:val="18"/>
                <w:szCs w:val="18"/>
                <w:lang w:eastAsia="de-DE"/>
              </w:rPr>
              <w:t>)</w:t>
            </w:r>
          </w:p>
        </w:tc>
        <w:tc>
          <w:tcPr>
            <w:tcW w:w="0" w:type="auto"/>
            <w:hideMark/>
          </w:tcPr>
          <w:p w14:paraId="10EC1103"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–0.275</w:t>
            </w:r>
          </w:p>
        </w:tc>
        <w:tc>
          <w:tcPr>
            <w:tcW w:w="0" w:type="auto"/>
            <w:hideMark/>
          </w:tcPr>
          <w:p w14:paraId="4B556014"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0.045</w:t>
            </w:r>
          </w:p>
        </w:tc>
        <w:tc>
          <w:tcPr>
            <w:tcW w:w="0" w:type="auto"/>
            <w:hideMark/>
          </w:tcPr>
          <w:p w14:paraId="2553BDC1"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–6.06</w:t>
            </w:r>
          </w:p>
        </w:tc>
        <w:tc>
          <w:tcPr>
            <w:tcW w:w="0" w:type="auto"/>
            <w:hideMark/>
          </w:tcPr>
          <w:p w14:paraId="18A34A77"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&lt;.001</w:t>
            </w:r>
          </w:p>
        </w:tc>
        <w:tc>
          <w:tcPr>
            <w:tcW w:w="0" w:type="auto"/>
            <w:hideMark/>
          </w:tcPr>
          <w:p w14:paraId="4B6C774B"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[–0.367, –0.187]</w:t>
            </w:r>
          </w:p>
        </w:tc>
        <w:tc>
          <w:tcPr>
            <w:tcW w:w="0" w:type="auto"/>
            <w:hideMark/>
          </w:tcPr>
          <w:p w14:paraId="1B295DB4" w14:textId="77777777" w:rsidR="00B313B9" w:rsidRPr="00866C49" w:rsidRDefault="00B313B9" w:rsidP="00687A7E">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de-DE"/>
              </w:rPr>
            </w:pPr>
            <w:r w:rsidRPr="00866C49">
              <w:rPr>
                <w:rFonts w:eastAsia="Times New Roman" w:cstheme="minorHAnsi"/>
                <w:sz w:val="18"/>
                <w:szCs w:val="18"/>
                <w:lang w:eastAsia="de-DE"/>
              </w:rPr>
              <w:t>–0.183</w:t>
            </w:r>
          </w:p>
        </w:tc>
      </w:tr>
    </w:tbl>
    <w:p w14:paraId="1BEC5B34" w14:textId="77C9D353" w:rsidR="00B313B9" w:rsidRDefault="00B313B9" w:rsidP="00B313B9">
      <w:pPr>
        <w:rPr>
          <w:i/>
          <w:iCs/>
          <w:sz w:val="18"/>
          <w:szCs w:val="18"/>
          <w:lang w:val="en-US"/>
        </w:rPr>
      </w:pPr>
      <w:r w:rsidRPr="004B126D">
        <w:rPr>
          <w:i/>
          <w:iCs/>
          <w:sz w:val="18"/>
          <w:szCs w:val="18"/>
          <w:lang w:val="en-US"/>
        </w:rPr>
        <w:t>Note.</w:t>
      </w:r>
      <w:r w:rsidRPr="008771AE">
        <w:rPr>
          <w:i/>
          <w:iCs/>
          <w:sz w:val="18"/>
          <w:szCs w:val="18"/>
          <w:lang w:val="en-US"/>
        </w:rPr>
        <w:t xml:space="preserve"> </w:t>
      </w:r>
      <w:r w:rsidR="004B126D" w:rsidRPr="004B126D">
        <w:rPr>
          <w:i/>
          <w:iCs/>
          <w:sz w:val="18"/>
          <w:szCs w:val="18"/>
          <w:lang w:val="en-US"/>
        </w:rPr>
        <w:t xml:space="preserve">EL = Engaging Leadership; JR = Job Resources; BAT = Burnout Assessment Tool; PHQ-2 = Patient Health Questionnaire-2; GAD-2 = Generalized Anxiety Disorder Scale-2. Est. = unstandardized effect </w:t>
      </w:r>
      <w:proofErr w:type="gramStart"/>
      <w:r w:rsidR="004B126D" w:rsidRPr="004B126D">
        <w:rPr>
          <w:i/>
          <w:iCs/>
          <w:sz w:val="18"/>
          <w:szCs w:val="18"/>
          <w:lang w:val="en-US"/>
        </w:rPr>
        <w:t>estimate</w:t>
      </w:r>
      <w:proofErr w:type="gramEnd"/>
      <w:r w:rsidR="004B126D" w:rsidRPr="004B126D">
        <w:rPr>
          <w:i/>
          <w:iCs/>
          <w:sz w:val="18"/>
          <w:szCs w:val="18"/>
          <w:lang w:val="en-US"/>
        </w:rPr>
        <w:t>; SE = standard error; z = z-value; CI = confidence interval; Std. β = standardized effect. Indirect effects represent the mediated paths from Engaging Leadership to the respective outcomes via Job Resources. Total effects represent the sum of direct and indirect effects. Confidence intervals are bias-corrected percentile bootstrap intervals based on 5,000 resamples. Negative coefficients indicate that higher Engaging Leadership is associated with lower levels of burnout, depressive symptoms, and anxiety via increased job resources. All reported effects were statistically significant at p &lt; .001.</w:t>
      </w:r>
    </w:p>
    <w:p w14:paraId="55739575" w14:textId="77777777" w:rsidR="00B313B9" w:rsidRPr="008771AE" w:rsidRDefault="00B313B9" w:rsidP="00B313B9">
      <w:pPr>
        <w:rPr>
          <w:i/>
          <w:iCs/>
          <w:sz w:val="18"/>
          <w:szCs w:val="18"/>
          <w:lang w:val="en-US"/>
        </w:rPr>
      </w:pPr>
    </w:p>
    <w:p w14:paraId="1FDB6FBD" w14:textId="77777777" w:rsidR="00B313B9" w:rsidRPr="00B313B9" w:rsidRDefault="00B313B9">
      <w:pPr>
        <w:rPr>
          <w:lang w:val="en-US"/>
        </w:rPr>
      </w:pPr>
    </w:p>
    <w:sectPr w:rsidR="00B313B9" w:rsidRPr="00B313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B9"/>
    <w:rsid w:val="001C2832"/>
    <w:rsid w:val="004A0DB5"/>
    <w:rsid w:val="004B126D"/>
    <w:rsid w:val="00AF335D"/>
    <w:rsid w:val="00B313B9"/>
    <w:rsid w:val="00DE64EE"/>
    <w:rsid w:val="00E75CB7"/>
    <w:rsid w:val="00F41B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840B"/>
  <w15:chartTrackingRefBased/>
  <w15:docId w15:val="{D2231EDD-0F7A-4635-A2E9-DEEAB87F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B9"/>
  </w:style>
  <w:style w:type="paragraph" w:styleId="Heading1">
    <w:name w:val="heading 1"/>
    <w:basedOn w:val="Normal"/>
    <w:next w:val="Normal"/>
    <w:link w:val="Heading1Char"/>
    <w:uiPriority w:val="9"/>
    <w:qFormat/>
    <w:rsid w:val="00B313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13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13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13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13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1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3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13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13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13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13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1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3B9"/>
    <w:rPr>
      <w:rFonts w:eastAsiaTheme="majorEastAsia" w:cstheme="majorBidi"/>
      <w:color w:val="272727" w:themeColor="text1" w:themeTint="D8"/>
    </w:rPr>
  </w:style>
  <w:style w:type="paragraph" w:styleId="Title">
    <w:name w:val="Title"/>
    <w:basedOn w:val="Normal"/>
    <w:next w:val="Normal"/>
    <w:link w:val="TitleChar"/>
    <w:uiPriority w:val="10"/>
    <w:qFormat/>
    <w:rsid w:val="00B31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3B9"/>
    <w:pPr>
      <w:spacing w:before="160"/>
      <w:jc w:val="center"/>
    </w:pPr>
    <w:rPr>
      <w:i/>
      <w:iCs/>
      <w:color w:val="404040" w:themeColor="text1" w:themeTint="BF"/>
    </w:rPr>
  </w:style>
  <w:style w:type="character" w:customStyle="1" w:styleId="QuoteChar">
    <w:name w:val="Quote Char"/>
    <w:basedOn w:val="DefaultParagraphFont"/>
    <w:link w:val="Quote"/>
    <w:uiPriority w:val="29"/>
    <w:rsid w:val="00B313B9"/>
    <w:rPr>
      <w:i/>
      <w:iCs/>
      <w:color w:val="404040" w:themeColor="text1" w:themeTint="BF"/>
    </w:rPr>
  </w:style>
  <w:style w:type="paragraph" w:styleId="ListParagraph">
    <w:name w:val="List Paragraph"/>
    <w:basedOn w:val="Normal"/>
    <w:uiPriority w:val="34"/>
    <w:qFormat/>
    <w:rsid w:val="00B313B9"/>
    <w:pPr>
      <w:ind w:left="720"/>
      <w:contextualSpacing/>
    </w:pPr>
  </w:style>
  <w:style w:type="character" w:styleId="IntenseEmphasis">
    <w:name w:val="Intense Emphasis"/>
    <w:basedOn w:val="DefaultParagraphFont"/>
    <w:uiPriority w:val="21"/>
    <w:qFormat/>
    <w:rsid w:val="00B313B9"/>
    <w:rPr>
      <w:i/>
      <w:iCs/>
      <w:color w:val="2F5496" w:themeColor="accent1" w:themeShade="BF"/>
    </w:rPr>
  </w:style>
  <w:style w:type="paragraph" w:styleId="IntenseQuote">
    <w:name w:val="Intense Quote"/>
    <w:basedOn w:val="Normal"/>
    <w:next w:val="Normal"/>
    <w:link w:val="IntenseQuoteChar"/>
    <w:uiPriority w:val="30"/>
    <w:qFormat/>
    <w:rsid w:val="00B313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13B9"/>
    <w:rPr>
      <w:i/>
      <w:iCs/>
      <w:color w:val="2F5496" w:themeColor="accent1" w:themeShade="BF"/>
    </w:rPr>
  </w:style>
  <w:style w:type="character" w:styleId="IntenseReference">
    <w:name w:val="Intense Reference"/>
    <w:basedOn w:val="DefaultParagraphFont"/>
    <w:uiPriority w:val="32"/>
    <w:qFormat/>
    <w:rsid w:val="00B313B9"/>
    <w:rPr>
      <w:b/>
      <w:bCs/>
      <w:smallCaps/>
      <w:color w:val="2F5496" w:themeColor="accent1" w:themeShade="BF"/>
      <w:spacing w:val="5"/>
    </w:rPr>
  </w:style>
  <w:style w:type="table" w:styleId="PlainTable2">
    <w:name w:val="Plain Table 2"/>
    <w:basedOn w:val="TableNormal"/>
    <w:uiPriority w:val="42"/>
    <w:rsid w:val="00B313B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Kleine</dc:creator>
  <cp:keywords/>
  <dc:description/>
  <cp:lastModifiedBy>Joan Kleine</cp:lastModifiedBy>
  <cp:revision>2</cp:revision>
  <dcterms:created xsi:type="dcterms:W3CDTF">2026-01-12T10:26:00Z</dcterms:created>
  <dcterms:modified xsi:type="dcterms:W3CDTF">2026-01-13T08:46:00Z</dcterms:modified>
</cp:coreProperties>
</file>