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DAB" w:rsidRPr="000C3681" w:rsidRDefault="000C3681" w:rsidP="000C3681">
      <w:hyperlink r:id="rId4" w:history="1">
        <w:r>
          <w:rPr>
            <w:rStyle w:val="captionnumber"/>
            <w:rFonts w:ascii="Arial" w:hAnsi="Arial" w:cs="Arial"/>
            <w:b/>
            <w:bCs/>
            <w:color w:val="3672AD"/>
            <w:sz w:val="21"/>
            <w:szCs w:val="21"/>
            <w:shd w:val="clear" w:color="auto" w:fill="FFFFFF"/>
          </w:rPr>
          <w:t>Additional file 1</w:t>
        </w:r>
      </w:hyperlink>
      <w:r>
        <w:rPr>
          <w:rStyle w:val="apple-converted-space"/>
          <w:rFonts w:ascii="Arial" w:hAnsi="Arial" w:cs="Arial"/>
          <w:color w:val="333333"/>
          <w:sz w:val="21"/>
          <w:szCs w:val="21"/>
          <w:shd w:val="clear" w:color="auto" w:fill="FFFFFF"/>
        </w:rPr>
        <w:t> </w:t>
      </w:r>
      <w:bookmarkStart w:id="0" w:name="_GoBack"/>
      <w:bookmarkEnd w:id="0"/>
      <w:r>
        <w:rPr>
          <w:rStyle w:val="apple-converted-space"/>
          <w:rFonts w:ascii="Arial" w:hAnsi="Arial" w:cs="Arial"/>
          <w:color w:val="333333"/>
          <w:sz w:val="21"/>
          <w:szCs w:val="21"/>
          <w:shd w:val="clear" w:color="auto" w:fill="FFFFFF"/>
        </w:rPr>
        <w:t> </w:t>
      </w:r>
      <w:r>
        <w:rPr>
          <w:rStyle w:val="Strong"/>
          <w:rFonts w:ascii="Arial" w:hAnsi="Arial" w:cs="Arial"/>
          <w:color w:val="333333"/>
          <w:sz w:val="21"/>
          <w:szCs w:val="21"/>
          <w:shd w:val="clear" w:color="auto" w:fill="FFFFFF"/>
        </w:rPr>
        <w:t>Figure S1.</w:t>
      </w:r>
      <w:r>
        <w:rPr>
          <w:rStyle w:val="apple-converted-space"/>
          <w:rFonts w:ascii="Arial" w:hAnsi="Arial" w:cs="Arial"/>
          <w:color w:val="333333"/>
          <w:sz w:val="21"/>
          <w:szCs w:val="21"/>
          <w:shd w:val="clear" w:color="auto" w:fill="FFFFFF"/>
        </w:rPr>
        <w:t> </w:t>
      </w:r>
      <w:r>
        <w:rPr>
          <w:rStyle w:val="simplepara"/>
          <w:rFonts w:ascii="Arial" w:hAnsi="Arial" w:cs="Arial"/>
          <w:color w:val="333333"/>
          <w:sz w:val="21"/>
          <w:szCs w:val="21"/>
          <w:shd w:val="clear" w:color="auto" w:fill="FFFFFF"/>
        </w:rPr>
        <w:t>The effect of training size on predictions. A test set of 100 samples was used for all training sample sizes.</w:t>
      </w:r>
      <w:r>
        <w:rPr>
          <w:rStyle w:val="apple-converted-space"/>
          <w:rFonts w:ascii="Arial" w:hAnsi="Arial" w:cs="Arial"/>
          <w:color w:val="333333"/>
          <w:sz w:val="21"/>
          <w:szCs w:val="21"/>
          <w:shd w:val="clear" w:color="auto" w:fill="FFFFFF"/>
        </w:rPr>
        <w:t> </w:t>
      </w:r>
      <w:r>
        <w:rPr>
          <w:rStyle w:val="Strong"/>
          <w:rFonts w:ascii="Arial" w:hAnsi="Arial" w:cs="Arial"/>
          <w:color w:val="333333"/>
          <w:sz w:val="21"/>
          <w:szCs w:val="21"/>
          <w:shd w:val="clear" w:color="auto" w:fill="FFFFFF"/>
        </w:rPr>
        <w:t>Figure S2.</w:t>
      </w:r>
      <w:r>
        <w:rPr>
          <w:rStyle w:val="apple-converted-space"/>
          <w:rFonts w:ascii="Arial" w:hAnsi="Arial" w:cs="Arial"/>
          <w:color w:val="333333"/>
          <w:sz w:val="21"/>
          <w:szCs w:val="21"/>
          <w:shd w:val="clear" w:color="auto" w:fill="FFFFFF"/>
        </w:rPr>
        <w:t> </w:t>
      </w:r>
      <w:r>
        <w:rPr>
          <w:rStyle w:val="simplepara"/>
          <w:rFonts w:ascii="Arial" w:hAnsi="Arial" w:cs="Arial"/>
          <w:color w:val="333333"/>
          <w:sz w:val="21"/>
          <w:szCs w:val="21"/>
          <w:shd w:val="clear" w:color="auto" w:fill="FFFFFF"/>
        </w:rPr>
        <w:t>Out-of-bag (OOB) filtering. Scatter plot of cross-sample correlation coefficients from on OOB gene expression estimates and estimates obtained on test data for 1,000 randomly selected genes.</w:t>
      </w:r>
      <w:r>
        <w:rPr>
          <w:rStyle w:val="apple-converted-space"/>
          <w:rFonts w:ascii="Arial" w:hAnsi="Arial" w:cs="Arial"/>
          <w:color w:val="333333"/>
          <w:sz w:val="21"/>
          <w:szCs w:val="21"/>
          <w:shd w:val="clear" w:color="auto" w:fill="FFFFFF"/>
        </w:rPr>
        <w:t> </w:t>
      </w:r>
      <w:r>
        <w:rPr>
          <w:rStyle w:val="Strong"/>
          <w:rFonts w:ascii="Arial" w:hAnsi="Arial" w:cs="Arial"/>
          <w:color w:val="333333"/>
          <w:sz w:val="21"/>
          <w:szCs w:val="21"/>
          <w:shd w:val="clear" w:color="auto" w:fill="FFFFFF"/>
        </w:rPr>
        <w:t>Figure S3.</w:t>
      </w:r>
      <w:r>
        <w:rPr>
          <w:rStyle w:val="apple-converted-space"/>
          <w:rFonts w:ascii="Arial" w:hAnsi="Arial" w:cs="Arial"/>
          <w:color w:val="333333"/>
          <w:sz w:val="21"/>
          <w:szCs w:val="21"/>
          <w:shd w:val="clear" w:color="auto" w:fill="FFFFFF"/>
        </w:rPr>
        <w:t> </w:t>
      </w:r>
      <w:r>
        <w:rPr>
          <w:rStyle w:val="simplepara"/>
          <w:rFonts w:ascii="Arial" w:hAnsi="Arial" w:cs="Arial"/>
          <w:color w:val="333333"/>
          <w:sz w:val="21"/>
          <w:szCs w:val="21"/>
          <w:shd w:val="clear" w:color="auto" w:fill="FFFFFF"/>
        </w:rPr>
        <w:t>Comparison of differential expression results. Comparison of the performance of MaLTE and median-polish on the problem of detecting differential gene expression between five heart-muscle and five skeletal-muscle samples in the GTEx dataset. Each method results in a list of genes, ranked by the</w:t>
      </w:r>
      <w:r>
        <w:rPr>
          <w:rStyle w:val="apple-converted-space"/>
          <w:rFonts w:ascii="Arial" w:hAnsi="Arial" w:cs="Arial"/>
          <w:color w:val="333333"/>
          <w:sz w:val="21"/>
          <w:szCs w:val="21"/>
          <w:shd w:val="clear" w:color="auto" w:fill="FFFFFF"/>
        </w:rPr>
        <w:t> </w:t>
      </w:r>
      <w:r>
        <w:rPr>
          <w:rStyle w:val="Emphasis"/>
          <w:rFonts w:ascii="Arial" w:hAnsi="Arial" w:cs="Arial"/>
          <w:color w:val="333333"/>
          <w:sz w:val="21"/>
          <w:szCs w:val="21"/>
          <w:shd w:val="clear" w:color="auto" w:fill="FFFFFF"/>
        </w:rPr>
        <w:t>q</w:t>
      </w:r>
      <w:r>
        <w:rPr>
          <w:rStyle w:val="simplepara"/>
          <w:rFonts w:ascii="Arial" w:hAnsi="Arial" w:cs="Arial"/>
          <w:color w:val="333333"/>
          <w:sz w:val="21"/>
          <w:szCs w:val="21"/>
          <w:shd w:val="clear" w:color="auto" w:fill="FFFFFF"/>
        </w:rPr>
        <w:t>-value from the comparison of the gene expression level in the two groups of samples. We used the (</w:t>
      </w:r>
      <w:r>
        <w:rPr>
          <w:rStyle w:val="Strong"/>
          <w:rFonts w:ascii="Arial" w:hAnsi="Arial" w:cs="Arial"/>
          <w:color w:val="333333"/>
          <w:sz w:val="21"/>
          <w:szCs w:val="21"/>
          <w:shd w:val="clear" w:color="auto" w:fill="FFFFFF"/>
        </w:rPr>
        <w:t>a</w:t>
      </w:r>
      <w:r>
        <w:rPr>
          <w:rStyle w:val="simplepara"/>
          <w:rFonts w:ascii="Arial" w:hAnsi="Arial" w:cs="Arial"/>
          <w:color w:val="333333"/>
          <w:sz w:val="21"/>
          <w:szCs w:val="21"/>
          <w:shd w:val="clear" w:color="auto" w:fill="FFFFFF"/>
        </w:rPr>
        <w:t>) cumulative Jaccard index and (</w:t>
      </w:r>
      <w:r>
        <w:rPr>
          <w:rStyle w:val="Strong"/>
          <w:rFonts w:ascii="Arial" w:hAnsi="Arial" w:cs="Arial"/>
          <w:color w:val="333333"/>
          <w:sz w:val="21"/>
          <w:szCs w:val="21"/>
          <w:shd w:val="clear" w:color="auto" w:fill="FFFFFF"/>
        </w:rPr>
        <w:t>b</w:t>
      </w:r>
      <w:r>
        <w:rPr>
          <w:rStyle w:val="simplepara"/>
          <w:rFonts w:ascii="Arial" w:hAnsi="Arial" w:cs="Arial"/>
          <w:color w:val="333333"/>
          <w:sz w:val="21"/>
          <w:szCs w:val="21"/>
          <w:shd w:val="clear" w:color="auto" w:fill="FFFFFF"/>
        </w:rPr>
        <w:t>) concordance correlation to compare the similarity as a function of rank and the overall similarity, respectively, between lists of genes ranked by MaLTE/median-polish and by RNA-seq. The set of genes assessed were defined by RNA-Seq: genes with RPKM of above one in both tissues. Bootstrap re-sampling (100 pseudo-replicates) was used to assess the effect of sampling error for both cumulative Jaccard index and concordance correlations. Results of bootstrapping are shown as faint lines around the observed Jaccard index and yield the density plots shown in (</w:t>
      </w:r>
      <w:r>
        <w:rPr>
          <w:rStyle w:val="Strong"/>
          <w:rFonts w:ascii="Arial" w:hAnsi="Arial" w:cs="Arial"/>
          <w:color w:val="333333"/>
          <w:sz w:val="21"/>
          <w:szCs w:val="21"/>
          <w:shd w:val="clear" w:color="auto" w:fill="FFFFFF"/>
        </w:rPr>
        <w:t>b</w:t>
      </w:r>
      <w:r>
        <w:rPr>
          <w:rStyle w:val="simplepara"/>
          <w:rFonts w:ascii="Arial" w:hAnsi="Arial" w:cs="Arial"/>
          <w:color w:val="333333"/>
          <w:sz w:val="21"/>
          <w:szCs w:val="21"/>
          <w:shd w:val="clear" w:color="auto" w:fill="FFFFFF"/>
        </w:rPr>
        <w:t>). Log of fold change estimates for (</w:t>
      </w:r>
      <w:r>
        <w:rPr>
          <w:rStyle w:val="Strong"/>
          <w:rFonts w:ascii="Arial" w:hAnsi="Arial" w:cs="Arial"/>
          <w:color w:val="333333"/>
          <w:sz w:val="21"/>
          <w:szCs w:val="21"/>
          <w:shd w:val="clear" w:color="auto" w:fill="FFFFFF"/>
        </w:rPr>
        <w:t>c</w:t>
      </w:r>
      <w:r>
        <w:rPr>
          <w:rStyle w:val="simplepara"/>
          <w:rFonts w:ascii="Arial" w:hAnsi="Arial" w:cs="Arial"/>
          <w:color w:val="333333"/>
          <w:sz w:val="21"/>
          <w:szCs w:val="21"/>
          <w:shd w:val="clear" w:color="auto" w:fill="FFFFFF"/>
        </w:rPr>
        <w:t>) 120 differentially expressed genes common to MaLTE and median-polish and (</w:t>
      </w:r>
      <w:r>
        <w:rPr>
          <w:rStyle w:val="Strong"/>
          <w:rFonts w:ascii="Arial" w:hAnsi="Arial" w:cs="Arial"/>
          <w:color w:val="333333"/>
          <w:sz w:val="21"/>
          <w:szCs w:val="21"/>
          <w:shd w:val="clear" w:color="auto" w:fill="FFFFFF"/>
        </w:rPr>
        <w:t>d</w:t>
      </w:r>
      <w:r>
        <w:rPr>
          <w:rStyle w:val="simplepara"/>
          <w:rFonts w:ascii="Arial" w:hAnsi="Arial" w:cs="Arial"/>
          <w:color w:val="333333"/>
          <w:sz w:val="21"/>
          <w:szCs w:val="21"/>
          <w:shd w:val="clear" w:color="auto" w:fill="FFFFFF"/>
        </w:rPr>
        <w:t>) MaLTE and PLIER for six common genes.</w:t>
      </w:r>
      <w:r>
        <w:rPr>
          <w:rStyle w:val="apple-converted-space"/>
          <w:rFonts w:ascii="Arial" w:hAnsi="Arial" w:cs="Arial"/>
          <w:color w:val="333333"/>
          <w:sz w:val="21"/>
          <w:szCs w:val="21"/>
          <w:shd w:val="clear" w:color="auto" w:fill="FFFFFF"/>
        </w:rPr>
        <w:t> </w:t>
      </w:r>
      <w:r>
        <w:rPr>
          <w:rStyle w:val="Strong"/>
          <w:rFonts w:ascii="Arial" w:hAnsi="Arial" w:cs="Arial"/>
          <w:color w:val="333333"/>
          <w:sz w:val="21"/>
          <w:szCs w:val="21"/>
          <w:shd w:val="clear" w:color="auto" w:fill="FFFFFF"/>
        </w:rPr>
        <w:t>Figure S4.</w:t>
      </w:r>
      <w:r>
        <w:rPr>
          <w:rStyle w:val="apple-converted-space"/>
          <w:rFonts w:ascii="Arial" w:hAnsi="Arial" w:cs="Arial"/>
          <w:color w:val="333333"/>
          <w:sz w:val="21"/>
          <w:szCs w:val="21"/>
          <w:shd w:val="clear" w:color="auto" w:fill="FFFFFF"/>
        </w:rPr>
        <w:t> </w:t>
      </w:r>
      <w:r>
        <w:rPr>
          <w:rStyle w:val="simplepara"/>
          <w:rFonts w:ascii="Arial" w:hAnsi="Arial" w:cs="Arial"/>
          <w:color w:val="333333"/>
          <w:sz w:val="21"/>
          <w:szCs w:val="21"/>
          <w:shd w:val="clear" w:color="auto" w:fill="FFFFFF"/>
        </w:rPr>
        <w:t>Comparison of 10-sample DGE to 44-sample DGE. (</w:t>
      </w:r>
      <w:r>
        <w:rPr>
          <w:rStyle w:val="Strong"/>
          <w:rFonts w:ascii="Arial" w:hAnsi="Arial" w:cs="Arial"/>
          <w:color w:val="333333"/>
          <w:sz w:val="21"/>
          <w:szCs w:val="21"/>
          <w:shd w:val="clear" w:color="auto" w:fill="FFFFFF"/>
        </w:rPr>
        <w:t>a</w:t>
      </w:r>
      <w:r>
        <w:rPr>
          <w:rStyle w:val="simplepara"/>
          <w:rFonts w:ascii="Arial" w:hAnsi="Arial" w:cs="Arial"/>
          <w:color w:val="333333"/>
          <w:sz w:val="21"/>
          <w:szCs w:val="21"/>
          <w:shd w:val="clear" w:color="auto" w:fill="FFFFFF"/>
        </w:rPr>
        <w:t>) Self-comparisons (e.g. MaLTE 10-sample DGE to MaLTE 44-sample DGE, with five and 22 samples in each tissue, respectively). Forty-four-sample DGE results are treated as putative true differential expressions at the indicated (top right or each plot) false discover rates (FDRs). FDRs were computed using the</w:t>
      </w:r>
      <w:r>
        <w:rPr>
          <w:rStyle w:val="apple-converted-space"/>
          <w:rFonts w:ascii="Arial" w:hAnsi="Arial" w:cs="Arial"/>
          <w:color w:val="333333"/>
          <w:sz w:val="21"/>
          <w:szCs w:val="21"/>
          <w:shd w:val="clear" w:color="auto" w:fill="FFFFFF"/>
        </w:rPr>
        <w:t> </w:t>
      </w:r>
      <w:r>
        <w:rPr>
          <w:rStyle w:val="Emphasis"/>
          <w:rFonts w:ascii="Arial" w:hAnsi="Arial" w:cs="Arial"/>
          <w:color w:val="333333"/>
          <w:sz w:val="21"/>
          <w:szCs w:val="21"/>
          <w:shd w:val="clear" w:color="auto" w:fill="FFFFFF"/>
        </w:rPr>
        <w:t>q</w:t>
      </w:r>
      <w:r>
        <w:rPr>
          <w:rStyle w:val="simplepara"/>
          <w:rFonts w:ascii="Arial" w:hAnsi="Arial" w:cs="Arial"/>
          <w:color w:val="333333"/>
          <w:sz w:val="21"/>
          <w:szCs w:val="21"/>
          <w:shd w:val="clear" w:color="auto" w:fill="FFFFFF"/>
        </w:rPr>
        <w:t>-value method (Storey and Tibshirani 2003). Comparisons are made using the Jaccard index. (</w:t>
      </w:r>
      <w:r>
        <w:rPr>
          <w:rStyle w:val="Strong"/>
          <w:rFonts w:ascii="Arial" w:hAnsi="Arial" w:cs="Arial"/>
          <w:color w:val="333333"/>
          <w:sz w:val="21"/>
          <w:szCs w:val="21"/>
          <w:shd w:val="clear" w:color="auto" w:fill="FFFFFF"/>
        </w:rPr>
        <w:t>b</w:t>
      </w:r>
      <w:r>
        <w:rPr>
          <w:rStyle w:val="simplepara"/>
          <w:rFonts w:ascii="Arial" w:hAnsi="Arial" w:cs="Arial"/>
          <w:color w:val="333333"/>
          <w:sz w:val="21"/>
          <w:szCs w:val="21"/>
          <w:shd w:val="clear" w:color="auto" w:fill="FFFFFF"/>
        </w:rPr>
        <w:t>) Comparison of each method to 44-sample DGE using RNA-Seq.</w:t>
      </w:r>
      <w:r>
        <w:rPr>
          <w:rStyle w:val="apple-converted-space"/>
          <w:rFonts w:ascii="Arial" w:hAnsi="Arial" w:cs="Arial"/>
          <w:color w:val="333333"/>
          <w:sz w:val="21"/>
          <w:szCs w:val="21"/>
          <w:shd w:val="clear" w:color="auto" w:fill="FFFFFF"/>
        </w:rPr>
        <w:t> </w:t>
      </w:r>
      <w:r>
        <w:rPr>
          <w:rStyle w:val="Strong"/>
          <w:rFonts w:ascii="Arial" w:hAnsi="Arial" w:cs="Arial"/>
          <w:color w:val="333333"/>
          <w:sz w:val="21"/>
          <w:szCs w:val="21"/>
          <w:shd w:val="clear" w:color="auto" w:fill="FFFFFF"/>
        </w:rPr>
        <w:t>Figure S5.</w:t>
      </w:r>
      <w:r>
        <w:rPr>
          <w:rStyle w:val="apple-converted-space"/>
          <w:rFonts w:ascii="Arial" w:hAnsi="Arial" w:cs="Arial"/>
          <w:color w:val="333333"/>
          <w:sz w:val="21"/>
          <w:szCs w:val="21"/>
          <w:shd w:val="clear" w:color="auto" w:fill="FFFFFF"/>
        </w:rPr>
        <w:t> </w:t>
      </w:r>
      <w:r>
        <w:rPr>
          <w:rStyle w:val="simplepara"/>
          <w:rFonts w:ascii="Arial" w:hAnsi="Arial" w:cs="Arial"/>
          <w:color w:val="333333"/>
          <w:sz w:val="21"/>
          <w:szCs w:val="21"/>
          <w:shd w:val="clear" w:color="auto" w:fill="FFFFFF"/>
        </w:rPr>
        <w:t>Transcript isoform expression estimates. Densities of (</w:t>
      </w:r>
      <w:r>
        <w:rPr>
          <w:rStyle w:val="Strong"/>
          <w:rFonts w:ascii="Arial" w:hAnsi="Arial" w:cs="Arial"/>
          <w:color w:val="333333"/>
          <w:sz w:val="21"/>
          <w:szCs w:val="21"/>
          <w:shd w:val="clear" w:color="auto" w:fill="FFFFFF"/>
        </w:rPr>
        <w:t>a</w:t>
      </w:r>
      <w:r>
        <w:rPr>
          <w:rStyle w:val="simplepara"/>
          <w:rFonts w:ascii="Arial" w:hAnsi="Arial" w:cs="Arial"/>
          <w:color w:val="333333"/>
          <w:sz w:val="21"/>
          <w:szCs w:val="21"/>
          <w:shd w:val="clear" w:color="auto" w:fill="FFFFFF"/>
        </w:rPr>
        <w:t>) Pearson and (</w:t>
      </w:r>
      <w:r>
        <w:rPr>
          <w:rStyle w:val="Strong"/>
          <w:rFonts w:ascii="Arial" w:hAnsi="Arial" w:cs="Arial"/>
          <w:color w:val="333333"/>
          <w:sz w:val="21"/>
          <w:szCs w:val="21"/>
          <w:shd w:val="clear" w:color="auto" w:fill="FFFFFF"/>
        </w:rPr>
        <w:t>b</w:t>
      </w:r>
      <w:r>
        <w:rPr>
          <w:rStyle w:val="simplepara"/>
          <w:rFonts w:ascii="Arial" w:hAnsi="Arial" w:cs="Arial"/>
          <w:color w:val="333333"/>
          <w:sz w:val="21"/>
          <w:szCs w:val="21"/>
          <w:shd w:val="clear" w:color="auto" w:fill="FFFFFF"/>
        </w:rPr>
        <w:t>) Spearman cross-sample correlations for transcript isoform expression estimates obtained using MaLTE. Filtered data corresponds to transcript isoforms with</w:t>
      </w:r>
      <w:r>
        <w:rPr>
          <w:rStyle w:val="apple-converted-space"/>
          <w:rFonts w:ascii="Arial" w:hAnsi="Arial" w:cs="Arial"/>
          <w:color w:val="333333"/>
          <w:sz w:val="21"/>
          <w:szCs w:val="21"/>
          <w:shd w:val="clear" w:color="auto" w:fill="FFFFFF"/>
        </w:rPr>
        <w:t> </w:t>
      </w:r>
      <w:r>
        <w:rPr>
          <w:rStyle w:val="Emphasis"/>
          <w:rFonts w:ascii="Arial" w:hAnsi="Arial" w:cs="Arial"/>
          <w:color w:val="333333"/>
          <w:sz w:val="21"/>
          <w:szCs w:val="21"/>
          <w:shd w:val="clear" w:color="auto" w:fill="FFFFFF"/>
        </w:rPr>
        <w:t>r</w:t>
      </w:r>
      <w:r>
        <w:rPr>
          <w:rStyle w:val="apple-converted-space"/>
          <w:rFonts w:ascii="Arial" w:hAnsi="Arial" w:cs="Arial"/>
          <w:color w:val="333333"/>
          <w:sz w:val="21"/>
          <w:szCs w:val="21"/>
          <w:shd w:val="clear" w:color="auto" w:fill="FFFFFF"/>
        </w:rPr>
        <w:t> </w:t>
      </w:r>
      <w:r>
        <w:rPr>
          <w:rStyle w:val="simplepara"/>
          <w:rFonts w:ascii="Arial" w:hAnsi="Arial" w:cs="Arial"/>
          <w:color w:val="333333"/>
          <w:sz w:val="16"/>
          <w:szCs w:val="16"/>
          <w:shd w:val="clear" w:color="auto" w:fill="FFFFFF"/>
          <w:vertAlign w:val="subscript"/>
        </w:rPr>
        <w:t>OOB</w:t>
      </w:r>
      <w:r>
        <w:rPr>
          <w:rStyle w:val="simplepara"/>
          <w:rFonts w:ascii="Arial" w:hAnsi="Arial" w:cs="Arial"/>
          <w:color w:val="333333"/>
          <w:sz w:val="21"/>
          <w:szCs w:val="21"/>
          <w:shd w:val="clear" w:color="auto" w:fill="FFFFFF"/>
        </w:rPr>
        <w:t>&gt;0.</w:t>
      </w:r>
      <w:r>
        <w:rPr>
          <w:rStyle w:val="apple-converted-space"/>
          <w:rFonts w:ascii="Arial" w:hAnsi="Arial" w:cs="Arial"/>
          <w:color w:val="333333"/>
          <w:sz w:val="21"/>
          <w:szCs w:val="21"/>
          <w:shd w:val="clear" w:color="auto" w:fill="FFFFFF"/>
        </w:rPr>
        <w:t> </w:t>
      </w:r>
      <w:r>
        <w:rPr>
          <w:rStyle w:val="Strong"/>
          <w:rFonts w:ascii="Arial" w:hAnsi="Arial" w:cs="Arial"/>
          <w:color w:val="333333"/>
          <w:sz w:val="21"/>
          <w:szCs w:val="21"/>
          <w:shd w:val="clear" w:color="auto" w:fill="FFFFFF"/>
        </w:rPr>
        <w:t>Figure S6.</w:t>
      </w:r>
      <w:r>
        <w:rPr>
          <w:rStyle w:val="apple-converted-space"/>
          <w:rFonts w:ascii="Arial" w:hAnsi="Arial" w:cs="Arial"/>
          <w:color w:val="333333"/>
          <w:sz w:val="21"/>
          <w:szCs w:val="21"/>
          <w:shd w:val="clear" w:color="auto" w:fill="FFFFFF"/>
        </w:rPr>
        <w:t> </w:t>
      </w:r>
      <w:r>
        <w:rPr>
          <w:rStyle w:val="simplepara"/>
          <w:rFonts w:ascii="Arial" w:hAnsi="Arial" w:cs="Arial"/>
          <w:color w:val="333333"/>
          <w:sz w:val="21"/>
          <w:szCs w:val="21"/>
          <w:shd w:val="clear" w:color="auto" w:fill="FFFFFF"/>
        </w:rPr>
        <w:t>Box plots of slopes</w:t>
      </w:r>
      <w:r>
        <w:rPr>
          <w:rStyle w:val="apple-converted-space"/>
          <w:rFonts w:ascii="Arial" w:hAnsi="Arial" w:cs="Arial"/>
          <w:color w:val="333333"/>
          <w:sz w:val="21"/>
          <w:szCs w:val="21"/>
          <w:shd w:val="clear" w:color="auto" w:fill="FFFFFF"/>
        </w:rPr>
        <w:t> </w:t>
      </w:r>
      <w:r>
        <w:rPr>
          <w:rStyle w:val="Emphasis"/>
          <w:rFonts w:ascii="Arial" w:hAnsi="Arial" w:cs="Arial"/>
          <w:color w:val="333333"/>
          <w:sz w:val="21"/>
          <w:szCs w:val="21"/>
          <w:shd w:val="clear" w:color="auto" w:fill="FFFFFF"/>
        </w:rPr>
        <w:t>β</w:t>
      </w:r>
      <w:r>
        <w:rPr>
          <w:rStyle w:val="apple-converted-space"/>
          <w:rFonts w:ascii="Arial" w:hAnsi="Arial" w:cs="Arial"/>
          <w:color w:val="333333"/>
          <w:sz w:val="21"/>
          <w:szCs w:val="21"/>
          <w:shd w:val="clear" w:color="auto" w:fill="FFFFFF"/>
        </w:rPr>
        <w:t> </w:t>
      </w:r>
      <w:r>
        <w:rPr>
          <w:rStyle w:val="simplepara"/>
          <w:rFonts w:ascii="Arial" w:hAnsi="Arial" w:cs="Arial"/>
          <w:color w:val="333333"/>
          <w:sz w:val="21"/>
          <w:szCs w:val="21"/>
          <w:shd w:val="clear" w:color="auto" w:fill="FFFFFF"/>
        </w:rPr>
        <w:t>computed by linearly regressing RNA-Seq against array method. Dotted red line indicates unit gradient. Each box plot represents 12 slopes for brain samples. RNA-Seq expression is restricted to RPKM between one and 1000 because of high uncertainty at low values and few genes at high values representing 78% of genes quantified. Using all genes results in the same medians but wider variance in slopes due to outlying genes.</w:t>
      </w:r>
      <w:r>
        <w:rPr>
          <w:rStyle w:val="apple-converted-space"/>
          <w:rFonts w:ascii="Arial" w:hAnsi="Arial" w:cs="Arial"/>
          <w:color w:val="333333"/>
          <w:sz w:val="21"/>
          <w:szCs w:val="21"/>
          <w:shd w:val="clear" w:color="auto" w:fill="FFFFFF"/>
        </w:rPr>
        <w:t> </w:t>
      </w:r>
      <w:r>
        <w:rPr>
          <w:rStyle w:val="Strong"/>
          <w:rFonts w:ascii="Arial" w:hAnsi="Arial" w:cs="Arial"/>
          <w:color w:val="333333"/>
          <w:sz w:val="21"/>
          <w:szCs w:val="21"/>
          <w:shd w:val="clear" w:color="auto" w:fill="FFFFFF"/>
        </w:rPr>
        <w:t>Figure S7.</w:t>
      </w:r>
      <w:r>
        <w:rPr>
          <w:rStyle w:val="apple-converted-space"/>
          <w:rFonts w:ascii="Arial" w:hAnsi="Arial" w:cs="Arial"/>
          <w:color w:val="333333"/>
          <w:sz w:val="21"/>
          <w:szCs w:val="21"/>
          <w:shd w:val="clear" w:color="auto" w:fill="FFFFFF"/>
        </w:rPr>
        <w:t> </w:t>
      </w:r>
      <w:r>
        <w:rPr>
          <w:rStyle w:val="simplepara"/>
          <w:rFonts w:ascii="Arial" w:hAnsi="Arial" w:cs="Arial"/>
          <w:color w:val="333333"/>
          <w:sz w:val="21"/>
          <w:szCs w:val="21"/>
          <w:shd w:val="clear" w:color="auto" w:fill="FFFFFF"/>
        </w:rPr>
        <w:t>Estimation of tissue mixture proportions. (</w:t>
      </w:r>
      <w:r>
        <w:rPr>
          <w:rStyle w:val="Strong"/>
          <w:rFonts w:ascii="Arial" w:hAnsi="Arial" w:cs="Arial"/>
          <w:color w:val="333333"/>
          <w:sz w:val="21"/>
          <w:szCs w:val="21"/>
          <w:shd w:val="clear" w:color="auto" w:fill="FFFFFF"/>
        </w:rPr>
        <w:t>a</w:t>
      </w:r>
      <w:r>
        <w:rPr>
          <w:rStyle w:val="simplepara"/>
          <w:rFonts w:ascii="Arial" w:hAnsi="Arial" w:cs="Arial"/>
          <w:color w:val="333333"/>
          <w:sz w:val="21"/>
          <w:szCs w:val="21"/>
          <w:shd w:val="clear" w:color="auto" w:fill="FFFFFF"/>
        </w:rPr>
        <w:t>) MaLTE, (</w:t>
      </w:r>
      <w:r>
        <w:rPr>
          <w:rStyle w:val="Strong"/>
          <w:rFonts w:ascii="Arial" w:hAnsi="Arial" w:cs="Arial"/>
          <w:color w:val="333333"/>
          <w:sz w:val="21"/>
          <w:szCs w:val="21"/>
          <w:shd w:val="clear" w:color="auto" w:fill="FFFFFF"/>
        </w:rPr>
        <w:t>b</w:t>
      </w:r>
      <w:r>
        <w:rPr>
          <w:rStyle w:val="simplepara"/>
          <w:rFonts w:ascii="Arial" w:hAnsi="Arial" w:cs="Arial"/>
          <w:color w:val="333333"/>
          <w:sz w:val="21"/>
          <w:szCs w:val="21"/>
          <w:shd w:val="clear" w:color="auto" w:fill="FFFFFF"/>
        </w:rPr>
        <w:t>) median-polish (RMA), and (</w:t>
      </w:r>
      <w:r>
        <w:rPr>
          <w:rStyle w:val="Strong"/>
          <w:rFonts w:ascii="Arial" w:hAnsi="Arial" w:cs="Arial"/>
          <w:color w:val="333333"/>
          <w:sz w:val="21"/>
          <w:szCs w:val="21"/>
          <w:shd w:val="clear" w:color="auto" w:fill="FFFFFF"/>
        </w:rPr>
        <w:t>c</w:t>
      </w:r>
      <w:r>
        <w:rPr>
          <w:rStyle w:val="simplepara"/>
          <w:rFonts w:ascii="Arial" w:hAnsi="Arial" w:cs="Arial"/>
          <w:color w:val="333333"/>
          <w:sz w:val="21"/>
          <w:szCs w:val="21"/>
          <w:shd w:val="clear" w:color="auto" w:fill="FFFFFF"/>
        </w:rPr>
        <w:t>) PLIER. Each plot shows comparisons of true and estimated proportions with key statistics indicated in the legends</w:t>
      </w:r>
    </w:p>
    <w:sectPr w:rsidR="00D01DAB" w:rsidRPr="000C36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681"/>
    <w:rsid w:val="000C3681"/>
    <w:rsid w:val="002E0D8E"/>
    <w:rsid w:val="00616967"/>
    <w:rsid w:val="00D01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E92923-1726-44DC-A6E7-FE384AE8B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number">
    <w:name w:val="captionnumber"/>
    <w:basedOn w:val="DefaultParagraphFont"/>
    <w:rsid w:val="000C3681"/>
  </w:style>
  <w:style w:type="character" w:customStyle="1" w:styleId="apple-converted-space">
    <w:name w:val="apple-converted-space"/>
    <w:basedOn w:val="DefaultParagraphFont"/>
    <w:rsid w:val="000C3681"/>
  </w:style>
  <w:style w:type="character" w:customStyle="1" w:styleId="simplepara">
    <w:name w:val="simplepara"/>
    <w:basedOn w:val="DefaultParagraphFont"/>
    <w:rsid w:val="000C3681"/>
  </w:style>
  <w:style w:type="character" w:styleId="Strong">
    <w:name w:val="Strong"/>
    <w:basedOn w:val="DefaultParagraphFont"/>
    <w:uiPriority w:val="22"/>
    <w:qFormat/>
    <w:rsid w:val="000C3681"/>
    <w:rPr>
      <w:b/>
      <w:bCs/>
    </w:rPr>
  </w:style>
  <w:style w:type="character" w:styleId="Emphasis">
    <w:name w:val="Emphasis"/>
    <w:basedOn w:val="DefaultParagraphFont"/>
    <w:uiPriority w:val="20"/>
    <w:qFormat/>
    <w:rsid w:val="000C36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atic-content.springer.com/esm/art%3A10.1186%2Fs12859-015-0712-z/MediaObjects/12859_2015_712_MOESM1_ES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Bowman, Siobhan</dc:creator>
  <cp:keywords/>
  <dc:description/>
  <cp:lastModifiedBy>Bowman, Siobhan</cp:lastModifiedBy>
  <cp:revision>3</cp:revision>
  <dcterms:created xsi:type="dcterms:W3CDTF">2016-01-14T14:53:00Z</dcterms:created>
  <dcterms:modified xsi:type="dcterms:W3CDTF">2016-01-14T15:01:00Z</dcterms:modified>
</cp:coreProperties>
</file>