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738" w:rsidRPr="0039500F" w:rsidRDefault="000365A9" w:rsidP="006D1738">
      <w:pPr>
        <w:rPr>
          <w:rFonts w:asciiTheme="majorBidi" w:hAnsiTheme="majorBidi" w:cstheme="majorBidi"/>
          <w:b/>
          <w:bCs/>
          <w:sz w:val="24"/>
          <w:szCs w:val="24"/>
        </w:rPr>
      </w:pPr>
      <w:r w:rsidRPr="0039500F">
        <w:rPr>
          <w:rFonts w:asciiTheme="majorBidi" w:eastAsia="MS Mincho" w:hAnsiTheme="majorBidi" w:cstheme="majorBidi"/>
          <w:b/>
          <w:bCs/>
          <w:color w:val="000000" w:themeColor="text1"/>
          <w:sz w:val="24"/>
          <w:szCs w:val="24"/>
        </w:rPr>
        <w:t>Supplementary Table S1</w:t>
      </w:r>
      <w:r w:rsidR="006D1738" w:rsidRPr="0039500F">
        <w:rPr>
          <w:rFonts w:asciiTheme="majorBidi" w:hAnsiTheme="majorBidi" w:cstheme="majorBidi"/>
          <w:b/>
          <w:bCs/>
          <w:sz w:val="24"/>
          <w:szCs w:val="24"/>
        </w:rPr>
        <w:t xml:space="preserve">. </w:t>
      </w:r>
      <w:r w:rsidR="006D1738" w:rsidRPr="0039500F">
        <w:rPr>
          <w:rFonts w:asciiTheme="majorBidi" w:hAnsiTheme="majorBidi" w:cstheme="majorBidi"/>
          <w:sz w:val="24"/>
          <w:szCs w:val="24"/>
        </w:rPr>
        <w:t>Grey literature search</w:t>
      </w:r>
      <w:r w:rsidR="00CF139A" w:rsidRPr="0039500F">
        <w:rPr>
          <w:rFonts w:asciiTheme="majorBidi" w:hAnsiTheme="majorBidi" w:cstheme="majorBidi"/>
          <w:sz w:val="24"/>
          <w:szCs w:val="24"/>
        </w:rPr>
        <w:t>.</w:t>
      </w:r>
    </w:p>
    <w:tbl>
      <w:tblPr>
        <w:tblStyle w:val="TableGrid"/>
        <w:tblW w:w="8926" w:type="dxa"/>
        <w:tblLayout w:type="fixed"/>
        <w:tblLook w:val="04A0"/>
      </w:tblPr>
      <w:tblGrid>
        <w:gridCol w:w="4673"/>
        <w:gridCol w:w="4253"/>
      </w:tblGrid>
      <w:tr w:rsidR="005740F1" w:rsidRPr="0039500F" w:rsidTr="00C0692B">
        <w:tc>
          <w:tcPr>
            <w:tcW w:w="4673" w:type="dxa"/>
            <w:shd w:val="clear" w:color="auto" w:fill="D9D9D9" w:themeFill="background1" w:themeFillShade="D9"/>
            <w:vAlign w:val="center"/>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 xml:space="preserve">Country / Organisation </w:t>
            </w:r>
          </w:p>
        </w:tc>
        <w:tc>
          <w:tcPr>
            <w:tcW w:w="4253" w:type="dxa"/>
            <w:shd w:val="clear" w:color="auto" w:fill="D9D9D9" w:themeFill="background1" w:themeFillShade="D9"/>
            <w:vAlign w:val="center"/>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Weblink</w:t>
            </w:r>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b/>
              </w:rPr>
              <w:t>Ireland</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Mental Health Commission Ireland</w:t>
            </w:r>
          </w:p>
        </w:tc>
        <w:tc>
          <w:tcPr>
            <w:tcW w:w="4253" w:type="dxa"/>
          </w:tcPr>
          <w:p w:rsidR="005740F1" w:rsidRPr="0039500F" w:rsidRDefault="00840B8D" w:rsidP="00C0692B">
            <w:pPr>
              <w:spacing w:line="276" w:lineRule="auto"/>
              <w:rPr>
                <w:rFonts w:asciiTheme="majorBidi" w:hAnsiTheme="majorBidi" w:cstheme="majorBidi"/>
              </w:rPr>
            </w:pPr>
            <w:hyperlink r:id="rId10" w:history="1">
              <w:r w:rsidR="005740F1" w:rsidRPr="0039500F">
                <w:rPr>
                  <w:rStyle w:val="Hyperlink"/>
                  <w:rFonts w:asciiTheme="majorBidi" w:hAnsiTheme="majorBidi" w:cstheme="majorBidi"/>
                  <w:lang w:val="en-AU"/>
                </w:rPr>
                <w:t>www.mhcirl.ie/</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National Suicide Research Foundation</w:t>
            </w:r>
          </w:p>
        </w:tc>
        <w:tc>
          <w:tcPr>
            <w:tcW w:w="4253" w:type="dxa"/>
          </w:tcPr>
          <w:p w:rsidR="005740F1" w:rsidRPr="0039500F" w:rsidRDefault="00840B8D" w:rsidP="00C0692B">
            <w:pPr>
              <w:spacing w:line="276" w:lineRule="auto"/>
              <w:rPr>
                <w:rFonts w:asciiTheme="majorBidi" w:hAnsiTheme="majorBidi" w:cstheme="majorBidi"/>
              </w:rPr>
            </w:pPr>
            <w:hyperlink r:id="rId11" w:history="1">
              <w:r w:rsidR="005740F1" w:rsidRPr="0039500F">
                <w:rPr>
                  <w:rStyle w:val="Hyperlink"/>
                  <w:rFonts w:asciiTheme="majorBidi" w:hAnsiTheme="majorBidi" w:cstheme="majorBidi"/>
                </w:rPr>
                <w:t>www.nsrf.ie</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National Office for Suicide Prevention</w:t>
            </w:r>
          </w:p>
        </w:tc>
        <w:tc>
          <w:tcPr>
            <w:tcW w:w="4253" w:type="dxa"/>
          </w:tcPr>
          <w:p w:rsidR="005740F1" w:rsidRPr="0039500F" w:rsidRDefault="00840B8D" w:rsidP="00C0692B">
            <w:pPr>
              <w:spacing w:line="276" w:lineRule="auto"/>
              <w:rPr>
                <w:rFonts w:asciiTheme="majorBidi" w:hAnsiTheme="majorBidi" w:cstheme="majorBidi"/>
              </w:rPr>
            </w:pPr>
            <w:hyperlink r:id="rId12" w:history="1">
              <w:r w:rsidR="005740F1" w:rsidRPr="0039500F">
                <w:rPr>
                  <w:rStyle w:val="Hyperlink"/>
                  <w:rFonts w:asciiTheme="majorBidi" w:hAnsiTheme="majorBidi" w:cstheme="majorBidi"/>
                  <w:lang w:val="en-AU"/>
                </w:rPr>
                <w:t>www.hse.ie/eng/services/list/4/mental-health-services/nosp/</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 xml:space="preserve">Health Information Quality Authority </w:t>
            </w:r>
          </w:p>
        </w:tc>
        <w:tc>
          <w:tcPr>
            <w:tcW w:w="4253" w:type="dxa"/>
          </w:tcPr>
          <w:p w:rsidR="005740F1" w:rsidRPr="0039500F" w:rsidRDefault="00840B8D" w:rsidP="00C0692B">
            <w:pPr>
              <w:spacing w:line="276" w:lineRule="auto"/>
              <w:rPr>
                <w:rFonts w:asciiTheme="majorBidi" w:hAnsiTheme="majorBidi" w:cstheme="majorBidi"/>
              </w:rPr>
            </w:pPr>
            <w:hyperlink r:id="rId13" w:history="1">
              <w:r w:rsidR="005740F1" w:rsidRPr="0039500F">
                <w:rPr>
                  <w:rStyle w:val="Hyperlink"/>
                  <w:rFonts w:asciiTheme="majorBidi" w:hAnsiTheme="majorBidi" w:cstheme="majorBidi"/>
                </w:rPr>
                <w:t>www.hiqa.ie</w:t>
              </w:r>
            </w:hyperlink>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Australia</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Department of Health Australia</w:t>
            </w:r>
          </w:p>
        </w:tc>
        <w:tc>
          <w:tcPr>
            <w:tcW w:w="4253" w:type="dxa"/>
          </w:tcPr>
          <w:p w:rsidR="005740F1" w:rsidRPr="0039500F" w:rsidRDefault="00840B8D" w:rsidP="00C0692B">
            <w:pPr>
              <w:spacing w:line="276" w:lineRule="auto"/>
              <w:rPr>
                <w:rFonts w:asciiTheme="majorBidi" w:hAnsiTheme="majorBidi" w:cstheme="majorBidi"/>
              </w:rPr>
            </w:pPr>
            <w:hyperlink r:id="rId14" w:history="1">
              <w:r w:rsidR="005740F1" w:rsidRPr="0039500F">
                <w:rPr>
                  <w:rStyle w:val="Hyperlink"/>
                  <w:rFonts w:asciiTheme="majorBidi" w:hAnsiTheme="majorBidi" w:cstheme="majorBidi"/>
                </w:rPr>
                <w:t>www.health.gov.au</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Suicide Prevention Australia</w:t>
            </w:r>
          </w:p>
        </w:tc>
        <w:tc>
          <w:tcPr>
            <w:tcW w:w="4253" w:type="dxa"/>
          </w:tcPr>
          <w:p w:rsidR="005740F1" w:rsidRPr="0039500F" w:rsidRDefault="00840B8D" w:rsidP="00C0692B">
            <w:pPr>
              <w:spacing w:line="276" w:lineRule="auto"/>
              <w:rPr>
                <w:rFonts w:asciiTheme="majorBidi" w:hAnsiTheme="majorBidi" w:cstheme="majorBidi"/>
              </w:rPr>
            </w:pPr>
            <w:hyperlink r:id="rId15" w:history="1">
              <w:r w:rsidR="005740F1" w:rsidRPr="0039500F">
                <w:rPr>
                  <w:rStyle w:val="Hyperlink"/>
                  <w:rFonts w:asciiTheme="majorBidi" w:hAnsiTheme="majorBidi" w:cstheme="majorBidi"/>
                  <w:lang w:val="en-AU"/>
                </w:rPr>
                <w:t>www.suicidepreventionaust.org/</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Australian Institute for Suicide Research and Prevention</w:t>
            </w:r>
          </w:p>
        </w:tc>
        <w:tc>
          <w:tcPr>
            <w:tcW w:w="4253" w:type="dxa"/>
          </w:tcPr>
          <w:p w:rsidR="005740F1" w:rsidRPr="0039500F" w:rsidRDefault="00840B8D" w:rsidP="00C0692B">
            <w:pPr>
              <w:spacing w:line="276" w:lineRule="auto"/>
              <w:rPr>
                <w:rFonts w:asciiTheme="majorBidi" w:hAnsiTheme="majorBidi" w:cstheme="majorBidi"/>
              </w:rPr>
            </w:pPr>
            <w:hyperlink r:id="rId16" w:history="1">
              <w:r w:rsidR="005740F1" w:rsidRPr="0039500F">
                <w:rPr>
                  <w:rStyle w:val="Hyperlink"/>
                  <w:rFonts w:asciiTheme="majorBidi" w:eastAsia="Times New Roman" w:hAnsiTheme="majorBidi" w:cstheme="majorBidi"/>
                  <w:lang w:val="en-AU"/>
                </w:rPr>
                <w:t>www.griffith.edu.au/griffith-health/australian-institute-suicide-research-prevention</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Mental Health Commission Australia</w:t>
            </w:r>
          </w:p>
        </w:tc>
        <w:tc>
          <w:tcPr>
            <w:tcW w:w="4253" w:type="dxa"/>
          </w:tcPr>
          <w:p w:rsidR="005740F1" w:rsidRPr="0039500F" w:rsidRDefault="00840B8D" w:rsidP="00C0692B">
            <w:pPr>
              <w:spacing w:line="276" w:lineRule="auto"/>
              <w:rPr>
                <w:rFonts w:asciiTheme="majorBidi" w:hAnsiTheme="majorBidi" w:cstheme="majorBidi"/>
              </w:rPr>
            </w:pPr>
            <w:hyperlink r:id="rId17" w:history="1">
              <w:r w:rsidR="005740F1" w:rsidRPr="0039500F">
                <w:rPr>
                  <w:rStyle w:val="Hyperlink"/>
                  <w:rFonts w:asciiTheme="majorBidi" w:hAnsiTheme="majorBidi" w:cstheme="majorBidi"/>
                </w:rPr>
                <w:t>www.mentalhealthcommission.gov.au/</w:t>
              </w:r>
            </w:hyperlink>
          </w:p>
        </w:tc>
      </w:tr>
      <w:tr w:rsidR="005740F1" w:rsidRPr="0039500F" w:rsidTr="005740F1">
        <w:tc>
          <w:tcPr>
            <w:tcW w:w="4673" w:type="dxa"/>
          </w:tcPr>
          <w:p w:rsidR="005740F1" w:rsidRPr="0039500F" w:rsidRDefault="005740F1" w:rsidP="00C0692B">
            <w:pPr>
              <w:spacing w:line="276" w:lineRule="auto"/>
              <w:rPr>
                <w:rStyle w:val="normaltextrun"/>
                <w:rFonts w:asciiTheme="majorBidi" w:hAnsiTheme="majorBidi" w:cstheme="majorBidi"/>
                <w:color w:val="000000"/>
                <w:lang w:val="en-IE"/>
              </w:rPr>
            </w:pPr>
            <w:r w:rsidRPr="0039500F">
              <w:rPr>
                <w:rStyle w:val="normaltextrun"/>
                <w:rFonts w:asciiTheme="majorBidi" w:hAnsiTheme="majorBidi" w:cstheme="majorBidi"/>
                <w:color w:val="000000"/>
                <w:lang w:val="en-IE"/>
              </w:rPr>
              <w:t>Analysis and Policy Observatory</w:t>
            </w:r>
          </w:p>
        </w:tc>
        <w:tc>
          <w:tcPr>
            <w:tcW w:w="4253" w:type="dxa"/>
          </w:tcPr>
          <w:p w:rsidR="005740F1" w:rsidRPr="0039500F" w:rsidRDefault="00840B8D" w:rsidP="00C0692B">
            <w:pPr>
              <w:spacing w:line="276" w:lineRule="auto"/>
              <w:rPr>
                <w:rFonts w:asciiTheme="majorBidi" w:hAnsiTheme="majorBidi" w:cstheme="majorBidi"/>
              </w:rPr>
            </w:pPr>
            <w:hyperlink r:id="rId18" w:history="1">
              <w:r w:rsidR="005740F1" w:rsidRPr="0039500F">
                <w:rPr>
                  <w:rStyle w:val="Hyperlink"/>
                  <w:rFonts w:asciiTheme="majorBidi" w:hAnsiTheme="majorBidi" w:cstheme="majorBidi"/>
                </w:rPr>
                <w:t>https://apo.org.au/</w:t>
              </w:r>
            </w:hyperlink>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b/>
              </w:rPr>
              <w:t>Canada</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Department of Health Canada</w:t>
            </w:r>
          </w:p>
        </w:tc>
        <w:tc>
          <w:tcPr>
            <w:tcW w:w="4253" w:type="dxa"/>
          </w:tcPr>
          <w:p w:rsidR="005740F1" w:rsidRPr="0039500F" w:rsidRDefault="00840B8D" w:rsidP="00C0692B">
            <w:pPr>
              <w:spacing w:line="276" w:lineRule="auto"/>
              <w:rPr>
                <w:rFonts w:asciiTheme="majorBidi" w:hAnsiTheme="majorBidi" w:cstheme="majorBidi"/>
              </w:rPr>
            </w:pPr>
            <w:hyperlink r:id="rId19" w:history="1">
              <w:r w:rsidR="005740F1" w:rsidRPr="0039500F">
                <w:rPr>
                  <w:rStyle w:val="Hyperlink"/>
                  <w:rFonts w:asciiTheme="majorBidi" w:hAnsiTheme="majorBidi" w:cstheme="majorBidi"/>
                </w:rPr>
                <w:t>www.canada.ca/en/health-canada.html</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Canadian Association for Suicide Prevention</w:t>
            </w:r>
          </w:p>
        </w:tc>
        <w:tc>
          <w:tcPr>
            <w:tcW w:w="4253" w:type="dxa"/>
          </w:tcPr>
          <w:p w:rsidR="005740F1" w:rsidRPr="0039500F" w:rsidRDefault="00840B8D" w:rsidP="00C0692B">
            <w:pPr>
              <w:spacing w:line="276" w:lineRule="auto"/>
              <w:rPr>
                <w:rFonts w:asciiTheme="majorBidi" w:hAnsiTheme="majorBidi" w:cstheme="majorBidi"/>
              </w:rPr>
            </w:pPr>
            <w:hyperlink r:id="rId20" w:history="1">
              <w:r w:rsidR="005740F1" w:rsidRPr="0039500F">
                <w:rPr>
                  <w:rStyle w:val="Hyperlink"/>
                  <w:rFonts w:asciiTheme="majorBidi" w:hAnsiTheme="majorBidi" w:cstheme="majorBidi"/>
                </w:rPr>
                <w:t>www.suicideprevention.ca/</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Centre for Suicide Prevention Canada</w:t>
            </w:r>
          </w:p>
        </w:tc>
        <w:tc>
          <w:tcPr>
            <w:tcW w:w="4253" w:type="dxa"/>
          </w:tcPr>
          <w:p w:rsidR="005740F1" w:rsidRPr="0039500F" w:rsidRDefault="00840B8D" w:rsidP="00C0692B">
            <w:pPr>
              <w:spacing w:line="276" w:lineRule="auto"/>
              <w:rPr>
                <w:rFonts w:asciiTheme="majorBidi" w:hAnsiTheme="majorBidi" w:cstheme="majorBidi"/>
              </w:rPr>
            </w:pPr>
            <w:hyperlink r:id="rId21" w:history="1">
              <w:r w:rsidR="005740F1" w:rsidRPr="0039500F">
                <w:rPr>
                  <w:rStyle w:val="Hyperlink"/>
                  <w:rFonts w:asciiTheme="majorBidi" w:hAnsiTheme="majorBidi" w:cstheme="majorBidi"/>
                </w:rPr>
                <w:t>www.suicideinfo.ca/</w:t>
              </w:r>
            </w:hyperlink>
          </w:p>
        </w:tc>
      </w:tr>
      <w:tr w:rsidR="005740F1" w:rsidRPr="0039500F" w:rsidTr="005740F1">
        <w:tc>
          <w:tcPr>
            <w:tcW w:w="4673" w:type="dxa"/>
          </w:tcPr>
          <w:p w:rsidR="005740F1" w:rsidRPr="0039500F" w:rsidRDefault="005740F1" w:rsidP="00C0692B">
            <w:pPr>
              <w:spacing w:line="276" w:lineRule="auto"/>
              <w:rPr>
                <w:rStyle w:val="normaltextrun"/>
                <w:rFonts w:asciiTheme="majorBidi" w:hAnsiTheme="majorBidi" w:cstheme="majorBidi"/>
                <w:color w:val="000000"/>
                <w:lang w:val="en-IE"/>
              </w:rPr>
            </w:pPr>
            <w:r w:rsidRPr="0039500F">
              <w:rPr>
                <w:rStyle w:val="normaltextrun"/>
                <w:rFonts w:asciiTheme="majorBidi" w:hAnsiTheme="majorBidi" w:cstheme="majorBidi"/>
                <w:color w:val="000000"/>
                <w:lang w:val="en-IE"/>
              </w:rPr>
              <w:t>Canadian Electronic Library</w:t>
            </w:r>
          </w:p>
        </w:tc>
        <w:tc>
          <w:tcPr>
            <w:tcW w:w="4253" w:type="dxa"/>
          </w:tcPr>
          <w:p w:rsidR="005740F1" w:rsidRPr="0039500F" w:rsidRDefault="00840B8D" w:rsidP="00C0692B">
            <w:pPr>
              <w:spacing w:line="276" w:lineRule="auto"/>
              <w:rPr>
                <w:rFonts w:asciiTheme="majorBidi" w:hAnsiTheme="majorBidi" w:cstheme="majorBidi"/>
              </w:rPr>
            </w:pPr>
            <w:hyperlink r:id="rId22" w:history="1">
              <w:r w:rsidR="005740F1" w:rsidRPr="0039500F">
                <w:rPr>
                  <w:rStyle w:val="Hyperlink"/>
                  <w:rFonts w:asciiTheme="majorBidi" w:hAnsiTheme="majorBidi" w:cstheme="majorBidi"/>
                </w:rPr>
                <w:t>https://my.canadianelectroniclibrary.ca/</w:t>
              </w:r>
            </w:hyperlink>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United Kingdom</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Department of Health and Social Care UK</w:t>
            </w:r>
          </w:p>
        </w:tc>
        <w:tc>
          <w:tcPr>
            <w:tcW w:w="4253" w:type="dxa"/>
          </w:tcPr>
          <w:p w:rsidR="005740F1" w:rsidRPr="0039500F" w:rsidRDefault="00840B8D" w:rsidP="00C0692B">
            <w:pPr>
              <w:spacing w:line="276" w:lineRule="auto"/>
              <w:rPr>
                <w:rFonts w:asciiTheme="majorBidi" w:hAnsiTheme="majorBidi" w:cstheme="majorBidi"/>
              </w:rPr>
            </w:pPr>
            <w:hyperlink r:id="rId23" w:history="1">
              <w:r w:rsidR="005740F1" w:rsidRPr="0039500F">
                <w:rPr>
                  <w:rStyle w:val="Hyperlink"/>
                  <w:rFonts w:asciiTheme="majorBidi" w:eastAsia="Times New Roman" w:hAnsiTheme="majorBidi" w:cstheme="majorBidi"/>
                </w:rPr>
                <w:t>https://www.gov.uk/government/organisations/department-of-health-and-social-care</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lang w:val="fr-FR"/>
              </w:rPr>
            </w:pPr>
            <w:r w:rsidRPr="0039500F">
              <w:rPr>
                <w:rStyle w:val="normaltextrun"/>
                <w:rFonts w:asciiTheme="majorBidi" w:hAnsiTheme="majorBidi" w:cstheme="majorBidi"/>
                <w:color w:val="000000"/>
                <w:lang w:val="fr-FR"/>
              </w:rPr>
              <w:t>National Suicide Prevention Alliance UK</w:t>
            </w:r>
          </w:p>
        </w:tc>
        <w:tc>
          <w:tcPr>
            <w:tcW w:w="4253" w:type="dxa"/>
          </w:tcPr>
          <w:p w:rsidR="005740F1" w:rsidRPr="0039500F" w:rsidRDefault="00840B8D" w:rsidP="00C0692B">
            <w:pPr>
              <w:spacing w:line="276" w:lineRule="auto"/>
              <w:rPr>
                <w:rFonts w:asciiTheme="majorBidi" w:hAnsiTheme="majorBidi" w:cstheme="majorBidi"/>
                <w:lang w:val="fr-FR"/>
              </w:rPr>
            </w:pPr>
            <w:hyperlink r:id="rId24" w:history="1">
              <w:r w:rsidR="005740F1" w:rsidRPr="0039500F">
                <w:rPr>
                  <w:rStyle w:val="Hyperlink"/>
                  <w:rFonts w:asciiTheme="majorBidi" w:hAnsiTheme="majorBidi" w:cstheme="majorBidi"/>
                  <w:lang w:val="fr-FR"/>
                </w:rPr>
                <w:t>https://www.nspa.org.uk/</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Centre for Suicide Research (Oxford)</w:t>
            </w:r>
          </w:p>
        </w:tc>
        <w:tc>
          <w:tcPr>
            <w:tcW w:w="4253" w:type="dxa"/>
          </w:tcPr>
          <w:p w:rsidR="005740F1" w:rsidRPr="0039500F" w:rsidRDefault="00840B8D" w:rsidP="00C0692B">
            <w:pPr>
              <w:spacing w:line="276" w:lineRule="auto"/>
              <w:rPr>
                <w:rFonts w:asciiTheme="majorBidi" w:hAnsiTheme="majorBidi" w:cstheme="majorBidi"/>
              </w:rPr>
            </w:pPr>
            <w:hyperlink r:id="rId25" w:history="1">
              <w:r w:rsidR="005740F1" w:rsidRPr="0039500F">
                <w:rPr>
                  <w:rStyle w:val="Hyperlink"/>
                  <w:rFonts w:asciiTheme="majorBidi" w:eastAsia="Times New Roman" w:hAnsiTheme="majorBidi" w:cstheme="majorBidi"/>
                </w:rPr>
                <w:t>https://www.psych.ox.ac.uk/research/csr</w:t>
              </w:r>
            </w:hyperlink>
          </w:p>
        </w:tc>
      </w:tr>
      <w:tr w:rsidR="005740F1" w:rsidRPr="0039500F" w:rsidTr="005740F1">
        <w:tc>
          <w:tcPr>
            <w:tcW w:w="4673" w:type="dxa"/>
          </w:tcPr>
          <w:p w:rsidR="005740F1" w:rsidRPr="0039500F" w:rsidRDefault="005740F1" w:rsidP="00C0692B">
            <w:pPr>
              <w:spacing w:line="276" w:lineRule="auto"/>
              <w:rPr>
                <w:rStyle w:val="normaltextrun"/>
                <w:rFonts w:asciiTheme="majorBidi" w:hAnsiTheme="majorBidi" w:cstheme="majorBidi"/>
                <w:color w:val="000000"/>
                <w:lang w:val="en-IE"/>
              </w:rPr>
            </w:pPr>
            <w:r w:rsidRPr="0039500F">
              <w:rPr>
                <w:rStyle w:val="normaltextrun"/>
                <w:rFonts w:asciiTheme="majorBidi" w:hAnsiTheme="majorBidi" w:cstheme="majorBidi"/>
                <w:color w:val="000000"/>
                <w:lang w:val="en-IE"/>
              </w:rPr>
              <w:t>National Health Service (NHS) Evidence database</w:t>
            </w:r>
          </w:p>
        </w:tc>
        <w:tc>
          <w:tcPr>
            <w:tcW w:w="4253" w:type="dxa"/>
          </w:tcPr>
          <w:p w:rsidR="005740F1" w:rsidRPr="0039500F" w:rsidRDefault="00840B8D" w:rsidP="00C0692B">
            <w:pPr>
              <w:spacing w:line="276" w:lineRule="auto"/>
              <w:rPr>
                <w:rFonts w:asciiTheme="majorBidi" w:hAnsiTheme="majorBidi" w:cstheme="majorBidi"/>
              </w:rPr>
            </w:pPr>
            <w:hyperlink r:id="rId26" w:history="1">
              <w:r w:rsidR="005740F1" w:rsidRPr="0039500F">
                <w:rPr>
                  <w:rStyle w:val="Hyperlink"/>
                  <w:rFonts w:asciiTheme="majorBidi" w:hAnsiTheme="majorBidi" w:cstheme="majorBidi"/>
                </w:rPr>
                <w:t>https://www.evidence.nhs.uk/</w:t>
              </w:r>
            </w:hyperlink>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New Zealand</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Ministry of Health New Zealand</w:t>
            </w:r>
            <w:r w:rsidRPr="0039500F">
              <w:rPr>
                <w:rStyle w:val="eop"/>
                <w:rFonts w:asciiTheme="majorBidi" w:hAnsiTheme="majorBidi" w:cstheme="majorBidi"/>
              </w:rPr>
              <w:t> </w:t>
            </w:r>
          </w:p>
        </w:tc>
        <w:tc>
          <w:tcPr>
            <w:tcW w:w="4253" w:type="dxa"/>
          </w:tcPr>
          <w:p w:rsidR="005740F1" w:rsidRPr="0039500F" w:rsidRDefault="00840B8D" w:rsidP="00C0692B">
            <w:pPr>
              <w:spacing w:line="276" w:lineRule="auto"/>
              <w:rPr>
                <w:rFonts w:asciiTheme="majorBidi" w:hAnsiTheme="majorBidi" w:cstheme="majorBidi"/>
              </w:rPr>
            </w:pPr>
            <w:hyperlink r:id="rId27" w:history="1">
              <w:r w:rsidR="005740F1" w:rsidRPr="0039500F">
                <w:rPr>
                  <w:rStyle w:val="Hyperlink"/>
                  <w:rFonts w:asciiTheme="majorBidi" w:hAnsiTheme="majorBidi" w:cstheme="majorBidi"/>
                </w:rPr>
                <w:t>www.health.govt.nz</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Ministry of Social development New Zealand</w:t>
            </w:r>
            <w:r w:rsidRPr="0039500F">
              <w:rPr>
                <w:rStyle w:val="eop"/>
                <w:rFonts w:asciiTheme="majorBidi" w:hAnsiTheme="majorBidi" w:cstheme="majorBidi"/>
              </w:rPr>
              <w:t> </w:t>
            </w:r>
          </w:p>
        </w:tc>
        <w:tc>
          <w:tcPr>
            <w:tcW w:w="4253" w:type="dxa"/>
          </w:tcPr>
          <w:p w:rsidR="005740F1" w:rsidRPr="0039500F" w:rsidRDefault="00840B8D" w:rsidP="00C0692B">
            <w:pPr>
              <w:spacing w:line="276" w:lineRule="auto"/>
              <w:rPr>
                <w:rFonts w:asciiTheme="majorBidi" w:hAnsiTheme="majorBidi" w:cstheme="majorBidi"/>
              </w:rPr>
            </w:pPr>
            <w:hyperlink r:id="rId28" w:history="1">
              <w:r w:rsidR="005740F1" w:rsidRPr="0039500F">
                <w:rPr>
                  <w:rStyle w:val="Hyperlink"/>
                  <w:rFonts w:asciiTheme="majorBidi" w:hAnsiTheme="majorBidi" w:cstheme="majorBidi"/>
                </w:rPr>
                <w:t>www.msd.govt.nz</w:t>
              </w:r>
            </w:hyperlink>
          </w:p>
        </w:tc>
      </w:tr>
      <w:tr w:rsidR="005740F1" w:rsidRPr="0039500F" w:rsidTr="006D1738">
        <w:tc>
          <w:tcPr>
            <w:tcW w:w="8926" w:type="dxa"/>
            <w:gridSpan w:val="2"/>
          </w:tcPr>
          <w:p w:rsidR="005740F1" w:rsidRPr="0039500F" w:rsidRDefault="005740F1" w:rsidP="00C0692B">
            <w:pPr>
              <w:spacing w:line="276" w:lineRule="auto"/>
              <w:rPr>
                <w:rFonts w:asciiTheme="majorBidi" w:hAnsiTheme="majorBidi" w:cstheme="majorBidi"/>
                <w:b/>
              </w:rPr>
            </w:pPr>
            <w:r w:rsidRPr="0039500F">
              <w:rPr>
                <w:rFonts w:asciiTheme="majorBidi" w:hAnsiTheme="majorBidi" w:cstheme="majorBidi"/>
                <w:b/>
              </w:rPr>
              <w:t>USA</w:t>
            </w:r>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 xml:space="preserve">US Office of Disease Prevention and Health Promotion </w:t>
            </w:r>
          </w:p>
        </w:tc>
        <w:tc>
          <w:tcPr>
            <w:tcW w:w="4253" w:type="dxa"/>
          </w:tcPr>
          <w:p w:rsidR="005740F1" w:rsidRPr="0039500F" w:rsidRDefault="00840B8D" w:rsidP="00C0692B">
            <w:pPr>
              <w:spacing w:line="276" w:lineRule="auto"/>
              <w:rPr>
                <w:rFonts w:asciiTheme="majorBidi" w:hAnsiTheme="majorBidi" w:cstheme="majorBidi"/>
              </w:rPr>
            </w:pPr>
            <w:hyperlink r:id="rId29" w:history="1">
              <w:r w:rsidR="005740F1" w:rsidRPr="0039500F">
                <w:rPr>
                  <w:rStyle w:val="Hyperlink"/>
                  <w:rFonts w:asciiTheme="majorBidi" w:hAnsiTheme="majorBidi" w:cstheme="majorBidi"/>
                </w:rPr>
                <w:t>www.health.gov/about-us</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 xml:space="preserve">US National Institute of Health </w:t>
            </w:r>
          </w:p>
        </w:tc>
        <w:tc>
          <w:tcPr>
            <w:tcW w:w="4253" w:type="dxa"/>
          </w:tcPr>
          <w:p w:rsidR="005740F1" w:rsidRPr="0039500F" w:rsidRDefault="00840B8D" w:rsidP="00C0692B">
            <w:pPr>
              <w:spacing w:line="276" w:lineRule="auto"/>
              <w:rPr>
                <w:rFonts w:asciiTheme="majorBidi" w:hAnsiTheme="majorBidi" w:cstheme="majorBidi"/>
              </w:rPr>
            </w:pPr>
            <w:hyperlink r:id="rId30" w:history="1">
              <w:r w:rsidR="005740F1" w:rsidRPr="0039500F">
                <w:rPr>
                  <w:rStyle w:val="Hyperlink"/>
                  <w:rFonts w:asciiTheme="majorBidi" w:hAnsiTheme="majorBidi" w:cstheme="majorBidi"/>
                </w:rPr>
                <w:t>www.nih.gov</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 xml:space="preserve">Centres for Disease Control </w:t>
            </w:r>
            <w:r w:rsidRPr="0039500F">
              <w:rPr>
                <w:rStyle w:val="eop"/>
                <w:rFonts w:asciiTheme="majorBidi" w:hAnsiTheme="majorBidi" w:cstheme="majorBidi"/>
              </w:rPr>
              <w:t xml:space="preserve">and Prevention </w:t>
            </w:r>
          </w:p>
        </w:tc>
        <w:tc>
          <w:tcPr>
            <w:tcW w:w="4253" w:type="dxa"/>
          </w:tcPr>
          <w:p w:rsidR="005740F1" w:rsidRPr="0039500F" w:rsidRDefault="00840B8D" w:rsidP="00C0692B">
            <w:pPr>
              <w:spacing w:line="276" w:lineRule="auto"/>
              <w:rPr>
                <w:rFonts w:asciiTheme="majorBidi" w:hAnsiTheme="majorBidi" w:cstheme="majorBidi"/>
              </w:rPr>
            </w:pPr>
            <w:hyperlink r:id="rId31" w:history="1">
              <w:r w:rsidR="005740F1" w:rsidRPr="0039500F">
                <w:rPr>
                  <w:rStyle w:val="Hyperlink"/>
                  <w:rFonts w:asciiTheme="majorBidi" w:hAnsiTheme="majorBidi" w:cstheme="majorBidi"/>
                </w:rPr>
                <w:t>www.cdc.gov</w:t>
              </w:r>
            </w:hyperlink>
          </w:p>
        </w:tc>
      </w:tr>
      <w:tr w:rsidR="005740F1" w:rsidRPr="0039500F" w:rsidTr="005740F1">
        <w:tc>
          <w:tcPr>
            <w:tcW w:w="4673" w:type="dxa"/>
          </w:tcPr>
          <w:p w:rsidR="005740F1" w:rsidRPr="0039500F" w:rsidRDefault="005740F1" w:rsidP="00C0692B">
            <w:pPr>
              <w:spacing w:line="276" w:lineRule="auto"/>
              <w:rPr>
                <w:rFonts w:asciiTheme="majorBidi" w:hAnsiTheme="majorBidi" w:cstheme="majorBidi"/>
              </w:rPr>
            </w:pPr>
            <w:r w:rsidRPr="0039500F">
              <w:rPr>
                <w:rStyle w:val="normaltextrun"/>
                <w:rFonts w:asciiTheme="majorBidi" w:hAnsiTheme="majorBidi" w:cstheme="majorBidi"/>
                <w:color w:val="000000"/>
                <w:lang w:val="en-IE"/>
              </w:rPr>
              <w:t>American Psychological Society</w:t>
            </w:r>
            <w:r w:rsidRPr="0039500F">
              <w:rPr>
                <w:rStyle w:val="eop"/>
                <w:rFonts w:asciiTheme="majorBidi" w:hAnsiTheme="majorBidi" w:cstheme="majorBidi"/>
              </w:rPr>
              <w:t> </w:t>
            </w:r>
          </w:p>
        </w:tc>
        <w:tc>
          <w:tcPr>
            <w:tcW w:w="4253" w:type="dxa"/>
          </w:tcPr>
          <w:p w:rsidR="005740F1" w:rsidRPr="0039500F" w:rsidRDefault="00840B8D" w:rsidP="00C0692B">
            <w:pPr>
              <w:spacing w:line="276" w:lineRule="auto"/>
              <w:rPr>
                <w:rFonts w:asciiTheme="majorBidi" w:hAnsiTheme="majorBidi" w:cstheme="majorBidi"/>
              </w:rPr>
            </w:pPr>
            <w:hyperlink r:id="rId32" w:history="1">
              <w:r w:rsidR="005740F1" w:rsidRPr="0039500F">
                <w:rPr>
                  <w:rStyle w:val="Hyperlink"/>
                  <w:rFonts w:asciiTheme="majorBidi" w:hAnsiTheme="majorBidi" w:cstheme="majorBidi"/>
                </w:rPr>
                <w:t>www.apa.org</w:t>
              </w:r>
            </w:hyperlink>
          </w:p>
        </w:tc>
      </w:tr>
      <w:tr w:rsidR="005740F1" w:rsidRPr="0039500F" w:rsidTr="005740F1">
        <w:tc>
          <w:tcPr>
            <w:tcW w:w="4673" w:type="dxa"/>
          </w:tcPr>
          <w:p w:rsidR="005740F1" w:rsidRPr="0039500F" w:rsidRDefault="005740F1" w:rsidP="00C0692B">
            <w:pPr>
              <w:spacing w:line="276" w:lineRule="auto"/>
              <w:rPr>
                <w:rStyle w:val="normaltextrun"/>
                <w:rFonts w:asciiTheme="majorBidi" w:hAnsiTheme="majorBidi" w:cstheme="majorBidi"/>
                <w:color w:val="000000"/>
                <w:lang w:val="en-IE"/>
              </w:rPr>
            </w:pPr>
            <w:r w:rsidRPr="0039500F">
              <w:rPr>
                <w:rStyle w:val="normaltextrun"/>
                <w:rFonts w:asciiTheme="majorBidi" w:hAnsiTheme="majorBidi" w:cstheme="majorBidi"/>
                <w:color w:val="000000"/>
                <w:lang w:val="en-IE"/>
              </w:rPr>
              <w:t>Agency for Healthcare Research and Quality (AHRQ)</w:t>
            </w:r>
          </w:p>
        </w:tc>
        <w:tc>
          <w:tcPr>
            <w:tcW w:w="4253" w:type="dxa"/>
          </w:tcPr>
          <w:p w:rsidR="005740F1" w:rsidRPr="0039500F" w:rsidRDefault="00840B8D" w:rsidP="00C0692B">
            <w:pPr>
              <w:spacing w:line="276" w:lineRule="auto"/>
              <w:rPr>
                <w:rFonts w:asciiTheme="majorBidi" w:hAnsiTheme="majorBidi" w:cstheme="majorBidi"/>
              </w:rPr>
            </w:pPr>
            <w:hyperlink r:id="rId33" w:history="1">
              <w:r w:rsidR="005740F1" w:rsidRPr="0039500F">
                <w:rPr>
                  <w:rStyle w:val="Hyperlink"/>
                  <w:rFonts w:asciiTheme="majorBidi" w:hAnsiTheme="majorBidi" w:cstheme="majorBidi"/>
                </w:rPr>
                <w:t>https://www.ahrq.gov/</w:t>
              </w:r>
            </w:hyperlink>
          </w:p>
        </w:tc>
      </w:tr>
    </w:tbl>
    <w:p w:rsidR="00803891" w:rsidRPr="0039500F" w:rsidRDefault="00803891" w:rsidP="005740F1">
      <w:pPr>
        <w:spacing w:after="0" w:line="240" w:lineRule="auto"/>
        <w:rPr>
          <w:rFonts w:asciiTheme="majorBidi" w:hAnsiTheme="majorBidi" w:cstheme="majorBidi"/>
          <w:sz w:val="24"/>
          <w:szCs w:val="24"/>
        </w:rPr>
      </w:pPr>
    </w:p>
    <w:p w:rsidR="00304F15" w:rsidRDefault="00304F15" w:rsidP="005740F1">
      <w:pPr>
        <w:spacing w:after="0" w:line="240" w:lineRule="auto"/>
        <w:rPr>
          <w:rFonts w:asciiTheme="majorBidi" w:hAnsiTheme="majorBidi" w:cstheme="majorBidi"/>
          <w:sz w:val="24"/>
          <w:szCs w:val="24"/>
        </w:rPr>
      </w:pPr>
    </w:p>
    <w:p w:rsidR="0039500F" w:rsidRDefault="0039500F" w:rsidP="005740F1">
      <w:pPr>
        <w:spacing w:after="0" w:line="240" w:lineRule="auto"/>
        <w:rPr>
          <w:rFonts w:asciiTheme="majorBidi" w:hAnsiTheme="majorBidi" w:cstheme="majorBidi"/>
          <w:sz w:val="24"/>
          <w:szCs w:val="24"/>
        </w:rPr>
        <w:sectPr w:rsidR="0039500F" w:rsidSect="00C0692B">
          <w:footerReference w:type="default" r:id="rId34"/>
          <w:pgSz w:w="11906" w:h="16838"/>
          <w:pgMar w:top="1440" w:right="1440" w:bottom="1440" w:left="1440" w:header="709" w:footer="709" w:gutter="0"/>
          <w:cols w:space="708"/>
          <w:docGrid w:linePitch="360"/>
        </w:sectPr>
      </w:pPr>
    </w:p>
    <w:p w:rsidR="0039500F" w:rsidRPr="007F0ED8" w:rsidRDefault="0039500F" w:rsidP="0039500F">
      <w:pPr>
        <w:spacing w:after="0" w:line="360" w:lineRule="auto"/>
        <w:ind w:hanging="851"/>
        <w:rPr>
          <w:rFonts w:asciiTheme="majorBidi" w:hAnsiTheme="majorBidi" w:cstheme="majorBidi"/>
          <w:sz w:val="24"/>
          <w:szCs w:val="24"/>
          <w:lang w:val="en-US"/>
        </w:rPr>
      </w:pPr>
      <w:r w:rsidRPr="007F0ED8">
        <w:rPr>
          <w:rFonts w:asciiTheme="majorBidi" w:eastAsia="MS Mincho" w:hAnsiTheme="majorBidi" w:cstheme="majorBidi"/>
          <w:b/>
          <w:bCs/>
          <w:color w:val="000000" w:themeColor="text1"/>
          <w:sz w:val="24"/>
          <w:szCs w:val="24"/>
          <w:lang w:val="en-US"/>
        </w:rPr>
        <w:lastRenderedPageBreak/>
        <w:t>Supplementary Table S2.</w:t>
      </w:r>
      <w:r w:rsidRPr="007F0ED8">
        <w:rPr>
          <w:rFonts w:asciiTheme="majorBidi" w:hAnsiTheme="majorBidi" w:cstheme="majorBidi"/>
          <w:sz w:val="24"/>
          <w:szCs w:val="24"/>
          <w:lang w:val="en-US"/>
        </w:rPr>
        <w:t>Complete data extraction table (=21).</w:t>
      </w:r>
    </w:p>
    <w:tbl>
      <w:tblPr>
        <w:tblStyle w:val="TableGrid"/>
        <w:tblW w:w="15735" w:type="dxa"/>
        <w:tblInd w:w="-856" w:type="dxa"/>
        <w:tblLayout w:type="fixed"/>
        <w:tblLook w:val="04A0"/>
      </w:tblPr>
      <w:tblGrid>
        <w:gridCol w:w="1277"/>
        <w:gridCol w:w="2126"/>
        <w:gridCol w:w="2410"/>
        <w:gridCol w:w="3118"/>
        <w:gridCol w:w="1843"/>
        <w:gridCol w:w="4961"/>
      </w:tblGrid>
      <w:tr w:rsidR="0039500F" w:rsidRPr="007F0ED8" w:rsidTr="0001319E">
        <w:trPr>
          <w:tblHeader/>
        </w:trPr>
        <w:tc>
          <w:tcPr>
            <w:tcW w:w="1277"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Authors (year)</w:t>
            </w:r>
          </w:p>
          <w:p w:rsidR="0039500F" w:rsidRPr="007F0ED8" w:rsidRDefault="0039500F" w:rsidP="0001319E">
            <w:pPr>
              <w:spacing w:line="276" w:lineRule="auto"/>
              <w:rPr>
                <w:rFonts w:asciiTheme="majorBidi" w:hAnsiTheme="majorBidi" w:cstheme="majorBidi"/>
                <w:b/>
                <w:lang w:val="en-US"/>
              </w:rPr>
            </w:pPr>
          </w:p>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 xml:space="preserve">Country </w:t>
            </w:r>
          </w:p>
        </w:tc>
        <w:tc>
          <w:tcPr>
            <w:tcW w:w="2126"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Aim</w:t>
            </w:r>
          </w:p>
        </w:tc>
        <w:tc>
          <w:tcPr>
            <w:tcW w:w="2410"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Design</w:t>
            </w:r>
          </w:p>
          <w:p w:rsidR="0039500F" w:rsidRPr="007F0ED8" w:rsidRDefault="0039500F" w:rsidP="0001319E">
            <w:pPr>
              <w:spacing w:line="276" w:lineRule="auto"/>
              <w:rPr>
                <w:rFonts w:asciiTheme="majorBidi" w:hAnsiTheme="majorBidi" w:cstheme="majorBidi"/>
                <w:b/>
                <w:lang w:val="en-US"/>
              </w:rPr>
            </w:pPr>
          </w:p>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 xml:space="preserve">Sample &amp; Setting </w:t>
            </w:r>
          </w:p>
        </w:tc>
        <w:tc>
          <w:tcPr>
            <w:tcW w:w="3118"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Description of risk assessment strategy</w:t>
            </w:r>
          </w:p>
        </w:tc>
        <w:tc>
          <w:tcPr>
            <w:tcW w:w="1843"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Relevant outcomes measured</w:t>
            </w:r>
          </w:p>
        </w:tc>
        <w:tc>
          <w:tcPr>
            <w:tcW w:w="4961" w:type="dxa"/>
            <w:shd w:val="clear" w:color="auto" w:fill="F2F2F2" w:themeFill="background1" w:themeFillShade="F2"/>
          </w:tcPr>
          <w:p w:rsidR="0039500F" w:rsidRPr="007F0ED8" w:rsidRDefault="0039500F" w:rsidP="0001319E">
            <w:pPr>
              <w:spacing w:line="276" w:lineRule="auto"/>
              <w:rPr>
                <w:rFonts w:asciiTheme="majorBidi" w:hAnsiTheme="majorBidi" w:cstheme="majorBidi"/>
                <w:b/>
                <w:lang w:val="en-US"/>
              </w:rPr>
            </w:pPr>
            <w:r w:rsidRPr="007F0ED8">
              <w:rPr>
                <w:rFonts w:asciiTheme="majorBidi" w:hAnsiTheme="majorBidi" w:cstheme="majorBidi"/>
                <w:b/>
                <w:lang w:val="en-US"/>
              </w:rPr>
              <w:t>Key findings</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Brucker et al. (2019)</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To test the accuracy of the Convergent Functional Information for Suicidality (CFI-S) 22-item checklist of risk factors and the physician gestalt Visual Analog Scale (VAS)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n=338 patients aged 18 years and over attending the emergency department of a US hospital</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After initial nursing and physician assessments were complete, research staff administered the CFI-S with patients. The CFI-S is a checklist of risk factors for suicidality from a variety of domains including life satisfaction, mental health, physical health, environmental stress, addictions, cultural factors, and demographic information and assigns a numeric point value for each response,</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0 for absent or 1 for present.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After the CFI-S was completed, the patient’s ED physician completed the physician clinical gestalt VAS regarding the patient’s risk of future suicide related outcomes over the following </w:t>
            </w:r>
            <w:r w:rsidRPr="007F0ED8">
              <w:rPr>
                <w:rFonts w:asciiTheme="majorBidi" w:hAnsiTheme="majorBidi" w:cstheme="majorBidi"/>
                <w:lang w:val="en-US"/>
              </w:rPr>
              <w:lastRenderedPageBreak/>
              <w:t xml:space="preserve">6 months. Physicians were asked to assess their numeric probability (0%–100%) that the patient would have a suicidality spectrum event (SSE).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Suicidality spectrum event, defined as repeat ED visit or admission for suicidal ideation, preparatory acts, suicide attempts, aborted or interrupted attempts, or completed suicide in the 6 months following the patient’s index ED visit</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Overall, the suicide clinical screening (SCS) had modest diagnostic accuracy sensitivity 14/32 = 44%, (95% CI: 26–62%) and specificity 275/306 = 90%, (86–93%). The physician VAS also had moderate overall diagnostic accuracy (AUC 0.75, confidence interval [CI] = 0.66–0.85), and the CFI-S was best in terms of diagnostic accuracy (AUC = 0.81, CI = 0.76–0.87).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top CFI-S differentiating items were psychiatric illness, perceived uselessness, and social isolation.</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concluded that using CFI-S, or some of its items, in busy EDs may help improve the detection of patients at high risk for future suicidality</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Campbell and Beech (2018)</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examine whether scores on the Historical, Clinical and Risk Management scales (HCR-20) and the Female Additional Manual (FAM) are related to frequency of self-harm.</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n=89 females in a secure forensic inpatient setting in England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HCR-20 and FAM assessments were routinely completed for each patient by their clinical team within three months of admission and updated at least six-monthly thereafter.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Frequency of self-harm during the one-year period after completing the risk assessment.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Of the 89 participants, 54 (60.67%) self-harmed at least once during the one-year period. The results showed that higher mean total scores on the HCR-20, and on the Historical and Clinical scales were associated with more frequent self-harm,</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both with and without the FAM items. The Risk Management scale was not associated with frequency of self-harm.</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This study indicates that the HCR-20 may be a useful tool for assessing risk of self-harm in females within a secure psychiatric setting, and that also using the FAM items may add to this clinical utility.</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Chang and Tan (2015)</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To explore the relationship between several suicide screening </w:t>
            </w:r>
            <w:r w:rsidRPr="007F0ED8">
              <w:rPr>
                <w:rFonts w:asciiTheme="majorBidi" w:hAnsiTheme="majorBidi" w:cstheme="majorBidi"/>
                <w:lang w:val="en-US"/>
              </w:rPr>
              <w:lastRenderedPageBreak/>
              <w:t xml:space="preserve">instruments, along with clinician “intuition”, and their association with subsequent patient clinical course in the emergency department (ED).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n=50 patients with a chief complaint of </w:t>
            </w:r>
            <w:r w:rsidRPr="007F0ED8">
              <w:rPr>
                <w:rFonts w:asciiTheme="majorBidi" w:hAnsiTheme="majorBidi" w:cstheme="majorBidi"/>
                <w:lang w:val="en-US"/>
              </w:rPr>
              <w:lastRenderedPageBreak/>
              <w:t xml:space="preserve">self-injurious thoughts and behavior (SITB) presenting to the ED of a tertiary teaching hospital in New York City and their 150 ED care providers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Patients were administered 4 suicide screening tools:</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1. The Patient Health Questionnaire 9 (PHQ-9);</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2. The Beck Scale of Suicidal Ideation (SSI);</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3. The Columbia Suicide Severity Rating Scale (C-SSRS) self-report screener; and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4. The SAD PERSONS scale.</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Clinical providers completed a questionnaire about years of experience and clinical impression, using a 1 to 10 scale, of the likelihood that the patient's presentation represented a high-risk psychiatric emergency requiring admission.</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Need for psychiatric hospital admission, </w:t>
            </w:r>
            <w:r w:rsidRPr="007F0ED8">
              <w:rPr>
                <w:rFonts w:asciiTheme="majorBidi" w:hAnsiTheme="majorBidi" w:cstheme="majorBidi"/>
                <w:lang w:val="en-US"/>
              </w:rPr>
              <w:lastRenderedPageBreak/>
              <w:t>prolonged stay at a psychiatric facility (&gt;5 days), and adverse events during the ED stay (including need for unscheduled psychiatric or sedating medications, physical restraints, or security staff intervention)</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lastRenderedPageBreak/>
              <w:t>A composite outcome measure of adverse within-ED events was calculated for each patient, and overall, 19 patients (38%) had at least 1 within-ED adverse event.</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lastRenderedPageBreak/>
              <w:t>The Beck Scale of Suicidal Ideation, PHQ-9, and C-SSRS instruments were found to be poor at predicting within-ED adverse events, admissions</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to psychiatric facilities, and prolonged psychiatric admissions, with</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AUCs less than or not significantly greater than 0.5. </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SAD PERSONS scale was better at predicting psychiatric facility admission (p=0.009) and prolonged psychiatric hospitalization (p=0.006). Patients with a positive SAD PERSONS score had 8.18 times the odds of psychiatric admission greater than 5 days. However, the SAD PERSONS scale was not predictive of within-ED adverse events.</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Nurse clinical impression was predictive of prolonged hospitalization (p=0.023) but not predictive of within-ED adverse events (p=0.084) or psychiatric readmission (p=0.28). Attending physician clinical impressions were not</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statistically significant in predicting any outcomes.</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The authors conclude that clinical impression </w:t>
            </w:r>
            <w:r w:rsidRPr="007F0ED8">
              <w:rPr>
                <w:rFonts w:asciiTheme="majorBidi" w:hAnsiTheme="majorBidi" w:cstheme="majorBidi"/>
                <w:lang w:val="en-US"/>
              </w:rPr>
              <w:lastRenderedPageBreak/>
              <w:t>alone and the suicide screening tools showed poor predictive value for adverse events in the ED, highlighting the need for specific ED-based suicide screening instruments.</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de Beurs et al., (2016)</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evaluate a shortened version of the 19-item Beck Scale for Suicide Ideation (SSI)</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n=366 patients attending a liaison psychiatry service in a general hospital in Scotland after a suicide attempt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Suicidal thoughts were assessed using the 19-item Beck SSI. This scale contains 19 items on suicidal thoughts and plans. Each item has three options, which are rated on a three-point scale from 0 to 2. A higher score indicates a higher level of suicidality.</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Repeated hospital admission within 15 months of index admission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During the follow-up, 94 patients (26%) were treated in hospital following a repeat suicide attempt. Most items on the Beck SSI, including baseline depression, hopelessness, and suicide ideation, were significant predictors of repeat suicide attempt. A cut-off value of 6 provided the best classification accuracy, meaning that patients with test scores equal to or greater than 6 were identified as having an elevated risk for future suicidal behavior.</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study demonstrated that curtailment could reduce the length of the Beck SSI without reducing the accuracy of the final classification decision. On average, less than 8 items were needed to assess whether a patient would be classified as at risk or not at risk. This would reduce test length by 62%.</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Dickens and O’ Shea </w:t>
            </w:r>
            <w:r w:rsidRPr="007F0ED8">
              <w:rPr>
                <w:rFonts w:asciiTheme="majorBidi" w:hAnsiTheme="majorBidi" w:cstheme="majorBidi"/>
                <w:lang w:val="en-US"/>
              </w:rPr>
              <w:lastRenderedPageBreak/>
              <w:t>(2015)</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To investigate whether carrying out risk assessment </w:t>
            </w:r>
            <w:r w:rsidRPr="007F0ED8">
              <w:rPr>
                <w:rFonts w:asciiTheme="majorBidi" w:hAnsiTheme="majorBidi" w:cstheme="majorBidi"/>
                <w:lang w:val="en-US"/>
              </w:rPr>
              <w:lastRenderedPageBreak/>
              <w:t xml:space="preserve">with the Short-Term Assessment of Risk and Treatability (START) at 1- or 2-month intervals would be more accurate and therefore facilitate more individualized risk management interventions.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Pseudo-prospective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n=217 patients of a </w:t>
            </w:r>
            <w:r w:rsidRPr="007F0ED8">
              <w:rPr>
                <w:rFonts w:asciiTheme="majorBidi" w:hAnsiTheme="majorBidi" w:cstheme="majorBidi"/>
                <w:lang w:val="en-US"/>
              </w:rPr>
              <w:lastRenderedPageBreak/>
              <w:t>UK-based, independent sector provider of secure inpatient mental health care at four sites.</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START assessments were completed by multidisciplinary teams as </w:t>
            </w:r>
            <w:r w:rsidRPr="007F0ED8">
              <w:rPr>
                <w:rFonts w:asciiTheme="majorBidi" w:hAnsiTheme="majorBidi" w:cstheme="majorBidi"/>
                <w:lang w:val="en-US"/>
              </w:rPr>
              <w:lastRenderedPageBreak/>
              <w:t>part of routine clinical practice and risk incidents were recorded in electronic progress notes by qualified clinical staff every shift. START is a structured clinical judgement scheme that aims to guide the assessment of patients with mental illness and/or personality disorder for a range of adverse outcomes through the consideration of dynamic risk and protective factors.</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Verbal aggression, aggression </w:t>
            </w:r>
            <w:r w:rsidRPr="007F0ED8">
              <w:rPr>
                <w:rFonts w:asciiTheme="majorBidi" w:hAnsiTheme="majorBidi" w:cstheme="majorBidi"/>
                <w:lang w:val="en-US"/>
              </w:rPr>
              <w:lastRenderedPageBreak/>
              <w:t>against property, physical aggression against others, sexual aggression, self-harm, suicide ideation and planning, suicide behaviors, self-neglect, unauthorized leave, substance abuse, being victimized and stalking.</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Many patients who were rated as low risk according to the START assessment were involved in risk behaviors before 3 months had </w:t>
            </w:r>
            <w:r w:rsidRPr="007F0ED8">
              <w:rPr>
                <w:rFonts w:asciiTheme="majorBidi" w:hAnsiTheme="majorBidi" w:cstheme="majorBidi"/>
                <w:lang w:val="en-US"/>
              </w:rPr>
              <w:lastRenderedPageBreak/>
              <w:t xml:space="preserve">passed; some patients who were rated at increased risk did not get involved in risk behaviors at all.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recommend that three monthly assessment is adequate for reassessment of physical assessment and victimization. However, in some cases, earlier reassessment at 2 months might improve accuracy, and prevent unnecessarily restrictive risk management interventions.</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Glassmire et al. (2016)</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examine whether the 5 Minnesota Multiphasic Personality Inventory–2–Restructured</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Form (MMPI-2-RF) Suicidal/Death Ideation (SUI) items would provide incremental suicide-risk assessment information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n=229 psychiatric inpatients at a large maximum-security facility in the USA</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All assessment reports for the MMPI-2/MMPI-2-RF administrations were written using a</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standardized report template requiring clinicians to inquire about suicide-risk </w:t>
            </w:r>
            <w:r w:rsidRPr="007F0ED8">
              <w:rPr>
                <w:rFonts w:asciiTheme="majorBidi" w:hAnsiTheme="majorBidi" w:cstheme="majorBidi"/>
                <w:lang w:val="en-US"/>
              </w:rPr>
              <w:lastRenderedPageBreak/>
              <w:t>information during the clinical interview and to document</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their findings in the report.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Future suicidal behavior within 1 year of testing.</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The SUI scale added incremental variance to predictions of future suicidal behavior within 1 year of testing. Relative risk ratios indicated that both SUI-item endorsement and the presence of interview-reported risk information significantly and meaningfully increased the risk of suicidal behavior in the year following testing, </w:t>
            </w:r>
            <w:r w:rsidRPr="007F0ED8">
              <w:rPr>
                <w:rFonts w:asciiTheme="majorBidi" w:hAnsiTheme="majorBidi" w:cstheme="majorBidi"/>
                <w:lang w:val="en-US"/>
              </w:rPr>
              <w:lastRenderedPageBreak/>
              <w:t>particularly when endorsement of suicidal ideation occurred for both methods of self-report.</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Green et al. (2015)</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To examine the predicative validity of the suicide item (Item 9) of the Beck Depression Inventory (BDI)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 5200 psychiatric outpatients who were evaluated between 1975 and 1995 and followed prospectively for up to 20 years, plus n=119 patients who participated in a randomized controlled trial of outpatient cognitive therapy for suicide prevention in </w:t>
            </w:r>
            <w:r w:rsidRPr="007F0ED8">
              <w:rPr>
                <w:rFonts w:asciiTheme="majorBidi" w:hAnsiTheme="majorBidi" w:cstheme="majorBidi"/>
                <w:lang w:val="en-US"/>
              </w:rPr>
              <w:lastRenderedPageBreak/>
              <w:t xml:space="preserve">2000 – 2004 and were followed for 18 months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All patients completed structured diagnostic interviews, as well as the BDI and the Beck Scale for Suicide Ideation (SSI). Item 9 of the BDI assesses the severity of suicidal thoughts and is often used in clinical practice. The SSI is a valid item for predicting death by suicide.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Suicide attempts and deaths by suicide </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The BDI suicide item significantly predicted both deaths by suicide (p&lt;0.001) and repeat suicide attempts (p&lt;0.01), with each successive rating on the item being associated with greater risk.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authors recommend the use of the item as a brief, efficient screen for suicide risk in routine clinical care. Clinicians should then conduct a comprehensive suicide risk assessment in response to a positive screen. </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Harrison et al. (2018)</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Australia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examine the utility of the death/suicide implicit association test (d/s-IAT) in assessment of suicide risk and protective factors</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n=128 patients presenting to the emergency department of a large Australian hospital that reported current suicidal ideation or had been admitted to emergency care because of an acute suicide attempt.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Participants completed an implicit measure and a range of explicit self-report measures, including the d/s-IAT, at the time of admission, and completed the explicit measures again at 3-month and 6-month follow-ups</w:t>
            </w:r>
          </w:p>
          <w:p w:rsidR="0039500F" w:rsidRPr="007F0ED8" w:rsidRDefault="0039500F" w:rsidP="0001319E">
            <w:pPr>
              <w:spacing w:line="276" w:lineRule="auto"/>
              <w:rPr>
                <w:rFonts w:asciiTheme="majorBidi" w:hAnsiTheme="majorBidi" w:cstheme="majorBidi"/>
                <w:lang w:val="en-US"/>
              </w:rPr>
            </w:pP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Suicide ideation frequency, suicide attempts, desire to die, zest for life</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The d/s-IAT was associated with suicidal ideation (p&lt;0.05) and zest for life (p&lt;0.05), but only predicted the desire to die prospectively at 3 months (p&lt;0.001). </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utility of the d/s-IAT was more pronounced in the assessment of concurrent risk.</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authors conclude that the findings indicate collaborative rather than implicit approaches add greater value to the management of risk and recovery in suicidal patients.</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Hawes et al. (2017)</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To establish the predictive validity of the Modular Assessment of Risk for Imminent Suicide (MARIS) in measuring short-term suicide risk </w:t>
            </w:r>
            <w:r w:rsidRPr="007F0ED8">
              <w:rPr>
                <w:rFonts w:asciiTheme="majorBidi" w:hAnsiTheme="majorBidi" w:cstheme="majorBidi"/>
                <w:lang w:val="en-US"/>
              </w:rPr>
              <w:lastRenderedPageBreak/>
              <w:t>following hospital discharge in a high-risk psychiatric inpatient population</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n=59 patients that were hospitalized for suicidal ideation or suicide attempt at a single hospital in New York City and who </w:t>
            </w:r>
            <w:r w:rsidRPr="007F0ED8">
              <w:rPr>
                <w:rFonts w:asciiTheme="majorBidi" w:hAnsiTheme="majorBidi" w:cstheme="majorBidi"/>
                <w:lang w:val="en-US"/>
              </w:rPr>
              <w:lastRenderedPageBreak/>
              <w:t>completed all follow-up assessments</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The MARIS is composed of two patient modules and two clinician modules. Patients completed the self-report modules that assessed intensity of the suicide trigger state and attitude towards suicide. Following </w:t>
            </w:r>
            <w:r w:rsidRPr="007F0ED8">
              <w:rPr>
                <w:rFonts w:asciiTheme="majorBidi" w:hAnsiTheme="majorBidi" w:cstheme="majorBidi"/>
                <w:lang w:val="en-US"/>
              </w:rPr>
              <w:lastRenderedPageBreak/>
              <w:t>completion of patient modules, clinicians were administered modules that assessed explicit risk and clinician emotional response to the patient.</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Suicidal behavior (any lethal, non-lethal, interrupted, or aborted suicide attempt)</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Patients who exhibited suicidal behavior in the period between initial assessment and follow-up had significantly higher MARIS scores. The MARIS also demonstrated good sensitivity and specificity in identifying risk (Odds Ratio = 19). Total MARIS score also significantly improved predictive validity by the standard risk factors when added to a model comprising global </w:t>
            </w:r>
            <w:r w:rsidRPr="007F0ED8">
              <w:rPr>
                <w:rFonts w:asciiTheme="majorBidi" w:hAnsiTheme="majorBidi" w:cstheme="majorBidi"/>
                <w:lang w:val="en-US"/>
              </w:rPr>
              <w:lastRenderedPageBreak/>
              <w:t>depression severity, hopelessness, and</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lifetime number of suicide attempts, and was the only factor that approached independent significance.</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authors conclude that the MARIS appears to be a practical and effective tool for detecting short-term suicide risk following hospital discharge.</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Jordan and McNiel (2018)</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examine whether items from the Suicide Intent Scale (SIS) predict re-attempt in the year after hospital discharge for suicide attempt</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n=218 hospitalized psychiatric patients, aged 18–40 years, with diagnosis of a psychiatric disorder that reported a recent suicide attempt</w:t>
            </w:r>
          </w:p>
        </w:tc>
        <w:tc>
          <w:tcPr>
            <w:tcW w:w="3118" w:type="dxa"/>
          </w:tcPr>
          <w:p w:rsidR="0039500F" w:rsidRPr="007F0ED8" w:rsidRDefault="0039500F" w:rsidP="0001319E">
            <w:pPr>
              <w:tabs>
                <w:tab w:val="left" w:pos="1141"/>
              </w:tabs>
              <w:spacing w:line="276" w:lineRule="auto"/>
              <w:rPr>
                <w:rFonts w:asciiTheme="majorBidi" w:hAnsiTheme="majorBidi" w:cstheme="majorBidi"/>
                <w:lang w:val="en-US"/>
              </w:rPr>
            </w:pPr>
            <w:r w:rsidRPr="007F0ED8">
              <w:rPr>
                <w:rFonts w:asciiTheme="majorBidi" w:hAnsiTheme="majorBidi" w:cstheme="majorBidi"/>
                <w:lang w:val="en-US"/>
              </w:rPr>
              <w:t xml:space="preserve">The SIS consists of 15 items, assessing objective evidence of intent to die (isolation, timing, precautions against discovery, not acting to get help, final acts in anticipation of death, active preparation, presence of a suicide note, not communicating intent) and self-reported expectations from the attempt (purpose of attempt, expectations of fatality, conception of method lethality, seriousness of the attempt, attitude toward living and dying, conception </w:t>
            </w:r>
            <w:r w:rsidRPr="007F0ED8">
              <w:rPr>
                <w:rFonts w:asciiTheme="majorBidi" w:hAnsiTheme="majorBidi" w:cstheme="majorBidi"/>
                <w:lang w:val="en-US"/>
              </w:rPr>
              <w:lastRenderedPageBreak/>
              <w:t xml:space="preserve">of medical rescuability, premeditation). </w:t>
            </w:r>
          </w:p>
          <w:p w:rsidR="0039500F" w:rsidRPr="007F0ED8" w:rsidRDefault="0039500F" w:rsidP="0001319E">
            <w:pPr>
              <w:tabs>
                <w:tab w:val="left" w:pos="1141"/>
              </w:tabs>
              <w:spacing w:line="276" w:lineRule="auto"/>
              <w:rPr>
                <w:rFonts w:asciiTheme="majorBidi" w:hAnsiTheme="majorBidi" w:cstheme="majorBidi"/>
                <w:lang w:val="en-US"/>
              </w:rPr>
            </w:pPr>
            <w:r w:rsidRPr="007F0ED8">
              <w:rPr>
                <w:rFonts w:asciiTheme="majorBidi" w:hAnsiTheme="majorBidi" w:cstheme="majorBidi"/>
                <w:lang w:val="en-US"/>
              </w:rPr>
              <w:t>In this study, a selected seven of the 15 items were administered, and additional qualitative information was obtained for subjects who obtained scores of one or two on these items. Subjects were initially evaluated while in the inpatient facilities and re-evaluated in the community once every ten weeks during the year after discharge.</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Repeat suicide attempts in the one year following initial hospitalization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Of the 218 participants, 69 (31.7%) made a subsequent suicide attempt.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cross-validated iterative receiver operator curve (IROC) analysis of the SIS data, but not the logistic regression analysis of the data, predicted subsequent suicide attempts. Participants who made definite plans and underwent extensive preparation were at highest risk for subsequent attempts.</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conclude that suicide attempt characteristics preceding psychiatric hospitalization may assist with identifying patients at increased risk for another attempt post-discharge.</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Katz et al. (2017)</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Canada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determine the ability of the SAD PERSONS scale to predict future suicide among patients attending the emergency department (ED)</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Longitudinal 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n=5462 adults who were seen by psychiatry consultation teams in two tertiary EDs in Winnipeg, Canada</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After a comprehensive psychiatric interview, physicians completed the Suicide Assessment Form in Emergency psychiatry (SAFE) database form, which included the SAD PERSONS Scale and the Modified SAD PERSONS Scale.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Death from suicide within 6 months, 1 and 2 years of the initial ED presentation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There were seventy-seven (1.4%) individuals that died by suicide during the study period.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With regards to predicting suicide at 12 months, medium- and high-risk scores on SPS had a sensitivity of 49% and a specificity</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of 60%; and the positive and negative predictive values were 0.9 and 99% respectively. Of note, half of the suicides at both 6- and 12-month intervals were classified as low risk by the SAD PERSONS Scale at the patient’s index visit.</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The authors conclude that these findings do not support the use of the SAD PERSONS Scale or the Modified SAD PERSONS Scale to predict suicide in adults seen by psychiatric services in the emergency department.</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Madan et al. (2016)</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evaluate the electronic version of the Columbia–</w:t>
            </w:r>
          </w:p>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t xml:space="preserve">Suicide Severity Rating Scale’s (eC-SSRS) </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n=1,055 adults with DSM-IV diagnoses in a specialized psychiatric hospital</w:t>
            </w:r>
          </w:p>
        </w:tc>
        <w:tc>
          <w:tcPr>
            <w:tcW w:w="3118"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The C-SSRS is a semi-structured interview assessing severity of suicidal ideation, intensity of ideation, suicidal behavior, and lethality of suicide attempts. Participants also completed the Patient Health Questionnaire (PHQ-9), the Beck Hopelessness Scale (BHS), the Suicide Cognitions Scale (SCS), the Beck Scale of Suicide Ideation, and the Suicide Cognitions Scale</w:t>
            </w:r>
          </w:p>
        </w:tc>
        <w:tc>
          <w:tcPr>
            <w:tcW w:w="1843"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Suicide-related behavior </w:t>
            </w:r>
          </w:p>
        </w:tc>
        <w:tc>
          <w:tcPr>
            <w:tcW w:w="4961"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The C-SSRS correctly classified any suicide-related behavior within 6 months of discharge from the hospital (AUC=0.757, P&lt;.001) with the total score and summary score from the ideation/behavior factor providing the best balance between sensitivity (0.694) and specificity (0.652–0.674).</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O’ Shea et al. (2014)</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To test whether, and for which groups, the Historical, Clinical, Risk-Management-</w:t>
            </w:r>
            <w:r w:rsidRPr="007F0ED8">
              <w:rPr>
                <w:rFonts w:asciiTheme="majorBidi" w:hAnsiTheme="majorBidi" w:cstheme="majorBidi"/>
                <w:lang w:val="en-US"/>
              </w:rPr>
              <w:lastRenderedPageBreak/>
              <w:t>20 (HCR-20), demonstrates predictive validity for self-harm.</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n=504 patients from secure/forensic mental health settings in the </w:t>
            </w:r>
            <w:r w:rsidRPr="007F0ED8">
              <w:rPr>
                <w:rFonts w:asciiTheme="majorBidi" w:hAnsiTheme="majorBidi" w:cstheme="majorBidi"/>
                <w:lang w:val="en-US"/>
              </w:rPr>
              <w:lastRenderedPageBreak/>
              <w:t xml:space="preserve">United Kingdom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Participants were assessed for violence risk using the HCR-20 throughout admission by registered psychologists or graduate psychology </w:t>
            </w:r>
            <w:r w:rsidRPr="007F0ED8">
              <w:rPr>
                <w:rFonts w:asciiTheme="majorBidi" w:hAnsiTheme="majorBidi" w:cstheme="majorBidi"/>
                <w:lang w:val="en-US"/>
              </w:rPr>
              <w:lastRenderedPageBreak/>
              <w:t>assistants as part of routine clinical practice. Information about incidents of self-harm was extracted from patient records for the 3 months following HCR-20 assessment</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Self-harm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HCR-20 total score, the historical subscale (H10), the clinical subscale (R5), and the summary judgement (SJ) for violence significantly predicted self-harm; however, the effect sizes were not large (range .345 to .749).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Personality disorder and impulsivity were the strongest predictors of self-harm, but the R5 scale contained the greatest proportion of relevant items. Predictive efficacy was superior for women compared with men and for those with schizophrenia or personality disorder compared with organic and developmental disorders.</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conclude that the HCR-20 appears to be a significant predictor of self-harm.</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Quinlivan et al. (2017)</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evaluate the performance of risk scales (Manchester</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Self-Harm Rule, ReACT Self-Harm Rule, SAD PERSONS scale,</w:t>
            </w:r>
          </w:p>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t xml:space="preserve">Modified SAD PERSONS scale, Barratt Impulsiveness Scale); and patient and clinician estimates of risk in </w:t>
            </w:r>
            <w:r w:rsidRPr="007F0ED8">
              <w:rPr>
                <w:rFonts w:asciiTheme="majorBidi" w:hAnsiTheme="majorBidi" w:cstheme="majorBidi"/>
                <w:lang w:val="en-US"/>
              </w:rPr>
              <w:lastRenderedPageBreak/>
              <w:t>identifying patients who repeat self-harm within 6 months.</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N=464 individuals (representing 483 episodes of self-harm) attending psychiatry services for assessment following self-harm in five large teaching hospitals in England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assessments generally took place in the emergency department (ED) or on a medical ward by mental health clinicians (nurses and psychiatrists). The Manchester Self-Harm Rule, ReACT Self-Harm Rule, Modified SAD PERSONS scale, and</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SAD PERSONS scale comprised items collected as part of the clinical assessment. The Barratt </w:t>
            </w:r>
            <w:r w:rsidRPr="007F0ED8">
              <w:rPr>
                <w:rFonts w:asciiTheme="majorBidi" w:hAnsiTheme="majorBidi" w:cstheme="majorBidi"/>
                <w:lang w:val="en-US"/>
              </w:rPr>
              <w:lastRenderedPageBreak/>
              <w:t>Impulsiveness Scale included specifically collected data.</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Hospital-treated repeat self-harm</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within 6 months of initial ED presentation</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At 6-month follow up, the rate of repeat self-harm among participants was 30%</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 = 145).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Sensitivity ranged from 1% (95% CI 0–5) for the SAD PERSONS scale, to 97% (95% CI 93–99) for the Manchester Self-Harm Rule.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Positive predictive values ranged from 13% (95% CI 2–47) for the Modified SAD PERSONS Scale to 47% (95% CI 41–53) for the clinician assessment of risk.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remaining scales performed significantly worse than clinician and patient estimates of risk.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authors conclude that risk scales following </w:t>
            </w:r>
            <w:r w:rsidRPr="007F0ED8">
              <w:rPr>
                <w:rFonts w:asciiTheme="majorBidi" w:hAnsiTheme="majorBidi" w:cstheme="majorBidi"/>
                <w:lang w:val="en-US"/>
              </w:rPr>
              <w:lastRenderedPageBreak/>
              <w:t xml:space="preserve">self-harm have limited clinical utility and may waste valuable resources. </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In line with national guidelines, risk scales should not be used to determine patient management or predict self-harm.</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Randall et al. (2019)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Canada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t>To compare the effectiveness of clinician prediction of risk to a standardized assessment of presentation status.</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n=2643 unique patients referred to psychiatric services of the emergency departments of two large tertiary hospitals </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Patients were assessed using a standardized form by mental health clinicians. Clinicians also completed separate scales for suicide: Suicide Likelihood scale, suicide Attempt Likelihood scale, and the Columbia</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Classification Algorithm of Suicide Assessment (C-CASA). They were also asked to estimate the risk of a future suicide attempt and suicide within 6 months on a 0-10 prediction scale.</w:t>
            </w:r>
          </w:p>
        </w:tc>
        <w:tc>
          <w:tcPr>
            <w:tcW w:w="1843"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Deaths from suicide, suicide attempts resulting in admission to inpatient units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There were 56 suicide attempts and 13 suicide deaths during the 6 months following index presentation and 85 attempts and 20 suicide deaths within 12 months of the index visit.</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Clinician assessment was not effective at predicting deaths but was moderately accurate at predicting future attempts. C-CASA assessment was moderately accurate at predicting both attempts and deaths.</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Overall, the results show that clinician prediction is not significantly better at assessing the risk of suicidal behavior than using the C-CASA classification system, a simple tool that categorizes presentations by type of suicidal behavior. </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Reilly-Harrington et al. (2016)</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To evaluate the use of The Concise Health Risk Tracking (CHRT) </w:t>
            </w:r>
            <w:r w:rsidRPr="007F0ED8">
              <w:rPr>
                <w:rFonts w:asciiTheme="majorBidi" w:hAnsiTheme="majorBidi" w:cstheme="majorBidi"/>
                <w:lang w:val="en-US"/>
              </w:rPr>
              <w:lastRenderedPageBreak/>
              <w:t>Self-Report to predict suicidal ideation and behaviour in bipolar disorder</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n=482 individuals with bipolar disorder </w:t>
            </w:r>
          </w:p>
        </w:tc>
        <w:tc>
          <w:tcPr>
            <w:tcW w:w="3118"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Suicidal ideation was assessed at baseline and at each follow-up visit using the Concise Health Risk Tracking </w:t>
            </w:r>
            <w:r w:rsidRPr="007F0ED8">
              <w:rPr>
                <w:rFonts w:asciiTheme="majorBidi" w:hAnsiTheme="majorBidi" w:cstheme="majorBidi"/>
                <w:lang w:val="en-US"/>
              </w:rPr>
              <w:lastRenderedPageBreak/>
              <w:t>Scale (CHRT). A 14-item self-report version of the CHRT was used, which includes 2 items related to impulsivity.</w:t>
            </w:r>
          </w:p>
        </w:tc>
        <w:tc>
          <w:tcPr>
            <w:tcW w:w="1843"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lastRenderedPageBreak/>
              <w:t xml:space="preserve">Suicide related serious adverse event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CHRT showed excellent internal consistency and construct validity and was highly correlated with clinician ratings of depression, anxiety and overall functioning </w:t>
            </w:r>
            <w:r w:rsidRPr="007F0ED8">
              <w:rPr>
                <w:rFonts w:asciiTheme="majorBidi" w:hAnsiTheme="majorBidi" w:cstheme="majorBidi"/>
                <w:lang w:val="en-US"/>
              </w:rPr>
              <w:lastRenderedPageBreak/>
              <w:t xml:space="preserve">throughout the study. Baseline CHRT scores significantly predicted risk of subsequent suicidal-related serious adverse events. The likelihood of a suicide related event increased by 76% for every 10-point increase in baseline CHRT score.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conclude that the CHRT is a quick and robust self-report tool for assessing suicidal risk.</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Saunders et al. (2014)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UK</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determine whether the SAD PERSONS</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Scale accurately predicts psychiatric hospital admission,</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psychiatric aftercare and repetition of self-harm at presentation to the emergency department (ED) following self-</w:t>
            </w:r>
            <w:r w:rsidRPr="007F0ED8">
              <w:rPr>
                <w:rFonts w:asciiTheme="majorBidi" w:hAnsiTheme="majorBidi" w:cstheme="majorBidi"/>
                <w:lang w:val="en-US"/>
              </w:rPr>
              <w:lastRenderedPageBreak/>
              <w:t>harm</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n=126 individuals who presented to a major general hospital following an episode of self-harm </w:t>
            </w:r>
          </w:p>
          <w:p w:rsidR="0039500F" w:rsidRPr="007F0ED8" w:rsidRDefault="0039500F" w:rsidP="0001319E">
            <w:pPr>
              <w:spacing w:line="276" w:lineRule="auto"/>
              <w:rPr>
                <w:rFonts w:asciiTheme="majorBidi" w:hAnsiTheme="majorBidi" w:cstheme="majorBidi"/>
                <w:lang w:val="en-US"/>
              </w:rPr>
            </w:pP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SAD PERSONS scores were recorded by specialist self-harm team clinical staff for all participants.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Repetition of self-harm; psychiatric hospital admissions; community psychiatric aftercare over six months.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Psychiatric hospital admission was required in five cases (4.0%) and community psychiatric aftercare in 70 (55.5%). Overall, 31 patients (24.6%) repeated self-harm. While the specificity of the SADPERSONS scores was greater than 90% for all outcomes, sensitivity for admission was only 2.0%, for community aftercare was 5.8% and for repetition of self-harm in the following 6 months was 6.6%. </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The authors conclude that the SADPERSONS scale failed to identify the majority of those either requiring psychiatric admission or community psychiatric aftercare, or to predict repetition of self-harm, and should not be used to </w:t>
            </w:r>
            <w:r w:rsidRPr="007F0ED8">
              <w:rPr>
                <w:rFonts w:asciiTheme="majorBidi" w:hAnsiTheme="majorBidi" w:cstheme="majorBidi"/>
                <w:lang w:val="en-US"/>
              </w:rPr>
              <w:lastRenderedPageBreak/>
              <w:t>screen self-harm patients presenting to general hospitals.</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Stefansson et al. (2015)</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Sweden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pStyle w:val="paragraph"/>
              <w:spacing w:before="0" w:beforeAutospacing="0" w:after="0" w:afterAutospacing="0" w:line="276" w:lineRule="auto"/>
              <w:jc w:val="left"/>
              <w:textAlignment w:val="baseline"/>
              <w:rPr>
                <w:rFonts w:asciiTheme="majorBidi" w:hAnsiTheme="majorBidi" w:cstheme="majorBidi"/>
                <w:sz w:val="24"/>
                <w:szCs w:val="24"/>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To investigate whether the combined assessment of suicide intent and interpersonal violence would provide a better prediction of suicide risk than an assessment of only suicide intent or interpersonal violence</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n=81 people that had attempted suicide and were being treated at a university hospital</w:t>
            </w:r>
          </w:p>
        </w:tc>
        <w:tc>
          <w:tcPr>
            <w:tcW w:w="3118"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Patients were assessed with both the Beck Suicide Intent Scale (SIS) which used 15-items to examine both subjective and objective aspects of the suicide attempt, and the Karolinska Interpersonal Violence Scale (KIVS). The KIVS contains four rating scales assessing expressed violent behavior and exposure to violence in childhood and during adult life.</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suicide </w:t>
            </w:r>
          </w:p>
        </w:tc>
        <w:tc>
          <w:tcPr>
            <w:tcW w:w="4961"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positive predictive value for the SIS alone was 17%, with a specificity of 52%. A combined assessment with the KIVS gave higher specificity (63%) and a positive predictive value of 19%. It was found that when the SIS and KIVS were used together, the sensitivity was 83%, specificity was 80%, and the positive predictive value was 26%.</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The authors conclude that using both the SIS and the KIVS combined may be better for predicting completed suicide than using them separately.</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Villegas et al. (2018)</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USA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t xml:space="preserve">To examine the construct validity and factor structure of the twelve-item Concise Health Risk Tracking Self-Report (CHRT-SR12) and seven </w:t>
            </w:r>
            <w:r w:rsidRPr="007F0ED8">
              <w:rPr>
                <w:rFonts w:asciiTheme="majorBidi" w:hAnsiTheme="majorBidi" w:cstheme="majorBidi"/>
                <w:lang w:val="en-US"/>
              </w:rPr>
              <w:lastRenderedPageBreak/>
              <w:t>item version (CHRT-SR7)</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n=109 participants from two study cohorts admitted to an inpatient psychiatric unit for suicidal ideation or behavior </w:t>
            </w:r>
          </w:p>
          <w:p w:rsidR="0039500F" w:rsidRPr="007F0ED8" w:rsidRDefault="0039500F" w:rsidP="0001319E">
            <w:pPr>
              <w:spacing w:line="276" w:lineRule="auto"/>
              <w:rPr>
                <w:rFonts w:asciiTheme="majorBidi" w:hAnsiTheme="majorBidi" w:cstheme="majorBidi"/>
                <w:lang w:val="en-US"/>
              </w:rPr>
            </w:pPr>
          </w:p>
        </w:tc>
        <w:tc>
          <w:tcPr>
            <w:tcW w:w="3118" w:type="dxa"/>
          </w:tcPr>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The CHRT-SR and self-report measures of hopelessness (Beck Hopelessness Scale – BHS), depression (Quick Inventory of Depressive Symptomatology Self-Report – QIDS-SR), and optimism </w:t>
            </w:r>
            <w:r w:rsidRPr="007F0ED8">
              <w:rPr>
                <w:rFonts w:asciiTheme="majorBidi" w:hAnsiTheme="majorBidi" w:cstheme="majorBidi"/>
                <w:lang w:val="en-US"/>
              </w:rPr>
              <w:lastRenderedPageBreak/>
              <w:t>(Life Orientation Test-Revised – LOT-R and the Positive and Negative Affect Schedule – PANAS) were administered during admission and several times post-discharge.</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Psychiatric readmissions, non-suicidal self-injurious behavior, and suicide attempts</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Both the 12-item and 7-item versions of the CHRT-SR showed good internal consistency in inpatients, with Cronbach's α of 0.89 (12-item) and 0.81 (7-item).</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Both the CHRT-SR12 and CHRT-SR7 were strongly correlated, i.e.&gt;0.50, with hopelessness and depressive symptoms, as measured by the BHS. Both versions also confirmed perceived </w:t>
            </w:r>
            <w:r w:rsidRPr="007F0ED8">
              <w:rPr>
                <w:rFonts w:asciiTheme="majorBidi" w:hAnsiTheme="majorBidi" w:cstheme="majorBidi"/>
                <w:lang w:val="en-US"/>
              </w:rPr>
              <w:lastRenderedPageBreak/>
              <w:t xml:space="preserve">lack of social support and active suicidal ideation and plans found in outpatients. </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CHRT-SR scores indicated decreases in suicide risk following discharge, in line with clinical expectations.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The authors conclude that both the CHRT-SR12 and CHRT-SR7 are promising self-report measures for assessing suicide risk in very high-risk patient populations.</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Wang et al. (2016)</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Canada</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hAnsiTheme="majorBidi" w:cstheme="majorBidi"/>
                <w:lang w:val="en-US"/>
              </w:rPr>
              <w:t xml:space="preserve">To </w:t>
            </w:r>
            <w:r w:rsidRPr="007F0ED8">
              <w:rPr>
                <w:rFonts w:asciiTheme="majorBidi" w:eastAsia="Times New Roman" w:hAnsiTheme="majorBidi" w:cstheme="majorBidi"/>
                <w:lang w:val="en-US" w:eastAsia="en-GB"/>
              </w:rPr>
              <w:t>investigate whether clinicians are able to predict individuals’ suicide risk with greater accuracy than the SAD PERSONS scale and the Columbia Classification Algorithm for Suicide</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Assessment scale</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Prospective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eastAsia="Times New Roman" w:hAnsiTheme="majorBidi" w:cstheme="majorBidi"/>
                <w:lang w:val="en-US" w:eastAsia="en-GB"/>
              </w:rPr>
              <w:t xml:space="preserve">n= 2792 adults that were referred to psychiatric services in two tertiary hospital emergency departments in Manitoba, Canada. </w:t>
            </w:r>
          </w:p>
        </w:tc>
        <w:tc>
          <w:tcPr>
            <w:tcW w:w="3118"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 xml:space="preserve">Clinician prediction of future suicide attempts was assessed using the clinician prediction scale, an 11-point scale.  The SAD PERSONS scale was also completed. </w:t>
            </w:r>
          </w:p>
          <w:p w:rsidR="0039500F" w:rsidRPr="007F0ED8" w:rsidRDefault="0039500F" w:rsidP="0001319E">
            <w:pPr>
              <w:spacing w:line="276" w:lineRule="auto"/>
              <w:rPr>
                <w:rFonts w:asciiTheme="majorBidi" w:hAnsiTheme="majorBidi" w:cstheme="majorBidi"/>
                <w:lang w:val="en-US"/>
              </w:rPr>
            </w:pPr>
          </w:p>
        </w:tc>
        <w:tc>
          <w:tcPr>
            <w:tcW w:w="1843"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ED presentation due to suicide attempts within 6 months (assessed using the Columbia Classification Algorithm for Suicide</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 xml:space="preserve">Assessment) </w:t>
            </w:r>
          </w:p>
          <w:p w:rsidR="0039500F" w:rsidRPr="007F0ED8" w:rsidRDefault="0039500F" w:rsidP="0001319E">
            <w:pPr>
              <w:spacing w:line="276" w:lineRule="auto"/>
              <w:rPr>
                <w:rFonts w:asciiTheme="majorBidi" w:hAnsiTheme="majorBidi" w:cstheme="majorBidi"/>
                <w:lang w:val="en-US"/>
              </w:rPr>
            </w:pPr>
          </w:p>
        </w:tc>
        <w:tc>
          <w:tcPr>
            <w:tcW w:w="4961" w:type="dxa"/>
          </w:tcPr>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 xml:space="preserve">Of the baseline sample of 2792 adults, 136 predicted a future suicide attempt within 6 months. </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 xml:space="preserve">For the clinician prediction scale, 13 individuals (10%) who made a future suicide attempt were classified as having low-risk while 88 (65%) were classified as high risk. High risk scores on the SAD PERSONS scale were correlated with future suicide attempt, but with low accuracy; P&lt;0.001). </w:t>
            </w:r>
          </w:p>
          <w:p w:rsidR="0039500F" w:rsidRPr="007F0ED8" w:rsidRDefault="0039500F" w:rsidP="0001319E">
            <w:pPr>
              <w:shd w:val="clear" w:color="auto" w:fill="FFFFFF"/>
              <w:spacing w:line="276" w:lineRule="auto"/>
              <w:rPr>
                <w:rFonts w:asciiTheme="majorBidi" w:eastAsia="Times New Roman" w:hAnsiTheme="majorBidi" w:cstheme="majorBidi"/>
                <w:lang w:val="en-US" w:eastAsia="en-GB"/>
              </w:rPr>
            </w:pPr>
            <w:r w:rsidRPr="007F0ED8">
              <w:rPr>
                <w:rFonts w:asciiTheme="majorBidi" w:eastAsia="Times New Roman" w:hAnsiTheme="majorBidi" w:cstheme="majorBidi"/>
                <w:lang w:val="en-US" w:eastAsia="en-GB"/>
              </w:rPr>
              <w:t xml:space="preserve">In summary, clinicians were able to predict future suicide attempts with significantly greater accuracy compared with the SAD PERSONS scale (P&lt;0.001). </w:t>
            </w:r>
          </w:p>
        </w:tc>
      </w:tr>
      <w:tr w:rsidR="0039500F" w:rsidRPr="007F0ED8" w:rsidTr="0001319E">
        <w:tc>
          <w:tcPr>
            <w:tcW w:w="1277"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Wu et al. </w:t>
            </w:r>
            <w:r w:rsidRPr="007F0ED8">
              <w:rPr>
                <w:rFonts w:asciiTheme="majorBidi" w:hAnsiTheme="majorBidi" w:cstheme="majorBidi"/>
                <w:lang w:val="en-US"/>
              </w:rPr>
              <w:lastRenderedPageBreak/>
              <w:t>(2014)</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Taiwan</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p>
        </w:tc>
        <w:tc>
          <w:tcPr>
            <w:tcW w:w="2126"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To examine the </w:t>
            </w:r>
            <w:r w:rsidRPr="007F0ED8">
              <w:rPr>
                <w:rFonts w:asciiTheme="majorBidi" w:hAnsiTheme="majorBidi" w:cstheme="majorBidi"/>
                <w:lang w:val="en-US"/>
              </w:rPr>
              <w:lastRenderedPageBreak/>
              <w:t>validity of the Chinese SAD PERSONS Scale and evaluate its feasibility for use in clinical settings</w:t>
            </w:r>
          </w:p>
        </w:tc>
        <w:tc>
          <w:tcPr>
            <w:tcW w:w="2410"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Psychometric </w:t>
            </w:r>
            <w:r w:rsidRPr="007F0ED8">
              <w:rPr>
                <w:rFonts w:asciiTheme="majorBidi" w:hAnsiTheme="majorBidi" w:cstheme="majorBidi"/>
                <w:lang w:val="en-US"/>
              </w:rPr>
              <w:lastRenderedPageBreak/>
              <w:t xml:space="preserve">evaluation </w:t>
            </w:r>
          </w:p>
          <w:p w:rsidR="0039500F" w:rsidRPr="007F0ED8" w:rsidRDefault="0039500F" w:rsidP="0001319E">
            <w:pPr>
              <w:spacing w:line="276" w:lineRule="auto"/>
              <w:rPr>
                <w:rFonts w:asciiTheme="majorBidi" w:hAnsiTheme="majorBidi" w:cstheme="majorBidi"/>
                <w:lang w:val="en-US"/>
              </w:rPr>
            </w:pP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n= 147 patients who had self-harmed and presented to the emergency department, and n= n=284 patients who had not self-harmed and were patients of the general medicine department of the same hospital in Northern Taiwan.</w:t>
            </w:r>
          </w:p>
        </w:tc>
        <w:tc>
          <w:tcPr>
            <w:tcW w:w="3118"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The Chinese SAD PERSONS </w:t>
            </w:r>
            <w:r w:rsidRPr="007F0ED8">
              <w:rPr>
                <w:rFonts w:asciiTheme="majorBidi" w:hAnsiTheme="majorBidi" w:cstheme="majorBidi"/>
                <w:lang w:val="en-US"/>
              </w:rPr>
              <w:lastRenderedPageBreak/>
              <w:t xml:space="preserve">Scale was completed with participants at baseline and follow-up (six months after baseline) in order to assess suicide risk factors.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The Pierce Suicide Intent Scale (PSIS), the Hamilton Rating Scale for Depression (HAMD), the Beck Scale for Suicide Ideation (BSSI) and the Beck Hopelessness Scale (BHS) were also completed. </w:t>
            </w:r>
          </w:p>
        </w:tc>
        <w:tc>
          <w:tcPr>
            <w:tcW w:w="1843" w:type="dxa"/>
          </w:tcPr>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Self-harm </w:t>
            </w:r>
            <w:r w:rsidRPr="007F0ED8">
              <w:rPr>
                <w:rFonts w:asciiTheme="majorBidi" w:hAnsiTheme="majorBidi" w:cstheme="majorBidi"/>
                <w:lang w:val="en-US"/>
              </w:rPr>
              <w:lastRenderedPageBreak/>
              <w:t xml:space="preserve">repetition </w:t>
            </w:r>
          </w:p>
        </w:tc>
        <w:tc>
          <w:tcPr>
            <w:tcW w:w="4961" w:type="dxa"/>
          </w:tcPr>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lastRenderedPageBreak/>
              <w:t xml:space="preserve">The Chinese SAD PERSONS Scale was </w:t>
            </w:r>
            <w:r w:rsidRPr="007F0ED8">
              <w:rPr>
                <w:rFonts w:asciiTheme="majorBidi" w:hAnsiTheme="majorBidi" w:cstheme="majorBidi"/>
                <w:lang w:val="en-US"/>
              </w:rPr>
              <w:lastRenderedPageBreak/>
              <w:t>significantly correlated with the PSIS, HAMD, BSSI and BHS (Cronbach’s alpha values ranged between 0.82-0.93).</w:t>
            </w:r>
          </w:p>
          <w:p w:rsidR="0039500F" w:rsidRPr="007F0ED8" w:rsidRDefault="0039500F" w:rsidP="0001319E">
            <w:pPr>
              <w:widowControl w:val="0"/>
              <w:autoSpaceDE w:val="0"/>
              <w:autoSpaceDN w:val="0"/>
              <w:adjustRightInd w:val="0"/>
              <w:spacing w:line="276" w:lineRule="auto"/>
              <w:rPr>
                <w:rFonts w:asciiTheme="majorBidi" w:hAnsiTheme="majorBidi" w:cstheme="majorBidi"/>
                <w:lang w:val="en-US"/>
              </w:rPr>
            </w:pPr>
            <w:r w:rsidRPr="007F0ED8">
              <w:rPr>
                <w:rFonts w:asciiTheme="majorBidi" w:hAnsiTheme="majorBidi" w:cstheme="majorBidi"/>
                <w:lang w:val="en-US"/>
              </w:rPr>
              <w:t xml:space="preserve">Among people who self-harmed, the total score of the Chinese SAD PERSONS Scale was correlated with the other scales at baseline, but only moderately associated with them at 6-month follow-up. </w:t>
            </w:r>
          </w:p>
          <w:p w:rsidR="0039500F" w:rsidRPr="007F0ED8" w:rsidRDefault="0039500F" w:rsidP="0001319E">
            <w:pPr>
              <w:spacing w:line="276" w:lineRule="auto"/>
              <w:rPr>
                <w:rFonts w:asciiTheme="majorBidi" w:hAnsiTheme="majorBidi" w:cstheme="majorBidi"/>
                <w:lang w:val="en-US"/>
              </w:rPr>
            </w:pPr>
            <w:r w:rsidRPr="007F0ED8">
              <w:rPr>
                <w:rFonts w:asciiTheme="majorBidi" w:hAnsiTheme="majorBidi" w:cstheme="majorBidi"/>
                <w:lang w:val="en-US"/>
              </w:rPr>
              <w:t xml:space="preserve">A cut-off point of 4/5 was determined to predict 6-month self-harm repetition, with the sensitivity and specificity being 65.4% and 58.1%, respectively. </w:t>
            </w:r>
          </w:p>
          <w:p w:rsidR="0039500F" w:rsidRPr="007F0ED8" w:rsidRDefault="0039500F" w:rsidP="0001319E">
            <w:pPr>
              <w:shd w:val="clear" w:color="auto" w:fill="FFFFFF"/>
              <w:spacing w:line="276" w:lineRule="auto"/>
              <w:rPr>
                <w:rFonts w:asciiTheme="majorBidi" w:hAnsiTheme="majorBidi" w:cstheme="majorBidi"/>
                <w:lang w:val="en-US"/>
              </w:rPr>
            </w:pPr>
            <w:r w:rsidRPr="007F0ED8">
              <w:rPr>
                <w:rFonts w:asciiTheme="majorBidi" w:hAnsiTheme="majorBidi" w:cstheme="majorBidi"/>
                <w:lang w:val="en-US"/>
              </w:rPr>
              <w:t xml:space="preserve">The authors conclude that a cut-off of 5 points and above on the Chinese SAD PERSONS Scale may reasonably classify a group at relatively high risk for future self-harm. </w:t>
            </w:r>
          </w:p>
        </w:tc>
      </w:tr>
    </w:tbl>
    <w:p w:rsidR="0039500F" w:rsidRDefault="0039500F" w:rsidP="0039500F">
      <w:pPr>
        <w:spacing w:after="0" w:line="276" w:lineRule="auto"/>
        <w:rPr>
          <w:rFonts w:asciiTheme="majorBidi" w:hAnsiTheme="majorBidi" w:cstheme="majorBidi"/>
          <w:sz w:val="24"/>
          <w:szCs w:val="24"/>
          <w:lang w:val="en-US"/>
        </w:rPr>
      </w:pPr>
    </w:p>
    <w:p w:rsidR="0039500F" w:rsidRPr="007F0ED8" w:rsidRDefault="0039500F" w:rsidP="0039500F">
      <w:pPr>
        <w:spacing w:after="0" w:line="276" w:lineRule="auto"/>
        <w:rPr>
          <w:rFonts w:asciiTheme="majorBidi" w:hAnsiTheme="majorBidi" w:cstheme="majorBidi"/>
          <w:sz w:val="24"/>
          <w:szCs w:val="24"/>
          <w:lang w:val="en-US"/>
        </w:rPr>
      </w:pPr>
    </w:p>
    <w:p w:rsidR="0039500F" w:rsidRPr="0039500F" w:rsidRDefault="0039500F" w:rsidP="005740F1">
      <w:pPr>
        <w:spacing w:after="0" w:line="240" w:lineRule="auto"/>
        <w:rPr>
          <w:rFonts w:asciiTheme="majorBidi" w:hAnsiTheme="majorBidi" w:cstheme="majorBidi"/>
          <w:sz w:val="24"/>
          <w:szCs w:val="24"/>
          <w:lang w:val="en-US"/>
        </w:rPr>
      </w:pPr>
    </w:p>
    <w:sectPr w:rsidR="0039500F" w:rsidRPr="0039500F" w:rsidSect="00304F15">
      <w:pgSz w:w="16838" w:h="11906" w:orient="landscape"/>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6EB" w:rsidRDefault="00C736EB" w:rsidP="0039500F">
      <w:pPr>
        <w:spacing w:after="0" w:line="240" w:lineRule="auto"/>
      </w:pPr>
      <w:r>
        <w:separator/>
      </w:r>
    </w:p>
  </w:endnote>
  <w:endnote w:type="continuationSeparator" w:id="1">
    <w:p w:rsidR="00C736EB" w:rsidRDefault="00C736EB" w:rsidP="003950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sz w:val="24"/>
        <w:szCs w:val="24"/>
      </w:rPr>
      <w:id w:val="1620266889"/>
      <w:docPartObj>
        <w:docPartGallery w:val="Page Numbers (Bottom of Page)"/>
        <w:docPartUnique/>
      </w:docPartObj>
    </w:sdtPr>
    <w:sdtEndPr>
      <w:rPr>
        <w:noProof/>
      </w:rPr>
    </w:sdtEndPr>
    <w:sdtContent>
      <w:p w:rsidR="0039500F" w:rsidRPr="0039500F" w:rsidRDefault="00840B8D">
        <w:pPr>
          <w:pStyle w:val="Footer"/>
          <w:jc w:val="center"/>
          <w:rPr>
            <w:rFonts w:asciiTheme="majorBidi" w:hAnsiTheme="majorBidi" w:cstheme="majorBidi"/>
            <w:sz w:val="24"/>
            <w:szCs w:val="24"/>
          </w:rPr>
        </w:pPr>
        <w:r w:rsidRPr="0039500F">
          <w:rPr>
            <w:rFonts w:asciiTheme="majorBidi" w:hAnsiTheme="majorBidi" w:cstheme="majorBidi"/>
            <w:sz w:val="24"/>
            <w:szCs w:val="24"/>
          </w:rPr>
          <w:fldChar w:fldCharType="begin"/>
        </w:r>
        <w:r w:rsidR="0039500F" w:rsidRPr="0039500F">
          <w:rPr>
            <w:rFonts w:asciiTheme="majorBidi" w:hAnsiTheme="majorBidi" w:cstheme="majorBidi"/>
            <w:sz w:val="24"/>
            <w:szCs w:val="24"/>
          </w:rPr>
          <w:instrText xml:space="preserve"> PAGE   \* MERGEFORMAT </w:instrText>
        </w:r>
        <w:r w:rsidRPr="0039500F">
          <w:rPr>
            <w:rFonts w:asciiTheme="majorBidi" w:hAnsiTheme="majorBidi" w:cstheme="majorBidi"/>
            <w:sz w:val="24"/>
            <w:szCs w:val="24"/>
          </w:rPr>
          <w:fldChar w:fldCharType="separate"/>
        </w:r>
        <w:r w:rsidR="00FB0AE5">
          <w:rPr>
            <w:rFonts w:asciiTheme="majorBidi" w:hAnsiTheme="majorBidi" w:cstheme="majorBidi"/>
            <w:noProof/>
            <w:sz w:val="24"/>
            <w:szCs w:val="24"/>
          </w:rPr>
          <w:t>1</w:t>
        </w:r>
        <w:r w:rsidRPr="0039500F">
          <w:rPr>
            <w:rFonts w:asciiTheme="majorBidi" w:hAnsiTheme="majorBidi" w:cstheme="majorBidi"/>
            <w:noProof/>
            <w:sz w:val="24"/>
            <w:szCs w:val="24"/>
          </w:rPr>
          <w:fldChar w:fldCharType="end"/>
        </w:r>
      </w:p>
    </w:sdtContent>
  </w:sdt>
  <w:p w:rsidR="0039500F" w:rsidRDefault="003950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6EB" w:rsidRDefault="00C736EB" w:rsidP="0039500F">
      <w:pPr>
        <w:spacing w:after="0" w:line="240" w:lineRule="auto"/>
      </w:pPr>
      <w:r>
        <w:separator/>
      </w:r>
    </w:p>
  </w:footnote>
  <w:footnote w:type="continuationSeparator" w:id="1">
    <w:p w:rsidR="00C736EB" w:rsidRDefault="00C736EB" w:rsidP="003950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9173B"/>
    <w:multiLevelType w:val="hybridMultilevel"/>
    <w:tmpl w:val="C3703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4728DF"/>
    <w:multiLevelType w:val="hybridMultilevel"/>
    <w:tmpl w:val="4AA4C9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5740F1"/>
    <w:rsid w:val="000365A9"/>
    <w:rsid w:val="00304F15"/>
    <w:rsid w:val="0039500F"/>
    <w:rsid w:val="0046236F"/>
    <w:rsid w:val="005740F1"/>
    <w:rsid w:val="005962D6"/>
    <w:rsid w:val="006D1738"/>
    <w:rsid w:val="007016DA"/>
    <w:rsid w:val="00803891"/>
    <w:rsid w:val="00840B8D"/>
    <w:rsid w:val="00845DB4"/>
    <w:rsid w:val="008A093C"/>
    <w:rsid w:val="00AA6F79"/>
    <w:rsid w:val="00B25EEB"/>
    <w:rsid w:val="00C0692B"/>
    <w:rsid w:val="00C736EB"/>
    <w:rsid w:val="00CF139A"/>
    <w:rsid w:val="00DF070A"/>
    <w:rsid w:val="00EB2473"/>
    <w:rsid w:val="00FB0AE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0F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740F1"/>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5740F1"/>
  </w:style>
  <w:style w:type="character" w:customStyle="1" w:styleId="eop">
    <w:name w:val="eop"/>
    <w:basedOn w:val="DefaultParagraphFont"/>
    <w:rsid w:val="005740F1"/>
  </w:style>
  <w:style w:type="paragraph" w:styleId="Caption">
    <w:name w:val="caption"/>
    <w:basedOn w:val="Normal"/>
    <w:next w:val="Normal"/>
    <w:uiPriority w:val="35"/>
    <w:unhideWhenUsed/>
    <w:qFormat/>
    <w:rsid w:val="005740F1"/>
    <w:pPr>
      <w:spacing w:after="200" w:line="240" w:lineRule="auto"/>
      <w:jc w:val="both"/>
    </w:pPr>
    <w:rPr>
      <w:rFonts w:ascii="Arial" w:eastAsiaTheme="minorEastAsia" w:hAnsi="Arial"/>
      <w:b/>
      <w:bCs/>
      <w:color w:val="000000" w:themeColor="text1"/>
      <w:sz w:val="18"/>
      <w:szCs w:val="18"/>
    </w:rPr>
  </w:style>
  <w:style w:type="character" w:styleId="Hyperlink">
    <w:name w:val="Hyperlink"/>
    <w:basedOn w:val="DefaultParagraphFont"/>
    <w:uiPriority w:val="99"/>
    <w:unhideWhenUsed/>
    <w:rsid w:val="005740F1"/>
    <w:rPr>
      <w:color w:val="0000FF"/>
      <w:u w:val="single"/>
    </w:rPr>
  </w:style>
  <w:style w:type="paragraph" w:styleId="BalloonText">
    <w:name w:val="Balloon Text"/>
    <w:basedOn w:val="Normal"/>
    <w:link w:val="BalloonTextChar"/>
    <w:uiPriority w:val="99"/>
    <w:semiHidden/>
    <w:unhideWhenUsed/>
    <w:rsid w:val="00304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F15"/>
    <w:rPr>
      <w:rFonts w:ascii="Segoe UI" w:hAnsi="Segoe UI" w:cs="Segoe UI"/>
      <w:sz w:val="18"/>
      <w:szCs w:val="18"/>
      <w:lang w:val="en-GB"/>
    </w:rPr>
  </w:style>
  <w:style w:type="paragraph" w:styleId="ListParagraph">
    <w:name w:val="List Paragraph"/>
    <w:basedOn w:val="Normal"/>
    <w:link w:val="ListParagraphChar"/>
    <w:uiPriority w:val="34"/>
    <w:qFormat/>
    <w:rsid w:val="00304F15"/>
    <w:pPr>
      <w:spacing w:before="120" w:after="120" w:line="360" w:lineRule="auto"/>
      <w:ind w:left="720"/>
      <w:contextualSpacing/>
      <w:jc w:val="both"/>
    </w:pPr>
    <w:rPr>
      <w:rFonts w:ascii="Arial" w:eastAsiaTheme="minorEastAsia" w:hAnsi="Arial"/>
      <w:szCs w:val="24"/>
    </w:rPr>
  </w:style>
  <w:style w:type="character" w:customStyle="1" w:styleId="ListParagraphChar">
    <w:name w:val="List Paragraph Char"/>
    <w:link w:val="ListParagraph"/>
    <w:uiPriority w:val="34"/>
    <w:rsid w:val="00304F15"/>
    <w:rPr>
      <w:rFonts w:ascii="Arial" w:eastAsiaTheme="minorEastAsia" w:hAnsi="Arial"/>
      <w:szCs w:val="24"/>
      <w:lang w:val="en-GB"/>
    </w:rPr>
  </w:style>
  <w:style w:type="paragraph" w:styleId="FootnoteText">
    <w:name w:val="footnote text"/>
    <w:basedOn w:val="Normal"/>
    <w:link w:val="FootnoteTextChar"/>
    <w:uiPriority w:val="99"/>
    <w:unhideWhenUsed/>
    <w:rsid w:val="00304F15"/>
    <w:pPr>
      <w:spacing w:after="0" w:line="240" w:lineRule="auto"/>
      <w:jc w:val="both"/>
    </w:pPr>
    <w:rPr>
      <w:rFonts w:ascii="Arial" w:eastAsiaTheme="minorEastAsia" w:hAnsi="Arial"/>
      <w:sz w:val="24"/>
      <w:szCs w:val="24"/>
    </w:rPr>
  </w:style>
  <w:style w:type="character" w:customStyle="1" w:styleId="FootnoteTextChar">
    <w:name w:val="Footnote Text Char"/>
    <w:basedOn w:val="DefaultParagraphFont"/>
    <w:link w:val="FootnoteText"/>
    <w:uiPriority w:val="99"/>
    <w:rsid w:val="00304F15"/>
    <w:rPr>
      <w:rFonts w:ascii="Arial" w:eastAsiaTheme="minorEastAsia" w:hAnsi="Arial"/>
      <w:sz w:val="24"/>
      <w:szCs w:val="24"/>
      <w:lang w:val="en-GB"/>
    </w:rPr>
  </w:style>
  <w:style w:type="paragraph" w:styleId="CommentText">
    <w:name w:val="annotation text"/>
    <w:basedOn w:val="Normal"/>
    <w:link w:val="CommentTextChar"/>
    <w:uiPriority w:val="99"/>
    <w:unhideWhenUsed/>
    <w:rsid w:val="00304F15"/>
    <w:pPr>
      <w:spacing w:after="0" w:line="240" w:lineRule="auto"/>
      <w:contextualSpacing/>
      <w:jc w:val="both"/>
    </w:pPr>
    <w:rPr>
      <w:rFonts w:ascii="Arial" w:eastAsia="Arial" w:hAnsi="Arial" w:cs="Arial"/>
      <w:sz w:val="20"/>
      <w:szCs w:val="20"/>
      <w:lang w:val="en-IE" w:eastAsia="en-IE"/>
    </w:rPr>
  </w:style>
  <w:style w:type="character" w:customStyle="1" w:styleId="CommentTextChar">
    <w:name w:val="Comment Text Char"/>
    <w:basedOn w:val="DefaultParagraphFont"/>
    <w:link w:val="CommentText"/>
    <w:uiPriority w:val="99"/>
    <w:rsid w:val="00304F15"/>
    <w:rPr>
      <w:rFonts w:ascii="Arial" w:eastAsia="Arial" w:hAnsi="Arial" w:cs="Arial"/>
      <w:sz w:val="20"/>
      <w:szCs w:val="20"/>
      <w:lang w:eastAsia="en-IE"/>
    </w:rPr>
  </w:style>
  <w:style w:type="paragraph" w:customStyle="1" w:styleId="paragraph">
    <w:name w:val="paragraph"/>
    <w:basedOn w:val="Normal"/>
    <w:rsid w:val="00304F15"/>
    <w:pPr>
      <w:spacing w:before="100" w:beforeAutospacing="1" w:after="100" w:afterAutospacing="1" w:line="240" w:lineRule="auto"/>
      <w:jc w:val="both"/>
    </w:pPr>
    <w:rPr>
      <w:rFonts w:ascii="Times" w:hAnsi="Times"/>
      <w:sz w:val="20"/>
      <w:szCs w:val="20"/>
      <w:lang w:val="en-AU"/>
    </w:rPr>
  </w:style>
  <w:style w:type="character" w:styleId="CommentReference">
    <w:name w:val="annotation reference"/>
    <w:basedOn w:val="DefaultParagraphFont"/>
    <w:uiPriority w:val="99"/>
    <w:semiHidden/>
    <w:unhideWhenUsed/>
    <w:rsid w:val="00304F15"/>
    <w:rPr>
      <w:sz w:val="16"/>
      <w:szCs w:val="16"/>
    </w:rPr>
  </w:style>
  <w:style w:type="paragraph" w:styleId="Header">
    <w:name w:val="header"/>
    <w:basedOn w:val="Normal"/>
    <w:link w:val="HeaderChar"/>
    <w:uiPriority w:val="99"/>
    <w:unhideWhenUsed/>
    <w:rsid w:val="003950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00F"/>
    <w:rPr>
      <w:lang w:val="en-GB"/>
    </w:rPr>
  </w:style>
  <w:style w:type="paragraph" w:styleId="Footer">
    <w:name w:val="footer"/>
    <w:basedOn w:val="Normal"/>
    <w:link w:val="FooterChar"/>
    <w:uiPriority w:val="99"/>
    <w:unhideWhenUsed/>
    <w:rsid w:val="003950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00F"/>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iqa.ie" TargetMode="External"/><Relationship Id="rId18" Type="http://schemas.openxmlformats.org/officeDocument/2006/relationships/hyperlink" Target="https://apo.org.au/" TargetMode="External"/><Relationship Id="rId26" Type="http://schemas.openxmlformats.org/officeDocument/2006/relationships/hyperlink" Target="https://www.evidence.nhs.uk/" TargetMode="External"/><Relationship Id="rId3" Type="http://schemas.openxmlformats.org/officeDocument/2006/relationships/customXml" Target="../customXml/item3.xml"/><Relationship Id="rId21" Type="http://schemas.openxmlformats.org/officeDocument/2006/relationships/hyperlink" Target="http://www.suicideinfo.ca/"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hse.ie/eng/services/list/4/mental-health-services/nosp/" TargetMode="External"/><Relationship Id="rId17" Type="http://schemas.openxmlformats.org/officeDocument/2006/relationships/hyperlink" Target="http://www.mentalhealthcommission.gov.au/" TargetMode="External"/><Relationship Id="rId25" Type="http://schemas.openxmlformats.org/officeDocument/2006/relationships/hyperlink" Target="https://www.psych.ox.ac.uk/research/csr" TargetMode="External"/><Relationship Id="rId33" Type="http://schemas.openxmlformats.org/officeDocument/2006/relationships/hyperlink" Target="https://www.ahrq.gov/" TargetMode="External"/><Relationship Id="rId2" Type="http://schemas.openxmlformats.org/officeDocument/2006/relationships/customXml" Target="../customXml/item2.xml"/><Relationship Id="rId16" Type="http://schemas.openxmlformats.org/officeDocument/2006/relationships/hyperlink" Target="http://www.griffith.edu.au/griffith-health/australian-institute-suicide-research-prevention" TargetMode="External"/><Relationship Id="rId20" Type="http://schemas.openxmlformats.org/officeDocument/2006/relationships/hyperlink" Target="http://www.suicideprevention.ca/" TargetMode="External"/><Relationship Id="rId29" Type="http://schemas.openxmlformats.org/officeDocument/2006/relationships/hyperlink" Target="http://www.health.gov/about-u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srf.ie" TargetMode="External"/><Relationship Id="rId24" Type="http://schemas.openxmlformats.org/officeDocument/2006/relationships/hyperlink" Target="https://www.nspa.org.uk/" TargetMode="External"/><Relationship Id="rId32" Type="http://schemas.openxmlformats.org/officeDocument/2006/relationships/hyperlink" Target="http://www.apa.org" TargetMode="External"/><Relationship Id="rId5" Type="http://schemas.openxmlformats.org/officeDocument/2006/relationships/styles" Target="styles.xml"/><Relationship Id="rId15" Type="http://schemas.openxmlformats.org/officeDocument/2006/relationships/hyperlink" Target="http://www.suicidepreventionaust.org/" TargetMode="External"/><Relationship Id="rId23" Type="http://schemas.openxmlformats.org/officeDocument/2006/relationships/hyperlink" Target="https://www.gov.uk/government/organisations/department-of-health-and-social-care" TargetMode="External"/><Relationship Id="rId28" Type="http://schemas.openxmlformats.org/officeDocument/2006/relationships/hyperlink" Target="http://www.msd.govt.nz" TargetMode="External"/><Relationship Id="rId36" Type="http://schemas.openxmlformats.org/officeDocument/2006/relationships/theme" Target="theme/theme1.xml"/><Relationship Id="rId10" Type="http://schemas.openxmlformats.org/officeDocument/2006/relationships/hyperlink" Target="http://www.mhcirl.ie/" TargetMode="External"/><Relationship Id="rId19" Type="http://schemas.openxmlformats.org/officeDocument/2006/relationships/hyperlink" Target="http://www.canada.ca/en/health-canada.html" TargetMode="External"/><Relationship Id="rId31" Type="http://schemas.openxmlformats.org/officeDocument/2006/relationships/hyperlink" Target="http://www.cdc.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ealth.gov.au" TargetMode="External"/><Relationship Id="rId22" Type="http://schemas.openxmlformats.org/officeDocument/2006/relationships/hyperlink" Target="https://my.canadianelectroniclibrary.ca/" TargetMode="External"/><Relationship Id="rId27" Type="http://schemas.openxmlformats.org/officeDocument/2006/relationships/hyperlink" Target="http://www.health.govt.nz" TargetMode="External"/><Relationship Id="rId30" Type="http://schemas.openxmlformats.org/officeDocument/2006/relationships/hyperlink" Target="http://www.nih.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FB96C1A60C8C4CA30A4CFA23C89928" ma:contentTypeVersion="13" ma:contentTypeDescription="Create a new document." ma:contentTypeScope="" ma:versionID="091a4a9f5693630bf93018f149519104">
  <xsd:schema xmlns:xsd="http://www.w3.org/2001/XMLSchema" xmlns:xs="http://www.w3.org/2001/XMLSchema" xmlns:p="http://schemas.microsoft.com/office/2006/metadata/properties" xmlns:ns3="8d506ce1-20eb-497a-91b3-8cc54b4e471a" xmlns:ns4="5351d227-942b-431e-9681-8276d83a9327" targetNamespace="http://schemas.microsoft.com/office/2006/metadata/properties" ma:root="true" ma:fieldsID="72c1ce7a7cfa921baa847fbac6132dc6" ns3:_="" ns4:_="">
    <xsd:import namespace="8d506ce1-20eb-497a-91b3-8cc54b4e471a"/>
    <xsd:import namespace="5351d227-942b-431e-9681-8276d83a932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06ce1-20eb-497a-91b3-8cc54b4e471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1d227-942b-431e-9681-8276d83a93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08AA47-2481-48A8-9E90-45BA2B7A00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65C555-3DF8-4B20-8A1B-020248FBA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06ce1-20eb-497a-91b3-8cc54b4e471a"/>
    <ds:schemaRef ds:uri="5351d227-942b-431e-9681-8276d83a9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016929-7422-4CDD-84EE-EE7A77BD7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4786</Words>
  <Characters>27283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Saab, Mohamad</dc:creator>
  <cp:lastModifiedBy>PRAJEESH</cp:lastModifiedBy>
  <cp:revision>2</cp:revision>
  <dcterms:created xsi:type="dcterms:W3CDTF">2021-06-13T23:18:00Z</dcterms:created>
  <dcterms:modified xsi:type="dcterms:W3CDTF">2021-06-13T23:18:00Z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0x0101006CFB96C1A60C8C4CA30A4CFA23C89928</vt:lpwstr>
  </property>
</Properties>
</file>