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A00BB" w14:textId="2C1E1E98" w:rsidR="003F1EDC" w:rsidRPr="0007217A" w:rsidRDefault="003F1EDC" w:rsidP="004954FC">
      <w:pPr>
        <w:pStyle w:val="Heading1"/>
        <w:rPr>
          <w:b/>
          <w:bCs/>
        </w:rPr>
      </w:pPr>
      <w:r w:rsidRPr="0007217A">
        <w:rPr>
          <w:b/>
          <w:bCs/>
        </w:rPr>
        <w:t>Appendi</w:t>
      </w:r>
      <w:r w:rsidR="00132C6E" w:rsidRPr="0007217A">
        <w:rPr>
          <w:b/>
          <w:bCs/>
        </w:rPr>
        <w:t>ces</w:t>
      </w:r>
    </w:p>
    <w:p w14:paraId="329AEAA3" w14:textId="77777777" w:rsidR="003F1EDC" w:rsidRDefault="003F1EDC" w:rsidP="003F1EDC">
      <w:pPr>
        <w:rPr>
          <w:sz w:val="22"/>
        </w:rPr>
      </w:pPr>
    </w:p>
    <w:p w14:paraId="7C284DD9" w14:textId="2EB64CC9" w:rsidR="003F1EDC" w:rsidRPr="00F032F6" w:rsidRDefault="003F1EDC" w:rsidP="00ED0688">
      <w:pPr>
        <w:pStyle w:val="Heading2"/>
        <w:numPr>
          <w:ilvl w:val="0"/>
          <w:numId w:val="6"/>
        </w:numPr>
      </w:pPr>
      <w:r w:rsidRPr="00F032F6">
        <w:t>Model validation</w:t>
      </w:r>
    </w:p>
    <w:p w14:paraId="2991C9E1" w14:textId="1A96E3A5" w:rsidR="003F1EDC" w:rsidRDefault="004954FC" w:rsidP="003F1EDC">
      <w:r>
        <w:t xml:space="preserve">The </w:t>
      </w:r>
      <w:r w:rsidR="008B723D">
        <w:t xml:space="preserve">Irish electricity market provides a good test case for this study. </w:t>
      </w:r>
      <w:r w:rsidR="00A61287">
        <w:t>It operates similarly to other markets found around the world, has high wind penetration,</w:t>
      </w:r>
      <w:r w:rsidR="004172AA">
        <w:t xml:space="preserve"> limited interconnection but excellent grid management. </w:t>
      </w:r>
      <w:r w:rsidR="00412B9E">
        <w:t>This said, the insights in the paper are independent of Ireland</w:t>
      </w:r>
      <w:r w:rsidR="006559E2">
        <w:t xml:space="preserve"> and applicable in general. </w:t>
      </w:r>
    </w:p>
    <w:p w14:paraId="29A7E146" w14:textId="77777777" w:rsidR="00B001B8" w:rsidRDefault="00B001B8" w:rsidP="003F1EDC"/>
    <w:p w14:paraId="58FA8019" w14:textId="31FF84E1" w:rsidR="003F1EDC" w:rsidRDefault="00ED0688" w:rsidP="003F1EDC">
      <w:pPr>
        <w:pStyle w:val="Heading3"/>
      </w:pPr>
      <w:r>
        <w:t xml:space="preserve">1.1 </w:t>
      </w:r>
      <w:r w:rsidR="003F1EDC">
        <w:t xml:space="preserve">Levelised costs for </w:t>
      </w:r>
      <w:r w:rsidR="009F3473">
        <w:t>Offshore Wind Farm (</w:t>
      </w:r>
      <w:r w:rsidR="003F1EDC">
        <w:t>OWF</w:t>
      </w:r>
      <w:r w:rsidR="009F3473">
        <w:t>)</w:t>
      </w:r>
    </w:p>
    <w:p w14:paraId="50483197" w14:textId="747C8924" w:rsidR="00F30B2F" w:rsidRDefault="006559E2" w:rsidP="00F30B2F">
      <w:r>
        <w:t>A base LCOE of €3</w:t>
      </w:r>
      <w:r w:rsidR="00D270B2">
        <w:t>8</w:t>
      </w:r>
      <w:r w:rsidR="0055254B">
        <w:t xml:space="preserve">.1/MWh was found exclusive of curtailment. This is indicative of a </w:t>
      </w:r>
      <w:r w:rsidR="00995C8C">
        <w:t xml:space="preserve">favourable site relatively close to shore (14.5km) </w:t>
      </w:r>
      <w:r w:rsidR="00BC3789">
        <w:t>potentially eliminating the need for a substation</w:t>
      </w:r>
      <w:r w:rsidR="00AD047D">
        <w:t xml:space="preserve"> </w:t>
      </w:r>
      <w:r w:rsidR="00AD047D">
        <w:fldChar w:fldCharType="begin" w:fldLock="1"/>
      </w:r>
      <w:r w:rsidR="00AD047D">
        <w:instrText>ADDIN CSL_CITATION {"citationItems":[{"id":"ITEM-1","itemData":{"DOI":"10.1016/j.esd.2019.03.006","ISSN":"23524669","abstract":"Nearshore wind development has been seen as the cost-reducing option that could shrink the cost gap between onshore and offshore development. The cost advantage is linked to more shallow water and shorter connection to shore even avoiding an offshore substation. Public tendering for offshore wind in Denmark has opened up for near-shore wind turbine farms as an alternative for lowering the cost of new offshore wind development. Whether these proposed near-shore locations will manage to significantly lower costs is not clear. The tenders have resulted in bids that are at comparable levels for the nearshore and the further offshore wind farms. We compare the cost drivers and possible cost differentials with preferences for locating wind farms further away from the coast. The primary cost driver is water depth, and in the Danish case water depth is increasing slowly or is not even correlated with the distance from shore. Therefore the willingness to pay for moving turbines away from the coast may be sufficiently high to balance the increased cost. The actual comparison of costs and willingness to pay must be carried out for the specific case with cost characteristics and willingness to pay by the affected population.","author":[{"dropping-particle":"","family":"Klinge Jacobsen","given":"Henrik","non-dropping-particle":"","parse-names":false,"suffix":""},{"dropping-particle":"","family":"Hevia-Koch","given":"Pablo","non-dropping-particle":"","parse-names":false,"suffix":""},{"dropping-particle":"","family":"Wolter","given":"Christoph","non-dropping-particle":"","parse-names":false,"suffix":""}],"container-title":"Energy for Sustainable Development","id":"ITEM-1","issued":{"date-parts":[["2019"]]},"page":"91-100","publisher":"International Energy Initiative","title":"Nearshore and offshore wind development: Costs and competitive advantage exemplified by nearshore wind in Denmark","type":"article-journal","volume":"50"},"uris":["http://www.mendeley.com/documents/?uuid=2aee62d1-f9eb-4718-94d1-94adf2f23747"]}],"mendeley":{"formattedCitation":"[1]","plainTextFormattedCitation":"[1]","previouslyFormattedCitation":"[1]"},"properties":{"noteIndex":0},"schema":"https://github.com/citation-style-language/schema/raw/master/csl-citation.json"}</w:instrText>
      </w:r>
      <w:r w:rsidR="00AD047D">
        <w:fldChar w:fldCharType="separate"/>
      </w:r>
      <w:r w:rsidR="00AD047D" w:rsidRPr="009225DF">
        <w:rPr>
          <w:noProof/>
        </w:rPr>
        <w:t>[1]</w:t>
      </w:r>
      <w:r w:rsidR="00AD047D">
        <w:fldChar w:fldCharType="end"/>
      </w:r>
      <w:r w:rsidR="00BC3789">
        <w:t xml:space="preserve">. </w:t>
      </w:r>
      <w:r w:rsidR="00F25C40">
        <w:t xml:space="preserve">The high </w:t>
      </w:r>
      <w:r w:rsidR="00AD047D">
        <w:t>capacity factor also contributes greatly to the low LCOE</w:t>
      </w:r>
      <w:r w:rsidR="00806246">
        <w:t xml:space="preserve"> but is in line with similar developments in the region</w:t>
      </w:r>
      <w:r w:rsidR="000D3058">
        <w:t xml:space="preserve"> </w:t>
      </w:r>
      <w:r w:rsidR="00A01E5E">
        <w:fldChar w:fldCharType="begin" w:fldLock="1"/>
      </w:r>
      <w:r w:rsidR="00A01E5E">
        <w:instrText>ADDIN CSL_CITATION {"citationItems":[{"id":"ITEM-1","itemData":{"URL":"http://energynumbers.info/uk-offshore-wind-capacity-factors","accessed":{"date-parts":[["2019","8","9"]]},"id":"ITEM-1","issued":{"date-parts":[["0"]]},"title":"UK offshore wind capacity factors","type":"webpage"},"uris":["http://www.mendeley.com/documents/?uuid=467b5412-8586-34de-98f7-7d303b73cc91"]}],"mendeley":{"formattedCitation":"[2]","plainTextFormattedCitation":"[2]"},"properties":{"noteIndex":0},"schema":"https://github.com/citation-style-language/schema/raw/master/csl-citation.json"}</w:instrText>
      </w:r>
      <w:r w:rsidR="00A01E5E">
        <w:fldChar w:fldCharType="separate"/>
      </w:r>
      <w:r w:rsidR="00A01E5E" w:rsidRPr="00A01E5E">
        <w:rPr>
          <w:noProof/>
        </w:rPr>
        <w:t>[2]</w:t>
      </w:r>
      <w:r w:rsidR="00A01E5E">
        <w:fldChar w:fldCharType="end"/>
      </w:r>
      <w:r w:rsidR="00AD047D">
        <w:t xml:space="preserve">. </w:t>
      </w:r>
      <w:r w:rsidR="0073433E">
        <w:t>This figure is</w:t>
      </w:r>
      <w:r w:rsidR="006E66DB">
        <w:t xml:space="preserve"> ambitious but</w:t>
      </w:r>
      <w:r w:rsidR="0073433E">
        <w:t xml:space="preserve"> not unrealistic though with Fraun</w:t>
      </w:r>
      <w:r w:rsidR="00890313">
        <w:t xml:space="preserve">hofer reporting offshore wind farm LCOEs as low as €75/MWh in 2018 </w:t>
      </w:r>
      <w:r w:rsidR="00890313">
        <w:fldChar w:fldCharType="begin" w:fldLock="1"/>
      </w:r>
      <w:r w:rsidR="00A01E5E">
        <w:instrText>ADDIN CSL_CITATION {"citationItems":[{"id":"ITEM-1","itemData":{"ISBN":"November 2013","ISSN":"10769757","PMID":"17255001","abstract":"This study analyses the current levelized cost of electricity (LCOE) using technology-specific system designs and system prices for the second quarter of 2012, for the following rene- wable energy technologies: photovoltaics, concentrating solar power plants (CSP, also called solar thermal power plants) and wind power plants. The different cost trends for these techno- logies are also compared.","author":[{"dropping-particle":"","family":"Kost","given":"Christoph","non-dropping-particle":"","parse-names":false,"suffix":""},{"dropping-particle":"","family":"Schlegl","given":"Thomas","non-dropping-particle":"","parse-names":false,"suffix":""},{"dropping-particle":"","family":"Thomsen","given":"Jessica","non-dropping-particle":"","parse-names":false,"suffix":""},{"dropping-particle":"","family":"Nold","given":"Sebastian","non-dropping-particle":"","parse-names":false,"suffix":""},{"dropping-particle":"","family":"Mayer","given":"Johannes","non-dropping-particle":"","parse-names":false,"suffix":""},{"dropping-particle":"","family":"Hartmann","given":"Niklas","non-dropping-particle":"","parse-names":false,"suffix":""},{"dropping-particle":"","family":"Senkpiel","given":"Charlotte","non-dropping-particle":"","parse-names":false,"suffix":""},{"dropping-particle":"","family":"Philipps","given":"Simon","non-dropping-particle":"","parse-names":false,"suffix":""},{"dropping-particle":"","family":"Lude","given":"Simon","non-dropping-particle":"","parse-names":false,"suffix":""},{"dropping-particle":"","family":"Saad","given":"Noha","non-dropping-particle":"","parse-names":false,"suffix":""}],"container-title":"Fraunhofer ISE: Levelized Cost of Electricity - Renewable Energy Technologies,","id":"ITEM-1","issue":"March","issued":{"date-parts":[["2018"]]},"title":"Fraunhofer ISE: Levelized Cost of Electricity - Renewable Energy Technologies, March 2018","type":"article-journal"},"uris":["http://www.mendeley.com/documents/?uuid=30eaf3e8-8492-4150-a97a-c059938a411e"]}],"mendeley":{"formattedCitation":"[3]","plainTextFormattedCitation":"[3]","previouslyFormattedCitation":"[2]"},"properties":{"noteIndex":0},"schema":"https://github.com/citation-style-language/schema/raw/master/csl-citation.json"}</w:instrText>
      </w:r>
      <w:r w:rsidR="00890313">
        <w:fldChar w:fldCharType="separate"/>
      </w:r>
      <w:r w:rsidR="00A01E5E" w:rsidRPr="00A01E5E">
        <w:rPr>
          <w:noProof/>
        </w:rPr>
        <w:t>[3]</w:t>
      </w:r>
      <w:r w:rsidR="00890313">
        <w:fldChar w:fldCharType="end"/>
      </w:r>
      <w:r w:rsidR="00890313">
        <w:t>, and IRENA</w:t>
      </w:r>
      <w:r w:rsidR="00701CE2">
        <w:t xml:space="preserve"> reporting </w:t>
      </w:r>
      <w:r w:rsidR="004C2D62">
        <w:t xml:space="preserve">auction database figures </w:t>
      </w:r>
      <w:r w:rsidR="00C36E0D">
        <w:t xml:space="preserve">under €60/MWh in 2021. </w:t>
      </w:r>
      <w:r w:rsidR="00E354D8">
        <w:t xml:space="preserve">In order to achieve the LCOEs modelled in this paper the discount rate (weighted average cost of capital) </w:t>
      </w:r>
      <w:r w:rsidR="00286BDF">
        <w:t xml:space="preserve">should be relatively low </w:t>
      </w:r>
      <w:r w:rsidR="00E354D8">
        <w:t xml:space="preserve">and capital costs need to </w:t>
      </w:r>
      <w:r w:rsidR="00286BDF">
        <w:t xml:space="preserve">fall substantially. </w:t>
      </w:r>
    </w:p>
    <w:p w14:paraId="1EA4678D" w14:textId="1C9E560D" w:rsidR="00F30B2F" w:rsidRDefault="00F30B2F" w:rsidP="00586383">
      <w:r>
        <w:t xml:space="preserve">In estimating the power generated by the </w:t>
      </w:r>
      <w:r w:rsidR="00962F4F">
        <w:t>OWF</w:t>
      </w:r>
      <w:r>
        <w:t xml:space="preserve"> </w:t>
      </w:r>
      <w:r w:rsidR="00F34A1C">
        <w:t xml:space="preserve">Eastward and Northward </w:t>
      </w:r>
      <w:r>
        <w:t xml:space="preserve">MERRA-2 </w:t>
      </w:r>
      <w:r w:rsidR="00F34A1C">
        <w:t xml:space="preserve">wind speeds </w:t>
      </w:r>
      <w:r>
        <w:t>between 01/01/1996 and 29/02/2016 at a temporal resolution of 1 hour</w:t>
      </w:r>
      <w:r w:rsidR="00B12834">
        <w:t xml:space="preserve"> w</w:t>
      </w:r>
      <w:r w:rsidR="00F34A1C">
        <w:t xml:space="preserve">ere </w:t>
      </w:r>
      <w:r w:rsidR="00B12834">
        <w:t>used. As we were modelling 2</w:t>
      </w:r>
      <w:r w:rsidR="00A20AEA">
        <w:t>5-32</w:t>
      </w:r>
      <w:r w:rsidR="00B12834">
        <w:t xml:space="preserve"> years</w:t>
      </w:r>
      <w:r w:rsidR="00A20AEA">
        <w:t xml:space="preserve"> of a project</w:t>
      </w:r>
      <w:r w:rsidR="00E115EC">
        <w:t xml:space="preserve">, the data was duplicated to produce </w:t>
      </w:r>
      <w:r w:rsidR="00A20AEA">
        <w:t>40 years of wind data</w:t>
      </w:r>
      <w:r w:rsidR="00F34A1C">
        <w:t xml:space="preserve">. </w:t>
      </w:r>
    </w:p>
    <w:p w14:paraId="32DF8282" w14:textId="77777777" w:rsidR="00586383" w:rsidRDefault="00586383" w:rsidP="00586383"/>
    <w:p w14:paraId="609B9BF9" w14:textId="1FA074E5" w:rsidR="008E46A1" w:rsidRPr="00586383" w:rsidRDefault="00586383" w:rsidP="00586383">
      <w:pPr>
        <w:pStyle w:val="Heading3"/>
      </w:pPr>
      <w:r>
        <w:t xml:space="preserve">1.2 </w:t>
      </w:r>
      <w:r w:rsidR="008E46A1" w:rsidRPr="00586383">
        <w:t xml:space="preserve">System marginal </w:t>
      </w:r>
      <w:r w:rsidR="00A70C24">
        <w:t>cost</w:t>
      </w:r>
      <w:r w:rsidR="00FB24CD" w:rsidRPr="00586383">
        <w:t xml:space="preserve"> (SM</w:t>
      </w:r>
      <w:r w:rsidR="00A70C24">
        <w:t>C</w:t>
      </w:r>
      <w:r w:rsidR="00FB24CD" w:rsidRPr="00586383">
        <w:t>)</w:t>
      </w:r>
      <w:r w:rsidR="008E46A1" w:rsidRPr="00586383">
        <w:t xml:space="preserve"> profile </w:t>
      </w:r>
    </w:p>
    <w:p w14:paraId="52E65F37" w14:textId="1E4F8B11" w:rsidR="008E46A1" w:rsidRPr="002D07CF" w:rsidRDefault="00FB24CD" w:rsidP="008E46A1">
      <w:r>
        <w:t xml:space="preserve">Simulation of the </w:t>
      </w:r>
      <w:r w:rsidR="001650CC">
        <w:t>SMC</w:t>
      </w:r>
      <w:r>
        <w:t xml:space="preserve"> </w:t>
      </w:r>
      <w:r w:rsidR="00C15AEE">
        <w:t xml:space="preserve">is achieved </w:t>
      </w:r>
      <w:r w:rsidR="005A515A">
        <w:t xml:space="preserve">by finding the mean and covariance of prices for each hour of the day in every month. </w:t>
      </w:r>
      <w:r w:rsidR="00A30CB6">
        <w:t xml:space="preserve">A </w:t>
      </w:r>
      <w:r w:rsidR="00C82992">
        <w:t xml:space="preserve">multivariate normal random numbers function of Matlab then generates random numbers according to this distribution. </w:t>
      </w:r>
      <w:r w:rsidR="00315D8B">
        <w:t xml:space="preserve">In order to verify if this method produced sufficiently accurate results it is compared to a </w:t>
      </w:r>
      <w:r w:rsidR="00884094">
        <w:t xml:space="preserve">robust and validated model of the same energy system. </w:t>
      </w:r>
    </w:p>
    <w:p w14:paraId="41E80FB2" w14:textId="5828C7A7" w:rsidR="008E46A1" w:rsidRDefault="00884094" w:rsidP="008E46A1">
      <w:r>
        <w:lastRenderedPageBreak/>
        <w:t>The following is adapted</w:t>
      </w:r>
      <w:r w:rsidR="008E46A1">
        <w:t xml:space="preserve"> from a previous work by the author</w:t>
      </w:r>
      <w:r w:rsidR="0003783C">
        <w:t xml:space="preserve"> </w:t>
      </w:r>
      <w:r w:rsidR="0003783C">
        <w:fldChar w:fldCharType="begin" w:fldLock="1"/>
      </w:r>
      <w:r w:rsidR="00A01E5E">
        <w:instrText>ADDIN CSL_CITATION {"citationItems":[{"id":"ITEM-1","itemData":{"DOI":"10.1016/j.renene.2018.07.058","ISSN":"09601481","abstract":"Power-to-Gas (P2G) is a technology that converts electricity to gas and is termed gaseous fuel from non-biological origin. It has been mooted as a means of utilising low-cost or otherwise curtailed electricity to produce an advanced transport fuel, whilst facilitating intermittent renewable electricity through grid balancing measures and decentralised storage of electricity. This paper investigates the interaction of a 10MWe P2G facility with an island electricity grid with limited interconnection, through modelling electricity purchase. Three models are tested; 2016 at 25% renewable electricity penetration and 2030 at both 40% and 60% penetration levels. The relationships between electricity bid price, average cost of electricity and run hours were established whilst the levelised cost of energy (LCOE) was evaluated for the gaseous fuel produced. Bidding for electricity above the average marginal cost of generation in the system (€35–50/MWeh) was found to minimise the LCOE in all three scenarios. The frequency of low-cost and high-costs hours, analogous to balancing issues, increased with increasing shares of variable renewable electricity generation. However, basing P2G systems on low-cost (less than €10/MWeh) hours alone (999 h in 2030 at 60% renewable penetration) is not the path to financial optimisation; it is preferential to increase the run hours to a level that amortises the capital expenditure.","author":[{"dropping-particle":"","family":"McDonagh","given":"Shane","non-dropping-particle":"","parse-names":false,"suffix":""},{"dropping-particle":"","family":"Wall","given":"David M.","non-dropping-particle":"","parse-names":false,"suffix":""},{"dropping-particle":"","family":"Deane","given":"Paul","non-dropping-particle":"","parse-names":false,"suffix":""},{"dropping-particle":"","family":"Murphy","given":"Jerry D.","non-dropping-particle":"","parse-names":false,"suffix":""}],"container-title":"Renewable Energy","id":"ITEM-1","issued":{"date-parts":[["2018"]]},"number-of-pages":"364-371","publisher":"Elsevier Ltd","title":"The effect of electricity markets, and renewable electricity penetration, on the levelised cost of energy of an advanced electro-fuel system incorporating carbon capture","type":"report","volume":"131"},"uris":["http://www.mendeley.com/documents/?uuid=bec39e7f-18b6-4bea-80ca-bb1be134fc32"]}],"mendeley":{"formattedCitation":"[4]","plainTextFormattedCitation":"[4]","previouslyFormattedCitation":"[3]"},"properties":{"noteIndex":0},"schema":"https://github.com/citation-style-language/schema/raw/master/csl-citation.json"}</w:instrText>
      </w:r>
      <w:r w:rsidR="0003783C">
        <w:fldChar w:fldCharType="separate"/>
      </w:r>
      <w:r w:rsidR="00A01E5E" w:rsidRPr="00A01E5E">
        <w:rPr>
          <w:noProof/>
        </w:rPr>
        <w:t>[4]</w:t>
      </w:r>
      <w:r w:rsidR="0003783C">
        <w:fldChar w:fldCharType="end"/>
      </w:r>
      <w:r w:rsidR="008E46A1">
        <w:t xml:space="preserve"> and edited for this appendix</w:t>
      </w:r>
      <w:r>
        <w:t>. It contains a</w:t>
      </w:r>
      <w:r w:rsidR="00401707">
        <w:t xml:space="preserve"> brief explanation of the model against which the </w:t>
      </w:r>
      <w:r w:rsidR="004B10D0">
        <w:t xml:space="preserve">results borne by the </w:t>
      </w:r>
      <w:r w:rsidR="00401707">
        <w:t xml:space="preserve">methodology in this paper </w:t>
      </w:r>
      <w:r w:rsidR="004B10D0">
        <w:t>are</w:t>
      </w:r>
      <w:r w:rsidR="00401707">
        <w:t xml:space="preserve"> compared</w:t>
      </w:r>
      <w:r w:rsidR="008E46A1">
        <w:t>:</w:t>
      </w:r>
    </w:p>
    <w:p w14:paraId="7EAEF813" w14:textId="0504C569" w:rsidR="008E46A1" w:rsidRPr="0003783C" w:rsidRDefault="008E46A1" w:rsidP="008E46A1">
      <w:pPr>
        <w:rPr>
          <w:i/>
          <w:iCs/>
        </w:rPr>
      </w:pPr>
      <w:r w:rsidRPr="0003783C">
        <w:rPr>
          <w:i/>
          <w:iCs/>
        </w:rPr>
        <w:t xml:space="preserve">The system marginal </w:t>
      </w:r>
      <w:r w:rsidR="00A70C24">
        <w:rPr>
          <w:i/>
          <w:iCs/>
        </w:rPr>
        <w:t>cost</w:t>
      </w:r>
      <w:r w:rsidRPr="0003783C">
        <w:rPr>
          <w:i/>
          <w:iCs/>
        </w:rPr>
        <w:t xml:space="preserve"> (SM</w:t>
      </w:r>
      <w:r w:rsidR="00A70C24">
        <w:rPr>
          <w:i/>
          <w:iCs/>
        </w:rPr>
        <w:t>C</w:t>
      </w:r>
      <w:r w:rsidRPr="0003783C">
        <w:rPr>
          <w:i/>
          <w:iCs/>
        </w:rPr>
        <w:t xml:space="preserve">) can be considered as the hourly island wide wholesale price of electricity. It includes for the cost required to meet the forecast demand and additional costs associated with start-up or operating as a reserve that a generator will need to recover. In general, the </w:t>
      </w:r>
      <w:r w:rsidR="001650CC">
        <w:rPr>
          <w:i/>
          <w:iCs/>
        </w:rPr>
        <w:t>SMC</w:t>
      </w:r>
      <w:r w:rsidRPr="0003783C">
        <w:rPr>
          <w:i/>
          <w:iCs/>
        </w:rPr>
        <w:t xml:space="preserve"> is low when there is more than sufficient generation capacity online to meet demand. When the amount of generation online to meet demand is scarce, the resulting </w:t>
      </w:r>
      <w:r w:rsidR="001650CC">
        <w:rPr>
          <w:i/>
          <w:iCs/>
        </w:rPr>
        <w:t>SMC</w:t>
      </w:r>
      <w:r w:rsidRPr="0003783C">
        <w:rPr>
          <w:i/>
          <w:iCs/>
        </w:rPr>
        <w:t xml:space="preserve"> is higher. The </w:t>
      </w:r>
      <w:r w:rsidR="001650CC">
        <w:rPr>
          <w:i/>
          <w:iCs/>
        </w:rPr>
        <w:t>SMC</w:t>
      </w:r>
      <w:r w:rsidRPr="0003783C">
        <w:rPr>
          <w:i/>
          <w:iCs/>
        </w:rPr>
        <w:t xml:space="preserve"> is set by the marginal costs of the last generator online to meet demand. In the market examined (Ireland) and many others this is often gas fired generation. The </w:t>
      </w:r>
      <w:r w:rsidR="001650CC">
        <w:rPr>
          <w:i/>
          <w:iCs/>
        </w:rPr>
        <w:t>SMC</w:t>
      </w:r>
      <w:r w:rsidRPr="0003783C">
        <w:rPr>
          <w:i/>
          <w:iCs/>
        </w:rPr>
        <w:t xml:space="preserve"> is also influenced by zero marginal cost Variable Renewable Electricity (VRE) which tends to supress the </w:t>
      </w:r>
      <w:r w:rsidR="001650CC">
        <w:rPr>
          <w:i/>
          <w:iCs/>
        </w:rPr>
        <w:t>SMC</w:t>
      </w:r>
      <w:r w:rsidRPr="0003783C">
        <w:rPr>
          <w:i/>
          <w:iCs/>
        </w:rPr>
        <w:t xml:space="preserve"> in times of high VRE production. In times of excess VRE generation, curtailment may take place. Current electricity market rules offer VRE priority dispatch on the electricity grid, therefore curtailment of VRE is often a last resort. Strong positive correlation has been found between increased shares of VRE and the periodic availability of low-cost electricity </w:t>
      </w:r>
      <w:r w:rsidRPr="0003783C">
        <w:rPr>
          <w:i/>
          <w:iCs/>
        </w:rPr>
        <w:fldChar w:fldCharType="begin" w:fldLock="1"/>
      </w:r>
      <w:r w:rsidR="00A01E5E">
        <w:rPr>
          <w:i/>
          <w:iCs/>
        </w:rPr>
        <w:instrText>ADDIN CSL_CITATION {"citationItems":[{"id":"ITEM-1","itemData":{"DOI":"10.1016/j.energy.2011.02.038","ISBN":"0360-5442","ISSN":"03605442","abstract":"Abstract Ireland's share of electricity generated from RES-E (renewable energy sources) is due to increase from 14.4% in 2009 to 40% in 2020. With this target predominantly fulfilled with wind generated electricity, the need for increased grid flexibility to facilitate this intermittent energy source is becoming ever more significant. As smart metering becomes available, demand side participation will be one option for achieving this flexibility. Using an immersion heated hot water tank as an example, this paper examines the impact that price optimised load scheduling has on the facilitation of wind generated electricity. To replicate real-world data availability, optimisation is performed using day-ahead predicted prices while the results are calculated using final prices and metered generation data. The results demonstrate a correlation between the day-ahead predicted half-hourly price of electricity and real-time wind availability. This supports the use of price as a means of providing an incentive for load response in order to increase the amount of renewable energy that can be facilitated on the electrical grid. Furthermore, various thermal storage efficiencies were examined for the device to reveal that as the energy loss rate of the device is reduced, the financial savings increase, wind generation increases, and conventional generation decreases. ?? 2011 Elsevier Ltd.","author":[{"dropping-particle":"","family":"Finn","given":"P.","non-dropping-particle":"","parse-names":false,"suffix":""},{"dropping-particle":"","family":"Fitzpatrick","given":"C.","non-dropping-particle":"","parse-names":false,"suffix":""},{"dropping-particle":"","family":"Connolly","given":"D.","non-dropping-particle":"","parse-names":false,"suffix":""},{"dropping-particle":"","family":"Leahy","given":"M.","non-dropping-particle":"","parse-names":false,"suffix":""},{"dropping-particle":"","family":"Relihan","given":"L.","non-dropping-particle":"","parse-names":false,"suffix":""}],"container-title":"Energy","id":"ITEM-1","issue":"5","issued":{"date-parts":[["2011"]]},"page":"2952-2960","publisher":"Elsevier Ltd","title":"Facilitation of renewable electricity using price based appliance control in Ireland's electricity market","type":"article-journal","volume":"36"},"uris":["http://www.mendeley.com/documents/?uuid=2e253958-c1ae-4ec7-9192-bac671fc703e"]}],"mendeley":{"formattedCitation":"[5]","plainTextFormattedCitation":"[5]","previouslyFormattedCitation":"[4]"},"properties":{"noteIndex":0},"schema":"https://github.com/citation-style-language/schema/raw/master/csl-citation.json"}</w:instrText>
      </w:r>
      <w:r w:rsidRPr="0003783C">
        <w:rPr>
          <w:i/>
          <w:iCs/>
        </w:rPr>
        <w:fldChar w:fldCharType="separate"/>
      </w:r>
      <w:r w:rsidR="00A01E5E" w:rsidRPr="00A01E5E">
        <w:rPr>
          <w:iCs/>
          <w:noProof/>
        </w:rPr>
        <w:t>[5]</w:t>
      </w:r>
      <w:r w:rsidRPr="0003783C">
        <w:rPr>
          <w:i/>
          <w:iCs/>
        </w:rPr>
        <w:fldChar w:fldCharType="end"/>
      </w:r>
      <w:r w:rsidRPr="0003783C">
        <w:rPr>
          <w:i/>
          <w:iCs/>
        </w:rPr>
        <w:t xml:space="preserve">. </w:t>
      </w:r>
    </w:p>
    <w:p w14:paraId="1EFCC63B" w14:textId="7C4BFB92" w:rsidR="008E46A1" w:rsidRPr="0003783C" w:rsidRDefault="008E46A1" w:rsidP="008E46A1">
      <w:pPr>
        <w:rPr>
          <w:i/>
          <w:iCs/>
        </w:rPr>
      </w:pPr>
      <w:r w:rsidRPr="0003783C">
        <w:rPr>
          <w:i/>
          <w:iCs/>
        </w:rPr>
        <w:t xml:space="preserve">To determine the </w:t>
      </w:r>
      <w:r w:rsidR="001650CC">
        <w:rPr>
          <w:i/>
          <w:iCs/>
        </w:rPr>
        <w:t>SMC</w:t>
      </w:r>
      <w:r w:rsidRPr="0003783C">
        <w:rPr>
          <w:i/>
          <w:iCs/>
        </w:rPr>
        <w:t xml:space="preserve"> in 2030, PLEXOS models of the electricity market were developed. PLEXOS Integrated Energy Model is a power systems modelling tool used for electricity market simulations </w:t>
      </w:r>
      <w:r w:rsidRPr="0003783C">
        <w:rPr>
          <w:i/>
          <w:iCs/>
        </w:rPr>
        <w:fldChar w:fldCharType="begin" w:fldLock="1"/>
      </w:r>
      <w:r w:rsidR="00A01E5E">
        <w:rPr>
          <w:i/>
          <w:iCs/>
        </w:rPr>
        <w:instrText>ADDIN CSL_CITATION {"citationItems":[{"id":"ITEM-1","itemData":{"URL":"https://energyexemplar.com/software/plexos-desktop-edition/","accessed":{"date-parts":[["2017","8","23"]]},"id":"ITEM-1","issued":{"date-parts":[["0"]]},"title":"Energy Exemplar » Energy Market Modelling » PLEXOS® Integrated Energy Model","type":"webpage"},"uris":["http://www.mendeley.com/documents/?uuid=8b75e63d-df75-3df7-ab34-185006b03e4b"]}],"mendeley":{"formattedCitation":"[6]","plainTextFormattedCitation":"[6]","previouslyFormattedCitation":"[6]"},"properties":{"noteIndex":0},"schema":"https://github.com/citation-style-language/schema/raw/master/csl-citation.json"}</w:instrText>
      </w:r>
      <w:r w:rsidRPr="0003783C">
        <w:rPr>
          <w:i/>
          <w:iCs/>
        </w:rPr>
        <w:fldChar w:fldCharType="separate"/>
      </w:r>
      <w:r w:rsidRPr="0003783C">
        <w:rPr>
          <w:i/>
          <w:iCs/>
          <w:noProof/>
        </w:rPr>
        <w:t>[6]</w:t>
      </w:r>
      <w:r w:rsidRPr="0003783C">
        <w:rPr>
          <w:i/>
          <w:iCs/>
        </w:rPr>
        <w:fldChar w:fldCharType="end"/>
      </w:r>
      <w:r w:rsidRPr="0003783C">
        <w:rPr>
          <w:i/>
          <w:iCs/>
        </w:rPr>
        <w:t xml:space="preserve">. The power systems model develops an hourly </w:t>
      </w:r>
      <w:r w:rsidR="001650CC">
        <w:rPr>
          <w:i/>
          <w:iCs/>
        </w:rPr>
        <w:t>SMC</w:t>
      </w:r>
      <w:r w:rsidRPr="0003783C">
        <w:rPr>
          <w:i/>
          <w:iCs/>
        </w:rPr>
        <w:t xml:space="preserve"> for the Irish electricity market based on current rules, and it has been benchmarked against historic market data and has been validated by the regulator to reproduce realistic results. The model uses deterministic mixed integer linear optimisation to minimise the costs of the electricity dispatched including for fuel costs, start-up costs, penalties for unserved energy, and a penalty cost for not meeting reserve requirements </w:t>
      </w:r>
      <w:r w:rsidRPr="0003783C">
        <w:rPr>
          <w:i/>
          <w:iCs/>
        </w:rPr>
        <w:fldChar w:fldCharType="begin" w:fldLock="1"/>
      </w:r>
      <w:r w:rsidR="00A01E5E">
        <w:rPr>
          <w:i/>
          <w:iCs/>
        </w:rPr>
        <w:instrText>ADDIN CSL_CITATION {"citationItems":[{"id":"ITEM-1","itemData":{"DOI":"10.1016/j.energy.2010.03.057","ISBN":"0360-5442","ISSN":"03605442","abstract":"Electricity systems models are software tools used to manage electricity demand and the electricity systems, to trade electricity and for generation expansion planning purposes. Various portfolios and scenarios are modelled in order to compare the effects of decision making in policy and on business development plans in electricity systems so as to best advise governments and industry on the least cost economic and environmental approach to electricity supply, while maintaining a secure supply of sufficient quality electricity. The modelling techniques developed to study vertically integrated state monopolies are now applied in liberalised markets where the issues and constraints are more complex. This paper reviews the changing role of electricity systems modelling in a strategic manner, focussing on the modelling response to key developments, the move away from monopoly towards liberalised market regimes and the increasing complexity brought about by policy targets for renewable energy and emissions. The paper provides an overview of electricity systems modelling techniques, discusses a number of key proprietary electricity systems models used in the USA and Europe and provides an information resource to the electricity analyst not currently readily available in the literature on the choice of model to investigate different aspects of the electricity system. © 2010 Elsevier Ltd.","author":[{"dropping-particle":"","family":"Foley","given":"A. M.","non-dropping-particle":"","parse-names":false,"suffix":""},{"dropping-particle":"","family":"Ó Gallachóir","given":"B. P.","non-dropping-particle":"","parse-names":false,"suffix":""},{"dropping-particle":"","family":"Hur","given":"J.","non-dropping-particle":"","parse-names":false,"suffix":""},{"dropping-particle":"","family":"Baldick","given":"R.","non-dropping-particle":"","parse-names":false,"suffix":""},{"dropping-particle":"","family":"McKeogh","given":"E. J.","non-dropping-particle":"","parse-names":false,"suffix":""}],"container-title":"Energy","id":"ITEM-1","issue":"12","issued":{"date-parts":[["2010"]]},"page":"4522-4530","publisher":"Elsevier Ltd","title":"A strategic review of electricity systems models","type":"article-journal","volume":"35"},"uris":["http://www.mendeley.com/documents/?uuid=395f16c2-302c-492f-9421-58cf0861a77e"]}],"mendeley":{"formattedCitation":"[7]","plainTextFormattedCitation":"[7]","previouslyFormattedCitation":"[7]"},"properties":{"noteIndex":0},"schema":"https://github.com/citation-style-language/schema/raw/master/csl-citation.json"}</w:instrText>
      </w:r>
      <w:r w:rsidRPr="0003783C">
        <w:rPr>
          <w:i/>
          <w:iCs/>
        </w:rPr>
        <w:fldChar w:fldCharType="separate"/>
      </w:r>
      <w:r w:rsidRPr="0003783C">
        <w:rPr>
          <w:i/>
          <w:iCs/>
          <w:noProof/>
        </w:rPr>
        <w:t>[7]</w:t>
      </w:r>
      <w:r w:rsidRPr="0003783C">
        <w:rPr>
          <w:i/>
          <w:iCs/>
        </w:rPr>
        <w:fldChar w:fldCharType="end"/>
      </w:r>
      <w:r w:rsidRPr="0003783C">
        <w:rPr>
          <w:i/>
          <w:iCs/>
        </w:rPr>
        <w:t xml:space="preserve">. The model optimises thermal generation (fossil fuel and renewable), VRE, pumped storage, interconnection, as well as reserve classes subject to operational and technical constraints </w:t>
      </w:r>
      <w:r w:rsidRPr="0003783C">
        <w:rPr>
          <w:i/>
          <w:iCs/>
        </w:rPr>
        <w:fldChar w:fldCharType="begin" w:fldLock="1"/>
      </w:r>
      <w:r w:rsidR="00A01E5E">
        <w:rPr>
          <w:i/>
          <w:iCs/>
        </w:rPr>
        <w:instrText>ADDIN CSL_CITATION {"citationItems":[{"id":"ITEM-1","itemData":{"DOI":"10.1016/j.renene.2015.01.048","ISBN":"0960-1481","ISSN":"18790682","abstract":"This paper examines the potential role for Power to Gas (P2G) as applied to an island energy system with high levels of renewable electricity penetration. P2G systems require both a supply of green electricity and a source of CO2. Cheap electricity is essential for a financially sustainable P2G system. Using a PLEXOS model it was determined that deploying 50MWe of P2G capacity on the 2030 Irish electrical grid may reduce absolute levels of curtailed wind by 5% compared to the base case. CO2 capture is expensive. The cheapest method of sourcing CO2 for a P2G system is to employ a methanation process whereby biogas from anaerobic digestion is mixed with hydrogen from surplus electricity. Anaerobic digestion in Ireland has a potential to produce biomethane to a level of 10.2% of energy in transport (19.2PJ/a). The potential CO2 resource from anaerobic digestion could allow for a further 8.9% of energy in transport (16.6PJ/a) from P2G production. An optimal model is proposed including for co-location of a biogas system with a P2G system. The model includes for demand-driven biogas concepts allowing electrical grid balancing and the supply of gaseous transportation fuel. Biofuel obligation certificates allows for a financially viable industry.","author":[{"dropping-particle":"","family":"Ahern","given":"Eoin P.","non-dropping-particle":"","parse-names":false,"suffix":""},{"dropping-particle":"","family":"Deane","given":"Paul","non-dropping-particle":"","parse-names":false,"suffix":""},{"dropping-particle":"","family":"Persson","given":"Tobias","non-dropping-particle":"","parse-names":false,"suffix":""},{"dropping-particle":"","family":"Ó Gallachóir","given":"Brian","non-dropping-particle":"","parse-names":false,"suffix":""},{"dropping-particle":"","family":"Murphy","given":"Jerry D.","non-dropping-particle":"","parse-names":false,"suffix":""}],"container-title":"Renewable Energy","id":"ITEM-1","issued":{"date-parts":[["2015"]]},"page":"648-656","title":"A perspective on the potential role of renewable gas in a smart energy island system","type":"article-journal","volume":"78"},"uris":["http://www.mendeley.com/documents/?uuid=ce10d16a-41f1-4e4c-8bba-fb2ed4f6fb25"]},{"id":"ITEM-2","itemData":{"DOI":"10.1016/j.apenergy.2014.08.072","ISBN":"03062619","ISSN":"03062619","abstract":"Efforts to meet climate change mitigation and energy security targets spur investments in variable renewable energy sources. Their implications for the operation of power plants are frequently investigated drawing on unit commitment and dispatch models. However, the temporal granularity and operational detail these models consider is commonly omitted in the broader family of long-term energy system models. To compensate this short-coming, these two types of tools have sometimes been 'soft-linked' and harmonised for limited simulation years. This paper assesses an alternative approach. We examine an extended version of an open source energy system model (OSeMOSYS), which is able to capture operating reserve and related investment requirements within a single tool. The implications of these model extensions are quantified through comparison with an Irish case study. That case study examined the effects of linking a long-term energy system model (TIMES) with a unit commitment and dispatch model (PLEXOS). It analysed the year 2020 in detail, applying a yearly temporal resolution that is over 700 times higher than in OSeMOSYS. Without increasing temporal resolution (and computational burden) we show that results of the enhanced OSeMOSYS model converge to results of TIMES and PLEXOS: Investment mismatches decrease from 21.4% to 5.0%. The OSeMOSYS analysis was then extended to 2050 to assess the implications of short-term variability on future capacity investment decisions. When variability was ignored, power system investments in 2050 were found to be 14.3% lower. This might imply that energy policies derived from such long-term models - of which there are many - may underestimate the costs of introducing variable renewables and thus meeting climate change or energy security targets.","author":[{"dropping-particle":"","family":"Welsch","given":"Manuel","non-dropping-particle":"","parse-names":false,"suffix":""},{"dropping-particle":"","family":"Deane","given":"Paul","non-dropping-particle":"","parse-names":false,"suffix":""},{"dropping-particle":"","family":"Howells","given":"Mark","non-dropping-particle":"","parse-names":false,"suffix":""},{"dropping-particle":"","family":"O Gallachóir","given":"Brian","non-dropping-particle":"","parse-names":false,"suffix":""},{"dropping-particle":"","family":"Rogan","given":"Fionn","non-dropping-particle":"","parse-names":false,"suffix":""},{"dropping-particle":"","family":"Bazilian","given":"Morgan","non-dropping-particle":"","parse-names":false,"suffix":""},{"dropping-particle":"","family":"Rogner","given":"Hans Holger","non-dropping-particle":"","parse-names":false,"suffix":""}],"container-title":"Applied Energy","id":"ITEM-2","issued":{"date-parts":[["2014"]]},"page":"600-615","publisher":"Elsevier Ltd","title":"Incorporating flexibility requirements into long-term energy system models - A case study on high levels of renewable electricity penetration in Ireland","type":"article-journal","volume":"135"},"uris":["http://www.mendeley.com/documents/?uuid=50ebe3cf-ba75-4216-804e-1ea3f529fbba"]}],"mendeley":{"formattedCitation":"[8,9]","plainTextFormattedCitation":"[8,9]","previouslyFormattedCitation":"[8,9]"},"properties":{"noteIndex":0},"schema":"https://github.com/citation-style-language/schema/raw/master/csl-citation.json"}</w:instrText>
      </w:r>
      <w:r w:rsidRPr="0003783C">
        <w:rPr>
          <w:i/>
          <w:iCs/>
        </w:rPr>
        <w:fldChar w:fldCharType="separate"/>
      </w:r>
      <w:r w:rsidRPr="0003783C">
        <w:rPr>
          <w:i/>
          <w:iCs/>
          <w:noProof/>
        </w:rPr>
        <w:t>[8,9]</w:t>
      </w:r>
      <w:r w:rsidRPr="0003783C">
        <w:rPr>
          <w:i/>
          <w:iCs/>
        </w:rPr>
        <w:fldChar w:fldCharType="end"/>
      </w:r>
      <w:r w:rsidRPr="0003783C">
        <w:rPr>
          <w:i/>
          <w:iCs/>
        </w:rPr>
        <w:t xml:space="preserve">. Also included are constraints on the unit operation of each power plant including minimum and maximum generation, minimum and maximum up and down time and the system ramp up and down rates, as well as a system level constraint consisting of an energy balance equation ensuring supply meets regional demand at each period </w:t>
      </w:r>
      <w:r w:rsidRPr="0003783C">
        <w:rPr>
          <w:i/>
          <w:iCs/>
        </w:rPr>
        <w:fldChar w:fldCharType="begin" w:fldLock="1"/>
      </w:r>
      <w:r w:rsidR="00A01E5E">
        <w:rPr>
          <w:i/>
          <w:iCs/>
        </w:rPr>
        <w:instrText>ADDIN CSL_CITATION {"citationItems":[{"id":"ITEM-1","itemData":{"DOI":"10.1016/j.renene.2015.01.048","ISBN":"0960-1481","ISSN":"18790682","abstract":"This paper examines the potential role for Power to Gas (P2G) as applied to an island energy system with high levels of renewable electricity penetration. P2G systems require both a supply of green electricity and a source of CO2. Cheap electricity is essential for a financially sustainable P2G system. Using a PLEXOS model it was determined that deploying 50MWe of P2G capacity on the 2030 Irish electrical grid may reduce absolute levels of curtailed wind by 5% compared to the base case. CO2 capture is expensive. The cheapest method of sourcing CO2 for a P2G system is to employ a methanation process whereby biogas from anaerobic digestion is mixed with hydrogen from surplus electricity. Anaerobic digestion in Ireland has a potential to produce biomethane to a level of 10.2% of energy in transport (19.2PJ/a). The potential CO2 resource from anaerobic digestion could allow for a further 8.9% of energy in transport (16.6PJ/a) from P2G production. An optimal model is proposed including for co-location of a biogas system with a P2G system. The model includes for demand-driven biogas concepts allowing electrical grid balancing and the supply of gaseous transportation fuel. Biofuel obligation certificates allows for a financially viable industry.","author":[{"dropping-particle":"","family":"Ahern","given":"Eoin P.","non-dropping-particle":"","parse-names":false,"suffix":""},{"dropping-particle":"","family":"Deane","given":"Paul","non-dropping-particle":"","parse-names":false,"suffix":""},{"dropping-particle":"","family":"Persson","given":"Tobias","non-dropping-particle":"","parse-names":false,"suffix":""},{"dropping-particle":"","family":"Ó Gallachóir","given":"Brian","non-dropping-particle":"","parse-names":false,"suffix":""},{"dropping-particle":"","family":"Murphy","given":"Jerry D.","non-dropping-particle":"","parse-names":false,"suffix":""}],"container-title":"Renewable Energy","id":"ITEM-1","issued":{"date-parts":[["2015"]]},"page":"648-656","title":"A perspective on the potential role of renewable gas in a smart energy island system","type":"article-journal","volume":"78"},"uris":["http://www.mendeley.com/documents/?uuid=ce10d16a-41f1-4e4c-8bba-fb2ed4f6fb25"]}],"mendeley":{"formattedCitation":"[8]","plainTextFormattedCitation":"[8]","previouslyFormattedCitation":"[8]"},"properties":{"noteIndex":0},"schema":"https://github.com/citation-style-language/schema/raw/master/csl-citation.json"}</w:instrText>
      </w:r>
      <w:r w:rsidRPr="0003783C">
        <w:rPr>
          <w:i/>
          <w:iCs/>
        </w:rPr>
        <w:fldChar w:fldCharType="separate"/>
      </w:r>
      <w:r w:rsidRPr="0003783C">
        <w:rPr>
          <w:i/>
          <w:iCs/>
          <w:noProof/>
        </w:rPr>
        <w:t>[8]</w:t>
      </w:r>
      <w:r w:rsidRPr="0003783C">
        <w:rPr>
          <w:i/>
          <w:iCs/>
        </w:rPr>
        <w:fldChar w:fldCharType="end"/>
      </w:r>
      <w:r w:rsidRPr="0003783C">
        <w:rPr>
          <w:i/>
          <w:iCs/>
        </w:rPr>
        <w:t xml:space="preserve">. </w:t>
      </w:r>
      <w:r w:rsidR="009A788B" w:rsidRPr="0003783C">
        <w:rPr>
          <w:i/>
          <w:iCs/>
        </w:rPr>
        <w:t xml:space="preserve">Three </w:t>
      </w:r>
      <w:r w:rsidRPr="0003783C">
        <w:rPr>
          <w:i/>
          <w:iCs/>
        </w:rPr>
        <w:t>PLEXOS models were tested, at 40%</w:t>
      </w:r>
      <w:r w:rsidR="009A788B" w:rsidRPr="0003783C">
        <w:rPr>
          <w:i/>
          <w:iCs/>
        </w:rPr>
        <w:t>, 50%,</w:t>
      </w:r>
      <w:r w:rsidRPr="0003783C">
        <w:rPr>
          <w:i/>
          <w:iCs/>
        </w:rPr>
        <w:t xml:space="preserve"> and 60% renewable electricity respectively. </w:t>
      </w:r>
      <w:r w:rsidRPr="0003783C">
        <w:rPr>
          <w:i/>
          <w:iCs/>
          <w:szCs w:val="16"/>
        </w:rPr>
        <w:br/>
      </w:r>
      <w:r w:rsidRPr="0003783C">
        <w:rPr>
          <w:i/>
          <w:iCs/>
          <w:szCs w:val="16"/>
        </w:rPr>
        <w:lastRenderedPageBreak/>
        <w:t>Renewable energy</w:t>
      </w:r>
      <w:r w:rsidR="00A73AF0" w:rsidRPr="0003783C">
        <w:rPr>
          <w:i/>
          <w:iCs/>
          <w:szCs w:val="16"/>
        </w:rPr>
        <w:t xml:space="preserve"> </w:t>
      </w:r>
      <w:r w:rsidRPr="0003783C">
        <w:rPr>
          <w:i/>
          <w:iCs/>
          <w:szCs w:val="16"/>
        </w:rPr>
        <w:t>is calculated as delivered MW</w:t>
      </w:r>
      <w:r w:rsidRPr="0003783C">
        <w:rPr>
          <w:i/>
          <w:iCs/>
          <w:szCs w:val="16"/>
          <w:vertAlign w:val="subscript"/>
        </w:rPr>
        <w:t>e</w:t>
      </w:r>
      <w:r w:rsidRPr="0003783C">
        <w:rPr>
          <w:i/>
          <w:iCs/>
          <w:szCs w:val="16"/>
        </w:rPr>
        <w:t xml:space="preserve">h of electricity from all renewable sources, as a percentage of total delivered electricity. Variable renewable energy then only includes intermittent sources (wind, solar, and wave), and not those that are dispatchable and therefore do not contribute to the fluctuations in supply that would affect price (CHP, co-firing of biomass, and hydropower). </w:t>
      </w:r>
      <w:r w:rsidRPr="0003783C">
        <w:rPr>
          <w:i/>
          <w:iCs/>
        </w:rPr>
        <w:t xml:space="preserve">These represent the current and future (2030) targets for </w:t>
      </w:r>
      <w:r w:rsidR="003029D7" w:rsidRPr="0003783C">
        <w:rPr>
          <w:i/>
          <w:iCs/>
        </w:rPr>
        <w:t>electricity systems seeking to decarbonise</w:t>
      </w:r>
      <w:r w:rsidRPr="0003783C">
        <w:rPr>
          <w:i/>
          <w:iCs/>
        </w:rPr>
        <w:t xml:space="preserve">. The vast majority of this </w:t>
      </w:r>
      <w:r w:rsidR="003029D7" w:rsidRPr="0003783C">
        <w:rPr>
          <w:i/>
          <w:iCs/>
        </w:rPr>
        <w:t>renewable electricity</w:t>
      </w:r>
      <w:r w:rsidRPr="0003783C">
        <w:rPr>
          <w:i/>
          <w:iCs/>
        </w:rPr>
        <w:t xml:space="preserve"> will be provided by wind and other intermittent sources. The 40% RE scenario is representative of a case where the rate of new installed RE capacity does not increase drastically beyond the levels seen today. The 60% RE scenario requires the rate of additional installed capacity of </w:t>
      </w:r>
      <w:r w:rsidR="003029D7" w:rsidRPr="0003783C">
        <w:rPr>
          <w:i/>
          <w:iCs/>
        </w:rPr>
        <w:t>renewable electricity</w:t>
      </w:r>
      <w:r w:rsidRPr="0003783C">
        <w:rPr>
          <w:i/>
          <w:iCs/>
        </w:rPr>
        <w:t xml:space="preserve"> to substantially outpace that of increasing demand. Both scenarios are feasible and therefore their implications on P</w:t>
      </w:r>
      <w:r w:rsidR="00DB6C4A" w:rsidRPr="0003783C">
        <w:rPr>
          <w:i/>
          <w:iCs/>
        </w:rPr>
        <w:t>t</w:t>
      </w:r>
      <w:r w:rsidRPr="0003783C">
        <w:rPr>
          <w:i/>
          <w:iCs/>
        </w:rPr>
        <w:t>G worthy of investigation.</w:t>
      </w:r>
    </w:p>
    <w:p w14:paraId="624D7E01" w14:textId="0EBFC13F" w:rsidR="008E46A1" w:rsidRDefault="00004562" w:rsidP="008E46A1">
      <w:r>
        <w:rPr>
          <w:noProof/>
        </w:rPr>
        <w:drawing>
          <wp:inline distT="0" distB="0" distL="0" distR="0" wp14:anchorId="7D8ECAA5" wp14:editId="19A5F549">
            <wp:extent cx="6305107" cy="3669432"/>
            <wp:effectExtent l="0" t="0" r="635"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9852" cy="3672193"/>
                    </a:xfrm>
                    <a:prstGeom prst="rect">
                      <a:avLst/>
                    </a:prstGeom>
                    <a:noFill/>
                  </pic:spPr>
                </pic:pic>
              </a:graphicData>
            </a:graphic>
          </wp:inline>
        </w:drawing>
      </w:r>
    </w:p>
    <w:p w14:paraId="6D654B8D" w14:textId="432DEB7E" w:rsidR="00004562" w:rsidRDefault="00004562" w:rsidP="00C612AA">
      <w:pPr>
        <w:ind w:left="1440" w:hanging="1440"/>
      </w:pPr>
      <w:r>
        <w:t xml:space="preserve">Figure 1: </w:t>
      </w:r>
      <w:r>
        <w:tab/>
      </w:r>
      <w:r w:rsidR="00C612AA">
        <w:t xml:space="preserve">The average system marginal </w:t>
      </w:r>
      <w:r w:rsidR="001650CC">
        <w:t>cost</w:t>
      </w:r>
      <w:r w:rsidR="003C148E">
        <w:t xml:space="preserve"> (</w:t>
      </w:r>
      <w:r w:rsidR="001650CC">
        <w:t>SMC</w:t>
      </w:r>
      <w:r w:rsidR="003C148E">
        <w:t>)</w:t>
      </w:r>
      <w:r w:rsidR="00C612AA">
        <w:t xml:space="preserve"> for each hour of the day across a year for a 40%, 50%, and 60% renewable </w:t>
      </w:r>
      <w:r w:rsidR="00985112">
        <w:t>e</w:t>
      </w:r>
      <w:r w:rsidR="008B1B0A">
        <w:t>nergy</w:t>
      </w:r>
      <w:r w:rsidR="00985112">
        <w:t xml:space="preserve"> (RE) </w:t>
      </w:r>
      <w:r w:rsidR="006F0994">
        <w:t xml:space="preserve">Irish electricity market. Simulation </w:t>
      </w:r>
      <w:r w:rsidR="003C148E">
        <w:t xml:space="preserve">is the average </w:t>
      </w:r>
      <w:r w:rsidR="001650CC">
        <w:t>SMC</w:t>
      </w:r>
      <w:r w:rsidR="003C148E">
        <w:t xml:space="preserve"> for each hour of the day across 25 years of simulation</w:t>
      </w:r>
      <w:r w:rsidR="00E456F7">
        <w:t>s</w:t>
      </w:r>
      <w:r w:rsidR="003C148E">
        <w:t xml:space="preserve"> </w:t>
      </w:r>
      <w:r w:rsidR="00060480">
        <w:t xml:space="preserve">using the methodology described in this paper. </w:t>
      </w:r>
    </w:p>
    <w:p w14:paraId="1208B73E" w14:textId="36F38DCC" w:rsidR="008E46A1" w:rsidRDefault="00060480" w:rsidP="008E46A1">
      <w:r>
        <w:lastRenderedPageBreak/>
        <w:t xml:space="preserve">Figure 1 shows that the </w:t>
      </w:r>
      <w:r w:rsidR="00717BB5">
        <w:t xml:space="preserve">curve does not change greatly with increasing </w:t>
      </w:r>
      <w:r w:rsidR="00652E56">
        <w:t>renewables</w:t>
      </w:r>
      <w:r w:rsidR="00717BB5">
        <w:t xml:space="preserve"> penetration.</w:t>
      </w:r>
      <w:r w:rsidR="00652E56">
        <w:t xml:space="preserve"> The author also believes that the method used gives sufficiently accurate data to </w:t>
      </w:r>
      <w:r w:rsidR="00E536B1">
        <w:t xml:space="preserve">simulate the revenues of an </w:t>
      </w:r>
      <w:r w:rsidR="007662F4">
        <w:t>OWF</w:t>
      </w:r>
      <w:r w:rsidR="00987E93">
        <w:t xml:space="preserve"> for the purposes of comparing to a hybrid or H</w:t>
      </w:r>
      <w:r w:rsidR="00987E93" w:rsidRPr="00987E93">
        <w:rPr>
          <w:vertAlign w:val="subscript"/>
        </w:rPr>
        <w:t>2</w:t>
      </w:r>
      <w:r w:rsidR="00987E93">
        <w:t xml:space="preserve"> only system. </w:t>
      </w:r>
      <w:r w:rsidR="00C27DC8">
        <w:t>Therefore</w:t>
      </w:r>
      <w:r w:rsidR="008B1B0A">
        <w:t>,</w:t>
      </w:r>
      <w:r w:rsidR="00C27DC8">
        <w:t xml:space="preserve"> the results in the paper are applicable to a wide range of renewable electricity penetrations</w:t>
      </w:r>
      <w:r w:rsidR="0004310D">
        <w:t xml:space="preserve"> and </w:t>
      </w:r>
      <w:r w:rsidR="00985112">
        <w:t xml:space="preserve">insights into the NPV of a system would hold in the real world. </w:t>
      </w:r>
    </w:p>
    <w:p w14:paraId="3893A1CD" w14:textId="77777777" w:rsidR="005A4BC1" w:rsidRDefault="005A4BC1" w:rsidP="008E46A1"/>
    <w:p w14:paraId="0B470C28" w14:textId="33887B9A" w:rsidR="003F1EDC" w:rsidRDefault="00ED0688" w:rsidP="003F1EDC">
      <w:pPr>
        <w:pStyle w:val="Heading3"/>
      </w:pPr>
      <w:r>
        <w:t>1.</w:t>
      </w:r>
      <w:r w:rsidR="00586383">
        <w:t>3</w:t>
      </w:r>
      <w:r>
        <w:t xml:space="preserve"> </w:t>
      </w:r>
      <w:r w:rsidR="003F1EDC">
        <w:t>System load profile</w:t>
      </w:r>
    </w:p>
    <w:p w14:paraId="08DBE56D" w14:textId="5E7AEB37" w:rsidR="00F84823" w:rsidRPr="00F84823" w:rsidRDefault="008B1B0A" w:rsidP="00F84823">
      <w:r>
        <w:t xml:space="preserve">The simulated system </w:t>
      </w:r>
      <w:r w:rsidR="005B4D84">
        <w:t xml:space="preserve">load uses the same </w:t>
      </w:r>
      <w:r w:rsidR="00C81891">
        <w:t xml:space="preserve">methodology as the </w:t>
      </w:r>
      <w:r w:rsidR="001650CC">
        <w:t>SMC</w:t>
      </w:r>
      <w:r w:rsidR="00C81891">
        <w:t xml:space="preserve">. </w:t>
      </w:r>
      <w:r w:rsidR="00652CE7">
        <w:t xml:space="preserve">It is also validated against the same model, as described above. </w:t>
      </w:r>
      <w:r w:rsidR="008B01A8">
        <w:t>As the system load is based on historic data and a</w:t>
      </w:r>
      <w:r w:rsidR="00652CE7">
        <w:t xml:space="preserve">s </w:t>
      </w:r>
      <w:r w:rsidR="00B21981">
        <w:t>demand is set to increase in 2030</w:t>
      </w:r>
      <w:r w:rsidR="008B01A8">
        <w:t>,</w:t>
      </w:r>
      <w:r w:rsidR="00B21981">
        <w:t xml:space="preserve"> </w:t>
      </w:r>
      <w:r w:rsidR="001503F8">
        <w:t xml:space="preserve">a coefficient of 1.55 was applied to the </w:t>
      </w:r>
      <w:r w:rsidR="00677692">
        <w:t>results</w:t>
      </w:r>
      <w:r w:rsidR="00EF397F">
        <w:t xml:space="preserve"> to </w:t>
      </w:r>
      <w:r w:rsidR="00D16DB6">
        <w:t xml:space="preserve">bring them in line with anticipated demand. </w:t>
      </w:r>
      <w:r w:rsidR="00BE6F2D">
        <w:t xml:space="preserve">Predicting additional changes in demand is beyond the scope of this paper. </w:t>
      </w:r>
    </w:p>
    <w:p w14:paraId="3FAA1C52" w14:textId="5BA21E4B" w:rsidR="003F1EDC" w:rsidRDefault="00220A08" w:rsidP="003F1EDC">
      <w:r>
        <w:rPr>
          <w:noProof/>
        </w:rPr>
        <w:drawing>
          <wp:inline distT="0" distB="0" distL="0" distR="0" wp14:anchorId="517C7E6B" wp14:editId="627C5323">
            <wp:extent cx="6049926" cy="3366259"/>
            <wp:effectExtent l="0" t="0" r="8255"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56486" cy="3369909"/>
                    </a:xfrm>
                    <a:prstGeom prst="rect">
                      <a:avLst/>
                    </a:prstGeom>
                    <a:noFill/>
                  </pic:spPr>
                </pic:pic>
              </a:graphicData>
            </a:graphic>
          </wp:inline>
        </w:drawing>
      </w:r>
    </w:p>
    <w:p w14:paraId="757100C1" w14:textId="0088E614" w:rsidR="004024C9" w:rsidRDefault="004024C9" w:rsidP="00515147">
      <w:pPr>
        <w:ind w:left="1440" w:hanging="1440"/>
      </w:pPr>
      <w:r>
        <w:t xml:space="preserve">Figure 2: </w:t>
      </w:r>
      <w:r>
        <w:tab/>
        <w:t xml:space="preserve">The average system load in each hour of the day for </w:t>
      </w:r>
      <w:r w:rsidR="00982D39">
        <w:t>the current</w:t>
      </w:r>
      <w:r w:rsidR="00515147">
        <w:t xml:space="preserve"> Irish electricity market </w:t>
      </w:r>
      <w:r w:rsidR="00982D39">
        <w:t xml:space="preserve">(SEMO </w:t>
      </w:r>
      <w:r w:rsidR="00515147">
        <w:t>2016</w:t>
      </w:r>
      <w:r w:rsidR="00982D39">
        <w:t>)</w:t>
      </w:r>
      <w:r w:rsidR="00515147">
        <w:t>,</w:t>
      </w:r>
      <w:r w:rsidR="00E456F7">
        <w:t xml:space="preserve"> and</w:t>
      </w:r>
      <w:r w:rsidR="00515147">
        <w:t xml:space="preserve"> </w:t>
      </w:r>
      <w:r w:rsidR="008B588D">
        <w:t>a model of the market in 2030</w:t>
      </w:r>
      <w:r w:rsidR="00982D39">
        <w:t xml:space="preserve"> (Validation model)</w:t>
      </w:r>
      <w:r w:rsidR="00E456F7">
        <w:t>. Simulation is the average system load for each hour of the day across 25 years of simulations using the methodology described in this paper.</w:t>
      </w:r>
    </w:p>
    <w:p w14:paraId="12D19E74" w14:textId="345BDF53" w:rsidR="00784419" w:rsidRDefault="00387CD9" w:rsidP="00784419">
      <w:r w:rsidRPr="00387CD9">
        <w:lastRenderedPageBreak/>
        <w:t>Figure 2 demonstrates that the simulated results agree very closely with the validated model.</w:t>
      </w:r>
      <w:r>
        <w:t xml:space="preserve"> </w:t>
      </w:r>
      <w:r w:rsidR="00066EB8">
        <w:t>Thus, as per the methodology for simulating curtailment, it will occur a</w:t>
      </w:r>
      <w:r w:rsidR="00E26FD8">
        <w:t>s it would in the real world</w:t>
      </w:r>
      <w:r w:rsidR="00933A53">
        <w:t xml:space="preserve">, predominately during </w:t>
      </w:r>
      <w:r w:rsidR="006D443E">
        <w:t xml:space="preserve">the night and early morning. </w:t>
      </w:r>
    </w:p>
    <w:p w14:paraId="4393396F" w14:textId="77777777" w:rsidR="00EB1911" w:rsidRDefault="00EB1911" w:rsidP="00784419"/>
    <w:p w14:paraId="7FFCED5C" w14:textId="6CED4888" w:rsidR="003F1EDC" w:rsidRDefault="003F1EDC" w:rsidP="00163B78">
      <w:pPr>
        <w:pStyle w:val="Heading2"/>
        <w:numPr>
          <w:ilvl w:val="0"/>
          <w:numId w:val="6"/>
        </w:numPr>
      </w:pPr>
      <w:r>
        <w:t>Derivation of set point</w:t>
      </w:r>
    </w:p>
    <w:p w14:paraId="70457107" w14:textId="096C6DE9" w:rsidR="00427210" w:rsidRPr="00427210" w:rsidRDefault="00427210" w:rsidP="00BF3C54">
      <w:pPr>
        <w:rPr>
          <w:rFonts w:eastAsiaTheme="minorEastAsia"/>
        </w:rPr>
      </w:pPr>
      <w:r>
        <w:rPr>
          <w:rFonts w:eastAsiaTheme="minorEastAsia"/>
        </w:rPr>
        <w:t>For the following equations,</w:t>
      </w:r>
      <w:r w:rsidR="00920108">
        <w:rPr>
          <w:rFonts w:eastAsiaTheme="minorEastAsia"/>
        </w:rPr>
        <w:t xml:space="preserve"> curtailment values lie between 0 and 1. A</w:t>
      </w:r>
      <w:r>
        <w:rPr>
          <w:rFonts w:eastAsiaTheme="minorEastAsia"/>
        </w:rPr>
        <w:t xml:space="preserve"> c</w:t>
      </w:r>
      <w:r w:rsidRPr="00427210">
        <w:rPr>
          <w:rFonts w:eastAsiaTheme="minorEastAsia"/>
        </w:rPr>
        <w:t>urtailment values of 1 impl</w:t>
      </w:r>
      <w:r w:rsidR="00920108">
        <w:rPr>
          <w:rFonts w:eastAsiaTheme="minorEastAsia"/>
        </w:rPr>
        <w:t>ies</w:t>
      </w:r>
      <w:r w:rsidRPr="00427210">
        <w:rPr>
          <w:rFonts w:eastAsiaTheme="minorEastAsia"/>
        </w:rPr>
        <w:t xml:space="preserve"> no curtailment is occurring, values less than 1 imply the output is constrained to a maximum of said value, i.e. curtailment of 0.6 means that a maximum of 60% of the power generated can be accommodated by the electricity grid. </w:t>
      </w:r>
    </w:p>
    <w:p w14:paraId="15713DC8" w14:textId="1B38E211" w:rsidR="00EB1911" w:rsidRDefault="00BF3C54" w:rsidP="00BF3C54">
      <w:r>
        <w:t>Revenue from an offshore wind farm (OWF)</w:t>
      </w:r>
      <w:r w:rsidR="00C422B9">
        <w:t>:</w:t>
      </w:r>
    </w:p>
    <w:p w14:paraId="252ADA9C" w14:textId="68E49F94" w:rsidR="003F1EDC" w:rsidRDefault="003F1EDC" w:rsidP="003F1EDC">
      <m:oMath>
        <m:r>
          <w:rPr>
            <w:rFonts w:ascii="Cambria Math" w:hAnsi="Cambria Math"/>
          </w:rPr>
          <m:t xml:space="preserve">Hourly revenue </m:t>
        </m:r>
        <m:d>
          <m:dPr>
            <m:ctrlPr>
              <w:rPr>
                <w:rFonts w:ascii="Cambria Math" w:hAnsi="Cambria Math"/>
                <w:i/>
              </w:rPr>
            </m:ctrlPr>
          </m:dPr>
          <m:e>
            <m:r>
              <w:rPr>
                <w:rFonts w:ascii="Cambria Math" w:hAnsi="Cambria Math"/>
              </w:rPr>
              <m:t>OWF</m:t>
            </m:r>
          </m:e>
        </m:d>
        <m:r>
          <w:rPr>
            <w:rFonts w:ascii="Cambria Math" w:hAnsi="Cambria Math"/>
          </w:rPr>
          <m:t>= (OWF power (MWh)×Curtailment)×SMP (€/MWh)</m:t>
        </m:r>
      </m:oMath>
      <w:r w:rsidRPr="00C56BAA">
        <w:t xml:space="preserve"> </w:t>
      </w:r>
      <w:r w:rsidRPr="00C56BAA">
        <w:tab/>
      </w:r>
      <w:r w:rsidRPr="00C56BAA">
        <w:tab/>
      </w:r>
      <w:r w:rsidRPr="00C56BAA">
        <w:tab/>
      </w:r>
      <w:r w:rsidRPr="00C56BAA">
        <w:tab/>
      </w:r>
      <w:r w:rsidRPr="00C56BAA">
        <w:tab/>
      </w:r>
      <w:r w:rsidRPr="00C56BAA">
        <w:tab/>
      </w:r>
      <w:r w:rsidRPr="00C56BAA">
        <w:tab/>
      </w:r>
      <w:r>
        <w:tab/>
      </w:r>
      <w:r>
        <w:tab/>
      </w:r>
      <w:r w:rsidRPr="00C56BAA">
        <w:tab/>
      </w:r>
      <w:r w:rsidR="00AD4390">
        <w:tab/>
      </w:r>
      <w:r w:rsidRPr="00C56BAA">
        <w:t>(</w:t>
      </w:r>
      <w:r w:rsidR="00A37DF3">
        <w:t>1</w:t>
      </w:r>
      <w:r w:rsidRPr="00C56BAA">
        <w:t>)</w:t>
      </w:r>
    </w:p>
    <w:p w14:paraId="25CAD88B" w14:textId="031805C2" w:rsidR="00C422B9" w:rsidRDefault="00C422B9" w:rsidP="003F1EDC">
      <w:pPr>
        <w:rPr>
          <w:rFonts w:eastAsiaTheme="minorEastAsia"/>
        </w:rPr>
      </w:pPr>
      <w:r>
        <w:t>Revenue when all power produced is converted to hydrogen (H</w:t>
      </w:r>
      <w:r w:rsidRPr="00C422B9">
        <w:rPr>
          <w:vertAlign w:val="subscript"/>
        </w:rPr>
        <w:t>2</w:t>
      </w:r>
      <w:r>
        <w:t xml:space="preserve"> only):</w:t>
      </w:r>
    </w:p>
    <w:p w14:paraId="781153A2" w14:textId="3226A17D" w:rsidR="003F1EDC" w:rsidRPr="006A6462" w:rsidRDefault="003F1EDC" w:rsidP="003F1EDC">
      <w:pPr>
        <w:rPr>
          <w:rFonts w:eastAsiaTheme="minorEastAsia"/>
        </w:rPr>
      </w:pPr>
      <m:oMath>
        <m:r>
          <w:rPr>
            <w:rFonts w:ascii="Cambria Math" w:hAnsi="Cambria Math"/>
          </w:rPr>
          <m:t xml:space="preserve">Hourly revenue </m:t>
        </m:r>
        <m:d>
          <m:dPr>
            <m:ctrlPr>
              <w:rPr>
                <w:rFonts w:ascii="Cambria Math" w:hAnsi="Cambria Math"/>
                <w:i/>
              </w:rPr>
            </m:ctrlPr>
          </m:dPr>
          <m:e>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only</m:t>
            </m:r>
          </m:e>
        </m:d>
        <m:r>
          <w:rPr>
            <w:rFonts w:ascii="Cambria Math" w:hAnsi="Cambria Math"/>
          </w:rPr>
          <m:t xml:space="preserve">=                              </m:t>
        </m:r>
        <m:f>
          <m:fPr>
            <m:ctrlPr>
              <w:rPr>
                <w:rFonts w:ascii="Cambria Math" w:hAnsi="Cambria Math"/>
                <w:i/>
              </w:rPr>
            </m:ctrlPr>
          </m:fPr>
          <m:num>
            <m:r>
              <w:rPr>
                <w:rFonts w:ascii="Cambria Math" w:hAnsi="Cambria Math"/>
              </w:rPr>
              <m:t xml:space="preserve">OWF power </m:t>
            </m:r>
            <m:d>
              <m:dPr>
                <m:ctrlPr>
                  <w:rPr>
                    <w:rFonts w:ascii="Cambria Math" w:hAnsi="Cambria Math"/>
                    <w:i/>
                  </w:rPr>
                </m:ctrlPr>
              </m:dPr>
              <m:e>
                <m:r>
                  <w:rPr>
                    <w:rFonts w:ascii="Cambria Math" w:hAnsi="Cambria Math"/>
                  </w:rPr>
                  <m:t>MWh</m:t>
                </m:r>
              </m:e>
            </m:d>
            <m:r>
              <w:rPr>
                <w:rFonts w:ascii="Cambria Math" w:hAnsi="Cambria Math"/>
              </w:rPr>
              <m:t>×PtG efficiency×</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Sale price (</m:t>
            </m:r>
            <m:f>
              <m:fPr>
                <m:type m:val="lin"/>
                <m:ctrlPr>
                  <w:rPr>
                    <w:rFonts w:ascii="Cambria Math" w:hAnsi="Cambria Math"/>
                    <w:i/>
                  </w:rPr>
                </m:ctrlPr>
              </m:fPr>
              <m:num>
                <m:r>
                  <w:rPr>
                    <w:rFonts w:ascii="Cambria Math" w:hAnsi="Cambria Math"/>
                  </w:rPr>
                  <m:t>€</m:t>
                </m:r>
              </m:num>
              <m:den>
                <m:r>
                  <w:rPr>
                    <w:rFonts w:ascii="Cambria Math" w:hAnsi="Cambria Math"/>
                  </w:rPr>
                  <m:t>kg)</m:t>
                </m:r>
              </m:den>
            </m:f>
          </m:num>
          <m:den>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energy density (</m:t>
            </m:r>
            <m:f>
              <m:fPr>
                <m:type m:val="lin"/>
                <m:ctrlPr>
                  <w:rPr>
                    <w:rFonts w:ascii="Cambria Math" w:hAnsi="Cambria Math"/>
                    <w:i/>
                  </w:rPr>
                </m:ctrlPr>
              </m:fPr>
              <m:num>
                <m:r>
                  <w:rPr>
                    <w:rFonts w:ascii="Cambria Math" w:hAnsi="Cambria Math"/>
                  </w:rPr>
                  <m:t>MWh</m:t>
                </m:r>
              </m:num>
              <m:den>
                <m:r>
                  <w:rPr>
                    <w:rFonts w:ascii="Cambria Math" w:hAnsi="Cambria Math"/>
                  </w:rPr>
                  <m:t>kg</m:t>
                </m:r>
              </m:den>
            </m:f>
            <m:r>
              <w:rPr>
                <w:rFonts w:ascii="Cambria Math" w:hAnsi="Cambria Math"/>
              </w:rPr>
              <m:t>)</m:t>
            </m:r>
          </m:den>
        </m:f>
      </m:oMath>
      <w:r>
        <w:rPr>
          <w:rFonts w:eastAsiaTheme="minorEastAsia"/>
        </w:rPr>
        <w:t xml:space="preserve">  </w:t>
      </w:r>
      <w:r>
        <w:rPr>
          <w:rFonts w:eastAsiaTheme="minorEastAsia"/>
        </w:rPr>
        <w:tab/>
      </w:r>
      <w:r>
        <w:rPr>
          <w:rFonts w:eastAsiaTheme="minorEastAsia"/>
        </w:rPr>
        <w:tab/>
      </w:r>
      <w:r>
        <w:rPr>
          <w:rFonts w:eastAsiaTheme="minorEastAsia"/>
        </w:rPr>
        <w:tab/>
        <w:t>(</w:t>
      </w:r>
      <w:r w:rsidR="00A37DF3">
        <w:rPr>
          <w:rFonts w:eastAsiaTheme="minorEastAsia"/>
        </w:rPr>
        <w:t>2</w:t>
      </w:r>
      <w:r>
        <w:rPr>
          <w:rFonts w:eastAsiaTheme="minorEastAsia"/>
        </w:rPr>
        <w:t>)</w:t>
      </w:r>
    </w:p>
    <w:p w14:paraId="4BC25A33" w14:textId="561BC9A4" w:rsidR="003F1EDC" w:rsidRPr="00BD0864" w:rsidRDefault="003F1EDC" w:rsidP="003F1EDC">
      <w:r>
        <w:rPr>
          <w:rFonts w:eastAsiaTheme="minorEastAsia"/>
        </w:rPr>
        <w:t xml:space="preserve">By setting </w:t>
      </w:r>
      <w:r w:rsidR="001312BC">
        <w:rPr>
          <w:rFonts w:eastAsiaTheme="minorEastAsia"/>
        </w:rPr>
        <w:t>E</w:t>
      </w:r>
      <w:r>
        <w:rPr>
          <w:rFonts w:eastAsiaTheme="minorEastAsia"/>
        </w:rPr>
        <w:t xml:space="preserve">quations </w:t>
      </w:r>
      <w:r w:rsidR="001312BC">
        <w:rPr>
          <w:rFonts w:eastAsiaTheme="minorEastAsia"/>
        </w:rPr>
        <w:t>1</w:t>
      </w:r>
      <w:r>
        <w:rPr>
          <w:rFonts w:eastAsiaTheme="minorEastAsia"/>
        </w:rPr>
        <w:t xml:space="preserve"> and </w:t>
      </w:r>
      <w:r w:rsidR="001312BC">
        <w:rPr>
          <w:rFonts w:eastAsiaTheme="minorEastAsia"/>
        </w:rPr>
        <w:t>2</w:t>
      </w:r>
      <w:r>
        <w:rPr>
          <w:rFonts w:eastAsiaTheme="minorEastAsia"/>
        </w:rPr>
        <w:t xml:space="preserve"> as equal we find the </w:t>
      </w:r>
      <w:r w:rsidR="001650CC">
        <w:rPr>
          <w:rFonts w:eastAsiaTheme="minorEastAsia"/>
        </w:rPr>
        <w:t>SMC</w:t>
      </w:r>
      <w:r>
        <w:rPr>
          <w:rFonts w:eastAsiaTheme="minorEastAsia"/>
        </w:rPr>
        <w:t xml:space="preserve"> below which it becomes more profitable to produce and sell hydrogen in the hybrid system. This is a therefore a function of hydrogen value. </w:t>
      </w:r>
    </w:p>
    <w:p w14:paraId="7A0B232D" w14:textId="3443C9F4" w:rsidR="003F1EDC" w:rsidRDefault="003F1EDC" w:rsidP="00F554D4">
      <w:pPr>
        <w:ind w:firstLine="360"/>
        <w:jc w:val="center"/>
        <w:rPr>
          <w:rFonts w:eastAsiaTheme="minorEastAsia"/>
        </w:rPr>
      </w:pPr>
      <m:oMath>
        <m:r>
          <w:rPr>
            <w:rFonts w:ascii="Cambria Math" w:hAnsi="Cambria Math"/>
          </w:rPr>
          <m:t>Set point (</m:t>
        </m:r>
        <m:f>
          <m:fPr>
            <m:type m:val="lin"/>
            <m:ctrlPr>
              <w:rPr>
                <w:rFonts w:ascii="Cambria Math" w:hAnsi="Cambria Math"/>
                <w:i/>
              </w:rPr>
            </m:ctrlPr>
          </m:fPr>
          <m:num>
            <m:r>
              <w:rPr>
                <w:rFonts w:ascii="Cambria Math" w:hAnsi="Cambria Math"/>
              </w:rPr>
              <m:t>€</m:t>
            </m:r>
          </m:num>
          <m:den>
            <m:r>
              <w:rPr>
                <w:rFonts w:ascii="Cambria Math" w:hAnsi="Cambria Math"/>
              </w:rPr>
              <m:t>MWh</m:t>
            </m:r>
          </m:den>
        </m:f>
        <m:r>
          <w:rPr>
            <w:rFonts w:ascii="Cambria Math" w:hAnsi="Cambria Math"/>
          </w:rPr>
          <m:t xml:space="preserve">)= </m:t>
        </m:r>
        <m:f>
          <m:fPr>
            <m:ctrlPr>
              <w:rPr>
                <w:rFonts w:ascii="Cambria Math" w:hAnsi="Cambria Math"/>
                <w:i/>
              </w:rPr>
            </m:ctrlPr>
          </m:fPr>
          <m:num>
            <m:r>
              <w:rPr>
                <w:rFonts w:ascii="Cambria Math" w:hAnsi="Cambria Math"/>
              </w:rPr>
              <m:t>PtG efficiency×</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Sale price (</m:t>
            </m:r>
            <m:f>
              <m:fPr>
                <m:type m:val="lin"/>
                <m:ctrlPr>
                  <w:rPr>
                    <w:rFonts w:ascii="Cambria Math" w:hAnsi="Cambria Math"/>
                    <w:i/>
                  </w:rPr>
                </m:ctrlPr>
              </m:fPr>
              <m:num>
                <m:r>
                  <w:rPr>
                    <w:rFonts w:ascii="Cambria Math" w:hAnsi="Cambria Math"/>
                  </w:rPr>
                  <m:t>€</m:t>
                </m:r>
              </m:num>
              <m:den>
                <m:r>
                  <w:rPr>
                    <w:rFonts w:ascii="Cambria Math" w:hAnsi="Cambria Math"/>
                  </w:rPr>
                  <m:t>kg)</m:t>
                </m:r>
              </m:den>
            </m:f>
          </m:num>
          <m:den>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energy density (</m:t>
            </m:r>
            <m:f>
              <m:fPr>
                <m:type m:val="lin"/>
                <m:ctrlPr>
                  <w:rPr>
                    <w:rFonts w:ascii="Cambria Math" w:hAnsi="Cambria Math"/>
                    <w:i/>
                  </w:rPr>
                </m:ctrlPr>
              </m:fPr>
              <m:num>
                <m:r>
                  <w:rPr>
                    <w:rFonts w:ascii="Cambria Math" w:hAnsi="Cambria Math"/>
                  </w:rPr>
                  <m:t>MWh</m:t>
                </m:r>
              </m:num>
              <m:den>
                <m:r>
                  <w:rPr>
                    <w:rFonts w:ascii="Cambria Math" w:hAnsi="Cambria Math"/>
                  </w:rPr>
                  <m:t>kg</m:t>
                </m:r>
              </m:den>
            </m:f>
            <m:r>
              <w:rPr>
                <w:rFonts w:ascii="Cambria Math" w:hAnsi="Cambria Math"/>
              </w:rPr>
              <m:t>)</m:t>
            </m:r>
          </m:den>
        </m:f>
      </m:oMath>
      <w:r w:rsidR="00A37DF3">
        <w:rPr>
          <w:rFonts w:eastAsiaTheme="minorEastAsia"/>
        </w:rPr>
        <w:t xml:space="preserve"> </w:t>
      </w:r>
      <w:r w:rsidR="00F554D4">
        <w:rPr>
          <w:rFonts w:eastAsiaTheme="minorEastAsia"/>
        </w:rPr>
        <w:tab/>
      </w:r>
      <w:r w:rsidR="00F554D4">
        <w:rPr>
          <w:rFonts w:eastAsiaTheme="minorEastAsia"/>
        </w:rPr>
        <w:tab/>
        <w:t>(3)</w:t>
      </w:r>
    </w:p>
    <w:p w14:paraId="18516E96" w14:textId="77777777" w:rsidR="003F1EDC" w:rsidRDefault="003F1EDC" w:rsidP="003F1EDC">
      <w:pPr>
        <w:rPr>
          <w:rFonts w:eastAsiaTheme="minorEastAsia"/>
        </w:rPr>
      </w:pPr>
    </w:p>
    <w:p w14:paraId="070C2013" w14:textId="7D634936" w:rsidR="003F1EDC" w:rsidRDefault="003F1EDC" w:rsidP="00163B78">
      <w:pPr>
        <w:pStyle w:val="Heading2"/>
        <w:numPr>
          <w:ilvl w:val="0"/>
          <w:numId w:val="6"/>
        </w:numPr>
      </w:pPr>
      <w:r>
        <w:t xml:space="preserve">Equations for </w:t>
      </w:r>
      <w:r w:rsidR="00EB1911">
        <w:t xml:space="preserve">revenues and </w:t>
      </w:r>
      <w:r>
        <w:t xml:space="preserve">economic indicators </w:t>
      </w:r>
    </w:p>
    <w:p w14:paraId="7D01AA26" w14:textId="1BC8D1FC" w:rsidR="00312E22" w:rsidRDefault="00BF39F2" w:rsidP="475C5B30">
      <w:pPr>
        <w:rPr>
          <w:rFonts w:eastAsiaTheme="minorEastAsia"/>
        </w:rPr>
      </w:pPr>
      <w:r>
        <w:rPr>
          <w:rFonts w:eastAsiaTheme="minorEastAsia"/>
        </w:rPr>
        <w:t xml:space="preserve">Curtailment is again defined as per section 1.1. </w:t>
      </w:r>
    </w:p>
    <w:p w14:paraId="43D76F03" w14:textId="58D6C67B" w:rsidR="00847467" w:rsidRDefault="475C5B30" w:rsidP="475C5B30">
      <w:pPr>
        <w:rPr>
          <w:rFonts w:eastAsiaTheme="minorEastAsia"/>
        </w:rPr>
      </w:pPr>
      <w:r w:rsidRPr="475C5B30">
        <w:rPr>
          <w:rFonts w:eastAsiaTheme="minorEastAsia"/>
        </w:rPr>
        <w:t>Revenue in an OWF alone, or a H</w:t>
      </w:r>
      <w:r w:rsidRPr="00BF39F2">
        <w:rPr>
          <w:rFonts w:eastAsiaTheme="minorEastAsia"/>
          <w:vertAlign w:val="subscript"/>
        </w:rPr>
        <w:t>2</w:t>
      </w:r>
      <w:r w:rsidRPr="475C5B30">
        <w:rPr>
          <w:rFonts w:eastAsiaTheme="minorEastAsia"/>
        </w:rPr>
        <w:t xml:space="preserve"> only system </w:t>
      </w:r>
      <w:r w:rsidR="00BF39F2">
        <w:rPr>
          <w:rFonts w:eastAsiaTheme="minorEastAsia"/>
        </w:rPr>
        <w:t>is given by</w:t>
      </w:r>
      <w:r w:rsidRPr="475C5B30">
        <w:rPr>
          <w:rFonts w:eastAsiaTheme="minorEastAsia"/>
        </w:rPr>
        <w:t xml:space="preserve"> Equations 1 and 2.</w:t>
      </w:r>
    </w:p>
    <w:p w14:paraId="4655CFCF" w14:textId="05104C60" w:rsidR="00562567" w:rsidRDefault="475C5B30" w:rsidP="475C5B30">
      <w:pPr>
        <w:rPr>
          <w:rFonts w:eastAsiaTheme="minorEastAsia"/>
        </w:rPr>
      </w:pPr>
      <w:r w:rsidRPr="475C5B30">
        <w:rPr>
          <w:rFonts w:eastAsiaTheme="minorEastAsia"/>
        </w:rPr>
        <w:t>Equations for the revenue in a hybrid system of varying PtG capacity are as follows.</w:t>
      </w:r>
    </w:p>
    <w:p w14:paraId="6025A483" w14:textId="77777777" w:rsidR="00F709AB" w:rsidRDefault="003D1391" w:rsidP="00DB70CE">
      <w:pPr>
        <w:rPr>
          <w:rFonts w:eastAsiaTheme="minorEastAsia"/>
        </w:rPr>
      </w:pPr>
      <m:oMathPara>
        <m:oMath>
          <m:r>
            <w:rPr>
              <w:rFonts w:ascii="Cambria Math" w:hAnsi="Cambria Math"/>
            </w:rPr>
            <w:lastRenderedPageBreak/>
            <m:t>Hourly revenue when SMP is above set point=(</m:t>
          </m:r>
          <m:d>
            <m:dPr>
              <m:ctrlPr>
                <w:rPr>
                  <w:rFonts w:ascii="Cambria Math" w:hAnsi="Cambria Math"/>
                  <w:i/>
                </w:rPr>
              </m:ctrlPr>
            </m:dPr>
            <m:e>
              <m:r>
                <w:rPr>
                  <w:rFonts w:ascii="Cambria Math" w:hAnsi="Cambria Math"/>
                </w:rPr>
                <m:t xml:space="preserve">OWF power </m:t>
              </m:r>
              <m:d>
                <m:dPr>
                  <m:ctrlPr>
                    <w:rPr>
                      <w:rFonts w:ascii="Cambria Math" w:hAnsi="Cambria Math"/>
                      <w:i/>
                    </w:rPr>
                  </m:ctrlPr>
                </m:dPr>
                <m:e>
                  <m:r>
                    <w:rPr>
                      <w:rFonts w:ascii="Cambria Math" w:hAnsi="Cambria Math"/>
                    </w:rPr>
                    <m:t>MWh</m:t>
                  </m:r>
                </m:e>
              </m:d>
              <m:r>
                <w:rPr>
                  <w:rFonts w:ascii="Cambria Math" w:hAnsi="Cambria Math"/>
                </w:rPr>
                <m:t>×Curtailment</m:t>
              </m:r>
            </m:e>
          </m:d>
          <m:r>
            <w:rPr>
              <w:rFonts w:ascii="Cambria Math" w:hAnsi="Cambria Math"/>
            </w:rPr>
            <m:t xml:space="preserve">×SMP </m:t>
          </m:r>
          <m:d>
            <m:dPr>
              <m:ctrlPr>
                <w:rPr>
                  <w:rFonts w:ascii="Cambria Math" w:hAnsi="Cambria Math"/>
                  <w:i/>
                </w:rPr>
              </m:ctrlPr>
            </m:dPr>
            <m:e>
              <m:f>
                <m:fPr>
                  <m:type m:val="lin"/>
                  <m:ctrlPr>
                    <w:rPr>
                      <w:rFonts w:ascii="Cambria Math" w:hAnsi="Cambria Math"/>
                      <w:i/>
                    </w:rPr>
                  </m:ctrlPr>
                </m:fPr>
                <m:num>
                  <m:r>
                    <w:rPr>
                      <w:rFonts w:ascii="Cambria Math" w:hAnsi="Cambria Math"/>
                    </w:rPr>
                    <m:t>€</m:t>
                  </m:r>
                </m:num>
                <m:den>
                  <m:r>
                    <w:rPr>
                      <w:rFonts w:ascii="Cambria Math" w:hAnsi="Cambria Math"/>
                    </w:rPr>
                    <m:t>MWh</m:t>
                  </m:r>
                </m:den>
              </m:f>
            </m:e>
          </m:d>
          <m:r>
            <w:rPr>
              <w:rFonts w:ascii="Cambria Math" w:hAnsi="Cambria Math"/>
            </w:rPr>
            <m:t>)+</m:t>
          </m:r>
          <m:f>
            <m:fPr>
              <m:ctrlPr>
                <w:rPr>
                  <w:rFonts w:ascii="Cambria Math" w:hAnsi="Cambria Math"/>
                  <w:i/>
                </w:rPr>
              </m:ctrlPr>
            </m:fPr>
            <m:num>
              <m:r>
                <w:rPr>
                  <w:rFonts w:ascii="Cambria Math" w:hAnsi="Cambria Math"/>
                </w:rPr>
                <m:t xml:space="preserve">((OWF power </m:t>
              </m:r>
              <m:d>
                <m:dPr>
                  <m:ctrlPr>
                    <w:rPr>
                      <w:rFonts w:ascii="Cambria Math" w:hAnsi="Cambria Math"/>
                      <w:i/>
                    </w:rPr>
                  </m:ctrlPr>
                </m:dPr>
                <m:e>
                  <m:r>
                    <w:rPr>
                      <w:rFonts w:ascii="Cambria Math" w:hAnsi="Cambria Math"/>
                    </w:rPr>
                    <m:t>MWh</m:t>
                  </m:r>
                </m:e>
              </m:d>
              <m:r>
                <w:rPr>
                  <w:rFonts w:ascii="Cambria Math" w:hAnsi="Cambria Math"/>
                </w:rPr>
                <m:t xml:space="preserve">×(1-Curtailment)× </m:t>
              </m:r>
              <m:sSub>
                <m:sSubPr>
                  <m:ctrlPr>
                    <w:rPr>
                      <w:rFonts w:ascii="Cambria Math" w:hAnsi="Cambria Math"/>
                      <w:i/>
                    </w:rPr>
                  </m:ctrlPr>
                </m:sSubPr>
                <m:e>
                  <m:r>
                    <w:rPr>
                      <w:rFonts w:ascii="Cambria Math" w:hAnsi="Cambria Math"/>
                    </w:rPr>
                    <m:t>PtG efficiency×H</m:t>
                  </m:r>
                </m:e>
                <m:sub>
                  <m:r>
                    <w:rPr>
                      <w:rFonts w:ascii="Cambria Math" w:hAnsi="Cambria Math"/>
                    </w:rPr>
                    <m:t>2</m:t>
                  </m:r>
                </m:sub>
              </m:sSub>
              <m:r>
                <w:rPr>
                  <w:rFonts w:ascii="Cambria Math" w:hAnsi="Cambria Math"/>
                </w:rPr>
                <m:t xml:space="preserve"> Sale price (</m:t>
              </m:r>
              <m:f>
                <m:fPr>
                  <m:type m:val="lin"/>
                  <m:ctrlPr>
                    <w:rPr>
                      <w:rFonts w:ascii="Cambria Math" w:hAnsi="Cambria Math"/>
                      <w:i/>
                    </w:rPr>
                  </m:ctrlPr>
                </m:fPr>
                <m:num>
                  <m:r>
                    <w:rPr>
                      <w:rFonts w:ascii="Cambria Math" w:hAnsi="Cambria Math"/>
                    </w:rPr>
                    <m:t>€</m:t>
                  </m:r>
                </m:num>
                <m:den>
                  <m:r>
                    <w:rPr>
                      <w:rFonts w:ascii="Cambria Math" w:hAnsi="Cambria Math"/>
                    </w:rPr>
                    <m:t xml:space="preserve">kg) </m:t>
                  </m:r>
                </m:den>
              </m:f>
            </m:num>
            <m:den>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energy density (</m:t>
              </m:r>
              <m:f>
                <m:fPr>
                  <m:type m:val="lin"/>
                  <m:ctrlPr>
                    <w:rPr>
                      <w:rFonts w:ascii="Cambria Math" w:hAnsi="Cambria Math"/>
                      <w:i/>
                    </w:rPr>
                  </m:ctrlPr>
                </m:fPr>
                <m:num>
                  <m:r>
                    <w:rPr>
                      <w:rFonts w:ascii="Cambria Math" w:hAnsi="Cambria Math"/>
                    </w:rPr>
                    <m:t>MWh</m:t>
                  </m:r>
                </m:num>
                <m:den>
                  <m:r>
                    <w:rPr>
                      <w:rFonts w:ascii="Cambria Math" w:hAnsi="Cambria Math"/>
                    </w:rPr>
                    <m:t>kg</m:t>
                  </m:r>
                </m:den>
              </m:f>
              <m:r>
                <w:rPr>
                  <w:rFonts w:ascii="Cambria Math" w:hAnsi="Cambria Math"/>
                </w:rPr>
                <m:t>)</m:t>
              </m:r>
            </m:den>
          </m:f>
        </m:oMath>
      </m:oMathPara>
    </w:p>
    <w:p w14:paraId="2D48A8D4" w14:textId="4DDF019E" w:rsidR="00DB70CE" w:rsidRPr="00E42ECD" w:rsidRDefault="00DB70CE" w:rsidP="003F1EDC">
      <w:pPr>
        <w:rPr>
          <w:rFonts w:eastAsiaTheme="minorEastAsia"/>
        </w:rPr>
      </w:pPr>
      <w:r>
        <w:t xml:space="preserve">Where </w:t>
      </w:r>
      <m:oMath>
        <m:d>
          <m:dPr>
            <m:ctrlPr>
              <w:rPr>
                <w:rFonts w:ascii="Cambria Math" w:hAnsi="Cambria Math"/>
                <w:i/>
              </w:rPr>
            </m:ctrlPr>
          </m:dPr>
          <m:e>
            <m:r>
              <w:rPr>
                <w:rFonts w:ascii="Cambria Math" w:hAnsi="Cambria Math"/>
              </w:rPr>
              <m:t>1-Curtailment</m:t>
            </m:r>
          </m:e>
        </m:d>
        <m:r>
          <w:rPr>
            <w:rFonts w:ascii="Cambria Math" w:hAnsi="Cambria Math"/>
          </w:rPr>
          <m:t xml:space="preserve">≤ </m:t>
        </m:r>
      </m:oMath>
      <w:r>
        <w:rPr>
          <w:rFonts w:eastAsiaTheme="minorEastAsia"/>
        </w:rPr>
        <w:t>PtG installed</w:t>
      </w:r>
      <w:r w:rsidR="00F709AB">
        <w:rPr>
          <w:rFonts w:eastAsiaTheme="minorEastAsia"/>
        </w:rPr>
        <w:t xml:space="preserve"> </w:t>
      </w:r>
      <w:r w:rsidR="00F709AB">
        <w:rPr>
          <w:rFonts w:eastAsiaTheme="minorEastAsia"/>
        </w:rPr>
        <w:tab/>
      </w:r>
      <w:r w:rsidR="00F709AB">
        <w:rPr>
          <w:rFonts w:eastAsiaTheme="minorEastAsia"/>
        </w:rPr>
        <w:tab/>
      </w:r>
      <w:r w:rsidR="00F709AB">
        <w:rPr>
          <w:rFonts w:eastAsiaTheme="minorEastAsia"/>
        </w:rPr>
        <w:tab/>
      </w:r>
      <w:r w:rsidR="00F709AB">
        <w:rPr>
          <w:rFonts w:eastAsiaTheme="minorEastAsia"/>
        </w:rPr>
        <w:tab/>
      </w:r>
      <w:r w:rsidR="00F709AB">
        <w:rPr>
          <w:rFonts w:eastAsiaTheme="minorEastAsia"/>
        </w:rPr>
        <w:tab/>
      </w:r>
      <w:r w:rsidR="00F709AB">
        <w:rPr>
          <w:rFonts w:eastAsiaTheme="minorEastAsia"/>
        </w:rPr>
        <w:tab/>
      </w:r>
      <w:r w:rsidR="0099206B">
        <w:rPr>
          <w:rFonts w:eastAsiaTheme="minorEastAsia"/>
        </w:rPr>
        <w:t>(4)</w:t>
      </w:r>
    </w:p>
    <w:p w14:paraId="15E06C60" w14:textId="159DE045" w:rsidR="00860724" w:rsidRDefault="00860724" w:rsidP="00860724">
      <m:oMathPara>
        <m:oMath>
          <m:r>
            <w:rPr>
              <w:rFonts w:ascii="Cambria Math" w:hAnsi="Cambria Math"/>
            </w:rPr>
            <m:t>Hourly revenue when SMP is below or equal to set point=(</m:t>
          </m:r>
          <m:d>
            <m:dPr>
              <m:ctrlPr>
                <w:rPr>
                  <w:rFonts w:ascii="Cambria Math" w:hAnsi="Cambria Math"/>
                  <w:i/>
                </w:rPr>
              </m:ctrlPr>
            </m:dPr>
            <m:e>
              <m:r>
                <w:rPr>
                  <w:rFonts w:ascii="Cambria Math" w:hAnsi="Cambria Math"/>
                </w:rPr>
                <m:t xml:space="preserve">OWF power </m:t>
              </m:r>
              <m:d>
                <m:dPr>
                  <m:ctrlPr>
                    <w:rPr>
                      <w:rFonts w:ascii="Cambria Math" w:hAnsi="Cambria Math"/>
                      <w:i/>
                    </w:rPr>
                  </m:ctrlPr>
                </m:dPr>
                <m:e>
                  <m:r>
                    <w:rPr>
                      <w:rFonts w:ascii="Cambria Math" w:hAnsi="Cambria Math"/>
                    </w:rPr>
                    <m:t>MWh</m:t>
                  </m:r>
                </m:e>
              </m:d>
              <m:r>
                <w:rPr>
                  <w:rFonts w:ascii="Cambria Math" w:hAnsi="Cambria Math"/>
                </w:rPr>
                <m:t>×(1-PtG installed</m:t>
              </m:r>
            </m:e>
          </m:d>
          <m:r>
            <w:rPr>
              <w:rFonts w:ascii="Cambria Math" w:hAnsi="Cambria Math"/>
            </w:rPr>
            <m:t xml:space="preserve">×SMP </m:t>
          </m:r>
          <m:d>
            <m:dPr>
              <m:ctrlPr>
                <w:rPr>
                  <w:rFonts w:ascii="Cambria Math" w:hAnsi="Cambria Math"/>
                  <w:i/>
                </w:rPr>
              </m:ctrlPr>
            </m:dPr>
            <m:e>
              <m:f>
                <m:fPr>
                  <m:type m:val="lin"/>
                  <m:ctrlPr>
                    <w:rPr>
                      <w:rFonts w:ascii="Cambria Math" w:hAnsi="Cambria Math"/>
                      <w:i/>
                    </w:rPr>
                  </m:ctrlPr>
                </m:fPr>
                <m:num>
                  <m:r>
                    <w:rPr>
                      <w:rFonts w:ascii="Cambria Math" w:hAnsi="Cambria Math"/>
                    </w:rPr>
                    <m:t>€</m:t>
                  </m:r>
                </m:num>
                <m:den>
                  <m:r>
                    <w:rPr>
                      <w:rFonts w:ascii="Cambria Math" w:hAnsi="Cambria Math"/>
                    </w:rPr>
                    <m:t>MWh</m:t>
                  </m:r>
                </m:den>
              </m:f>
            </m:e>
          </m:d>
          <m:r>
            <w:rPr>
              <w:rFonts w:ascii="Cambria Math" w:hAnsi="Cambria Math"/>
            </w:rPr>
            <m:t>)+</m:t>
          </m:r>
          <m:f>
            <m:fPr>
              <m:ctrlPr>
                <w:rPr>
                  <w:rFonts w:ascii="Cambria Math" w:hAnsi="Cambria Math"/>
                  <w:i/>
                </w:rPr>
              </m:ctrlPr>
            </m:fPr>
            <m:num>
              <m:r>
                <w:rPr>
                  <w:rFonts w:ascii="Cambria Math" w:hAnsi="Cambria Math"/>
                </w:rPr>
                <m:t xml:space="preserve">((OWF power </m:t>
              </m:r>
              <m:d>
                <m:dPr>
                  <m:ctrlPr>
                    <w:rPr>
                      <w:rFonts w:ascii="Cambria Math" w:hAnsi="Cambria Math"/>
                      <w:i/>
                    </w:rPr>
                  </m:ctrlPr>
                </m:dPr>
                <m:e>
                  <m:r>
                    <w:rPr>
                      <w:rFonts w:ascii="Cambria Math" w:hAnsi="Cambria Math"/>
                    </w:rPr>
                    <m:t>MWh</m:t>
                  </m:r>
                </m:e>
              </m:d>
              <m:r>
                <w:rPr>
                  <w:rFonts w:ascii="Cambria Math" w:hAnsi="Cambria Math"/>
                </w:rPr>
                <m:t xml:space="preserve">×(PtG installed)× </m:t>
              </m:r>
              <m:sSub>
                <m:sSubPr>
                  <m:ctrlPr>
                    <w:rPr>
                      <w:rFonts w:ascii="Cambria Math" w:hAnsi="Cambria Math"/>
                      <w:i/>
                    </w:rPr>
                  </m:ctrlPr>
                </m:sSubPr>
                <m:e>
                  <m:r>
                    <w:rPr>
                      <w:rFonts w:ascii="Cambria Math" w:hAnsi="Cambria Math"/>
                    </w:rPr>
                    <m:t>PtG efficiency×H</m:t>
                  </m:r>
                </m:e>
                <m:sub>
                  <m:r>
                    <w:rPr>
                      <w:rFonts w:ascii="Cambria Math" w:hAnsi="Cambria Math"/>
                    </w:rPr>
                    <m:t>2</m:t>
                  </m:r>
                </m:sub>
              </m:sSub>
              <m:r>
                <w:rPr>
                  <w:rFonts w:ascii="Cambria Math" w:hAnsi="Cambria Math"/>
                </w:rPr>
                <m:t xml:space="preserve"> Sale price (</m:t>
              </m:r>
              <m:f>
                <m:fPr>
                  <m:type m:val="lin"/>
                  <m:ctrlPr>
                    <w:rPr>
                      <w:rFonts w:ascii="Cambria Math" w:hAnsi="Cambria Math"/>
                      <w:i/>
                    </w:rPr>
                  </m:ctrlPr>
                </m:fPr>
                <m:num>
                  <m:r>
                    <w:rPr>
                      <w:rFonts w:ascii="Cambria Math" w:hAnsi="Cambria Math"/>
                    </w:rPr>
                    <m:t>€</m:t>
                  </m:r>
                </m:num>
                <m:den>
                  <m:r>
                    <w:rPr>
                      <w:rFonts w:ascii="Cambria Math" w:hAnsi="Cambria Math"/>
                    </w:rPr>
                    <m:t>kg)</m:t>
                  </m:r>
                </m:den>
              </m:f>
            </m:num>
            <m:den>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 xml:space="preserve"> energy density (</m:t>
              </m:r>
              <m:f>
                <m:fPr>
                  <m:type m:val="lin"/>
                  <m:ctrlPr>
                    <w:rPr>
                      <w:rFonts w:ascii="Cambria Math" w:hAnsi="Cambria Math"/>
                      <w:i/>
                    </w:rPr>
                  </m:ctrlPr>
                </m:fPr>
                <m:num>
                  <m:r>
                    <w:rPr>
                      <w:rFonts w:ascii="Cambria Math" w:hAnsi="Cambria Math"/>
                    </w:rPr>
                    <m:t>MWh</m:t>
                  </m:r>
                </m:num>
                <m:den>
                  <m:r>
                    <w:rPr>
                      <w:rFonts w:ascii="Cambria Math" w:hAnsi="Cambria Math"/>
                    </w:rPr>
                    <m:t>kg</m:t>
                  </m:r>
                </m:den>
              </m:f>
              <m:r>
                <w:rPr>
                  <w:rFonts w:ascii="Cambria Math" w:hAnsi="Cambria Math"/>
                </w:rPr>
                <m:t>)</m:t>
              </m:r>
            </m:den>
          </m:f>
        </m:oMath>
      </m:oMathPara>
    </w:p>
    <w:p w14:paraId="19E5346F" w14:textId="5CC7057B" w:rsidR="00860724" w:rsidRDefault="00DB70CE" w:rsidP="003F1EDC">
      <w:r>
        <w:t xml:space="preserve">Where </w:t>
      </w:r>
      <m:oMath>
        <m:d>
          <m:dPr>
            <m:ctrlPr>
              <w:rPr>
                <w:rFonts w:ascii="Cambria Math" w:hAnsi="Cambria Math"/>
                <w:i/>
              </w:rPr>
            </m:ctrlPr>
          </m:dPr>
          <m:e>
            <m:r>
              <w:rPr>
                <w:rFonts w:ascii="Cambria Math" w:hAnsi="Cambria Math"/>
              </w:rPr>
              <m:t>1-PtG installed</m:t>
            </m:r>
          </m:e>
        </m:d>
        <m:r>
          <w:rPr>
            <w:rFonts w:ascii="Cambria Math" w:hAnsi="Cambria Math"/>
          </w:rPr>
          <m:t>≤Curtailment</m:t>
        </m:r>
      </m:oMath>
      <w:r w:rsidR="00F709AB">
        <w:rPr>
          <w:rFonts w:eastAsiaTheme="minorEastAsia"/>
        </w:rPr>
        <w:t xml:space="preserve"> </w:t>
      </w:r>
      <w:r w:rsidR="00F709AB">
        <w:rPr>
          <w:rFonts w:eastAsiaTheme="minorEastAsia"/>
        </w:rPr>
        <w:tab/>
      </w:r>
      <w:r w:rsidR="00F709AB">
        <w:rPr>
          <w:rFonts w:eastAsiaTheme="minorEastAsia"/>
        </w:rPr>
        <w:tab/>
      </w:r>
      <w:r w:rsidR="00F709AB">
        <w:rPr>
          <w:rFonts w:eastAsiaTheme="minorEastAsia"/>
        </w:rPr>
        <w:tab/>
      </w:r>
      <w:r w:rsidR="00F709AB">
        <w:rPr>
          <w:rFonts w:eastAsiaTheme="minorEastAsia"/>
        </w:rPr>
        <w:tab/>
      </w:r>
      <w:r w:rsidR="00F709AB">
        <w:rPr>
          <w:rFonts w:eastAsiaTheme="minorEastAsia"/>
        </w:rPr>
        <w:tab/>
        <w:t>(5)</w:t>
      </w:r>
    </w:p>
    <w:p w14:paraId="2347D380" w14:textId="3635C93B" w:rsidR="006C175E" w:rsidRDefault="00C34255" w:rsidP="003F1EDC">
      <w:pPr>
        <w:rPr>
          <w:rFonts w:eastAsiaTheme="minorEastAsia"/>
        </w:rPr>
      </w:pPr>
      <w:r>
        <w:rPr>
          <w:rFonts w:eastAsiaTheme="minorEastAsia"/>
        </w:rPr>
        <w:t xml:space="preserve">PtG installed refers to the ratio of installed PtG capacity relative to OWF capacity, </w:t>
      </w:r>
      <w:r w:rsidR="00DE38C6">
        <w:rPr>
          <w:rFonts w:eastAsiaTheme="minorEastAsia"/>
        </w:rPr>
        <w:t>i.e.</w:t>
      </w:r>
      <w:r>
        <w:rPr>
          <w:rFonts w:eastAsiaTheme="minorEastAsia"/>
        </w:rPr>
        <w:t xml:space="preserve"> 0.5 means that there is 252MW of PtG paired with a 504MW OWF. </w:t>
      </w:r>
    </w:p>
    <w:p w14:paraId="260D94DA" w14:textId="1C5BF269" w:rsidR="003F1EDC" w:rsidRDefault="003F1EDC" w:rsidP="003F1EDC">
      <w:pPr>
        <w:rPr>
          <w:rFonts w:eastAsiaTheme="minorEastAsia"/>
        </w:rPr>
      </w:pPr>
      <w:r>
        <w:rPr>
          <w:rFonts w:eastAsiaTheme="minorEastAsia"/>
        </w:rPr>
        <w:t xml:space="preserve">For the OWF alone, including for curtailment, the levelised cost of energy (LCOE) is given by </w:t>
      </w:r>
      <w:r w:rsidR="00C27ACD">
        <w:rPr>
          <w:rFonts w:eastAsiaTheme="minorEastAsia"/>
        </w:rPr>
        <w:t>E</w:t>
      </w:r>
      <w:r>
        <w:rPr>
          <w:rFonts w:eastAsiaTheme="minorEastAsia"/>
        </w:rPr>
        <w:t xml:space="preserve">quation </w:t>
      </w:r>
      <w:r w:rsidR="00C27ACD">
        <w:rPr>
          <w:rFonts w:eastAsiaTheme="minorEastAsia"/>
        </w:rPr>
        <w:t>6</w:t>
      </w:r>
      <w:r>
        <w:rPr>
          <w:rFonts w:eastAsiaTheme="minorEastAsia"/>
        </w:rPr>
        <w:t xml:space="preserve">. Total costs include the CAPEX, DECEX, and O&amp;M of the OWF. </w:t>
      </w:r>
    </w:p>
    <w:p w14:paraId="7214345A" w14:textId="2012DF26" w:rsidR="003F1EDC" w:rsidRDefault="003F1EDC" w:rsidP="003F1EDC">
      <w:pPr>
        <w:rPr>
          <w:rFonts w:eastAsiaTheme="minorEastAsia"/>
          <w:szCs w:val="20"/>
        </w:rPr>
      </w:pPr>
      <m:oMath>
        <m:r>
          <w:rPr>
            <w:rFonts w:ascii="Cambria Math" w:hAnsi="Cambria Math"/>
            <w:sz w:val="28"/>
          </w:rPr>
          <m:t xml:space="preserve">LCOE </m:t>
        </m:r>
        <m:d>
          <m:dPr>
            <m:ctrlPr>
              <w:rPr>
                <w:rFonts w:ascii="Cambria Math" w:hAnsi="Cambria Math"/>
                <w:i/>
                <w:sz w:val="28"/>
              </w:rPr>
            </m:ctrlPr>
          </m:dPr>
          <m:e>
            <m:f>
              <m:fPr>
                <m:type m:val="lin"/>
                <m:ctrlPr>
                  <w:rPr>
                    <w:rFonts w:ascii="Cambria Math" w:hAnsi="Cambria Math"/>
                    <w:i/>
                    <w:sz w:val="28"/>
                  </w:rPr>
                </m:ctrlPr>
              </m:fPr>
              <m:num>
                <m:r>
                  <w:rPr>
                    <w:rFonts w:ascii="Cambria Math" w:hAnsi="Cambria Math"/>
                    <w:sz w:val="28"/>
                  </w:rPr>
                  <m:t>€</m:t>
                </m:r>
              </m:num>
              <m:den>
                <m:r>
                  <w:rPr>
                    <w:rFonts w:ascii="Cambria Math" w:hAnsi="Cambria Math"/>
                    <w:sz w:val="28"/>
                  </w:rPr>
                  <m:t>MWh</m:t>
                </m:r>
              </m:den>
            </m:f>
          </m:e>
        </m:d>
        <m:r>
          <w:rPr>
            <w:rFonts w:ascii="Cambria Math" w:hAnsi="Cambria Math"/>
            <w:sz w:val="28"/>
          </w:rPr>
          <m:t xml:space="preserve">= </m:t>
        </m:r>
        <m:f>
          <m:fPr>
            <m:ctrlPr>
              <w:rPr>
                <w:rFonts w:ascii="Cambria Math" w:hAnsi="Cambria Math"/>
                <w:i/>
                <w:sz w:val="28"/>
              </w:rPr>
            </m:ctrlPr>
          </m:fPr>
          <m:num>
            <m:nary>
              <m:naryPr>
                <m:chr m:val="∑"/>
                <m:ctrlPr>
                  <w:rPr>
                    <w:rFonts w:ascii="Cambria Math" w:hAnsi="Cambria Math"/>
                    <w:i/>
                    <w:sz w:val="28"/>
                  </w:rPr>
                </m:ctrlPr>
              </m:naryPr>
              <m:sub>
                <m:r>
                  <w:rPr>
                    <w:rFonts w:ascii="Cambria Math" w:hAnsi="Cambria Math"/>
                    <w:sz w:val="28"/>
                  </w:rPr>
                  <m:t>i=1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Total costs in year i</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1+Discount rate</m:t>
                            </m:r>
                          </m:e>
                        </m:d>
                      </m:e>
                      <m:sup>
                        <m:r>
                          <w:rPr>
                            <w:rFonts w:ascii="Cambria Math" w:hAnsi="Cambria Math"/>
                            <w:sz w:val="28"/>
                          </w:rPr>
                          <m:t>i</m:t>
                        </m:r>
                      </m:sup>
                    </m:sSup>
                  </m:den>
                </m:f>
              </m:e>
            </m:nary>
          </m:num>
          <m:den>
            <m:nary>
              <m:naryPr>
                <m:chr m:val="∑"/>
                <m:ctrlPr>
                  <w:rPr>
                    <w:rFonts w:ascii="Cambria Math" w:hAnsi="Cambria Math"/>
                    <w:i/>
                    <w:sz w:val="28"/>
                  </w:rPr>
                </m:ctrlPr>
              </m:naryPr>
              <m:sub>
                <m:r>
                  <w:rPr>
                    <w:rFonts w:ascii="Cambria Math" w:hAnsi="Cambria Math"/>
                    <w:sz w:val="28"/>
                  </w:rPr>
                  <m:t>i=1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MWh of electricity deposited on the grid in year i</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1+Discount rate</m:t>
                            </m:r>
                          </m:e>
                        </m:d>
                      </m:e>
                      <m:sup>
                        <m:r>
                          <w:rPr>
                            <w:rFonts w:ascii="Cambria Math" w:hAnsi="Cambria Math"/>
                            <w:sz w:val="28"/>
                          </w:rPr>
                          <m:t>i</m:t>
                        </m:r>
                      </m:sup>
                    </m:sSup>
                  </m:den>
                </m:f>
              </m:e>
            </m:nary>
          </m:den>
        </m:f>
      </m:oMath>
      <w:r>
        <w:rPr>
          <w:rFonts w:eastAsiaTheme="minorEastAsia"/>
          <w:szCs w:val="20"/>
        </w:rPr>
        <w:tab/>
      </w:r>
      <w:r>
        <w:rPr>
          <w:rFonts w:eastAsiaTheme="minorEastAsia"/>
          <w:szCs w:val="20"/>
        </w:rPr>
        <w:tab/>
        <w:t>(</w:t>
      </w:r>
      <w:r w:rsidR="00C27ACD">
        <w:rPr>
          <w:rFonts w:eastAsiaTheme="minorEastAsia"/>
          <w:szCs w:val="20"/>
        </w:rPr>
        <w:t>6</w:t>
      </w:r>
      <w:r>
        <w:rPr>
          <w:rFonts w:eastAsiaTheme="minorEastAsia"/>
          <w:szCs w:val="20"/>
        </w:rPr>
        <w:t>)</w:t>
      </w:r>
    </w:p>
    <w:p w14:paraId="0C2953A4" w14:textId="77777777" w:rsidR="003F1EDC" w:rsidRDefault="003F1EDC" w:rsidP="003F1EDC">
      <w:pPr>
        <w:rPr>
          <w:rFonts w:eastAsiaTheme="minorEastAsia"/>
          <w:szCs w:val="20"/>
        </w:rPr>
      </w:pPr>
    </w:p>
    <w:p w14:paraId="287A6045" w14:textId="10A15D0B" w:rsidR="003F1EDC" w:rsidRDefault="003F1EDC" w:rsidP="003F1EDC">
      <w:pPr>
        <w:rPr>
          <w:rFonts w:eastAsiaTheme="minorEastAsia"/>
        </w:rPr>
      </w:pPr>
      <w:r>
        <w:rPr>
          <w:rFonts w:eastAsiaTheme="minorEastAsia"/>
        </w:rPr>
        <w:t xml:space="preserve">For the hybrid system where all the power generated is converted to hydrogen, the levelised cost of hydrogen (LCOH) is given by </w:t>
      </w:r>
      <w:r w:rsidR="006E0E9A">
        <w:rPr>
          <w:rFonts w:eastAsiaTheme="minorEastAsia"/>
        </w:rPr>
        <w:t>E</w:t>
      </w:r>
      <w:r>
        <w:rPr>
          <w:rFonts w:eastAsiaTheme="minorEastAsia"/>
        </w:rPr>
        <w:t xml:space="preserve">quation </w:t>
      </w:r>
      <w:r w:rsidR="006E0E9A">
        <w:rPr>
          <w:rFonts w:eastAsiaTheme="minorEastAsia"/>
        </w:rPr>
        <w:t>7</w:t>
      </w:r>
      <w:r>
        <w:rPr>
          <w:rFonts w:eastAsiaTheme="minorEastAsia"/>
        </w:rPr>
        <w:t xml:space="preserve">. Here total costs include the CAPEX, DECEX, and O&amp;M of the OWF and the PtG system. </w:t>
      </w:r>
    </w:p>
    <w:p w14:paraId="79CBF88D" w14:textId="0559B27C" w:rsidR="003F1EDC" w:rsidRPr="00E339BA" w:rsidRDefault="003F1EDC" w:rsidP="003F1EDC">
      <w:pPr>
        <w:rPr>
          <w:rFonts w:eastAsiaTheme="minorEastAsia"/>
        </w:rPr>
      </w:pPr>
      <m:oMath>
        <m:r>
          <w:rPr>
            <w:rFonts w:ascii="Cambria Math" w:hAnsi="Cambria Math"/>
            <w:sz w:val="28"/>
          </w:rPr>
          <m:t xml:space="preserve">LCOH </m:t>
        </m:r>
        <m:d>
          <m:dPr>
            <m:ctrlPr>
              <w:rPr>
                <w:rFonts w:ascii="Cambria Math" w:hAnsi="Cambria Math"/>
                <w:i/>
                <w:sz w:val="28"/>
              </w:rPr>
            </m:ctrlPr>
          </m:dPr>
          <m:e>
            <m:f>
              <m:fPr>
                <m:type m:val="lin"/>
                <m:ctrlPr>
                  <w:rPr>
                    <w:rFonts w:ascii="Cambria Math" w:hAnsi="Cambria Math"/>
                    <w:i/>
                    <w:sz w:val="28"/>
                  </w:rPr>
                </m:ctrlPr>
              </m:fPr>
              <m:num>
                <m:r>
                  <w:rPr>
                    <w:rFonts w:ascii="Cambria Math" w:hAnsi="Cambria Math"/>
                    <w:sz w:val="28"/>
                  </w:rPr>
                  <m:t>€</m:t>
                </m:r>
              </m:num>
              <m:den>
                <m:r>
                  <w:rPr>
                    <w:rFonts w:ascii="Cambria Math" w:hAnsi="Cambria Math"/>
                    <w:sz w:val="28"/>
                  </w:rPr>
                  <m:t>kg</m:t>
                </m:r>
              </m:den>
            </m:f>
          </m:e>
        </m:d>
        <m:r>
          <w:rPr>
            <w:rFonts w:ascii="Cambria Math" w:hAnsi="Cambria Math"/>
            <w:sz w:val="28"/>
          </w:rPr>
          <m:t xml:space="preserve">= </m:t>
        </m:r>
        <m:f>
          <m:fPr>
            <m:ctrlPr>
              <w:rPr>
                <w:rFonts w:ascii="Cambria Math" w:hAnsi="Cambria Math"/>
                <w:i/>
                <w:sz w:val="28"/>
              </w:rPr>
            </m:ctrlPr>
          </m:fPr>
          <m:num>
            <m:nary>
              <m:naryPr>
                <m:chr m:val="∑"/>
                <m:ctrlPr>
                  <w:rPr>
                    <w:rFonts w:ascii="Cambria Math" w:hAnsi="Cambria Math"/>
                    <w:i/>
                    <w:sz w:val="28"/>
                  </w:rPr>
                </m:ctrlPr>
              </m:naryPr>
              <m:sub>
                <m:r>
                  <w:rPr>
                    <w:rFonts w:ascii="Cambria Math" w:hAnsi="Cambria Math"/>
                    <w:sz w:val="28"/>
                  </w:rPr>
                  <m:t>i=1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Total costs in year i</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1+Discount rate</m:t>
                            </m:r>
                          </m:e>
                        </m:d>
                      </m:e>
                      <m:sup>
                        <m:r>
                          <w:rPr>
                            <w:rFonts w:ascii="Cambria Math" w:hAnsi="Cambria Math"/>
                            <w:sz w:val="28"/>
                          </w:rPr>
                          <m:t>i</m:t>
                        </m:r>
                      </m:sup>
                    </m:sSup>
                  </m:den>
                </m:f>
              </m:e>
            </m:nary>
          </m:num>
          <m:den>
            <m:nary>
              <m:naryPr>
                <m:chr m:val="∑"/>
                <m:ctrlPr>
                  <w:rPr>
                    <w:rFonts w:ascii="Cambria Math" w:hAnsi="Cambria Math"/>
                    <w:i/>
                    <w:sz w:val="28"/>
                  </w:rPr>
                </m:ctrlPr>
              </m:naryPr>
              <m:sub>
                <m:r>
                  <w:rPr>
                    <w:rFonts w:ascii="Cambria Math" w:hAnsi="Cambria Math"/>
                    <w:sz w:val="28"/>
                  </w:rPr>
                  <m:t>i=1</m:t>
                </m:r>
              </m:sub>
              <m:sup>
                <m:r>
                  <w:rPr>
                    <w:rFonts w:ascii="Cambria Math" w:hAnsi="Cambria Math"/>
                    <w:sz w:val="28"/>
                  </w:rPr>
                  <m:t>n</m:t>
                </m:r>
              </m:sup>
              <m:e>
                <m:f>
                  <m:fPr>
                    <m:ctrlPr>
                      <w:rPr>
                        <w:rFonts w:ascii="Cambria Math" w:hAnsi="Cambria Math"/>
                        <w:i/>
                        <w:sz w:val="28"/>
                      </w:rPr>
                    </m:ctrlPr>
                  </m:fPr>
                  <m:num>
                    <m:r>
                      <w:rPr>
                        <w:rFonts w:ascii="Cambria Math" w:hAnsi="Cambria Math"/>
                        <w:sz w:val="28"/>
                      </w:rPr>
                      <m:t>kg of hydrogen produced in year i</m:t>
                    </m:r>
                  </m:num>
                  <m:den>
                    <m:sSup>
                      <m:sSupPr>
                        <m:ctrlPr>
                          <w:rPr>
                            <w:rFonts w:ascii="Cambria Math" w:hAnsi="Cambria Math"/>
                            <w:i/>
                            <w:sz w:val="28"/>
                          </w:rPr>
                        </m:ctrlPr>
                      </m:sSupPr>
                      <m:e>
                        <m:d>
                          <m:dPr>
                            <m:ctrlPr>
                              <w:rPr>
                                <w:rFonts w:ascii="Cambria Math" w:hAnsi="Cambria Math"/>
                                <w:i/>
                                <w:sz w:val="28"/>
                              </w:rPr>
                            </m:ctrlPr>
                          </m:dPr>
                          <m:e>
                            <m:r>
                              <w:rPr>
                                <w:rFonts w:ascii="Cambria Math" w:hAnsi="Cambria Math"/>
                                <w:sz w:val="28"/>
                              </w:rPr>
                              <m:t>1+Discount rate</m:t>
                            </m:r>
                          </m:e>
                        </m:d>
                      </m:e>
                      <m:sup>
                        <m:r>
                          <w:rPr>
                            <w:rFonts w:ascii="Cambria Math" w:hAnsi="Cambria Math"/>
                            <w:sz w:val="28"/>
                          </w:rPr>
                          <m:t>i</m:t>
                        </m:r>
                      </m:sup>
                    </m:sSup>
                  </m:den>
                </m:f>
              </m:e>
            </m:nary>
          </m:den>
        </m:f>
      </m:oMath>
      <w:r>
        <w:rPr>
          <w:rFonts w:eastAsiaTheme="minorEastAsia"/>
          <w:szCs w:val="20"/>
        </w:rPr>
        <w:tab/>
      </w:r>
      <w:r>
        <w:rPr>
          <w:rFonts w:eastAsiaTheme="minorEastAsia"/>
          <w:szCs w:val="20"/>
        </w:rPr>
        <w:tab/>
      </w:r>
      <w:r>
        <w:rPr>
          <w:rFonts w:eastAsiaTheme="minorEastAsia"/>
          <w:szCs w:val="20"/>
        </w:rPr>
        <w:tab/>
      </w:r>
      <w:r>
        <w:rPr>
          <w:rFonts w:eastAsiaTheme="minorEastAsia"/>
          <w:szCs w:val="20"/>
        </w:rPr>
        <w:tab/>
        <w:t>(</w:t>
      </w:r>
      <w:r w:rsidR="00423AAC">
        <w:rPr>
          <w:rFonts w:eastAsiaTheme="minorEastAsia"/>
          <w:szCs w:val="20"/>
        </w:rPr>
        <w:t>7</w:t>
      </w:r>
      <w:r>
        <w:rPr>
          <w:rFonts w:eastAsiaTheme="minorEastAsia"/>
          <w:szCs w:val="20"/>
        </w:rPr>
        <w:t>)</w:t>
      </w:r>
    </w:p>
    <w:p w14:paraId="7ADB5B64" w14:textId="0BD2E901" w:rsidR="003F1EDC" w:rsidRDefault="0021574B" w:rsidP="003F1EDC">
      <w:pPr>
        <w:rPr>
          <w:rFonts w:eastAsiaTheme="minorEastAsia"/>
        </w:rPr>
      </w:pPr>
      <w:r>
        <w:rPr>
          <w:rFonts w:eastAsiaTheme="minorEastAsia"/>
        </w:rPr>
        <w:t xml:space="preserve">Developing a LCOH for the hybrid system would require appropriating costs and benefits </w:t>
      </w:r>
      <w:r w:rsidR="000044FF">
        <w:rPr>
          <w:rFonts w:eastAsiaTheme="minorEastAsia"/>
        </w:rPr>
        <w:t>between the systems which is beyond the scope of this paper.</w:t>
      </w:r>
    </w:p>
    <w:p w14:paraId="354193D2" w14:textId="77777777" w:rsidR="000044FF" w:rsidRDefault="000044FF" w:rsidP="003F1EDC">
      <w:pPr>
        <w:rPr>
          <w:rFonts w:eastAsiaTheme="minorEastAsia"/>
        </w:rPr>
      </w:pPr>
    </w:p>
    <w:p w14:paraId="4C4E1439" w14:textId="5E5A1362" w:rsidR="003F1EDC" w:rsidRDefault="003F1EDC" w:rsidP="003F1EDC">
      <w:pPr>
        <w:rPr>
          <w:rFonts w:eastAsiaTheme="minorEastAsia"/>
        </w:rPr>
      </w:pPr>
      <w:r>
        <w:rPr>
          <w:rFonts w:eastAsiaTheme="minorEastAsia"/>
        </w:rPr>
        <w:lastRenderedPageBreak/>
        <w:t>The cash flow in a given year is equal to the sum of the hourly revenues from both electricity and hydrogen, minus the costs in the same year. The Net Present Value (NPV) is the same for all scenarios</w:t>
      </w:r>
      <w:r w:rsidR="000044FF">
        <w:rPr>
          <w:rFonts w:eastAsiaTheme="minorEastAsia"/>
        </w:rPr>
        <w:t xml:space="preserve"> and is given by </w:t>
      </w:r>
      <w:r w:rsidR="00423AAC">
        <w:rPr>
          <w:rFonts w:eastAsiaTheme="minorEastAsia"/>
        </w:rPr>
        <w:t>E</w:t>
      </w:r>
      <w:r>
        <w:rPr>
          <w:rFonts w:eastAsiaTheme="minorEastAsia"/>
        </w:rPr>
        <w:t xml:space="preserve">quation </w:t>
      </w:r>
      <w:r w:rsidR="00423AAC">
        <w:rPr>
          <w:rFonts w:eastAsiaTheme="minorEastAsia"/>
        </w:rPr>
        <w:t>8</w:t>
      </w:r>
      <w:r>
        <w:rPr>
          <w:rFonts w:eastAsiaTheme="minorEastAsia"/>
        </w:rPr>
        <w:t xml:space="preserve">. </w:t>
      </w:r>
    </w:p>
    <w:p w14:paraId="6A6AA326" w14:textId="52F3BCA3" w:rsidR="003F1EDC" w:rsidRPr="00FD15EF" w:rsidRDefault="003F1EDC" w:rsidP="003F1EDC">
      <w:pPr>
        <w:ind w:left="2160" w:firstLine="720"/>
        <w:rPr>
          <w:rFonts w:eastAsiaTheme="minorEastAsia"/>
        </w:rPr>
      </w:pPr>
      <m:oMath>
        <m:r>
          <w:rPr>
            <w:rFonts w:ascii="Cambria Math" w:eastAsiaTheme="minorEastAsia" w:hAnsi="Cambria Math"/>
          </w:rPr>
          <m:t xml:space="preserve">NPV= </m:t>
        </m:r>
        <m:nary>
          <m:naryPr>
            <m:chr m:val="∑"/>
            <m:limLoc m:val="subSup"/>
            <m:ctrlPr>
              <w:rPr>
                <w:rFonts w:ascii="Cambria Math" w:eastAsiaTheme="minorEastAsia" w:hAnsi="Cambria Math"/>
                <w:i/>
              </w:rPr>
            </m:ctrlPr>
          </m:naryPr>
          <m:sub>
            <m:r>
              <w:rPr>
                <w:rFonts w:ascii="Cambria Math" w:eastAsiaTheme="minorEastAsia" w:hAnsi="Cambria Math"/>
              </w:rPr>
              <m:t>i=1</m:t>
            </m:r>
          </m:sub>
          <m:sup>
            <m:r>
              <w:rPr>
                <w:rFonts w:ascii="Cambria Math" w:eastAsiaTheme="minorEastAsia" w:hAnsi="Cambria Math"/>
              </w:rPr>
              <m:t>n</m:t>
            </m:r>
          </m:sup>
          <m:e>
            <m:f>
              <m:fPr>
                <m:ctrlPr>
                  <w:rPr>
                    <w:rFonts w:ascii="Cambria Math" w:eastAsiaTheme="minorEastAsia" w:hAnsi="Cambria Math"/>
                    <w:i/>
                  </w:rPr>
                </m:ctrlPr>
              </m:fPr>
              <m:num>
                <m:r>
                  <w:rPr>
                    <w:rFonts w:ascii="Cambria Math" w:eastAsiaTheme="minorEastAsia" w:hAnsi="Cambria Math"/>
                  </w:rPr>
                  <m:t>Net cash flow in year i</m:t>
                </m:r>
              </m:num>
              <m:den>
                <m:sSup>
                  <m:sSupPr>
                    <m:ctrlPr>
                      <w:rPr>
                        <w:rFonts w:ascii="Cambria Math" w:eastAsiaTheme="minorEastAsia" w:hAnsi="Cambria Math"/>
                        <w:i/>
                      </w:rPr>
                    </m:ctrlPr>
                  </m:sSupPr>
                  <m:e>
                    <m:r>
                      <w:rPr>
                        <w:rFonts w:ascii="Cambria Math" w:eastAsiaTheme="minorEastAsia" w:hAnsi="Cambria Math"/>
                      </w:rPr>
                      <m:t>(1+Discount rate)</m:t>
                    </m:r>
                  </m:e>
                  <m:sup>
                    <m:r>
                      <w:rPr>
                        <w:rFonts w:ascii="Cambria Math" w:eastAsiaTheme="minorEastAsia" w:hAnsi="Cambria Math"/>
                      </w:rPr>
                      <m:t>i</m:t>
                    </m:r>
                  </m:sup>
                </m:sSup>
              </m:den>
            </m:f>
          </m:e>
        </m:nary>
      </m:oMath>
      <w:r>
        <w:rPr>
          <w:rFonts w:eastAsiaTheme="minorEastAsia"/>
        </w:rPr>
        <w:t xml:space="preserve">  </w:t>
      </w:r>
      <w:r>
        <w:rPr>
          <w:rFonts w:eastAsiaTheme="minorEastAsia"/>
        </w:rPr>
        <w:tab/>
      </w:r>
      <w:r>
        <w:rPr>
          <w:rFonts w:eastAsiaTheme="minorEastAsia"/>
        </w:rPr>
        <w:tab/>
      </w:r>
      <w:r>
        <w:rPr>
          <w:rFonts w:eastAsiaTheme="minorEastAsia"/>
        </w:rPr>
        <w:tab/>
        <w:t>(</w:t>
      </w:r>
      <w:r w:rsidR="00423AAC">
        <w:rPr>
          <w:rFonts w:eastAsiaTheme="minorEastAsia"/>
        </w:rPr>
        <w:t>8</w:t>
      </w:r>
      <w:r>
        <w:rPr>
          <w:rFonts w:eastAsiaTheme="minorEastAsia"/>
        </w:rPr>
        <w:t>)</w:t>
      </w:r>
    </w:p>
    <w:p w14:paraId="1801DDD8" w14:textId="77777777" w:rsidR="003F1EDC" w:rsidRDefault="003F1EDC" w:rsidP="003F1EDC"/>
    <w:p w14:paraId="42B99F71" w14:textId="6626916F" w:rsidR="004A42A3" w:rsidRDefault="004A42A3" w:rsidP="00BA16CE"/>
    <w:p w14:paraId="70A631ED" w14:textId="4FB14B65" w:rsidR="004A42A3" w:rsidRDefault="004A42A3" w:rsidP="00163B78">
      <w:pPr>
        <w:pStyle w:val="Heading2"/>
        <w:numPr>
          <w:ilvl w:val="0"/>
          <w:numId w:val="6"/>
        </w:numPr>
      </w:pPr>
      <w:r>
        <w:t>Additional results</w:t>
      </w:r>
    </w:p>
    <w:p w14:paraId="64735DB2" w14:textId="12295ECC" w:rsidR="00E15CD5" w:rsidRDefault="00E15CD5" w:rsidP="004A42A3"/>
    <w:p w14:paraId="582678B2" w14:textId="04A80951" w:rsidR="00ED03CC" w:rsidRDefault="00AD63CD" w:rsidP="00163B78">
      <w:pPr>
        <w:pStyle w:val="Heading3"/>
        <w:numPr>
          <w:ilvl w:val="1"/>
          <w:numId w:val="6"/>
        </w:numPr>
      </w:pPr>
      <w:r>
        <w:t xml:space="preserve">Detailed results from </w:t>
      </w:r>
      <w:r w:rsidR="00BE59C9">
        <w:t xml:space="preserve">“Producing only hydrogen” </w:t>
      </w:r>
      <w:r w:rsidR="006F406F">
        <w:t>of the main text</w:t>
      </w:r>
    </w:p>
    <w:p w14:paraId="53D0F272" w14:textId="21D6C120" w:rsidR="005418CD" w:rsidRPr="005418CD" w:rsidRDefault="005418CD" w:rsidP="005418CD">
      <w:r>
        <w:t>Table 1 – Change in NPV</w:t>
      </w:r>
      <w:r w:rsidR="003D05FF">
        <w:t>/LCOE</w:t>
      </w:r>
      <w:r>
        <w:t xml:space="preserve"> of the modelled OWF with increasing levels of curtailment</w:t>
      </w:r>
      <w:r w:rsidR="006E36FF">
        <w:t>.</w:t>
      </w:r>
      <w:r w:rsidR="008506AA">
        <w:t xml:space="preserve"> </w:t>
      </w:r>
    </w:p>
    <w:tbl>
      <w:tblPr>
        <w:tblStyle w:val="TableGrid"/>
        <w:tblW w:w="0" w:type="auto"/>
        <w:tblLook w:val="04A0" w:firstRow="1" w:lastRow="0" w:firstColumn="1" w:lastColumn="0" w:noHBand="0" w:noVBand="1"/>
      </w:tblPr>
      <w:tblGrid>
        <w:gridCol w:w="2547"/>
        <w:gridCol w:w="2835"/>
        <w:gridCol w:w="2126"/>
      </w:tblGrid>
      <w:tr w:rsidR="000C3F86" w14:paraId="5AE038DF" w14:textId="58362BD9" w:rsidTr="00A309E0">
        <w:tc>
          <w:tcPr>
            <w:tcW w:w="2547" w:type="dxa"/>
            <w:vAlign w:val="center"/>
          </w:tcPr>
          <w:p w14:paraId="712FEF1A" w14:textId="5664ACFA" w:rsidR="000C3F86" w:rsidRPr="00222E69" w:rsidRDefault="000C3F86" w:rsidP="00DA50E8">
            <w:pPr>
              <w:jc w:val="center"/>
              <w:rPr>
                <w:b/>
                <w:bCs/>
              </w:rPr>
            </w:pPr>
            <w:r w:rsidRPr="00222E69">
              <w:rPr>
                <w:b/>
                <w:bCs/>
              </w:rPr>
              <w:t>Curtailment</w:t>
            </w:r>
          </w:p>
        </w:tc>
        <w:tc>
          <w:tcPr>
            <w:tcW w:w="2835" w:type="dxa"/>
            <w:vAlign w:val="center"/>
          </w:tcPr>
          <w:p w14:paraId="56F4BC65" w14:textId="5E8A1869" w:rsidR="000C3F86" w:rsidRPr="00222E69" w:rsidRDefault="000C3F86" w:rsidP="00DA50E8">
            <w:pPr>
              <w:jc w:val="center"/>
              <w:rPr>
                <w:b/>
                <w:bCs/>
              </w:rPr>
            </w:pPr>
            <w:r w:rsidRPr="00222E69">
              <w:rPr>
                <w:b/>
                <w:bCs/>
              </w:rPr>
              <w:t>NPV of OWF</w:t>
            </w:r>
            <w:r w:rsidRPr="00222E69">
              <w:rPr>
                <w:b/>
                <w:bCs/>
              </w:rPr>
              <w:br/>
              <w:t>(€millions)</w:t>
            </w:r>
          </w:p>
        </w:tc>
        <w:tc>
          <w:tcPr>
            <w:tcW w:w="2126" w:type="dxa"/>
          </w:tcPr>
          <w:p w14:paraId="313D06BD" w14:textId="6915F959" w:rsidR="000C3F86" w:rsidRPr="00222E69" w:rsidRDefault="000C3F86" w:rsidP="00DA50E8">
            <w:pPr>
              <w:jc w:val="center"/>
              <w:rPr>
                <w:b/>
                <w:bCs/>
              </w:rPr>
            </w:pPr>
            <w:r>
              <w:rPr>
                <w:b/>
                <w:bCs/>
              </w:rPr>
              <w:t>LCOE of OWF</w:t>
            </w:r>
            <w:r>
              <w:rPr>
                <w:b/>
                <w:bCs/>
              </w:rPr>
              <w:br/>
              <w:t>(€/MWh</w:t>
            </w:r>
            <w:r w:rsidRPr="000C3F86">
              <w:rPr>
                <w:b/>
                <w:bCs/>
                <w:vertAlign w:val="subscript"/>
              </w:rPr>
              <w:t>e</w:t>
            </w:r>
            <w:r>
              <w:rPr>
                <w:b/>
                <w:bCs/>
              </w:rPr>
              <w:t>)</w:t>
            </w:r>
          </w:p>
        </w:tc>
      </w:tr>
      <w:tr w:rsidR="00A309E0" w14:paraId="6ABBC7C7" w14:textId="2662787F" w:rsidTr="00A309E0">
        <w:tc>
          <w:tcPr>
            <w:tcW w:w="2547" w:type="dxa"/>
            <w:vAlign w:val="center"/>
          </w:tcPr>
          <w:p w14:paraId="66F2B760" w14:textId="70BBBC68" w:rsidR="00A309E0" w:rsidRPr="00DA50E8" w:rsidRDefault="00A309E0" w:rsidP="00A309E0">
            <w:pPr>
              <w:jc w:val="center"/>
              <w:rPr>
                <w:szCs w:val="24"/>
              </w:rPr>
            </w:pPr>
            <w:r w:rsidRPr="00DA50E8">
              <w:rPr>
                <w:szCs w:val="24"/>
              </w:rPr>
              <w:t>0%</w:t>
            </w:r>
          </w:p>
        </w:tc>
        <w:tc>
          <w:tcPr>
            <w:tcW w:w="2835" w:type="dxa"/>
            <w:vAlign w:val="center"/>
          </w:tcPr>
          <w:p w14:paraId="0871BB17" w14:textId="1BC9FE5F" w:rsidR="00A309E0" w:rsidRPr="00DA50E8" w:rsidRDefault="00A309E0" w:rsidP="00A309E0">
            <w:pPr>
              <w:jc w:val="center"/>
              <w:rPr>
                <w:szCs w:val="24"/>
              </w:rPr>
            </w:pPr>
            <w:r w:rsidRPr="00DA50E8">
              <w:rPr>
                <w:rFonts w:ascii="Calibri" w:hAnsi="Calibri" w:cs="Calibri"/>
                <w:color w:val="000000"/>
                <w:szCs w:val="24"/>
              </w:rPr>
              <w:t>498.55</w:t>
            </w:r>
          </w:p>
        </w:tc>
        <w:tc>
          <w:tcPr>
            <w:tcW w:w="2126" w:type="dxa"/>
          </w:tcPr>
          <w:p w14:paraId="2AB567C5" w14:textId="22ECCDB9" w:rsidR="00A309E0" w:rsidRPr="00DA50E8" w:rsidRDefault="00A309E0" w:rsidP="00A309E0">
            <w:pPr>
              <w:jc w:val="center"/>
              <w:rPr>
                <w:rFonts w:ascii="Calibri" w:hAnsi="Calibri" w:cs="Calibri"/>
                <w:color w:val="000000"/>
                <w:szCs w:val="24"/>
              </w:rPr>
            </w:pPr>
            <w:r w:rsidRPr="0008247D">
              <w:t>38.1</w:t>
            </w:r>
          </w:p>
        </w:tc>
      </w:tr>
      <w:tr w:rsidR="00A309E0" w14:paraId="51D9C1F9" w14:textId="12A1CC37" w:rsidTr="00A309E0">
        <w:tc>
          <w:tcPr>
            <w:tcW w:w="2547" w:type="dxa"/>
            <w:vAlign w:val="center"/>
          </w:tcPr>
          <w:p w14:paraId="40EC1029" w14:textId="149D4A05" w:rsidR="00A309E0" w:rsidRPr="00DA50E8" w:rsidRDefault="00A309E0" w:rsidP="00A309E0">
            <w:pPr>
              <w:jc w:val="center"/>
              <w:rPr>
                <w:szCs w:val="24"/>
              </w:rPr>
            </w:pPr>
            <w:r w:rsidRPr="00DA50E8">
              <w:rPr>
                <w:szCs w:val="24"/>
              </w:rPr>
              <w:t>5%</w:t>
            </w:r>
          </w:p>
        </w:tc>
        <w:tc>
          <w:tcPr>
            <w:tcW w:w="2835" w:type="dxa"/>
            <w:vAlign w:val="center"/>
          </w:tcPr>
          <w:p w14:paraId="3B34B9D4" w14:textId="2F30456D" w:rsidR="00A309E0" w:rsidRPr="00DA50E8" w:rsidRDefault="00A309E0" w:rsidP="00A309E0">
            <w:pPr>
              <w:jc w:val="center"/>
              <w:rPr>
                <w:szCs w:val="24"/>
              </w:rPr>
            </w:pPr>
            <w:r w:rsidRPr="00DA50E8">
              <w:rPr>
                <w:rFonts w:ascii="Calibri" w:hAnsi="Calibri" w:cs="Calibri"/>
                <w:color w:val="000000"/>
                <w:szCs w:val="24"/>
              </w:rPr>
              <w:t>428.55</w:t>
            </w:r>
          </w:p>
        </w:tc>
        <w:tc>
          <w:tcPr>
            <w:tcW w:w="2126" w:type="dxa"/>
          </w:tcPr>
          <w:p w14:paraId="64240B22" w14:textId="719D00F4" w:rsidR="00A309E0" w:rsidRPr="00DA50E8" w:rsidRDefault="00A309E0" w:rsidP="00A309E0">
            <w:pPr>
              <w:jc w:val="center"/>
              <w:rPr>
                <w:rFonts w:ascii="Calibri" w:hAnsi="Calibri" w:cs="Calibri"/>
                <w:color w:val="000000"/>
                <w:szCs w:val="24"/>
              </w:rPr>
            </w:pPr>
            <w:r w:rsidRPr="0008247D">
              <w:t>40.1</w:t>
            </w:r>
          </w:p>
        </w:tc>
      </w:tr>
      <w:tr w:rsidR="00A309E0" w14:paraId="34984CF8" w14:textId="2296309A" w:rsidTr="00A309E0">
        <w:tc>
          <w:tcPr>
            <w:tcW w:w="2547" w:type="dxa"/>
            <w:vAlign w:val="center"/>
          </w:tcPr>
          <w:p w14:paraId="29F351F0" w14:textId="3E28C34B" w:rsidR="00A309E0" w:rsidRPr="00DA50E8" w:rsidRDefault="00A309E0" w:rsidP="00A309E0">
            <w:pPr>
              <w:jc w:val="center"/>
              <w:rPr>
                <w:szCs w:val="24"/>
              </w:rPr>
            </w:pPr>
            <w:r w:rsidRPr="00DA50E8">
              <w:rPr>
                <w:szCs w:val="24"/>
              </w:rPr>
              <w:t>10%</w:t>
            </w:r>
          </w:p>
        </w:tc>
        <w:tc>
          <w:tcPr>
            <w:tcW w:w="2835" w:type="dxa"/>
            <w:vAlign w:val="center"/>
          </w:tcPr>
          <w:p w14:paraId="769B2DEA" w14:textId="69E421F0" w:rsidR="00A309E0" w:rsidRPr="00DA50E8" w:rsidRDefault="00A309E0" w:rsidP="00A309E0">
            <w:pPr>
              <w:jc w:val="center"/>
              <w:rPr>
                <w:szCs w:val="24"/>
              </w:rPr>
            </w:pPr>
            <w:r w:rsidRPr="00DA50E8">
              <w:rPr>
                <w:rFonts w:ascii="Calibri" w:hAnsi="Calibri" w:cs="Calibri"/>
                <w:color w:val="000000"/>
                <w:szCs w:val="24"/>
              </w:rPr>
              <w:t>350.24</w:t>
            </w:r>
          </w:p>
        </w:tc>
        <w:tc>
          <w:tcPr>
            <w:tcW w:w="2126" w:type="dxa"/>
          </w:tcPr>
          <w:p w14:paraId="76D349C7" w14:textId="2F3A8D2C" w:rsidR="00A309E0" w:rsidRPr="00DA50E8" w:rsidRDefault="00A309E0" w:rsidP="00A309E0">
            <w:pPr>
              <w:jc w:val="center"/>
              <w:rPr>
                <w:rFonts w:ascii="Calibri" w:hAnsi="Calibri" w:cs="Calibri"/>
                <w:color w:val="000000"/>
                <w:szCs w:val="24"/>
              </w:rPr>
            </w:pPr>
            <w:r w:rsidRPr="0008247D">
              <w:t>42.3</w:t>
            </w:r>
          </w:p>
        </w:tc>
      </w:tr>
      <w:tr w:rsidR="00A309E0" w14:paraId="5F95862F" w14:textId="11A95243" w:rsidTr="00A309E0">
        <w:tc>
          <w:tcPr>
            <w:tcW w:w="2547" w:type="dxa"/>
            <w:vAlign w:val="center"/>
          </w:tcPr>
          <w:p w14:paraId="51CDA4CD" w14:textId="540588CA" w:rsidR="00A309E0" w:rsidRPr="00DA50E8" w:rsidRDefault="00A309E0" w:rsidP="00A309E0">
            <w:pPr>
              <w:jc w:val="center"/>
              <w:rPr>
                <w:szCs w:val="24"/>
              </w:rPr>
            </w:pPr>
            <w:r w:rsidRPr="00DA50E8">
              <w:rPr>
                <w:szCs w:val="24"/>
              </w:rPr>
              <w:t>15%</w:t>
            </w:r>
          </w:p>
        </w:tc>
        <w:tc>
          <w:tcPr>
            <w:tcW w:w="2835" w:type="dxa"/>
            <w:vAlign w:val="center"/>
          </w:tcPr>
          <w:p w14:paraId="59383D17" w14:textId="6FF6EEFE" w:rsidR="00A309E0" w:rsidRPr="00DA50E8" w:rsidRDefault="00A309E0" w:rsidP="00A309E0">
            <w:pPr>
              <w:jc w:val="center"/>
              <w:rPr>
                <w:szCs w:val="24"/>
              </w:rPr>
            </w:pPr>
            <w:r w:rsidRPr="00DA50E8">
              <w:rPr>
                <w:rFonts w:ascii="Calibri" w:hAnsi="Calibri" w:cs="Calibri"/>
                <w:color w:val="000000"/>
                <w:szCs w:val="24"/>
              </w:rPr>
              <w:t>271.11</w:t>
            </w:r>
          </w:p>
        </w:tc>
        <w:tc>
          <w:tcPr>
            <w:tcW w:w="2126" w:type="dxa"/>
          </w:tcPr>
          <w:p w14:paraId="27C5892B" w14:textId="7446A6A0" w:rsidR="00A309E0" w:rsidRPr="00DA50E8" w:rsidRDefault="00A309E0" w:rsidP="00A309E0">
            <w:pPr>
              <w:jc w:val="center"/>
              <w:rPr>
                <w:rFonts w:ascii="Calibri" w:hAnsi="Calibri" w:cs="Calibri"/>
                <w:color w:val="000000"/>
                <w:szCs w:val="24"/>
              </w:rPr>
            </w:pPr>
            <w:r w:rsidRPr="0008247D">
              <w:t>44.8</w:t>
            </w:r>
          </w:p>
        </w:tc>
      </w:tr>
      <w:tr w:rsidR="00A309E0" w14:paraId="3D82A384" w14:textId="67C4CE54" w:rsidTr="00A309E0">
        <w:tc>
          <w:tcPr>
            <w:tcW w:w="2547" w:type="dxa"/>
            <w:vAlign w:val="center"/>
          </w:tcPr>
          <w:p w14:paraId="0649A0A1" w14:textId="5964D92C" w:rsidR="00A309E0" w:rsidRPr="00DA50E8" w:rsidRDefault="00A309E0" w:rsidP="00A309E0">
            <w:pPr>
              <w:jc w:val="center"/>
              <w:rPr>
                <w:szCs w:val="24"/>
              </w:rPr>
            </w:pPr>
            <w:r w:rsidRPr="00DA50E8">
              <w:rPr>
                <w:szCs w:val="24"/>
              </w:rPr>
              <w:t>20%</w:t>
            </w:r>
          </w:p>
        </w:tc>
        <w:tc>
          <w:tcPr>
            <w:tcW w:w="2835" w:type="dxa"/>
            <w:vAlign w:val="center"/>
          </w:tcPr>
          <w:p w14:paraId="51A3F503" w14:textId="6F3B7B4F" w:rsidR="00A309E0" w:rsidRPr="00DA50E8" w:rsidRDefault="00A309E0" w:rsidP="00A309E0">
            <w:pPr>
              <w:jc w:val="center"/>
              <w:rPr>
                <w:szCs w:val="24"/>
              </w:rPr>
            </w:pPr>
            <w:r w:rsidRPr="00DA50E8">
              <w:rPr>
                <w:rFonts w:ascii="Calibri" w:hAnsi="Calibri" w:cs="Calibri"/>
                <w:color w:val="000000"/>
                <w:szCs w:val="24"/>
              </w:rPr>
              <w:t>192.84</w:t>
            </w:r>
          </w:p>
        </w:tc>
        <w:tc>
          <w:tcPr>
            <w:tcW w:w="2126" w:type="dxa"/>
          </w:tcPr>
          <w:p w14:paraId="042C6BF9" w14:textId="55733991" w:rsidR="00A309E0" w:rsidRPr="00DA50E8" w:rsidRDefault="00A309E0" w:rsidP="00A309E0">
            <w:pPr>
              <w:jc w:val="center"/>
              <w:rPr>
                <w:rFonts w:ascii="Calibri" w:hAnsi="Calibri" w:cs="Calibri"/>
                <w:color w:val="000000"/>
                <w:szCs w:val="24"/>
              </w:rPr>
            </w:pPr>
            <w:r w:rsidRPr="0008247D">
              <w:t>47.6</w:t>
            </w:r>
          </w:p>
        </w:tc>
      </w:tr>
      <w:tr w:rsidR="00A309E0" w14:paraId="3D281C79" w14:textId="3AA7F92B" w:rsidTr="00A309E0">
        <w:tc>
          <w:tcPr>
            <w:tcW w:w="2547" w:type="dxa"/>
            <w:vAlign w:val="center"/>
          </w:tcPr>
          <w:p w14:paraId="09ECAE3C" w14:textId="5FCAB428" w:rsidR="00A309E0" w:rsidRPr="00DA50E8" w:rsidRDefault="00A309E0" w:rsidP="00A309E0">
            <w:pPr>
              <w:jc w:val="center"/>
              <w:rPr>
                <w:szCs w:val="24"/>
              </w:rPr>
            </w:pPr>
            <w:r w:rsidRPr="00DA50E8">
              <w:rPr>
                <w:szCs w:val="24"/>
              </w:rPr>
              <w:t>25%</w:t>
            </w:r>
          </w:p>
        </w:tc>
        <w:tc>
          <w:tcPr>
            <w:tcW w:w="2835" w:type="dxa"/>
            <w:vAlign w:val="center"/>
          </w:tcPr>
          <w:p w14:paraId="57E4ED7E" w14:textId="57F67B69" w:rsidR="00A309E0" w:rsidRPr="00DA50E8" w:rsidRDefault="00A309E0" w:rsidP="00A309E0">
            <w:pPr>
              <w:jc w:val="center"/>
              <w:rPr>
                <w:szCs w:val="24"/>
              </w:rPr>
            </w:pPr>
            <w:r w:rsidRPr="00DA50E8">
              <w:rPr>
                <w:rFonts w:ascii="Calibri" w:hAnsi="Calibri" w:cs="Calibri"/>
                <w:color w:val="000000"/>
                <w:szCs w:val="24"/>
              </w:rPr>
              <w:t>116.15</w:t>
            </w:r>
          </w:p>
        </w:tc>
        <w:tc>
          <w:tcPr>
            <w:tcW w:w="2126" w:type="dxa"/>
          </w:tcPr>
          <w:p w14:paraId="590EAF3A" w14:textId="407449D1" w:rsidR="00A309E0" w:rsidRPr="00DA50E8" w:rsidRDefault="00A309E0" w:rsidP="00A309E0">
            <w:pPr>
              <w:jc w:val="center"/>
              <w:rPr>
                <w:rFonts w:ascii="Calibri" w:hAnsi="Calibri" w:cs="Calibri"/>
                <w:color w:val="000000"/>
                <w:szCs w:val="24"/>
              </w:rPr>
            </w:pPr>
            <w:r w:rsidRPr="0008247D">
              <w:t>50.7</w:t>
            </w:r>
          </w:p>
        </w:tc>
      </w:tr>
      <w:tr w:rsidR="00A309E0" w14:paraId="199FAFB2" w14:textId="4C851F45" w:rsidTr="00A309E0">
        <w:tc>
          <w:tcPr>
            <w:tcW w:w="2547" w:type="dxa"/>
            <w:vAlign w:val="center"/>
          </w:tcPr>
          <w:p w14:paraId="4243740F" w14:textId="060A089F" w:rsidR="00A309E0" w:rsidRPr="00DA50E8" w:rsidRDefault="00A309E0" w:rsidP="00A309E0">
            <w:pPr>
              <w:jc w:val="center"/>
              <w:rPr>
                <w:szCs w:val="24"/>
              </w:rPr>
            </w:pPr>
            <w:r w:rsidRPr="00DA50E8">
              <w:rPr>
                <w:szCs w:val="24"/>
              </w:rPr>
              <w:t>50%</w:t>
            </w:r>
          </w:p>
        </w:tc>
        <w:tc>
          <w:tcPr>
            <w:tcW w:w="2835" w:type="dxa"/>
            <w:vAlign w:val="center"/>
          </w:tcPr>
          <w:p w14:paraId="30C82FCD" w14:textId="25E952C6" w:rsidR="00A309E0" w:rsidRPr="00DA50E8" w:rsidRDefault="00A309E0" w:rsidP="00A309E0">
            <w:pPr>
              <w:jc w:val="center"/>
              <w:rPr>
                <w:szCs w:val="24"/>
              </w:rPr>
            </w:pPr>
            <w:r w:rsidRPr="00DA50E8">
              <w:rPr>
                <w:rFonts w:ascii="Calibri" w:hAnsi="Calibri" w:cs="Calibri"/>
                <w:color w:val="000000"/>
                <w:szCs w:val="24"/>
              </w:rPr>
              <w:t>-274.34</w:t>
            </w:r>
          </w:p>
        </w:tc>
        <w:tc>
          <w:tcPr>
            <w:tcW w:w="2126" w:type="dxa"/>
          </w:tcPr>
          <w:p w14:paraId="2A0D6A51" w14:textId="48409E1C" w:rsidR="00A309E0" w:rsidRPr="00DA50E8" w:rsidRDefault="00A309E0" w:rsidP="00A309E0">
            <w:pPr>
              <w:jc w:val="center"/>
              <w:rPr>
                <w:rFonts w:ascii="Calibri" w:hAnsi="Calibri" w:cs="Calibri"/>
                <w:color w:val="000000"/>
                <w:szCs w:val="24"/>
              </w:rPr>
            </w:pPr>
            <w:r w:rsidRPr="0008247D">
              <w:t>76.1</w:t>
            </w:r>
          </w:p>
        </w:tc>
      </w:tr>
    </w:tbl>
    <w:p w14:paraId="6F643BBC" w14:textId="44FBFC75" w:rsidR="000A2BA4" w:rsidRDefault="000A2BA4" w:rsidP="000A2BA4"/>
    <w:p w14:paraId="1210EC9F" w14:textId="13EB9BA5" w:rsidR="008506AA" w:rsidRPr="000A2BA4" w:rsidRDefault="008506AA" w:rsidP="000A2BA4">
      <w:r>
        <w:t>Table 2 – Change in the NPV of a H</w:t>
      </w:r>
      <w:r w:rsidRPr="00716114">
        <w:rPr>
          <w:vertAlign w:val="subscript"/>
        </w:rPr>
        <w:t>2</w:t>
      </w:r>
      <w:r>
        <w:t xml:space="preserve"> only system (all power is converted into hydrogen and sold) </w:t>
      </w:r>
      <w:r w:rsidR="00CB51FB">
        <w:t xml:space="preserve">with increasing hydrogen values. </w:t>
      </w:r>
    </w:p>
    <w:tbl>
      <w:tblPr>
        <w:tblStyle w:val="TableGrid"/>
        <w:tblW w:w="0" w:type="auto"/>
        <w:tblLook w:val="04A0" w:firstRow="1" w:lastRow="0" w:firstColumn="1" w:lastColumn="0" w:noHBand="0" w:noVBand="1"/>
      </w:tblPr>
      <w:tblGrid>
        <w:gridCol w:w="2547"/>
        <w:gridCol w:w="2835"/>
      </w:tblGrid>
      <w:tr w:rsidR="00B94A0E" w14:paraId="380AF7B9" w14:textId="77777777" w:rsidTr="00FE3428">
        <w:tc>
          <w:tcPr>
            <w:tcW w:w="2547" w:type="dxa"/>
            <w:vAlign w:val="center"/>
          </w:tcPr>
          <w:p w14:paraId="3D5F2152" w14:textId="1159923D" w:rsidR="00B94A0E" w:rsidRPr="00FE3428" w:rsidRDefault="000756DC" w:rsidP="000756DC">
            <w:pPr>
              <w:jc w:val="center"/>
              <w:rPr>
                <w:b/>
                <w:bCs/>
              </w:rPr>
            </w:pPr>
            <w:r w:rsidRPr="00FE3428">
              <w:rPr>
                <w:b/>
                <w:bCs/>
              </w:rPr>
              <w:t xml:space="preserve">Hydrogen value </w:t>
            </w:r>
            <w:r w:rsidR="00FE3428">
              <w:rPr>
                <w:b/>
                <w:bCs/>
              </w:rPr>
              <w:br/>
            </w:r>
            <w:r w:rsidRPr="00FE3428">
              <w:rPr>
                <w:b/>
                <w:bCs/>
              </w:rPr>
              <w:t>(€/kg)</w:t>
            </w:r>
          </w:p>
        </w:tc>
        <w:tc>
          <w:tcPr>
            <w:tcW w:w="2835" w:type="dxa"/>
            <w:vAlign w:val="center"/>
          </w:tcPr>
          <w:p w14:paraId="058E1D69" w14:textId="7FD7B577" w:rsidR="00B94A0E" w:rsidRPr="00FE3428" w:rsidRDefault="000756DC" w:rsidP="000756DC">
            <w:pPr>
              <w:jc w:val="center"/>
              <w:rPr>
                <w:b/>
                <w:bCs/>
              </w:rPr>
            </w:pPr>
            <w:r w:rsidRPr="00FE3428">
              <w:rPr>
                <w:b/>
                <w:bCs/>
              </w:rPr>
              <w:t>NPV of H</w:t>
            </w:r>
            <w:r w:rsidRPr="00FE3428">
              <w:rPr>
                <w:b/>
                <w:bCs/>
                <w:vertAlign w:val="subscript"/>
              </w:rPr>
              <w:t>2</w:t>
            </w:r>
            <w:r w:rsidRPr="00FE3428">
              <w:rPr>
                <w:b/>
                <w:bCs/>
              </w:rPr>
              <w:t xml:space="preserve"> only </w:t>
            </w:r>
            <w:r w:rsidR="00FE3428">
              <w:rPr>
                <w:b/>
                <w:bCs/>
              </w:rPr>
              <w:br/>
            </w:r>
            <w:r w:rsidRPr="00FE3428">
              <w:rPr>
                <w:b/>
                <w:bCs/>
              </w:rPr>
              <w:t>(€millions)</w:t>
            </w:r>
          </w:p>
        </w:tc>
      </w:tr>
      <w:tr w:rsidR="00FE3428" w14:paraId="0531DF3C" w14:textId="77777777" w:rsidTr="00FE3428">
        <w:tc>
          <w:tcPr>
            <w:tcW w:w="2547" w:type="dxa"/>
            <w:vAlign w:val="center"/>
          </w:tcPr>
          <w:p w14:paraId="171B51B0" w14:textId="1B32593F" w:rsidR="00FE3428" w:rsidRDefault="00FE3428" w:rsidP="00FE3428">
            <w:pPr>
              <w:jc w:val="center"/>
            </w:pPr>
            <w:r>
              <w:t>3.5</w:t>
            </w:r>
          </w:p>
        </w:tc>
        <w:tc>
          <w:tcPr>
            <w:tcW w:w="2835" w:type="dxa"/>
          </w:tcPr>
          <w:p w14:paraId="0E198C8E" w14:textId="3F158F16" w:rsidR="00FE3428" w:rsidRDefault="00FE3428" w:rsidP="00FE3428">
            <w:pPr>
              <w:jc w:val="center"/>
            </w:pPr>
            <w:r w:rsidRPr="00C31730">
              <w:t>-133.62</w:t>
            </w:r>
          </w:p>
        </w:tc>
      </w:tr>
      <w:tr w:rsidR="00FE3428" w14:paraId="38198C46" w14:textId="77777777" w:rsidTr="00FE3428">
        <w:tc>
          <w:tcPr>
            <w:tcW w:w="2547" w:type="dxa"/>
            <w:vAlign w:val="center"/>
          </w:tcPr>
          <w:p w14:paraId="17CE3EFD" w14:textId="75967E61" w:rsidR="00FE3428" w:rsidRDefault="00FE3428" w:rsidP="00FE3428">
            <w:pPr>
              <w:jc w:val="center"/>
            </w:pPr>
            <w:r>
              <w:t>4</w:t>
            </w:r>
          </w:p>
        </w:tc>
        <w:tc>
          <w:tcPr>
            <w:tcW w:w="2835" w:type="dxa"/>
          </w:tcPr>
          <w:p w14:paraId="5E532E06" w14:textId="391F2379" w:rsidR="00FE3428" w:rsidRDefault="00FE3428" w:rsidP="00FE3428">
            <w:pPr>
              <w:jc w:val="center"/>
            </w:pPr>
            <w:r w:rsidRPr="00C31730">
              <w:t>117.35</w:t>
            </w:r>
          </w:p>
        </w:tc>
      </w:tr>
      <w:tr w:rsidR="00FE3428" w14:paraId="28887DEC" w14:textId="77777777" w:rsidTr="00FE3428">
        <w:tc>
          <w:tcPr>
            <w:tcW w:w="2547" w:type="dxa"/>
            <w:vAlign w:val="center"/>
          </w:tcPr>
          <w:p w14:paraId="47272914" w14:textId="71911FDF" w:rsidR="00FE3428" w:rsidRDefault="00FE3428" w:rsidP="00FE3428">
            <w:pPr>
              <w:jc w:val="center"/>
            </w:pPr>
            <w:r>
              <w:t>4.5</w:t>
            </w:r>
          </w:p>
        </w:tc>
        <w:tc>
          <w:tcPr>
            <w:tcW w:w="2835" w:type="dxa"/>
          </w:tcPr>
          <w:p w14:paraId="445FC154" w14:textId="7AA0A2AF" w:rsidR="00FE3428" w:rsidRDefault="00FE3428" w:rsidP="00FE3428">
            <w:pPr>
              <w:jc w:val="center"/>
            </w:pPr>
            <w:r w:rsidRPr="00C31730">
              <w:t>368.31</w:t>
            </w:r>
          </w:p>
        </w:tc>
      </w:tr>
      <w:tr w:rsidR="00FE3428" w14:paraId="6DDF8C9B" w14:textId="77777777" w:rsidTr="00FE3428">
        <w:trPr>
          <w:trHeight w:val="77"/>
        </w:trPr>
        <w:tc>
          <w:tcPr>
            <w:tcW w:w="2547" w:type="dxa"/>
            <w:vAlign w:val="center"/>
          </w:tcPr>
          <w:p w14:paraId="17538860" w14:textId="6780963C" w:rsidR="00FE3428" w:rsidRDefault="00FE3428" w:rsidP="00FE3428">
            <w:pPr>
              <w:jc w:val="center"/>
            </w:pPr>
            <w:r>
              <w:t>5</w:t>
            </w:r>
          </w:p>
        </w:tc>
        <w:tc>
          <w:tcPr>
            <w:tcW w:w="2835" w:type="dxa"/>
          </w:tcPr>
          <w:p w14:paraId="7AA382D8" w14:textId="7F8E0995" w:rsidR="00FE3428" w:rsidRDefault="00FE3428" w:rsidP="00FE3428">
            <w:pPr>
              <w:jc w:val="center"/>
            </w:pPr>
            <w:r w:rsidRPr="00C31730">
              <w:t>619.27</w:t>
            </w:r>
          </w:p>
        </w:tc>
      </w:tr>
    </w:tbl>
    <w:p w14:paraId="160D2AA3" w14:textId="2FF0145D" w:rsidR="00ED03CC" w:rsidRDefault="007B5679" w:rsidP="006F406F">
      <w:pPr>
        <w:pStyle w:val="Heading3"/>
      </w:pPr>
      <w:r>
        <w:lastRenderedPageBreak/>
        <w:t xml:space="preserve">3.2 </w:t>
      </w:r>
      <w:r w:rsidR="007D3D41">
        <w:t xml:space="preserve">Additional </w:t>
      </w:r>
      <w:r w:rsidR="00C9324A">
        <w:t xml:space="preserve">results </w:t>
      </w:r>
      <w:r w:rsidR="006F406F">
        <w:t xml:space="preserve">from </w:t>
      </w:r>
      <w:r w:rsidR="0078105E">
        <w:t xml:space="preserve">“Hybrid system of varying installed PtG capacity” </w:t>
      </w:r>
      <w:r w:rsidR="006F406F">
        <w:t>of the main text</w:t>
      </w:r>
    </w:p>
    <w:p w14:paraId="79DCB1F8" w14:textId="77777777" w:rsidR="007B5679" w:rsidRDefault="007B5679" w:rsidP="004A42A3"/>
    <w:p w14:paraId="464FAFCB" w14:textId="53528317" w:rsidR="004C3760" w:rsidRDefault="00103012" w:rsidP="00F84823">
      <w:r>
        <w:rPr>
          <w:noProof/>
        </w:rPr>
        <w:drawing>
          <wp:inline distT="0" distB="0" distL="0" distR="0" wp14:anchorId="1C9FB634" wp14:editId="4EA912E9">
            <wp:extent cx="6233823" cy="3733504"/>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37682" cy="3735815"/>
                    </a:xfrm>
                    <a:prstGeom prst="rect">
                      <a:avLst/>
                    </a:prstGeom>
                    <a:noFill/>
                  </pic:spPr>
                </pic:pic>
              </a:graphicData>
            </a:graphic>
          </wp:inline>
        </w:drawing>
      </w:r>
    </w:p>
    <w:p w14:paraId="3E31074F" w14:textId="674D2705" w:rsidR="004C3760" w:rsidRDefault="004C3760" w:rsidP="006B4D69">
      <w:pPr>
        <w:ind w:left="1440" w:hanging="1440"/>
      </w:pPr>
      <w:r>
        <w:t xml:space="preserve">Figure 3: </w:t>
      </w:r>
      <w:r>
        <w:tab/>
      </w:r>
      <w:r w:rsidR="00C46748">
        <w:t xml:space="preserve">NPV </w:t>
      </w:r>
      <w:r w:rsidR="006B4D69">
        <w:t>of a hybrid OWF/PtG project as a function of installed capacity for given hydrogen values and levels of curtailment.</w:t>
      </w:r>
      <w:r w:rsidR="004B6458">
        <w:t xml:space="preserve"> </w:t>
      </w:r>
    </w:p>
    <w:p w14:paraId="79026797" w14:textId="6C92E199" w:rsidR="006B4D69" w:rsidRDefault="00E35E59" w:rsidP="00E35E59">
      <w:r>
        <w:t>As a €4/kg</w:t>
      </w:r>
      <w:r w:rsidRPr="00E35E59">
        <w:rPr>
          <w:vertAlign w:val="subscript"/>
        </w:rPr>
        <w:t>H2</w:t>
      </w:r>
      <w:r>
        <w:t xml:space="preserve"> hydrogen value was examined in detail in the main text, Figure 3 provides similar results for €3/kg</w:t>
      </w:r>
      <w:r w:rsidRPr="00E35E59">
        <w:rPr>
          <w:vertAlign w:val="subscript"/>
        </w:rPr>
        <w:t>H2</w:t>
      </w:r>
      <w:r>
        <w:t xml:space="preserve"> and €5/kg</w:t>
      </w:r>
      <w:r w:rsidRPr="00E35E59">
        <w:rPr>
          <w:vertAlign w:val="subscript"/>
        </w:rPr>
        <w:t>H2</w:t>
      </w:r>
      <w:r>
        <w:t xml:space="preserve"> hydrogen values. </w:t>
      </w:r>
    </w:p>
    <w:p w14:paraId="4C5590E3" w14:textId="699C962A" w:rsidR="00E35E59" w:rsidRDefault="00E35E59" w:rsidP="00E35E59"/>
    <w:p w14:paraId="4520E813" w14:textId="37186924" w:rsidR="00E15CD5" w:rsidRDefault="00E15CD5" w:rsidP="00E15CD5">
      <w:pPr>
        <w:pStyle w:val="Heading1"/>
      </w:pPr>
      <w:bookmarkStart w:id="0" w:name="_GoBack"/>
      <w:bookmarkEnd w:id="0"/>
      <w:r>
        <w:t>References</w:t>
      </w:r>
    </w:p>
    <w:p w14:paraId="177FFEE4" w14:textId="79BCFA06" w:rsidR="00A01E5E" w:rsidRPr="00A01E5E" w:rsidRDefault="00E15CD5" w:rsidP="00A01E5E">
      <w:pPr>
        <w:widowControl w:val="0"/>
        <w:autoSpaceDE w:val="0"/>
        <w:autoSpaceDN w:val="0"/>
        <w:adjustRightInd w:val="0"/>
        <w:ind w:left="640" w:hanging="640"/>
        <w:rPr>
          <w:rFonts w:ascii="Calibri" w:hAnsi="Calibri" w:cs="Calibri"/>
          <w:noProof/>
          <w:szCs w:val="24"/>
        </w:rPr>
      </w:pPr>
      <w:r>
        <w:fldChar w:fldCharType="begin" w:fldLock="1"/>
      </w:r>
      <w:r>
        <w:instrText xml:space="preserve">ADDIN Mendeley Bibliography CSL_BIBLIOGRAPHY </w:instrText>
      </w:r>
      <w:r>
        <w:fldChar w:fldCharType="separate"/>
      </w:r>
      <w:r w:rsidR="00A01E5E" w:rsidRPr="00A01E5E">
        <w:rPr>
          <w:rFonts w:ascii="Calibri" w:hAnsi="Calibri" w:cs="Calibri"/>
          <w:noProof/>
          <w:szCs w:val="24"/>
        </w:rPr>
        <w:t>[1]</w:t>
      </w:r>
      <w:r w:rsidR="00A01E5E" w:rsidRPr="00A01E5E">
        <w:rPr>
          <w:rFonts w:ascii="Calibri" w:hAnsi="Calibri" w:cs="Calibri"/>
          <w:noProof/>
          <w:szCs w:val="24"/>
        </w:rPr>
        <w:tab/>
        <w:t>Klinge Jacobsen H, Hevia-Koch P, Wolter C. Nearshore and offshore wind development: Costs and competitive advantage exemplified by nearshore wind in Denmark. Energy Sustain Dev 2019;50:91–100. doi:10.1016/j.esd.2019.03.006.</w:t>
      </w:r>
    </w:p>
    <w:p w14:paraId="24622F52" w14:textId="77777777" w:rsidR="00A01E5E" w:rsidRPr="00A01E5E" w:rsidRDefault="00A01E5E" w:rsidP="00A01E5E">
      <w:pPr>
        <w:widowControl w:val="0"/>
        <w:autoSpaceDE w:val="0"/>
        <w:autoSpaceDN w:val="0"/>
        <w:adjustRightInd w:val="0"/>
        <w:ind w:left="640" w:hanging="640"/>
        <w:rPr>
          <w:rFonts w:ascii="Calibri" w:hAnsi="Calibri" w:cs="Calibri"/>
          <w:noProof/>
          <w:szCs w:val="24"/>
        </w:rPr>
      </w:pPr>
      <w:r w:rsidRPr="00A01E5E">
        <w:rPr>
          <w:rFonts w:ascii="Calibri" w:hAnsi="Calibri" w:cs="Calibri"/>
          <w:noProof/>
          <w:szCs w:val="24"/>
        </w:rPr>
        <w:t>[2]</w:t>
      </w:r>
      <w:r w:rsidRPr="00A01E5E">
        <w:rPr>
          <w:rFonts w:ascii="Calibri" w:hAnsi="Calibri" w:cs="Calibri"/>
          <w:noProof/>
          <w:szCs w:val="24"/>
        </w:rPr>
        <w:tab/>
        <w:t>UK offshore wind capacity factors n.d. http://energynumbers.info/uk-offshore-wind-capacity-factors (accessed August 9, 2019).</w:t>
      </w:r>
    </w:p>
    <w:p w14:paraId="65BE22FF" w14:textId="77777777" w:rsidR="00A01E5E" w:rsidRPr="00A01E5E" w:rsidRDefault="00A01E5E" w:rsidP="00A01E5E">
      <w:pPr>
        <w:widowControl w:val="0"/>
        <w:autoSpaceDE w:val="0"/>
        <w:autoSpaceDN w:val="0"/>
        <w:adjustRightInd w:val="0"/>
        <w:ind w:left="640" w:hanging="640"/>
        <w:rPr>
          <w:rFonts w:ascii="Calibri" w:hAnsi="Calibri" w:cs="Calibri"/>
          <w:noProof/>
          <w:szCs w:val="24"/>
        </w:rPr>
      </w:pPr>
      <w:r w:rsidRPr="00A01E5E">
        <w:rPr>
          <w:rFonts w:ascii="Calibri" w:hAnsi="Calibri" w:cs="Calibri"/>
          <w:noProof/>
          <w:szCs w:val="24"/>
        </w:rPr>
        <w:t>[3]</w:t>
      </w:r>
      <w:r w:rsidRPr="00A01E5E">
        <w:rPr>
          <w:rFonts w:ascii="Calibri" w:hAnsi="Calibri" w:cs="Calibri"/>
          <w:noProof/>
          <w:szCs w:val="24"/>
        </w:rPr>
        <w:tab/>
        <w:t xml:space="preserve">Kost C, Schlegl T, Thomsen J, Nold S, Mayer J, Hartmann N, et al. Fraunhofer ISE: Levelized Cost of Electricity - Renewable Energy Technologies, March 2018. </w:t>
      </w:r>
      <w:r w:rsidRPr="00A01E5E">
        <w:rPr>
          <w:rFonts w:ascii="Calibri" w:hAnsi="Calibri" w:cs="Calibri"/>
          <w:noProof/>
          <w:szCs w:val="24"/>
        </w:rPr>
        <w:lastRenderedPageBreak/>
        <w:t>Fraunhofer ISE Levelized Cost Electr - Renew Energy Technol 2018.</w:t>
      </w:r>
    </w:p>
    <w:p w14:paraId="4A51720B" w14:textId="77777777" w:rsidR="00A01E5E" w:rsidRPr="00A01E5E" w:rsidRDefault="00A01E5E" w:rsidP="00A01E5E">
      <w:pPr>
        <w:widowControl w:val="0"/>
        <w:autoSpaceDE w:val="0"/>
        <w:autoSpaceDN w:val="0"/>
        <w:adjustRightInd w:val="0"/>
        <w:ind w:left="640" w:hanging="640"/>
        <w:rPr>
          <w:rFonts w:ascii="Calibri" w:hAnsi="Calibri" w:cs="Calibri"/>
          <w:noProof/>
          <w:szCs w:val="24"/>
        </w:rPr>
      </w:pPr>
      <w:r w:rsidRPr="00A01E5E">
        <w:rPr>
          <w:rFonts w:ascii="Calibri" w:hAnsi="Calibri" w:cs="Calibri"/>
          <w:noProof/>
          <w:szCs w:val="24"/>
        </w:rPr>
        <w:t>[4]</w:t>
      </w:r>
      <w:r w:rsidRPr="00A01E5E">
        <w:rPr>
          <w:rFonts w:ascii="Calibri" w:hAnsi="Calibri" w:cs="Calibri"/>
          <w:noProof/>
          <w:szCs w:val="24"/>
        </w:rPr>
        <w:tab/>
        <w:t>McDonagh S, Wall DM, Deane P, Murphy JD. The effect of electricity markets, and renewable electricity penetration, on the levelised cost of energy of an advanced electro-fuel system incorporating carbon capture. vol. 131. Elsevier Ltd; 2018. doi:10.1016/j.renene.2018.07.058.</w:t>
      </w:r>
    </w:p>
    <w:p w14:paraId="3190EEEE" w14:textId="77777777" w:rsidR="00A01E5E" w:rsidRPr="00A01E5E" w:rsidRDefault="00A01E5E" w:rsidP="00A01E5E">
      <w:pPr>
        <w:widowControl w:val="0"/>
        <w:autoSpaceDE w:val="0"/>
        <w:autoSpaceDN w:val="0"/>
        <w:adjustRightInd w:val="0"/>
        <w:ind w:left="640" w:hanging="640"/>
        <w:rPr>
          <w:rFonts w:ascii="Calibri" w:hAnsi="Calibri" w:cs="Calibri"/>
          <w:noProof/>
          <w:szCs w:val="24"/>
        </w:rPr>
      </w:pPr>
      <w:r w:rsidRPr="00A01E5E">
        <w:rPr>
          <w:rFonts w:ascii="Calibri" w:hAnsi="Calibri" w:cs="Calibri"/>
          <w:noProof/>
          <w:szCs w:val="24"/>
        </w:rPr>
        <w:t>[5]</w:t>
      </w:r>
      <w:r w:rsidRPr="00A01E5E">
        <w:rPr>
          <w:rFonts w:ascii="Calibri" w:hAnsi="Calibri" w:cs="Calibri"/>
          <w:noProof/>
          <w:szCs w:val="24"/>
        </w:rPr>
        <w:tab/>
        <w:t>Finn P, Fitzpatrick C, Connolly D, Leahy M, Relihan L. Facilitation of renewable electricity using price based appliance control in Ireland’s electricity market. Energy 2011;36:2952–60. doi:10.1016/j.energy.2011.02.038.</w:t>
      </w:r>
    </w:p>
    <w:p w14:paraId="202AFF9F" w14:textId="77777777" w:rsidR="00A01E5E" w:rsidRPr="00A01E5E" w:rsidRDefault="00A01E5E" w:rsidP="00A01E5E">
      <w:pPr>
        <w:widowControl w:val="0"/>
        <w:autoSpaceDE w:val="0"/>
        <w:autoSpaceDN w:val="0"/>
        <w:adjustRightInd w:val="0"/>
        <w:ind w:left="640" w:hanging="640"/>
        <w:rPr>
          <w:rFonts w:ascii="Calibri" w:hAnsi="Calibri" w:cs="Calibri"/>
          <w:noProof/>
          <w:szCs w:val="24"/>
        </w:rPr>
      </w:pPr>
      <w:r w:rsidRPr="00A01E5E">
        <w:rPr>
          <w:rFonts w:ascii="Calibri" w:hAnsi="Calibri" w:cs="Calibri"/>
          <w:noProof/>
          <w:szCs w:val="24"/>
        </w:rPr>
        <w:t>[6]</w:t>
      </w:r>
      <w:r w:rsidRPr="00A01E5E">
        <w:rPr>
          <w:rFonts w:ascii="Calibri" w:hAnsi="Calibri" w:cs="Calibri"/>
          <w:noProof/>
          <w:szCs w:val="24"/>
        </w:rPr>
        <w:tab/>
        <w:t>Energy Exemplar » Energy Market Modelling » PLEXOS® Integrated Energy Model n.d. https://energyexemplar.com/software/plexos-desktop-edition/ (accessed August 23, 2017).</w:t>
      </w:r>
    </w:p>
    <w:p w14:paraId="2C9D4477" w14:textId="77777777" w:rsidR="00A01E5E" w:rsidRPr="00A01E5E" w:rsidRDefault="00A01E5E" w:rsidP="00A01E5E">
      <w:pPr>
        <w:widowControl w:val="0"/>
        <w:autoSpaceDE w:val="0"/>
        <w:autoSpaceDN w:val="0"/>
        <w:adjustRightInd w:val="0"/>
        <w:ind w:left="640" w:hanging="640"/>
        <w:rPr>
          <w:rFonts w:ascii="Calibri" w:hAnsi="Calibri" w:cs="Calibri"/>
          <w:noProof/>
          <w:szCs w:val="24"/>
        </w:rPr>
      </w:pPr>
      <w:r w:rsidRPr="00A01E5E">
        <w:rPr>
          <w:rFonts w:ascii="Calibri" w:hAnsi="Calibri" w:cs="Calibri"/>
          <w:noProof/>
          <w:szCs w:val="24"/>
        </w:rPr>
        <w:t>[7]</w:t>
      </w:r>
      <w:r w:rsidRPr="00A01E5E">
        <w:rPr>
          <w:rFonts w:ascii="Calibri" w:hAnsi="Calibri" w:cs="Calibri"/>
          <w:noProof/>
          <w:szCs w:val="24"/>
        </w:rPr>
        <w:tab/>
        <w:t>Foley AM, Ó Gallachóir BP, Hur J, Baldick R, McKeogh EJ. A strategic review of electricity systems models. Energy 2010;35:4522–30. doi:10.1016/j.energy.2010.03.057.</w:t>
      </w:r>
    </w:p>
    <w:p w14:paraId="28584A92" w14:textId="77777777" w:rsidR="00A01E5E" w:rsidRPr="00A01E5E" w:rsidRDefault="00A01E5E" w:rsidP="00A01E5E">
      <w:pPr>
        <w:widowControl w:val="0"/>
        <w:autoSpaceDE w:val="0"/>
        <w:autoSpaceDN w:val="0"/>
        <w:adjustRightInd w:val="0"/>
        <w:ind w:left="640" w:hanging="640"/>
        <w:rPr>
          <w:rFonts w:ascii="Calibri" w:hAnsi="Calibri" w:cs="Calibri"/>
          <w:noProof/>
          <w:szCs w:val="24"/>
        </w:rPr>
      </w:pPr>
      <w:r w:rsidRPr="00A01E5E">
        <w:rPr>
          <w:rFonts w:ascii="Calibri" w:hAnsi="Calibri" w:cs="Calibri"/>
          <w:noProof/>
          <w:szCs w:val="24"/>
        </w:rPr>
        <w:t>[8]</w:t>
      </w:r>
      <w:r w:rsidRPr="00A01E5E">
        <w:rPr>
          <w:rFonts w:ascii="Calibri" w:hAnsi="Calibri" w:cs="Calibri"/>
          <w:noProof/>
          <w:szCs w:val="24"/>
        </w:rPr>
        <w:tab/>
        <w:t>Ahern EP, Deane P, Persson T, Ó Gallachóir B, Murphy JD. A perspective on the potential role of renewable gas in a smart energy island system. Renew Energy 2015;78:648–56. doi:10.1016/j.renene.2015.01.048.</w:t>
      </w:r>
    </w:p>
    <w:p w14:paraId="5E318580" w14:textId="77777777" w:rsidR="00A01E5E" w:rsidRPr="00A01E5E" w:rsidRDefault="00A01E5E" w:rsidP="00A01E5E">
      <w:pPr>
        <w:widowControl w:val="0"/>
        <w:autoSpaceDE w:val="0"/>
        <w:autoSpaceDN w:val="0"/>
        <w:adjustRightInd w:val="0"/>
        <w:ind w:left="640" w:hanging="640"/>
        <w:rPr>
          <w:rFonts w:ascii="Calibri" w:hAnsi="Calibri" w:cs="Calibri"/>
          <w:noProof/>
        </w:rPr>
      </w:pPr>
      <w:r w:rsidRPr="00A01E5E">
        <w:rPr>
          <w:rFonts w:ascii="Calibri" w:hAnsi="Calibri" w:cs="Calibri"/>
          <w:noProof/>
          <w:szCs w:val="24"/>
        </w:rPr>
        <w:t>[9]</w:t>
      </w:r>
      <w:r w:rsidRPr="00A01E5E">
        <w:rPr>
          <w:rFonts w:ascii="Calibri" w:hAnsi="Calibri" w:cs="Calibri"/>
          <w:noProof/>
          <w:szCs w:val="24"/>
        </w:rPr>
        <w:tab/>
        <w:t>Welsch M, Deane P, Howells M, O Gallachóir B, Rogan F, Bazilian M, et al. Incorporating flexibility requirements into long-term energy system models - A case study on high levels of renewable electricity penetration in Ireland. Appl Energy 2014;135:600–15. doi:10.1016/j.apenergy.2014.08.072.</w:t>
      </w:r>
    </w:p>
    <w:p w14:paraId="3E866E68" w14:textId="43FE0618" w:rsidR="00E15CD5" w:rsidRPr="004A42A3" w:rsidRDefault="00E15CD5" w:rsidP="004A42A3">
      <w:r>
        <w:fldChar w:fldCharType="end"/>
      </w:r>
    </w:p>
    <w:sectPr w:rsidR="00E15CD5" w:rsidRPr="004A42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D1CA8"/>
    <w:multiLevelType w:val="multilevel"/>
    <w:tmpl w:val="7C7AB6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754ACC"/>
    <w:multiLevelType w:val="hybridMultilevel"/>
    <w:tmpl w:val="E67A6204"/>
    <w:lvl w:ilvl="0" w:tplc="A0766A64">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2AC4D0B"/>
    <w:multiLevelType w:val="hybridMultilevel"/>
    <w:tmpl w:val="F4ACF6D0"/>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0FE06BF"/>
    <w:multiLevelType w:val="hybridMultilevel"/>
    <w:tmpl w:val="30FCB3A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FCE2B36"/>
    <w:multiLevelType w:val="hybridMultilevel"/>
    <w:tmpl w:val="37401178"/>
    <w:lvl w:ilvl="0" w:tplc="7368D426">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7723497E"/>
    <w:multiLevelType w:val="hybridMultilevel"/>
    <w:tmpl w:val="C9345E06"/>
    <w:lvl w:ilvl="0" w:tplc="FBC41BEE">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2E"/>
    <w:rsid w:val="000044FF"/>
    <w:rsid w:val="00004562"/>
    <w:rsid w:val="0003783C"/>
    <w:rsid w:val="0004310D"/>
    <w:rsid w:val="0004665E"/>
    <w:rsid w:val="00054C68"/>
    <w:rsid w:val="00060480"/>
    <w:rsid w:val="00064CE9"/>
    <w:rsid w:val="00066EB8"/>
    <w:rsid w:val="0007217A"/>
    <w:rsid w:val="000756DC"/>
    <w:rsid w:val="00092759"/>
    <w:rsid w:val="000A2BA4"/>
    <w:rsid w:val="000B5828"/>
    <w:rsid w:val="000C3F86"/>
    <w:rsid w:val="000D138C"/>
    <w:rsid w:val="000D3058"/>
    <w:rsid w:val="000D5FF0"/>
    <w:rsid w:val="000E164D"/>
    <w:rsid w:val="000F18D3"/>
    <w:rsid w:val="00103012"/>
    <w:rsid w:val="00110318"/>
    <w:rsid w:val="00123FDD"/>
    <w:rsid w:val="001312BC"/>
    <w:rsid w:val="00132C6E"/>
    <w:rsid w:val="001454ED"/>
    <w:rsid w:val="001503F8"/>
    <w:rsid w:val="00163B78"/>
    <w:rsid w:val="001650CC"/>
    <w:rsid w:val="0018308A"/>
    <w:rsid w:val="00191606"/>
    <w:rsid w:val="00193888"/>
    <w:rsid w:val="00196C30"/>
    <w:rsid w:val="001C6B86"/>
    <w:rsid w:val="001E22FA"/>
    <w:rsid w:val="00202A88"/>
    <w:rsid w:val="0021574B"/>
    <w:rsid w:val="00220A08"/>
    <w:rsid w:val="00222E69"/>
    <w:rsid w:val="0022599B"/>
    <w:rsid w:val="00267A73"/>
    <w:rsid w:val="00286BDF"/>
    <w:rsid w:val="002C0D5F"/>
    <w:rsid w:val="002D07CF"/>
    <w:rsid w:val="002E4018"/>
    <w:rsid w:val="002E7852"/>
    <w:rsid w:val="003029D7"/>
    <w:rsid w:val="00312E22"/>
    <w:rsid w:val="00315D8B"/>
    <w:rsid w:val="00316C89"/>
    <w:rsid w:val="00321C0E"/>
    <w:rsid w:val="0033407C"/>
    <w:rsid w:val="003565F0"/>
    <w:rsid w:val="00376D8C"/>
    <w:rsid w:val="00380159"/>
    <w:rsid w:val="00387CD9"/>
    <w:rsid w:val="003C148E"/>
    <w:rsid w:val="003D05FF"/>
    <w:rsid w:val="003D1391"/>
    <w:rsid w:val="003F1EDC"/>
    <w:rsid w:val="003F6B4C"/>
    <w:rsid w:val="00401707"/>
    <w:rsid w:val="004024C9"/>
    <w:rsid w:val="00402B52"/>
    <w:rsid w:val="00412B9E"/>
    <w:rsid w:val="004172AA"/>
    <w:rsid w:val="00423AAC"/>
    <w:rsid w:val="00427210"/>
    <w:rsid w:val="00437896"/>
    <w:rsid w:val="004446A4"/>
    <w:rsid w:val="0045047C"/>
    <w:rsid w:val="00473F1B"/>
    <w:rsid w:val="004954FC"/>
    <w:rsid w:val="004A42A3"/>
    <w:rsid w:val="004B10D0"/>
    <w:rsid w:val="004B163C"/>
    <w:rsid w:val="004B6458"/>
    <w:rsid w:val="004C2D62"/>
    <w:rsid w:val="004C3760"/>
    <w:rsid w:val="004D00E0"/>
    <w:rsid w:val="004D7275"/>
    <w:rsid w:val="00515147"/>
    <w:rsid w:val="00526A44"/>
    <w:rsid w:val="005418CD"/>
    <w:rsid w:val="0055254B"/>
    <w:rsid w:val="00562567"/>
    <w:rsid w:val="005825D9"/>
    <w:rsid w:val="00586383"/>
    <w:rsid w:val="00592CCF"/>
    <w:rsid w:val="005A4BC1"/>
    <w:rsid w:val="005A515A"/>
    <w:rsid w:val="005B4D84"/>
    <w:rsid w:val="00636FEA"/>
    <w:rsid w:val="00637135"/>
    <w:rsid w:val="00652CE7"/>
    <w:rsid w:val="00652E56"/>
    <w:rsid w:val="006559E2"/>
    <w:rsid w:val="00677692"/>
    <w:rsid w:val="006B4D69"/>
    <w:rsid w:val="006C175E"/>
    <w:rsid w:val="006D260F"/>
    <w:rsid w:val="006D443E"/>
    <w:rsid w:val="006E0E9A"/>
    <w:rsid w:val="006E0F41"/>
    <w:rsid w:val="006E36FF"/>
    <w:rsid w:val="006E66DB"/>
    <w:rsid w:val="006F0994"/>
    <w:rsid w:val="006F406F"/>
    <w:rsid w:val="00701CE2"/>
    <w:rsid w:val="00706471"/>
    <w:rsid w:val="00716114"/>
    <w:rsid w:val="00717BB5"/>
    <w:rsid w:val="0073433E"/>
    <w:rsid w:val="007402BD"/>
    <w:rsid w:val="0074774A"/>
    <w:rsid w:val="007662F4"/>
    <w:rsid w:val="0078105E"/>
    <w:rsid w:val="00784419"/>
    <w:rsid w:val="007B5679"/>
    <w:rsid w:val="007C1E23"/>
    <w:rsid w:val="007D3D41"/>
    <w:rsid w:val="00801DFE"/>
    <w:rsid w:val="00806246"/>
    <w:rsid w:val="00847467"/>
    <w:rsid w:val="008506AA"/>
    <w:rsid w:val="00853908"/>
    <w:rsid w:val="00860724"/>
    <w:rsid w:val="00864392"/>
    <w:rsid w:val="00877D54"/>
    <w:rsid w:val="00883D8A"/>
    <w:rsid w:val="00884094"/>
    <w:rsid w:val="00890313"/>
    <w:rsid w:val="008B01A8"/>
    <w:rsid w:val="008B1B0A"/>
    <w:rsid w:val="008B588D"/>
    <w:rsid w:val="008B723D"/>
    <w:rsid w:val="008C65D4"/>
    <w:rsid w:val="008E46A1"/>
    <w:rsid w:val="008F4508"/>
    <w:rsid w:val="00902BA8"/>
    <w:rsid w:val="00920108"/>
    <w:rsid w:val="009225DF"/>
    <w:rsid w:val="00933A53"/>
    <w:rsid w:val="00936E33"/>
    <w:rsid w:val="00962F4F"/>
    <w:rsid w:val="00982D39"/>
    <w:rsid w:val="00985112"/>
    <w:rsid w:val="00987E93"/>
    <w:rsid w:val="0099206B"/>
    <w:rsid w:val="00995C8C"/>
    <w:rsid w:val="009A788B"/>
    <w:rsid w:val="009B0B28"/>
    <w:rsid w:val="009D5D3C"/>
    <w:rsid w:val="009E1454"/>
    <w:rsid w:val="009F3473"/>
    <w:rsid w:val="00A01E5E"/>
    <w:rsid w:val="00A153E0"/>
    <w:rsid w:val="00A20AEA"/>
    <w:rsid w:val="00A309E0"/>
    <w:rsid w:val="00A30CB6"/>
    <w:rsid w:val="00A37DF3"/>
    <w:rsid w:val="00A61287"/>
    <w:rsid w:val="00A66B59"/>
    <w:rsid w:val="00A70C24"/>
    <w:rsid w:val="00A73AF0"/>
    <w:rsid w:val="00A7535C"/>
    <w:rsid w:val="00A75636"/>
    <w:rsid w:val="00AA61A7"/>
    <w:rsid w:val="00AD047D"/>
    <w:rsid w:val="00AD2A17"/>
    <w:rsid w:val="00AD2C9B"/>
    <w:rsid w:val="00AD4390"/>
    <w:rsid w:val="00AD4A72"/>
    <w:rsid w:val="00AD63CD"/>
    <w:rsid w:val="00AE67AE"/>
    <w:rsid w:val="00AF3011"/>
    <w:rsid w:val="00B001B8"/>
    <w:rsid w:val="00B12834"/>
    <w:rsid w:val="00B15093"/>
    <w:rsid w:val="00B21981"/>
    <w:rsid w:val="00B363A8"/>
    <w:rsid w:val="00B44730"/>
    <w:rsid w:val="00B5643F"/>
    <w:rsid w:val="00B81556"/>
    <w:rsid w:val="00B9420E"/>
    <w:rsid w:val="00B94A0E"/>
    <w:rsid w:val="00BA16CE"/>
    <w:rsid w:val="00BB5949"/>
    <w:rsid w:val="00BB67CB"/>
    <w:rsid w:val="00BC3789"/>
    <w:rsid w:val="00BE0F8D"/>
    <w:rsid w:val="00BE58A8"/>
    <w:rsid w:val="00BE59C9"/>
    <w:rsid w:val="00BE6F2D"/>
    <w:rsid w:val="00BF39F2"/>
    <w:rsid w:val="00BF3C54"/>
    <w:rsid w:val="00C00AFC"/>
    <w:rsid w:val="00C10709"/>
    <w:rsid w:val="00C15AEE"/>
    <w:rsid w:val="00C215AC"/>
    <w:rsid w:val="00C27ACD"/>
    <w:rsid w:val="00C27DC8"/>
    <w:rsid w:val="00C34255"/>
    <w:rsid w:val="00C36E0D"/>
    <w:rsid w:val="00C422B9"/>
    <w:rsid w:val="00C46748"/>
    <w:rsid w:val="00C612AA"/>
    <w:rsid w:val="00C81891"/>
    <w:rsid w:val="00C82992"/>
    <w:rsid w:val="00C9324A"/>
    <w:rsid w:val="00CA36F7"/>
    <w:rsid w:val="00CB41DE"/>
    <w:rsid w:val="00CB51FB"/>
    <w:rsid w:val="00CF72FC"/>
    <w:rsid w:val="00D16DB6"/>
    <w:rsid w:val="00D270B2"/>
    <w:rsid w:val="00D404FA"/>
    <w:rsid w:val="00D44E00"/>
    <w:rsid w:val="00D46731"/>
    <w:rsid w:val="00DA0B86"/>
    <w:rsid w:val="00DA50E8"/>
    <w:rsid w:val="00DA594A"/>
    <w:rsid w:val="00DB6C4A"/>
    <w:rsid w:val="00DB70CE"/>
    <w:rsid w:val="00DC0AF1"/>
    <w:rsid w:val="00DC2498"/>
    <w:rsid w:val="00DE38C6"/>
    <w:rsid w:val="00DE54F5"/>
    <w:rsid w:val="00DF28F4"/>
    <w:rsid w:val="00E115EC"/>
    <w:rsid w:val="00E15CD5"/>
    <w:rsid w:val="00E26FD8"/>
    <w:rsid w:val="00E34B95"/>
    <w:rsid w:val="00E354D8"/>
    <w:rsid w:val="00E35E59"/>
    <w:rsid w:val="00E42ECD"/>
    <w:rsid w:val="00E456F7"/>
    <w:rsid w:val="00E463E0"/>
    <w:rsid w:val="00E52C37"/>
    <w:rsid w:val="00E536B1"/>
    <w:rsid w:val="00EB1911"/>
    <w:rsid w:val="00EC1B2E"/>
    <w:rsid w:val="00EC7C74"/>
    <w:rsid w:val="00ED03CC"/>
    <w:rsid w:val="00ED0688"/>
    <w:rsid w:val="00ED1AEB"/>
    <w:rsid w:val="00EF397F"/>
    <w:rsid w:val="00EF4DBB"/>
    <w:rsid w:val="00F0004A"/>
    <w:rsid w:val="00F032F6"/>
    <w:rsid w:val="00F23E9B"/>
    <w:rsid w:val="00F25C40"/>
    <w:rsid w:val="00F30B2F"/>
    <w:rsid w:val="00F34A1C"/>
    <w:rsid w:val="00F554D4"/>
    <w:rsid w:val="00F709AB"/>
    <w:rsid w:val="00F70A29"/>
    <w:rsid w:val="00F73448"/>
    <w:rsid w:val="00F82AF0"/>
    <w:rsid w:val="00F84823"/>
    <w:rsid w:val="00FA3748"/>
    <w:rsid w:val="00FA3A08"/>
    <w:rsid w:val="00FB2454"/>
    <w:rsid w:val="00FB24CD"/>
    <w:rsid w:val="00FE3428"/>
    <w:rsid w:val="00FE64C4"/>
    <w:rsid w:val="395432F9"/>
    <w:rsid w:val="475C5B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1846"/>
  <w15:chartTrackingRefBased/>
  <w15:docId w15:val="{44A7349D-C8E4-42E8-BA4B-B29F7DD6D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EDC"/>
    <w:pPr>
      <w:spacing w:line="360" w:lineRule="auto"/>
    </w:pPr>
    <w:rPr>
      <w:sz w:val="24"/>
    </w:rPr>
  </w:style>
  <w:style w:type="paragraph" w:styleId="Heading1">
    <w:name w:val="heading 1"/>
    <w:basedOn w:val="Normal"/>
    <w:next w:val="Normal"/>
    <w:link w:val="Heading1Char"/>
    <w:uiPriority w:val="9"/>
    <w:qFormat/>
    <w:rsid w:val="003F1E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F1E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1EDC"/>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ED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F1E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F1EDC"/>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3F1EDC"/>
    <w:pPr>
      <w:ind w:left="720"/>
      <w:contextualSpacing/>
    </w:pPr>
  </w:style>
  <w:style w:type="character" w:styleId="CommentReference">
    <w:name w:val="annotation reference"/>
    <w:basedOn w:val="DefaultParagraphFont"/>
    <w:uiPriority w:val="99"/>
    <w:semiHidden/>
    <w:unhideWhenUsed/>
    <w:rsid w:val="003F1EDC"/>
    <w:rPr>
      <w:sz w:val="16"/>
      <w:szCs w:val="16"/>
    </w:rPr>
  </w:style>
  <w:style w:type="paragraph" w:styleId="CommentText">
    <w:name w:val="annotation text"/>
    <w:basedOn w:val="Normal"/>
    <w:link w:val="CommentTextChar"/>
    <w:uiPriority w:val="99"/>
    <w:unhideWhenUsed/>
    <w:rsid w:val="003F1EDC"/>
    <w:pPr>
      <w:spacing w:before="120" w:after="120" w:line="240" w:lineRule="auto"/>
    </w:pPr>
    <w:rPr>
      <w:color w:val="000000" w:themeColor="text1"/>
      <w:sz w:val="20"/>
      <w:szCs w:val="20"/>
    </w:rPr>
  </w:style>
  <w:style w:type="character" w:customStyle="1" w:styleId="CommentTextChar">
    <w:name w:val="Comment Text Char"/>
    <w:basedOn w:val="DefaultParagraphFont"/>
    <w:link w:val="CommentText"/>
    <w:uiPriority w:val="99"/>
    <w:rsid w:val="003F1EDC"/>
    <w:rPr>
      <w:color w:val="000000" w:themeColor="text1"/>
      <w:sz w:val="20"/>
      <w:szCs w:val="20"/>
    </w:rPr>
  </w:style>
  <w:style w:type="paragraph" w:styleId="Caption">
    <w:name w:val="caption"/>
    <w:basedOn w:val="Normal"/>
    <w:next w:val="Normal"/>
    <w:uiPriority w:val="35"/>
    <w:unhideWhenUsed/>
    <w:qFormat/>
    <w:rsid w:val="003F1EDC"/>
    <w:pPr>
      <w:spacing w:after="200" w:line="240" w:lineRule="auto"/>
      <w:jc w:val="center"/>
    </w:pPr>
    <w:rPr>
      <w:b/>
      <w:i/>
      <w:iCs/>
      <w:sz w:val="22"/>
      <w:szCs w:val="18"/>
    </w:rPr>
  </w:style>
  <w:style w:type="paragraph" w:styleId="BalloonText">
    <w:name w:val="Balloon Text"/>
    <w:basedOn w:val="Normal"/>
    <w:link w:val="BalloonTextChar"/>
    <w:uiPriority w:val="99"/>
    <w:semiHidden/>
    <w:unhideWhenUsed/>
    <w:rsid w:val="003F1E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1EDC"/>
    <w:rPr>
      <w:rFonts w:ascii="Segoe UI" w:hAnsi="Segoe UI" w:cs="Segoe UI"/>
      <w:sz w:val="18"/>
      <w:szCs w:val="18"/>
    </w:rPr>
  </w:style>
  <w:style w:type="character" w:styleId="Hyperlink">
    <w:name w:val="Hyperlink"/>
    <w:basedOn w:val="DefaultParagraphFont"/>
    <w:uiPriority w:val="99"/>
    <w:semiHidden/>
    <w:unhideWhenUsed/>
    <w:rsid w:val="00784419"/>
    <w:rPr>
      <w:color w:val="0000FF"/>
      <w:u w:val="single"/>
    </w:rPr>
  </w:style>
  <w:style w:type="character" w:styleId="FollowedHyperlink">
    <w:name w:val="FollowedHyperlink"/>
    <w:basedOn w:val="DefaultParagraphFont"/>
    <w:uiPriority w:val="99"/>
    <w:semiHidden/>
    <w:unhideWhenUsed/>
    <w:rsid w:val="00784419"/>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DA594A"/>
    <w:pPr>
      <w:spacing w:before="0" w:after="160"/>
    </w:pPr>
    <w:rPr>
      <w:b/>
      <w:bCs/>
      <w:color w:val="auto"/>
    </w:rPr>
  </w:style>
  <w:style w:type="character" w:customStyle="1" w:styleId="CommentSubjectChar">
    <w:name w:val="Comment Subject Char"/>
    <w:basedOn w:val="CommentTextChar"/>
    <w:link w:val="CommentSubject"/>
    <w:uiPriority w:val="99"/>
    <w:semiHidden/>
    <w:rsid w:val="00DA594A"/>
    <w:rPr>
      <w:b/>
      <w:bCs/>
      <w:color w:val="000000" w:themeColor="text1"/>
      <w:sz w:val="20"/>
      <w:szCs w:val="20"/>
    </w:rPr>
  </w:style>
  <w:style w:type="table" w:styleId="TableGrid">
    <w:name w:val="Table Grid"/>
    <w:basedOn w:val="TableNormal"/>
    <w:uiPriority w:val="39"/>
    <w:rsid w:val="00123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626479FD78C44C961CB91816675470" ma:contentTypeVersion="11" ma:contentTypeDescription="Create a new document." ma:contentTypeScope="" ma:versionID="be46be0385f795546636837e20b4385a">
  <xsd:schema xmlns:xsd="http://www.w3.org/2001/XMLSchema" xmlns:xs="http://www.w3.org/2001/XMLSchema" xmlns:p="http://schemas.microsoft.com/office/2006/metadata/properties" xmlns:ns3="285b1c0a-d46e-451f-8329-4ece381baae6" xmlns:ns4="d1ac91c4-9f02-4eca-84e8-8beb613dd474" targetNamespace="http://schemas.microsoft.com/office/2006/metadata/properties" ma:root="true" ma:fieldsID="9f20a54c83e4d5b395423eef96c4c3d4" ns3:_="" ns4:_="">
    <xsd:import namespace="285b1c0a-d46e-451f-8329-4ece381baae6"/>
    <xsd:import namespace="d1ac91c4-9f02-4eca-84e8-8beb613dd47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b1c0a-d46e-451f-8329-4ece381baae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ac91c4-9f02-4eca-84e8-8beb613dd47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41D0D-38CE-4B4B-BE67-A800340E603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F869AC-9306-42EB-A7BB-7DA143D3E48E}">
  <ds:schemaRefs>
    <ds:schemaRef ds:uri="http://schemas.microsoft.com/sharepoint/v3/contenttype/forms"/>
  </ds:schemaRefs>
</ds:datastoreItem>
</file>

<file path=customXml/itemProps3.xml><?xml version="1.0" encoding="utf-8"?>
<ds:datastoreItem xmlns:ds="http://schemas.openxmlformats.org/officeDocument/2006/customXml" ds:itemID="{84FB02F5-4B4D-483B-A38B-AC8B987E3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5b1c0a-d46e-451f-8329-4ece381baae6"/>
    <ds:schemaRef ds:uri="d1ac91c4-9f02-4eca-84e8-8beb613dd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940637-5C37-4FAC-B0FE-926EB171B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9</Pages>
  <Words>5422</Words>
  <Characters>30906</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McDonagh, Shane</dc:creator>
  <cp:keywords/>
  <dc:description/>
  <cp:lastModifiedBy>McDonagh, Shane</cp:lastModifiedBy>
  <cp:revision>264</cp:revision>
  <dcterms:created xsi:type="dcterms:W3CDTF">2019-08-07T14:55:00Z</dcterms:created>
  <dcterms:modified xsi:type="dcterms:W3CDTF">2020-03-06T20:49:00Z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0x01010054626479FD78C44C961CB91816675470</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http://www.zotero.org/styles/applied-energy</vt:lpwstr>
  </property>
  <property fmtid="{D5CDD505-2E9C-101B-9397-08002B2CF9AE}" pid="10" name="Mendeley Recent Style Name 3_1">
    <vt:lpwstr>Applied Energy</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http://www.zotero.org/styles/energy-conversion-and-management</vt:lpwstr>
  </property>
  <property fmtid="{D5CDD505-2E9C-101B-9397-08002B2CF9AE}" pid="14" name="Mendeley Recent Style Name 5_1">
    <vt:lpwstr>Energy Conversion and Management</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http://www.zotero.org/styles/renewable-energy</vt:lpwstr>
  </property>
  <property fmtid="{D5CDD505-2E9C-101B-9397-08002B2CF9AE}" pid="22" name="Mendeley Recent Style Name 9_1">
    <vt:lpwstr>Renewable Energy</vt:lpwstr>
  </property>
  <property fmtid="{D5CDD505-2E9C-101B-9397-08002B2CF9AE}" pid="23" name="Mendeley Document_1">
    <vt:lpwstr>True</vt:lpwstr>
  </property>
  <property fmtid="{D5CDD505-2E9C-101B-9397-08002B2CF9AE}" pid="24" name="Mendeley Unique User Id_1">
    <vt:lpwstr>a28249f1-16fb-3b86-b7e2-c064f607c77e</vt:lpwstr>
  </property>
  <property fmtid="{D5CDD505-2E9C-101B-9397-08002B2CF9AE}" pid="25" name="Mendeley Citation Style_1">
    <vt:lpwstr>http://www.zotero.org/styles/energy-conversion-and-management</vt:lpwstr>
  </property>
</Properties>
</file>