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5ACD7" w14:textId="40C0099C" w:rsidR="00C73128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Appendix </w:t>
      </w:r>
      <w:r w:rsidR="00D92718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Cases Provided to students:</w:t>
      </w:r>
    </w:p>
    <w:p w14:paraId="0F84894D" w14:textId="63330108" w:rsidR="00C73128" w:rsidRDefault="00C73128" w:rsidP="00C7312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Case 1: Introducing PK-</w:t>
      </w:r>
      <w:proofErr w:type="spellStart"/>
      <w:r>
        <w:rPr>
          <w:rFonts w:ascii="Times New Roman" w:hAnsi="Times New Roman" w:cs="Times New Roman"/>
          <w:b/>
          <w:bCs/>
        </w:rPr>
        <w:t>SIMple</w:t>
      </w:r>
      <w:proofErr w:type="spellEnd"/>
      <w:r>
        <w:rPr>
          <w:rFonts w:ascii="Times New Roman" w:hAnsi="Times New Roman" w:cs="Times New Roman"/>
          <w:b/>
          <w:bCs/>
        </w:rPr>
        <w:t xml:space="preserve"> with Benzylpenicillin</w:t>
      </w:r>
      <w:r w:rsidR="000961CB">
        <w:rPr>
          <w:rFonts w:ascii="Times New Roman" w:hAnsi="Times New Roman" w:cs="Times New Roman"/>
          <w:b/>
          <w:bCs/>
        </w:rPr>
        <w:t xml:space="preserve"> (Learning Outcomes 5 and 8)</w:t>
      </w:r>
    </w:p>
    <w:p w14:paraId="3717E543" w14:textId="3A3E4456" w:rsidR="00443B3A" w:rsidRPr="00443B3A" w:rsidRDefault="00443B3A" w:rsidP="0047647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</w:t>
      </w:r>
      <w:r w:rsidR="00476479">
        <w:rPr>
          <w:rFonts w:ascii="Times New Roman" w:hAnsi="Times New Roman" w:cs="Times New Roman"/>
        </w:rPr>
        <w:t xml:space="preserve">s: </w:t>
      </w:r>
      <w:hyperlink r:id="rId5" w:tgtFrame="_blank" w:tooltip="Persistent link using digital object identifier" w:history="1">
        <w:r w:rsidR="00476479" w:rsidRPr="00476479">
          <w:rPr>
            <w:rStyle w:val="Hyperlink"/>
            <w:rFonts w:ascii="Times New Roman" w:hAnsi="Times New Roman" w:cs="Times New Roman"/>
          </w:rPr>
          <w:t>https://doi.org/10.1016/j.ejps.2014.04.004</w:t>
        </w:r>
      </w:hyperlink>
      <w:r w:rsidR="00127AA5">
        <w:rPr>
          <w:rFonts w:ascii="Times New Roman" w:hAnsi="Times New Roman" w:cs="Times New Roman"/>
        </w:rPr>
        <w:t xml:space="preserve"> </w:t>
      </w:r>
      <w:r w:rsidR="00476479">
        <w:rPr>
          <w:rFonts w:ascii="Times New Roman" w:hAnsi="Times New Roman" w:cs="Times New Roman"/>
        </w:rPr>
        <w:t xml:space="preserve">, </w:t>
      </w:r>
      <w:hyperlink r:id="rId6" w:history="1">
        <w:r w:rsidR="00476479" w:rsidRPr="001918DC">
          <w:rPr>
            <w:rStyle w:val="Hyperlink"/>
            <w:rFonts w:ascii="Times New Roman" w:hAnsi="Times New Roman" w:cs="Times New Roman"/>
          </w:rPr>
          <w:t>https://assets.hpra.ie/products/Human/39718/Licence_PA2059-085-002_06102025124547.pdf</w:t>
        </w:r>
      </w:hyperlink>
      <w:r w:rsidR="00476479">
        <w:rPr>
          <w:rFonts w:ascii="Times New Roman" w:hAnsi="Times New Roman" w:cs="Times New Roman"/>
        </w:rPr>
        <w:t xml:space="preserve"> </w:t>
      </w:r>
    </w:p>
    <w:p w14:paraId="6A94169A" w14:textId="77777777" w:rsidR="00C73128" w:rsidRPr="00077C3A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 xml:space="preserve">A GP gives an 80kg patient 1200mg of benzylpenicillin sodium as an IV bolus for severe community-acquired pneumonia. Calculate the </w:t>
      </w:r>
      <w:r w:rsidRPr="00077C3A">
        <w:rPr>
          <w:rFonts w:ascii="Times New Roman" w:hAnsi="Times New Roman" w:cs="Times New Roman"/>
          <w:b/>
          <w:bCs/>
        </w:rPr>
        <w:t>exposure (AUC)</w:t>
      </w:r>
      <w:r w:rsidRPr="00077C3A">
        <w:rPr>
          <w:rFonts w:ascii="Times New Roman" w:hAnsi="Times New Roman" w:cs="Times New Roman"/>
        </w:rPr>
        <w:t xml:space="preserve"> to benzylpenicillin over 4 hours given the following:</w:t>
      </w:r>
    </w:p>
    <w:p w14:paraId="4E3404A9" w14:textId="77777777" w:rsidR="00C73128" w:rsidRPr="00077C3A" w:rsidRDefault="00C73128" w:rsidP="00C73128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>Molecular weight of benzylpenicillin: 334.4 g/mol</w:t>
      </w:r>
    </w:p>
    <w:p w14:paraId="3CA3A4C1" w14:textId="77777777" w:rsidR="00C73128" w:rsidRPr="00077C3A" w:rsidRDefault="00C73128" w:rsidP="00C73128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>Molecular weight of benzylpenicillin sodium: 356.4 g/mol</w:t>
      </w:r>
    </w:p>
    <w:p w14:paraId="6CF46663" w14:textId="77777777" w:rsidR="00C73128" w:rsidRPr="00077C3A" w:rsidRDefault="00C73128" w:rsidP="00C73128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>Volume of distribution: 0.35 L/kg</w:t>
      </w:r>
    </w:p>
    <w:p w14:paraId="7708E1D7" w14:textId="77777777" w:rsidR="00C73128" w:rsidRDefault="00C73128" w:rsidP="00C73128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>Half</w:t>
      </w:r>
      <w:r>
        <w:rPr>
          <w:rFonts w:ascii="Times New Roman" w:hAnsi="Times New Roman" w:cs="Times New Roman"/>
        </w:rPr>
        <w:t>-</w:t>
      </w:r>
      <w:r w:rsidRPr="00077C3A">
        <w:rPr>
          <w:rFonts w:ascii="Times New Roman" w:hAnsi="Times New Roman" w:cs="Times New Roman"/>
        </w:rPr>
        <w:t>life: 30 minutes</w:t>
      </w:r>
    </w:p>
    <w:p w14:paraId="2ACCFB4E" w14:textId="77777777" w:rsidR="00C73128" w:rsidRPr="00077C3A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>55% of benzylpenicillin is plasma protein bound.</w:t>
      </w:r>
    </w:p>
    <w:p w14:paraId="14D19F1A" w14:textId="77777777" w:rsidR="00C73128" w:rsidRPr="00077C3A" w:rsidRDefault="00C73128" w:rsidP="00C73128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>Given that the total volume of distribution is known, estimate the fraction unbound in tissue with the slider. Use the default plasma and tissue volumes.</w:t>
      </w:r>
    </w:p>
    <w:p w14:paraId="48D17206" w14:textId="77777777" w:rsidR="00C73128" w:rsidRPr="00077C3A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>Benzylpenicillin is predominantly eliminated unchanged renally (80%).</w:t>
      </w:r>
    </w:p>
    <w:p w14:paraId="26103842" w14:textId="77777777" w:rsidR="00C73128" w:rsidRPr="00077C3A" w:rsidRDefault="00C73128" w:rsidP="00C73128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>Assuming a GFR of 100 mL/min, calculate the renal clearance before tubular secretion or reabsorption is added.</w:t>
      </w:r>
    </w:p>
    <w:p w14:paraId="574AFAEA" w14:textId="77777777" w:rsidR="00C73128" w:rsidRPr="00077C3A" w:rsidRDefault="00C73128" w:rsidP="00C73128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 xml:space="preserve">Benzylpenicillin shows extensive renal secretion by </w:t>
      </w:r>
      <w:r w:rsidRPr="00FD01DE">
        <w:rPr>
          <w:rFonts w:ascii="Times New Roman" w:hAnsi="Times New Roman" w:cs="Times New Roman"/>
        </w:rPr>
        <w:t>organic anion transporters</w:t>
      </w:r>
      <w:r w:rsidRPr="00077C3A">
        <w:rPr>
          <w:rFonts w:ascii="Times New Roman" w:hAnsi="Times New Roman" w:cs="Times New Roman"/>
          <w:b/>
          <w:bCs/>
        </w:rPr>
        <w:t xml:space="preserve"> </w:t>
      </w:r>
      <w:r w:rsidRPr="00FD01DE">
        <w:rPr>
          <w:rFonts w:ascii="Times New Roman" w:hAnsi="Times New Roman" w:cs="Times New Roman"/>
        </w:rPr>
        <w:t>(OATs)</w:t>
      </w:r>
      <w:r w:rsidRPr="00077C3A">
        <w:rPr>
          <w:rFonts w:ascii="Times New Roman" w:hAnsi="Times New Roman" w:cs="Times New Roman"/>
          <w:b/>
          <w:bCs/>
        </w:rPr>
        <w:t xml:space="preserve"> </w:t>
      </w:r>
      <w:r w:rsidRPr="00077C3A">
        <w:rPr>
          <w:rFonts w:ascii="Times New Roman" w:hAnsi="Times New Roman" w:cs="Times New Roman"/>
        </w:rPr>
        <w:t>in the renal tubules. Set the secretion slider to 400 mL/min.</w:t>
      </w:r>
    </w:p>
    <w:p w14:paraId="7288D306" w14:textId="77777777" w:rsidR="00C73128" w:rsidRPr="00077C3A" w:rsidRDefault="00C73128" w:rsidP="00C73128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>Change the intrinsic clearance (Cl</w:t>
      </w:r>
      <w:r w:rsidRPr="00077C3A">
        <w:rPr>
          <w:rFonts w:ascii="Times New Roman" w:hAnsi="Times New Roman" w:cs="Times New Roman"/>
          <w:vertAlign w:val="subscript"/>
        </w:rPr>
        <w:t>int</w:t>
      </w:r>
      <w:r w:rsidRPr="00077C3A">
        <w:rPr>
          <w:rFonts w:ascii="Times New Roman" w:hAnsi="Times New Roman" w:cs="Times New Roman"/>
        </w:rPr>
        <w:t>) value such that approximately 80% is cleared renally. Is the new calculated half-life roughly the same as before?</w:t>
      </w:r>
    </w:p>
    <w:p w14:paraId="06147C3A" w14:textId="77777777" w:rsidR="00C73128" w:rsidRPr="00077C3A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lastRenderedPageBreak/>
        <w:t xml:space="preserve">Probenecid inhibits the OATs responsible for benzylpenicillin secretion. </w:t>
      </w:r>
    </w:p>
    <w:p w14:paraId="5AEE780A" w14:textId="77777777" w:rsidR="00C73128" w:rsidRPr="00077C3A" w:rsidRDefault="00C73128" w:rsidP="00C73128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>If secretion is reduced by 95%, how does this change the half-life? Does this change the AUC?</w:t>
      </w:r>
    </w:p>
    <w:p w14:paraId="097FEF9A" w14:textId="77777777" w:rsidR="00C73128" w:rsidRPr="00077C3A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 w:rsidRPr="00077C3A">
        <w:rPr>
          <w:rFonts w:ascii="Times New Roman" w:hAnsi="Times New Roman" w:cs="Times New Roman"/>
        </w:rPr>
        <w:t>Would giving an IV infusion over 2 hours change the AUC?</w:t>
      </w:r>
    </w:p>
    <w:p w14:paraId="0C17A3DE" w14:textId="60168D6C" w:rsidR="00C73128" w:rsidRPr="000961CB" w:rsidRDefault="00C73128" w:rsidP="00C7312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Case 2: Developing New Antiviral Drugs</w:t>
      </w:r>
      <w:r w:rsidR="000961CB">
        <w:rPr>
          <w:rFonts w:ascii="Times New Roman" w:hAnsi="Times New Roman" w:cs="Times New Roman"/>
          <w:b/>
          <w:bCs/>
        </w:rPr>
        <w:t xml:space="preserve"> </w:t>
      </w:r>
      <w:r w:rsidR="000961CB">
        <w:rPr>
          <w:rFonts w:ascii="Times New Roman" w:hAnsi="Times New Roman" w:cs="Times New Roman"/>
        </w:rPr>
        <w:t>(</w:t>
      </w:r>
      <w:r w:rsidR="000961CB">
        <w:rPr>
          <w:rFonts w:ascii="Times New Roman" w:hAnsi="Times New Roman" w:cs="Times New Roman"/>
          <w:b/>
          <w:bCs/>
        </w:rPr>
        <w:t>Learning Outcomes 3 and 4)</w:t>
      </w:r>
    </w:p>
    <w:p w14:paraId="2F2271CD" w14:textId="70EC95F9" w:rsidR="00443B3A" w:rsidRPr="00443B3A" w:rsidRDefault="00443B3A" w:rsidP="00476479">
      <w:pPr>
        <w:tabs>
          <w:tab w:val="left" w:pos="1680"/>
        </w:tabs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</w:t>
      </w:r>
      <w:r w:rsidR="00476479">
        <w:rPr>
          <w:rFonts w:ascii="Times New Roman" w:hAnsi="Times New Roman" w:cs="Times New Roman"/>
        </w:rPr>
        <w:t xml:space="preserve">: </w:t>
      </w:r>
      <w:hyperlink r:id="rId7" w:history="1">
        <w:r w:rsidR="00476479" w:rsidRPr="00CD5F33">
          <w:rPr>
            <w:rStyle w:val="Hyperlink"/>
            <w:rFonts w:ascii="Times New Roman" w:hAnsi="Times New Roman" w:cs="Times New Roman"/>
          </w:rPr>
          <w:t>https://doi.org/10.2165/00003088-199936001-00001</w:t>
        </w:r>
      </w:hyperlink>
    </w:p>
    <w:p w14:paraId="01F6229E" w14:textId="77777777" w:rsidR="00C73128" w:rsidRPr="00CD5F33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A Phase I clinical trial of zanamivir aimed to establish its absolute oral bioavailability (</w:t>
      </w:r>
      <w:proofErr w:type="spellStart"/>
      <w:r w:rsidRPr="00CD5F33">
        <w:rPr>
          <w:rFonts w:ascii="Times New Roman" w:hAnsi="Times New Roman" w:cs="Times New Roman"/>
        </w:rPr>
        <w:t>AUC</w:t>
      </w:r>
      <w:r w:rsidRPr="00CD5F33">
        <w:rPr>
          <w:rFonts w:ascii="Times New Roman" w:hAnsi="Times New Roman" w:cs="Times New Roman"/>
          <w:vertAlign w:val="subscript"/>
        </w:rPr>
        <w:t>oral</w:t>
      </w:r>
      <w:proofErr w:type="spellEnd"/>
      <w:r w:rsidRPr="00CD5F33">
        <w:rPr>
          <w:rFonts w:ascii="Times New Roman" w:hAnsi="Times New Roman" w:cs="Times New Roman"/>
        </w:rPr>
        <w:t>/</w:t>
      </w:r>
      <w:proofErr w:type="spellStart"/>
      <w:r w:rsidRPr="00CD5F33">
        <w:rPr>
          <w:rFonts w:ascii="Times New Roman" w:hAnsi="Times New Roman" w:cs="Times New Roman"/>
        </w:rPr>
        <w:t>AUC</w:t>
      </w:r>
      <w:r w:rsidRPr="00CD5F33">
        <w:rPr>
          <w:rFonts w:ascii="Times New Roman" w:hAnsi="Times New Roman" w:cs="Times New Roman"/>
          <w:vertAlign w:val="subscript"/>
        </w:rPr>
        <w:t>iv</w:t>
      </w:r>
      <w:proofErr w:type="spellEnd"/>
      <w:r w:rsidRPr="00CD5F33">
        <w:rPr>
          <w:rFonts w:ascii="Times New Roman" w:hAnsi="Times New Roman" w:cs="Times New Roman"/>
        </w:rPr>
        <w:t>). Use the following parameters to calculate the two AUC values (over 24 hours) and thereby its absolute</w:t>
      </w:r>
      <w:r>
        <w:rPr>
          <w:rFonts w:ascii="Times New Roman" w:hAnsi="Times New Roman" w:cs="Times New Roman"/>
        </w:rPr>
        <w:t xml:space="preserve"> oral</w:t>
      </w:r>
      <w:r w:rsidRPr="00CD5F33">
        <w:rPr>
          <w:rFonts w:ascii="Times New Roman" w:hAnsi="Times New Roman" w:cs="Times New Roman"/>
        </w:rPr>
        <w:t xml:space="preserve"> bioavailability:</w:t>
      </w:r>
    </w:p>
    <w:p w14:paraId="5A9AA5E5" w14:textId="77777777" w:rsidR="00C73128" w:rsidRPr="00CD5F33" w:rsidRDefault="00C73128" w:rsidP="00C73128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Dose: 500mg in both cases</w:t>
      </w:r>
    </w:p>
    <w:p w14:paraId="79DB1942" w14:textId="77777777" w:rsidR="00C73128" w:rsidRPr="00CD5F33" w:rsidRDefault="00C73128" w:rsidP="00C73128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Half Life: 2 hours (Global Parameter option)</w:t>
      </w:r>
    </w:p>
    <w:p w14:paraId="6564EC5D" w14:textId="77777777" w:rsidR="00C73128" w:rsidRPr="00CD5F33" w:rsidRDefault="00C73128" w:rsidP="00C73128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Volume of Distribution: 16 L</w:t>
      </w:r>
    </w:p>
    <w:p w14:paraId="6BCCA17F" w14:textId="77777777" w:rsidR="00C73128" w:rsidRPr="00CD5F33" w:rsidRDefault="00C73128" w:rsidP="00C73128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Fraction absorbed: 5%</w:t>
      </w:r>
    </w:p>
    <w:p w14:paraId="245C6CB1" w14:textId="77777777" w:rsidR="00C73128" w:rsidRPr="00CD5F33" w:rsidRDefault="00C73128" w:rsidP="00C73128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Fraction escaping gut wall metabolism: 95%</w:t>
      </w:r>
    </w:p>
    <w:p w14:paraId="08C276FB" w14:textId="77777777" w:rsidR="00C73128" w:rsidRPr="00CD5F33" w:rsidRDefault="00C73128" w:rsidP="00C73128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Absorption rate constant: 1 hr</w:t>
      </w:r>
      <w:r w:rsidRPr="00CD5F33">
        <w:rPr>
          <w:rFonts w:ascii="Times New Roman" w:hAnsi="Times New Roman" w:cs="Times New Roman"/>
          <w:vertAlign w:val="superscript"/>
        </w:rPr>
        <w:t>-1</w:t>
      </w:r>
    </w:p>
    <w:p w14:paraId="275B22E6" w14:textId="77777777" w:rsidR="00C73128" w:rsidRPr="00CD5F33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 xml:space="preserve">What is the </w:t>
      </w:r>
      <w:proofErr w:type="spellStart"/>
      <w:r w:rsidRPr="00CD5F33">
        <w:rPr>
          <w:rFonts w:ascii="Times New Roman" w:hAnsi="Times New Roman" w:cs="Times New Roman"/>
        </w:rPr>
        <w:t>T</w:t>
      </w:r>
      <w:r w:rsidRPr="00CD5F33">
        <w:rPr>
          <w:rFonts w:ascii="Times New Roman" w:hAnsi="Times New Roman" w:cs="Times New Roman"/>
          <w:vertAlign w:val="subscript"/>
        </w:rPr>
        <w:t>max</w:t>
      </w:r>
      <w:proofErr w:type="spellEnd"/>
      <w:r w:rsidRPr="00CD5F33">
        <w:rPr>
          <w:rFonts w:ascii="Times New Roman" w:hAnsi="Times New Roman" w:cs="Times New Roman"/>
        </w:rPr>
        <w:t xml:space="preserve"> and </w:t>
      </w:r>
      <w:proofErr w:type="spellStart"/>
      <w:r w:rsidRPr="00CD5F33">
        <w:rPr>
          <w:rFonts w:ascii="Times New Roman" w:hAnsi="Times New Roman" w:cs="Times New Roman"/>
        </w:rPr>
        <w:t>C</w:t>
      </w:r>
      <w:r w:rsidRPr="00CD5F33">
        <w:rPr>
          <w:rFonts w:ascii="Times New Roman" w:hAnsi="Times New Roman" w:cs="Times New Roman"/>
          <w:vertAlign w:val="subscript"/>
        </w:rPr>
        <w:t>max</w:t>
      </w:r>
      <w:proofErr w:type="spellEnd"/>
      <w:r w:rsidRPr="00CD5F33">
        <w:rPr>
          <w:rFonts w:ascii="Times New Roman" w:hAnsi="Times New Roman" w:cs="Times New Roman"/>
        </w:rPr>
        <w:t xml:space="preserve"> of the orally administered zanamivir?</w:t>
      </w:r>
    </w:p>
    <w:p w14:paraId="6E568F5E" w14:textId="77777777" w:rsidR="00C73128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 xml:space="preserve">Read the clinical trial report for zanamivir. Was the bioavailability from the intranasal and inhalation routes better or worse than the oral bioavailability: </w:t>
      </w:r>
      <w:hyperlink r:id="rId8" w:history="1">
        <w:r w:rsidRPr="00CD5F33">
          <w:rPr>
            <w:rStyle w:val="Hyperlink"/>
            <w:rFonts w:ascii="Times New Roman" w:hAnsi="Times New Roman" w:cs="Times New Roman"/>
          </w:rPr>
          <w:t>https://doi.org/10.2165/00003088-199936001-00001</w:t>
        </w:r>
      </w:hyperlink>
      <w:r w:rsidRPr="00CD5F33">
        <w:rPr>
          <w:rFonts w:ascii="Times New Roman" w:hAnsi="Times New Roman" w:cs="Times New Roman"/>
        </w:rPr>
        <w:t xml:space="preserve"> </w:t>
      </w:r>
    </w:p>
    <w:p w14:paraId="09C703BC" w14:textId="5F3CD65D" w:rsidR="00C73128" w:rsidRDefault="00C73128" w:rsidP="00C73128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CD5F33">
        <w:rPr>
          <w:rFonts w:ascii="Times New Roman" w:hAnsi="Times New Roman" w:cs="Times New Roman"/>
          <w:b/>
          <w:bCs/>
        </w:rPr>
        <w:t>Case 3: Formulation, Food Effect, and Enzyme Inhibition</w:t>
      </w:r>
      <w:r w:rsidR="000961CB">
        <w:rPr>
          <w:rFonts w:ascii="Times New Roman" w:hAnsi="Times New Roman" w:cs="Times New Roman"/>
          <w:b/>
          <w:bCs/>
        </w:rPr>
        <w:t xml:space="preserve"> (Learning Outcomes 1, 3, 7)</w:t>
      </w:r>
    </w:p>
    <w:p w14:paraId="70F31EF3" w14:textId="6CFCDC84" w:rsidR="00443B3A" w:rsidRPr="00443B3A" w:rsidRDefault="00443B3A" w:rsidP="00C73128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Sources:</w:t>
      </w:r>
      <w:r w:rsidR="00127AA5">
        <w:rPr>
          <w:rFonts w:ascii="Times New Roman" w:hAnsi="Times New Roman" w:cs="Times New Roman"/>
        </w:rPr>
        <w:t xml:space="preserve"> </w:t>
      </w:r>
      <w:hyperlink r:id="rId9" w:history="1">
        <w:r w:rsidR="00127AA5" w:rsidRPr="001918DC">
          <w:rPr>
            <w:rStyle w:val="Hyperlink"/>
            <w:rFonts w:ascii="Times New Roman" w:hAnsi="Times New Roman" w:cs="Times New Roman"/>
          </w:rPr>
          <w:t>https://doi.org/10.1039/C6RA28676C</w:t>
        </w:r>
      </w:hyperlink>
      <w:r w:rsidR="00127AA5">
        <w:rPr>
          <w:rFonts w:ascii="Times New Roman" w:hAnsi="Times New Roman" w:cs="Times New Roman"/>
        </w:rPr>
        <w:t xml:space="preserve"> , </w:t>
      </w:r>
      <w:hyperlink r:id="rId10" w:history="1">
        <w:r w:rsidR="00127AA5" w:rsidRPr="001918DC">
          <w:rPr>
            <w:rStyle w:val="Hyperlink"/>
            <w:rFonts w:ascii="Times New Roman" w:hAnsi="Times New Roman" w:cs="Times New Roman"/>
          </w:rPr>
          <w:t>https://assets.hpra.ie/products/Human/34058/LicenseSPC_PPA1596-034-001_23092013095045.pdf</w:t>
        </w:r>
      </w:hyperlink>
      <w:r w:rsidR="00127AA5">
        <w:rPr>
          <w:rFonts w:ascii="Times New Roman" w:hAnsi="Times New Roman" w:cs="Times New Roman"/>
        </w:rPr>
        <w:t xml:space="preserve"> </w:t>
      </w:r>
    </w:p>
    <w:p w14:paraId="32E6FD11" w14:textId="77777777" w:rsidR="00C73128" w:rsidRPr="00CD5F33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Celecoxib, an orally administered BCS II drug, has the following pharmacokinetic properties:</w:t>
      </w:r>
    </w:p>
    <w:p w14:paraId="628750BD" w14:textId="77777777" w:rsidR="00C73128" w:rsidRPr="00CD5F33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Oral (fasted) bioavailability: 20%</w:t>
      </w:r>
    </w:p>
    <w:p w14:paraId="7C313B26" w14:textId="77777777" w:rsidR="00C73128" w:rsidRPr="00CD5F33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Volume of Distribution: 400 L</w:t>
      </w:r>
    </w:p>
    <w:p w14:paraId="07B70E81" w14:textId="77777777" w:rsidR="00C73128" w:rsidRPr="00CD5F33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Absorption rate constant: 0.7 hr</w:t>
      </w:r>
      <w:r w:rsidRPr="00CD5F33">
        <w:rPr>
          <w:rFonts w:ascii="Times New Roman" w:hAnsi="Times New Roman" w:cs="Times New Roman"/>
          <w:vertAlign w:val="superscript"/>
        </w:rPr>
        <w:t>-1</w:t>
      </w:r>
    </w:p>
    <w:p w14:paraId="14B41B58" w14:textId="77777777" w:rsidR="00C73128" w:rsidRPr="00CD5F33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Fraction excreted unchanged in urine: 0%</w:t>
      </w:r>
    </w:p>
    <w:p w14:paraId="5C89C673" w14:textId="77777777" w:rsidR="00C73128" w:rsidRPr="00CD5F33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Clearance by metabolism:</w:t>
      </w:r>
    </w:p>
    <w:p w14:paraId="2C8F0E8F" w14:textId="77777777" w:rsidR="00C73128" w:rsidRPr="00CD5F33" w:rsidRDefault="00C73128" w:rsidP="00C73128">
      <w:pPr>
        <w:numPr>
          <w:ilvl w:val="1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CYP2C9: 20 L/h</w:t>
      </w:r>
    </w:p>
    <w:p w14:paraId="072E4331" w14:textId="77777777" w:rsidR="00C73128" w:rsidRPr="00CD5F33" w:rsidRDefault="00C73128" w:rsidP="00C73128">
      <w:pPr>
        <w:numPr>
          <w:ilvl w:val="1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CYP2C19: 3 L/hr</w:t>
      </w:r>
    </w:p>
    <w:p w14:paraId="14D46DF8" w14:textId="77777777" w:rsidR="00C73128" w:rsidRPr="00CD5F33" w:rsidRDefault="00C73128" w:rsidP="00C73128">
      <w:pPr>
        <w:numPr>
          <w:ilvl w:val="1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CYP3A4: 3 L/hr</w:t>
      </w:r>
    </w:p>
    <w:p w14:paraId="348B7B4A" w14:textId="77777777" w:rsidR="00C73128" w:rsidRPr="00CD5F33" w:rsidRDefault="00C73128" w:rsidP="00C73128">
      <w:pPr>
        <w:numPr>
          <w:ilvl w:val="1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CYP2C8: 3 L/hr</w:t>
      </w:r>
    </w:p>
    <w:p w14:paraId="6605A890" w14:textId="77777777" w:rsidR="00C73128" w:rsidRPr="00CD5F33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Simulate 10 doses in the following situations:</w:t>
      </w:r>
    </w:p>
    <w:p w14:paraId="02207E9F" w14:textId="77777777" w:rsidR="00C73128" w:rsidRPr="00CD5F33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200mg given once every half life</w:t>
      </w:r>
    </w:p>
    <w:p w14:paraId="33A6593A" w14:textId="77777777" w:rsidR="00C73128" w:rsidRPr="00CD5F33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200mg given much more frequently than the half life</w:t>
      </w:r>
    </w:p>
    <w:p w14:paraId="0FB9DA25" w14:textId="77777777" w:rsidR="00C73128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200mg given much less frequently than the half life</w:t>
      </w:r>
    </w:p>
    <w:p w14:paraId="67F28046" w14:textId="77777777" w:rsidR="00C73128" w:rsidRPr="00CD5F33" w:rsidRDefault="00C73128" w:rsidP="00C73128">
      <w:p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Compare the AUC from a single dose over 72 hours to the following situations:</w:t>
      </w:r>
    </w:p>
    <w:p w14:paraId="5D2FFE88" w14:textId="77777777" w:rsidR="00C73128" w:rsidRPr="00CD5F33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The patient is a 2C9 poor metaboliser (reduce the 2C9 clearance to 3 L/hr)</w:t>
      </w:r>
    </w:p>
    <w:p w14:paraId="15447FF9" w14:textId="77777777" w:rsidR="00C73128" w:rsidRPr="00CD5F33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 xml:space="preserve">CYP2C9 is inhibited by fluconazole (reduce the 2C9 clearance to 1 L/hr) </w:t>
      </w:r>
    </w:p>
    <w:p w14:paraId="7FEE41C1" w14:textId="77777777" w:rsidR="00C73128" w:rsidRPr="00CD5F33" w:rsidRDefault="00C73128" w:rsidP="00C73128">
      <w:pPr>
        <w:numPr>
          <w:ilvl w:val="1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lastRenderedPageBreak/>
        <w:t>What is being missed by the model in the above two cases?</w:t>
      </w:r>
    </w:p>
    <w:p w14:paraId="725D8232" w14:textId="77777777" w:rsidR="00C73128" w:rsidRPr="00CD5F33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The drug is given with a high-fat meal. Increases its bioavailability to 40% but reduce its absorption rate constant by half (i.e. delays the absorption).</w:t>
      </w:r>
    </w:p>
    <w:p w14:paraId="0858A663" w14:textId="77777777" w:rsidR="00C73128" w:rsidRPr="00CD5F33" w:rsidRDefault="00C73128" w:rsidP="00C73128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A nanoparticle formulation increases the bioavailability to 55% and doubles the absorption rate constant.</w:t>
      </w:r>
    </w:p>
    <w:p w14:paraId="78AD6BF6" w14:textId="51BF7FCB" w:rsidR="00C73128" w:rsidRDefault="00C73128" w:rsidP="00C73128">
      <w:pPr>
        <w:numPr>
          <w:ilvl w:val="1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CD5F33">
        <w:rPr>
          <w:rFonts w:ascii="Times New Roman" w:hAnsi="Times New Roman" w:cs="Times New Roman"/>
        </w:rPr>
        <w:t>By what mechanisms do the above situations improve bioavailability?</w:t>
      </w:r>
    </w:p>
    <w:p w14:paraId="2B2DA2A2" w14:textId="5CAD8B26" w:rsidR="000961CB" w:rsidRDefault="000961CB" w:rsidP="000961CB">
      <w:pPr>
        <w:spacing w:line="480" w:lineRule="auto"/>
        <w:jc w:val="both"/>
        <w:rPr>
          <w:rFonts w:ascii="Times New Roman" w:hAnsi="Times New Roman" w:cs="Times New Roman"/>
        </w:rPr>
      </w:pPr>
      <w:r w:rsidRPr="000961CB">
        <w:rPr>
          <w:rFonts w:ascii="Times New Roman" w:hAnsi="Times New Roman" w:cs="Times New Roman"/>
          <w:b/>
          <w:bCs/>
        </w:rPr>
        <w:t xml:space="preserve">Appendix </w:t>
      </w:r>
      <w:r>
        <w:rPr>
          <w:rFonts w:ascii="Times New Roman" w:hAnsi="Times New Roman" w:cs="Times New Roman"/>
          <w:b/>
          <w:bCs/>
        </w:rPr>
        <w:t>B</w:t>
      </w:r>
      <w:r w:rsidRPr="000961CB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PF3015 Learning Outcomes</w:t>
      </w:r>
    </w:p>
    <w:p w14:paraId="456BC683" w14:textId="77777777" w:rsidR="000961CB" w:rsidRPr="000961CB" w:rsidRDefault="000961CB" w:rsidP="000961CB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0961CB">
        <w:rPr>
          <w:rFonts w:ascii="Times New Roman" w:hAnsi="Times New Roman" w:cs="Times New Roman"/>
        </w:rPr>
        <w:t>Explain the impact of physicochemical properties, the dosage form/formulation and route of administration on the clinical drug levels in patients.</w:t>
      </w:r>
    </w:p>
    <w:p w14:paraId="52AB5A25" w14:textId="77777777" w:rsidR="000961CB" w:rsidRPr="000961CB" w:rsidRDefault="000961CB" w:rsidP="000961CB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0961CB">
        <w:rPr>
          <w:rFonts w:ascii="Times New Roman" w:hAnsi="Times New Roman" w:cs="Times New Roman"/>
        </w:rPr>
        <w:t>Understand the molecular basis of drug metabolism.</w:t>
      </w:r>
    </w:p>
    <w:p w14:paraId="12AE0D05" w14:textId="77777777" w:rsidR="000961CB" w:rsidRPr="000961CB" w:rsidRDefault="000961CB" w:rsidP="000961CB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0961CB">
        <w:rPr>
          <w:rFonts w:ascii="Times New Roman" w:hAnsi="Times New Roman" w:cs="Times New Roman"/>
        </w:rPr>
        <w:t>Predict the drug properties which will influence their absorption, distribution and elimination characteristics.</w:t>
      </w:r>
    </w:p>
    <w:p w14:paraId="3A36288C" w14:textId="77777777" w:rsidR="000961CB" w:rsidRPr="000961CB" w:rsidRDefault="000961CB" w:rsidP="000961CB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0961CB">
        <w:rPr>
          <w:rFonts w:ascii="Times New Roman" w:hAnsi="Times New Roman" w:cs="Times New Roman"/>
        </w:rPr>
        <w:t>Provide experience in calculating the primary pharmacokinetic parameters of a drug following a single oral dose.</w:t>
      </w:r>
    </w:p>
    <w:p w14:paraId="4ABE5162" w14:textId="77777777" w:rsidR="000961CB" w:rsidRPr="000961CB" w:rsidRDefault="000961CB" w:rsidP="000961CB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0961CB">
        <w:rPr>
          <w:rFonts w:ascii="Times New Roman" w:hAnsi="Times New Roman" w:cs="Times New Roman"/>
        </w:rPr>
        <w:t>Predict an optimal dosage regimen on the basis of the primary pharmacokinetic variables and the target therapeutic response.</w:t>
      </w:r>
    </w:p>
    <w:p w14:paraId="0245043B" w14:textId="77777777" w:rsidR="000961CB" w:rsidRPr="000961CB" w:rsidRDefault="000961CB" w:rsidP="000961CB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0961CB">
        <w:rPr>
          <w:rFonts w:ascii="Times New Roman" w:hAnsi="Times New Roman" w:cs="Times New Roman"/>
        </w:rPr>
        <w:t>Predict patient-specific dosage regimen adjustments for special patient populations, e.g. percentage renal failure.</w:t>
      </w:r>
    </w:p>
    <w:p w14:paraId="2CC006EE" w14:textId="77777777" w:rsidR="000961CB" w:rsidRPr="000961CB" w:rsidRDefault="000961CB" w:rsidP="000961CB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0961CB">
        <w:rPr>
          <w:rFonts w:ascii="Times New Roman" w:hAnsi="Times New Roman" w:cs="Times New Roman"/>
        </w:rPr>
        <w:t>Discuss the importance of pharmacokinetics of drugs in the context of drug development, bioequivalence, brand-switching and inter-patient variability.</w:t>
      </w:r>
    </w:p>
    <w:p w14:paraId="5DD6947B" w14:textId="77777777" w:rsidR="000961CB" w:rsidRPr="000961CB" w:rsidRDefault="000961CB" w:rsidP="000961CB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0961CB">
        <w:rPr>
          <w:rFonts w:ascii="Times New Roman" w:hAnsi="Times New Roman" w:cs="Times New Roman"/>
        </w:rPr>
        <w:t>Apply pharmacokinetic principles in clinically relevant scenarios.</w:t>
      </w:r>
    </w:p>
    <w:p w14:paraId="478096FF" w14:textId="77777777" w:rsidR="000961CB" w:rsidRPr="00C73128" w:rsidRDefault="000961CB" w:rsidP="000961CB">
      <w:pPr>
        <w:spacing w:line="480" w:lineRule="auto"/>
        <w:jc w:val="both"/>
        <w:rPr>
          <w:rFonts w:ascii="Times New Roman" w:hAnsi="Times New Roman" w:cs="Times New Roman"/>
        </w:rPr>
      </w:pPr>
    </w:p>
    <w:sectPr w:rsidR="000961CB" w:rsidRPr="00C73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3766B"/>
    <w:multiLevelType w:val="hybridMultilevel"/>
    <w:tmpl w:val="910AAC72"/>
    <w:lvl w:ilvl="0" w:tplc="043E2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766C7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9CE21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305AB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1CF4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EE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90D0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54F7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9CC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0E437DA"/>
    <w:multiLevelType w:val="hybridMultilevel"/>
    <w:tmpl w:val="DC58A344"/>
    <w:lvl w:ilvl="0" w:tplc="067408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6E64E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F4FD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D02F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F2E3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E75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664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58D8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4018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3675016"/>
    <w:multiLevelType w:val="multilevel"/>
    <w:tmpl w:val="36C2F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511684"/>
    <w:multiLevelType w:val="hybridMultilevel"/>
    <w:tmpl w:val="F9885A7E"/>
    <w:lvl w:ilvl="0" w:tplc="1D189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06BA1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7844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16E3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28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1615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D291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BE84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8CBE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92141119">
    <w:abstractNumId w:val="1"/>
  </w:num>
  <w:num w:numId="2" w16cid:durableId="1281643430">
    <w:abstractNumId w:val="3"/>
  </w:num>
  <w:num w:numId="3" w16cid:durableId="1794666646">
    <w:abstractNumId w:val="0"/>
  </w:num>
  <w:num w:numId="4" w16cid:durableId="110436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28"/>
    <w:rsid w:val="000961CB"/>
    <w:rsid w:val="00127AA5"/>
    <w:rsid w:val="00443B3A"/>
    <w:rsid w:val="00476479"/>
    <w:rsid w:val="00765EFE"/>
    <w:rsid w:val="007C2607"/>
    <w:rsid w:val="00852E11"/>
    <w:rsid w:val="00A10576"/>
    <w:rsid w:val="00C73128"/>
    <w:rsid w:val="00D9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EEACB"/>
  <w15:chartTrackingRefBased/>
  <w15:docId w15:val="{6B3B31CB-4585-4385-A615-0890C9DB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128"/>
  </w:style>
  <w:style w:type="paragraph" w:styleId="Heading1">
    <w:name w:val="heading 1"/>
    <w:basedOn w:val="Normal"/>
    <w:next w:val="Normal"/>
    <w:link w:val="Heading1Char"/>
    <w:uiPriority w:val="9"/>
    <w:qFormat/>
    <w:rsid w:val="00C73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1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1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1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1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1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1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1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1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1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1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1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31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4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165/00003088-199936001-000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2165/00003088-199936001-0000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sets.hpra.ie/products/Human/39718/Licence_PA2059-085-002_06102025124547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i.org/10.1016/j.ejps.2014.04.004" TargetMode="External"/><Relationship Id="rId10" Type="http://schemas.openxmlformats.org/officeDocument/2006/relationships/hyperlink" Target="https://assets.hpra.ie/products/Human/34058/LicenseSPC_PPA1596-034-001_2309201309504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39/C6RA28676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Denis Murray (Umail)</dc:creator>
  <cp:keywords/>
  <dc:description/>
  <cp:lastModifiedBy>Jack Denis Murray (Umail)</cp:lastModifiedBy>
  <cp:revision>4</cp:revision>
  <dcterms:created xsi:type="dcterms:W3CDTF">2026-01-30T15:48:00Z</dcterms:created>
  <dcterms:modified xsi:type="dcterms:W3CDTF">2026-05-21T14:54:00Z</dcterms:modified>
</cp:coreProperties>
</file>