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 = '1.0' encoding = 'UTF-8' standalone = 'yes'?>
<Relationships xmlns="http://schemas.openxmlformats.org/package/2006/relationships">
   <Relationship Id="rId1" Type="http://schemas.openxmlformats.org/officeDocument/2006/relationships/officeDocument" Target="word/document.xml"/>
   <Relationship Id="rId2" Type="http://schemas.openxmlformats.org/package/2006/relationships/metadata/core-properties" Target="docProps/core.xml"/>
   <Relationship Id="rId3" Type="http://schemas.openxmlformats.org/officeDocument/2006/relationships/extended-properties" Target="docProps/app.xml"/>
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E3C12" w:rsidRDefault="000E53CF">
      <w:r>
        <w:t>Supplemental data</w:t>
      </w:r>
    </w:p>
    <w:p w:rsidR="000E53CF" w:rsidRDefault="000E53CF"/>
    <w:p w:rsidR="000E53CF" w:rsidRDefault="001F78E7" w:rsidP="000E53CF">
      <w:r>
        <w:t>Table S1</w:t>
      </w:r>
    </w:p>
    <w:p w:rsidR="000E53CF" w:rsidRDefault="001F78E7" w:rsidP="000E53CF">
      <w:r>
        <w:t>P</w:t>
      </w:r>
      <w:r w:rsidR="000E53CF">
        <w:t xml:space="preserve">revalence of hallucinations by modality in </w:t>
      </w:r>
      <w:r w:rsidR="006B0075">
        <w:t>Irish</w:t>
      </w:r>
      <w:r w:rsidR="000E53CF">
        <w:t xml:space="preserve"> sample</w:t>
      </w:r>
    </w:p>
    <w:tbl>
      <w:tblPr>
        <w:tblStyle w:val="TableGrid"/>
        <w:tblW w:w="11601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92"/>
        <w:gridCol w:w="1253"/>
        <w:gridCol w:w="1483"/>
        <w:gridCol w:w="1616"/>
        <w:gridCol w:w="1245"/>
        <w:gridCol w:w="1356"/>
        <w:gridCol w:w="1356"/>
      </w:tblGrid>
      <w:tr w:rsidR="006B0075" w:rsidTr="00E457B2">
        <w:tc>
          <w:tcPr>
            <w:tcW w:w="3292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</w:pPr>
          </w:p>
        </w:tc>
        <w:tc>
          <w:tcPr>
            <w:tcW w:w="1253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None</w:t>
            </w:r>
          </w:p>
        </w:tc>
        <w:tc>
          <w:tcPr>
            <w:tcW w:w="1483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Questionable</w:t>
            </w:r>
          </w:p>
        </w:tc>
        <w:tc>
          <w:tcPr>
            <w:tcW w:w="1616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Mild</w:t>
            </w:r>
          </w:p>
          <w:p w:rsidR="00E457B2" w:rsidRDefault="00ED2F00" w:rsidP="001F78E7">
            <w:pPr>
              <w:spacing w:line="480" w:lineRule="auto"/>
              <w:jc w:val="center"/>
            </w:pPr>
            <w:r>
              <w:t xml:space="preserve">(only </w:t>
            </w:r>
          </w:p>
          <w:p w:rsidR="00ED2F00" w:rsidRDefault="00ED2F00" w:rsidP="001F78E7">
            <w:pPr>
              <w:spacing w:line="480" w:lineRule="auto"/>
              <w:jc w:val="center"/>
            </w:pPr>
            <w:r>
              <w:t>occasionally)</w:t>
            </w:r>
          </w:p>
        </w:tc>
        <w:tc>
          <w:tcPr>
            <w:tcW w:w="1245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Moderate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 xml:space="preserve">(at least 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>weekly)</w:t>
            </w:r>
          </w:p>
        </w:tc>
        <w:tc>
          <w:tcPr>
            <w:tcW w:w="1356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Marked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 xml:space="preserve">(almost 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>every day)</w:t>
            </w:r>
          </w:p>
        </w:tc>
        <w:tc>
          <w:tcPr>
            <w:tcW w:w="1356" w:type="dxa"/>
            <w:tcBorders>
              <w:top w:val="single" w:sz="12" w:space="0" w:color="auto"/>
              <w:bottom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  <w:r>
              <w:t>Severe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 xml:space="preserve">(often, </w:t>
            </w:r>
          </w:p>
          <w:p w:rsidR="00E457B2" w:rsidRDefault="00E457B2" w:rsidP="001F78E7">
            <w:pPr>
              <w:spacing w:line="480" w:lineRule="auto"/>
              <w:jc w:val="center"/>
            </w:pPr>
            <w:r>
              <w:t>every day)</w:t>
            </w:r>
          </w:p>
        </w:tc>
      </w:tr>
      <w:tr w:rsidR="006B0075" w:rsidTr="00E457B2">
        <w:tc>
          <w:tcPr>
            <w:tcW w:w="3292" w:type="dxa"/>
            <w:tcBorders>
              <w:top w:val="single" w:sz="12" w:space="0" w:color="auto"/>
            </w:tcBorders>
          </w:tcPr>
          <w:p w:rsidR="006B0075" w:rsidRDefault="001F78E7" w:rsidP="001F78E7">
            <w:pPr>
              <w:spacing w:line="480" w:lineRule="auto"/>
            </w:pPr>
            <w:r>
              <w:t>Lifetime</w:t>
            </w:r>
          </w:p>
        </w:tc>
        <w:tc>
          <w:tcPr>
            <w:tcW w:w="1253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483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616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245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356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356" w:type="dxa"/>
            <w:tcBorders>
              <w:top w:val="single" w:sz="12" w:space="0" w:color="auto"/>
            </w:tcBorders>
          </w:tcPr>
          <w:p w:rsidR="006B0075" w:rsidRDefault="006B0075" w:rsidP="001F78E7">
            <w:pPr>
              <w:spacing w:line="480" w:lineRule="auto"/>
              <w:jc w:val="center"/>
            </w:pPr>
          </w:p>
        </w:tc>
      </w:tr>
      <w:tr w:rsidR="006B0075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Auditory (n=205)</w:t>
            </w:r>
          </w:p>
        </w:tc>
        <w:tc>
          <w:tcPr>
            <w:tcW w:w="1253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28.3%</w:t>
            </w:r>
          </w:p>
        </w:tc>
        <w:tc>
          <w:tcPr>
            <w:tcW w:w="1483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3.4%</w:t>
            </w:r>
          </w:p>
        </w:tc>
        <w:tc>
          <w:tcPr>
            <w:tcW w:w="161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4.4%</w:t>
            </w:r>
          </w:p>
        </w:tc>
        <w:tc>
          <w:tcPr>
            <w:tcW w:w="1245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7.8%</w:t>
            </w:r>
          </w:p>
        </w:tc>
        <w:tc>
          <w:tcPr>
            <w:tcW w:w="135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23.9%</w:t>
            </w:r>
          </w:p>
        </w:tc>
        <w:tc>
          <w:tcPr>
            <w:tcW w:w="135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32.2%</w:t>
            </w:r>
          </w:p>
        </w:tc>
      </w:tr>
      <w:tr w:rsidR="006B0075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Visual (n=205)</w:t>
            </w:r>
          </w:p>
        </w:tc>
        <w:tc>
          <w:tcPr>
            <w:tcW w:w="1253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70.2%</w:t>
            </w:r>
          </w:p>
        </w:tc>
        <w:tc>
          <w:tcPr>
            <w:tcW w:w="1483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4.4%</w:t>
            </w:r>
          </w:p>
        </w:tc>
        <w:tc>
          <w:tcPr>
            <w:tcW w:w="161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2.4%</w:t>
            </w:r>
          </w:p>
        </w:tc>
        <w:tc>
          <w:tcPr>
            <w:tcW w:w="1245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5.4%</w:t>
            </w:r>
          </w:p>
        </w:tc>
        <w:tc>
          <w:tcPr>
            <w:tcW w:w="135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8.3%</w:t>
            </w:r>
          </w:p>
        </w:tc>
        <w:tc>
          <w:tcPr>
            <w:tcW w:w="1356" w:type="dxa"/>
          </w:tcPr>
          <w:p w:rsidR="006B0075" w:rsidRDefault="001F78E7" w:rsidP="001F78E7">
            <w:pPr>
              <w:spacing w:line="480" w:lineRule="auto"/>
              <w:jc w:val="center"/>
            </w:pPr>
            <w:r>
              <w:t>9.3%</w:t>
            </w:r>
          </w:p>
        </w:tc>
      </w:tr>
      <w:tr w:rsidR="001F78E7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Olfactory (n=206)</w:t>
            </w:r>
          </w:p>
        </w:tc>
        <w:tc>
          <w:tcPr>
            <w:tcW w:w="125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91.3%</w:t>
            </w:r>
          </w:p>
        </w:tc>
        <w:tc>
          <w:tcPr>
            <w:tcW w:w="148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1.5%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1.5%</w:t>
            </w:r>
          </w:p>
        </w:tc>
        <w:tc>
          <w:tcPr>
            <w:tcW w:w="1245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1.0%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2.4%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2.4%</w:t>
            </w:r>
          </w:p>
        </w:tc>
      </w:tr>
      <w:tr w:rsidR="001F78E7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Tactile (n=205)</w:t>
            </w:r>
          </w:p>
        </w:tc>
        <w:tc>
          <w:tcPr>
            <w:tcW w:w="125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86.3%</w:t>
            </w:r>
          </w:p>
        </w:tc>
        <w:tc>
          <w:tcPr>
            <w:tcW w:w="148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2.9%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1.5%</w:t>
            </w:r>
          </w:p>
        </w:tc>
        <w:tc>
          <w:tcPr>
            <w:tcW w:w="1245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2.4%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2.9%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3.9%</w:t>
            </w:r>
          </w:p>
        </w:tc>
      </w:tr>
      <w:tr w:rsidR="006B0075" w:rsidTr="00E457B2">
        <w:tc>
          <w:tcPr>
            <w:tcW w:w="3292" w:type="dxa"/>
          </w:tcPr>
          <w:p w:rsidR="006B0075" w:rsidRDefault="001F78E7" w:rsidP="001F78E7">
            <w:pPr>
              <w:spacing w:line="480" w:lineRule="auto"/>
            </w:pPr>
            <w:r>
              <w:t>Current (past month)</w:t>
            </w:r>
          </w:p>
        </w:tc>
        <w:tc>
          <w:tcPr>
            <w:tcW w:w="1253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483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616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245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356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  <w:tc>
          <w:tcPr>
            <w:tcW w:w="1356" w:type="dxa"/>
          </w:tcPr>
          <w:p w:rsidR="006B0075" w:rsidRDefault="006B0075" w:rsidP="001F78E7">
            <w:pPr>
              <w:spacing w:line="480" w:lineRule="auto"/>
              <w:jc w:val="center"/>
            </w:pPr>
          </w:p>
        </w:tc>
      </w:tr>
      <w:tr w:rsidR="001F78E7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Auditory</w:t>
            </w:r>
            <w:r w:rsidR="00A0469D">
              <w:t xml:space="preserve"> (n=682</w:t>
            </w:r>
            <w:r>
              <w:t>)</w:t>
            </w:r>
          </w:p>
        </w:tc>
        <w:tc>
          <w:tcPr>
            <w:tcW w:w="1253" w:type="dxa"/>
          </w:tcPr>
          <w:p w:rsidR="001F78E7" w:rsidRDefault="00A0469D" w:rsidP="00A0469D">
            <w:pPr>
              <w:spacing w:line="480" w:lineRule="auto"/>
              <w:jc w:val="center"/>
            </w:pPr>
            <w:r>
              <w:t>71.0</w:t>
            </w:r>
            <w:r w:rsidR="001F78E7">
              <w:t>%</w:t>
            </w:r>
          </w:p>
        </w:tc>
        <w:tc>
          <w:tcPr>
            <w:tcW w:w="148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</w:t>
            </w:r>
            <w:r w:rsidR="00A0469D">
              <w:t>.8</w:t>
            </w:r>
            <w:r>
              <w:t>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4.1%</w:t>
            </w:r>
          </w:p>
        </w:tc>
        <w:tc>
          <w:tcPr>
            <w:tcW w:w="1245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9.2</w:t>
            </w:r>
            <w:r w:rsidR="001F78E7">
              <w:t>%</w:t>
            </w:r>
          </w:p>
        </w:tc>
        <w:tc>
          <w:tcPr>
            <w:tcW w:w="1356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7.5</w:t>
            </w:r>
            <w:r w:rsidR="001F78E7">
              <w:t>%</w:t>
            </w:r>
          </w:p>
        </w:tc>
        <w:tc>
          <w:tcPr>
            <w:tcW w:w="1356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6.5</w:t>
            </w:r>
            <w:r w:rsidR="001F78E7">
              <w:t>%</w:t>
            </w:r>
          </w:p>
        </w:tc>
        <w:bookmarkStart w:id="0" w:name="_GoBack"/>
        <w:bookmarkEnd w:id="0"/>
      </w:tr>
      <w:tr w:rsidR="001F78E7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>Visual (n=</w:t>
            </w:r>
            <w:r w:rsidR="00A0469D">
              <w:t>679</w:t>
            </w:r>
            <w:r>
              <w:t>)</w:t>
            </w:r>
          </w:p>
        </w:tc>
        <w:tc>
          <w:tcPr>
            <w:tcW w:w="1253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93.2</w:t>
            </w:r>
            <w:r w:rsidR="001F78E7">
              <w:t>%</w:t>
            </w:r>
          </w:p>
        </w:tc>
        <w:tc>
          <w:tcPr>
            <w:tcW w:w="148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1.0%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1.2%</w:t>
            </w:r>
          </w:p>
        </w:tc>
        <w:tc>
          <w:tcPr>
            <w:tcW w:w="1245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1.6%</w:t>
            </w:r>
          </w:p>
        </w:tc>
        <w:tc>
          <w:tcPr>
            <w:tcW w:w="1356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2.1</w:t>
            </w:r>
            <w:r w:rsidR="001F78E7">
              <w:t>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0.9%</w:t>
            </w:r>
          </w:p>
        </w:tc>
      </w:tr>
      <w:tr w:rsidR="001F78E7" w:rsidTr="00E457B2">
        <w:tc>
          <w:tcPr>
            <w:tcW w:w="3292" w:type="dxa"/>
          </w:tcPr>
          <w:p w:rsidR="001F78E7" w:rsidRDefault="001F78E7" w:rsidP="001F78E7">
            <w:pPr>
              <w:spacing w:line="480" w:lineRule="auto"/>
              <w:ind w:left="459"/>
            </w:pPr>
            <w:r>
              <w:t xml:space="preserve">Olfactory </w:t>
            </w:r>
            <w:r w:rsidR="00A0469D">
              <w:t>(n=676</w:t>
            </w:r>
            <w:r>
              <w:t>)</w:t>
            </w:r>
          </w:p>
        </w:tc>
        <w:tc>
          <w:tcPr>
            <w:tcW w:w="1253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97.2</w:t>
            </w:r>
            <w:r w:rsidR="001F78E7">
              <w:t>%</w:t>
            </w:r>
          </w:p>
        </w:tc>
        <w:tc>
          <w:tcPr>
            <w:tcW w:w="1483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0.4</w:t>
            </w:r>
            <w:r w:rsidR="001F78E7">
              <w:t>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0.7%</w:t>
            </w:r>
          </w:p>
        </w:tc>
        <w:tc>
          <w:tcPr>
            <w:tcW w:w="1245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0.7%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0.6%</w:t>
            </w:r>
          </w:p>
        </w:tc>
        <w:tc>
          <w:tcPr>
            <w:tcW w:w="135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0.3%</w:t>
            </w:r>
          </w:p>
        </w:tc>
      </w:tr>
      <w:tr w:rsidR="001F78E7" w:rsidTr="00A0469D">
        <w:tc>
          <w:tcPr>
            <w:tcW w:w="3292" w:type="dxa"/>
          </w:tcPr>
          <w:p w:rsidR="001F78E7" w:rsidRDefault="001F78E7" w:rsidP="00A0469D">
            <w:pPr>
              <w:tabs>
                <w:tab w:val="right" w:pos="3076"/>
              </w:tabs>
              <w:spacing w:line="480" w:lineRule="auto"/>
              <w:ind w:left="459"/>
            </w:pPr>
            <w:r>
              <w:t>Tactile</w:t>
            </w:r>
            <w:r w:rsidR="00A0469D">
              <w:t xml:space="preserve"> (n=679</w:t>
            </w:r>
            <w:r>
              <w:t>)</w:t>
            </w:r>
            <w:r w:rsidR="00A0469D">
              <w:tab/>
            </w:r>
          </w:p>
        </w:tc>
        <w:tc>
          <w:tcPr>
            <w:tcW w:w="1253" w:type="dxa"/>
          </w:tcPr>
          <w:p w:rsidR="001F78E7" w:rsidRDefault="00A0469D" w:rsidP="001F78E7">
            <w:pPr>
              <w:spacing w:line="480" w:lineRule="auto"/>
              <w:jc w:val="center"/>
            </w:pPr>
            <w:r>
              <w:t>95.1</w:t>
            </w:r>
            <w:r w:rsidR="001F78E7">
              <w:t>%</w:t>
            </w:r>
          </w:p>
        </w:tc>
        <w:tc>
          <w:tcPr>
            <w:tcW w:w="1483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0.4%</w:t>
            </w:r>
          </w:p>
        </w:tc>
        <w:tc>
          <w:tcPr>
            <w:tcW w:w="1616" w:type="dxa"/>
          </w:tcPr>
          <w:p w:rsidR="001F78E7" w:rsidRDefault="001F78E7" w:rsidP="001F78E7">
            <w:pPr>
              <w:spacing w:line="480" w:lineRule="auto"/>
              <w:jc w:val="center"/>
            </w:pPr>
            <w:r>
              <w:t>0.7%</w:t>
            </w:r>
          </w:p>
        </w:tc>
        <w:tc>
          <w:tcPr>
            <w:tcW w:w="1245" w:type="dxa"/>
          </w:tcPr>
          <w:p w:rsidR="001F78E7" w:rsidRDefault="001F78E7" w:rsidP="00A0469D">
            <w:pPr>
              <w:spacing w:line="480" w:lineRule="auto"/>
              <w:jc w:val="center"/>
            </w:pPr>
            <w:r>
              <w:t>1.3%</w:t>
            </w:r>
          </w:p>
        </w:tc>
        <w:tc>
          <w:tcPr>
            <w:tcW w:w="1356" w:type="dxa"/>
          </w:tcPr>
          <w:p w:rsidR="001F78E7" w:rsidRDefault="00A0469D" w:rsidP="00A0469D">
            <w:pPr>
              <w:tabs>
                <w:tab w:val="left" w:pos="371"/>
                <w:tab w:val="center" w:pos="652"/>
              </w:tabs>
              <w:spacing w:line="480" w:lineRule="auto"/>
              <w:jc w:val="center"/>
            </w:pPr>
            <w:r>
              <w:t>1</w:t>
            </w:r>
            <w:r w:rsidR="001F78E7">
              <w:t>.3%</w:t>
            </w:r>
          </w:p>
        </w:tc>
        <w:tc>
          <w:tcPr>
            <w:tcW w:w="1356" w:type="dxa"/>
          </w:tcPr>
          <w:p w:rsidR="001F78E7" w:rsidRDefault="001F78E7" w:rsidP="00A0469D">
            <w:pPr>
              <w:spacing w:line="480" w:lineRule="auto"/>
              <w:jc w:val="center"/>
            </w:pPr>
            <w:r>
              <w:t>1.0%</w:t>
            </w:r>
          </w:p>
        </w:tc>
      </w:tr>
    </w:tbl>
    <w:p w:rsidR="000E53CF" w:rsidRDefault="005B4D73">
      <w:r>
        <w:br w:type="page"/>
      </w:r>
      <w:r>
        <w:lastRenderedPageBreak/>
        <w:t>Table S2</w:t>
      </w:r>
    </w:p>
    <w:p w:rsidR="000E53CF" w:rsidRDefault="001F78E7">
      <w:r>
        <w:t>P</w:t>
      </w:r>
      <w:r w:rsidR="000E53CF">
        <w:t>revalence of hallucinations by modality in Australian sample (N=218)</w:t>
      </w:r>
    </w:p>
    <w:p w:rsidR="005B4D73" w:rsidRDefault="005B4D73"/>
    <w:tbl>
      <w:tblPr>
        <w:tblStyle w:val="TableGrid"/>
        <w:tblW w:w="0" w:type="auto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49"/>
        <w:gridCol w:w="1803"/>
        <w:gridCol w:w="2768"/>
        <w:gridCol w:w="3686"/>
      </w:tblGrid>
      <w:tr w:rsidR="000E53CF" w:rsidTr="005B4D73">
        <w:tc>
          <w:tcPr>
            <w:tcW w:w="2349" w:type="dxa"/>
            <w:tcBorders>
              <w:top w:val="single" w:sz="12" w:space="0" w:color="auto"/>
              <w:bottom w:val="single" w:sz="12" w:space="0" w:color="auto"/>
            </w:tcBorders>
          </w:tcPr>
          <w:p w:rsidR="000E53CF" w:rsidRPr="005B4D73" w:rsidRDefault="000E53CF" w:rsidP="005B4D73">
            <w:pPr>
              <w:spacing w:line="480" w:lineRule="auto"/>
            </w:pPr>
          </w:p>
        </w:tc>
        <w:tc>
          <w:tcPr>
            <w:tcW w:w="1803" w:type="dxa"/>
            <w:tcBorders>
              <w:top w:val="single" w:sz="12" w:space="0" w:color="auto"/>
              <w:bottom w:val="single" w:sz="12" w:space="0" w:color="auto"/>
            </w:tcBorders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Never</w:t>
            </w:r>
          </w:p>
        </w:tc>
        <w:tc>
          <w:tcPr>
            <w:tcW w:w="2768" w:type="dxa"/>
            <w:tcBorders>
              <w:top w:val="single" w:sz="12" w:space="0" w:color="auto"/>
              <w:bottom w:val="single" w:sz="12" w:space="0" w:color="auto"/>
            </w:tcBorders>
          </w:tcPr>
          <w:p w:rsidR="005B4D73" w:rsidRDefault="000E53CF" w:rsidP="005B4D73">
            <w:pPr>
              <w:spacing w:line="480" w:lineRule="auto"/>
              <w:jc w:val="center"/>
            </w:pPr>
            <w:r w:rsidRPr="005B4D73">
              <w:t>Present for less than</w:t>
            </w:r>
          </w:p>
          <w:p w:rsidR="000E53CF" w:rsidRPr="005B4D73" w:rsidRDefault="005B4D73" w:rsidP="005B4D73">
            <w:pPr>
              <w:spacing w:line="480" w:lineRule="auto"/>
              <w:jc w:val="center"/>
            </w:pPr>
            <w:r>
              <w:t>1-</w:t>
            </w:r>
            <w:r w:rsidR="000E53CF" w:rsidRPr="005B4D73">
              <w:t>month or unspecified</w:t>
            </w:r>
          </w:p>
        </w:tc>
        <w:tc>
          <w:tcPr>
            <w:tcW w:w="3686" w:type="dxa"/>
            <w:tcBorders>
              <w:top w:val="single" w:sz="12" w:space="0" w:color="auto"/>
              <w:bottom w:val="single" w:sz="12" w:space="0" w:color="auto"/>
            </w:tcBorders>
          </w:tcPr>
          <w:p w:rsidR="005B4D73" w:rsidRDefault="005B4D73" w:rsidP="005B4D73">
            <w:pPr>
              <w:spacing w:line="480" w:lineRule="auto"/>
              <w:jc w:val="center"/>
            </w:pPr>
            <w:r>
              <w:t xml:space="preserve">Present for significant </w:t>
            </w:r>
            <w:r w:rsidR="000E53CF" w:rsidRPr="005B4D73">
              <w:t>proportion</w:t>
            </w:r>
          </w:p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of a 1-month period</w:t>
            </w:r>
          </w:p>
        </w:tc>
      </w:tr>
      <w:tr w:rsidR="005B4D73" w:rsidTr="005B4D73">
        <w:tc>
          <w:tcPr>
            <w:tcW w:w="2349" w:type="dxa"/>
            <w:tcBorders>
              <w:top w:val="single" w:sz="12" w:space="0" w:color="auto"/>
              <w:bottom w:val="nil"/>
            </w:tcBorders>
          </w:tcPr>
          <w:p w:rsidR="005B4D73" w:rsidRPr="005B4D73" w:rsidRDefault="005B4D73" w:rsidP="005B4D73">
            <w:pPr>
              <w:spacing w:line="480" w:lineRule="auto"/>
            </w:pPr>
            <w:r>
              <w:t>Lifetime</w:t>
            </w:r>
          </w:p>
        </w:tc>
        <w:tc>
          <w:tcPr>
            <w:tcW w:w="1803" w:type="dxa"/>
            <w:tcBorders>
              <w:top w:val="single" w:sz="12" w:space="0" w:color="auto"/>
              <w:bottom w:val="nil"/>
            </w:tcBorders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  <w:tc>
          <w:tcPr>
            <w:tcW w:w="2768" w:type="dxa"/>
            <w:tcBorders>
              <w:top w:val="single" w:sz="12" w:space="0" w:color="auto"/>
              <w:bottom w:val="nil"/>
            </w:tcBorders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  <w:tc>
          <w:tcPr>
            <w:tcW w:w="3686" w:type="dxa"/>
            <w:tcBorders>
              <w:top w:val="single" w:sz="12" w:space="0" w:color="auto"/>
              <w:bottom w:val="nil"/>
            </w:tcBorders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</w:tr>
      <w:tr w:rsidR="000E53CF" w:rsidTr="005B4D73">
        <w:tc>
          <w:tcPr>
            <w:tcW w:w="2349" w:type="dxa"/>
            <w:tcBorders>
              <w:top w:val="nil"/>
            </w:tcBorders>
          </w:tcPr>
          <w:p w:rsidR="000E53CF" w:rsidRPr="005B4D73" w:rsidRDefault="000E53CF" w:rsidP="005B4D73">
            <w:pPr>
              <w:spacing w:line="480" w:lineRule="auto"/>
              <w:ind w:left="318"/>
            </w:pPr>
            <w:r w:rsidRPr="005B4D73">
              <w:t>Auditory</w:t>
            </w:r>
          </w:p>
        </w:tc>
        <w:tc>
          <w:tcPr>
            <w:tcW w:w="1803" w:type="dxa"/>
            <w:tcBorders>
              <w:top w:val="nil"/>
            </w:tcBorders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10.6%</w:t>
            </w:r>
          </w:p>
        </w:tc>
        <w:tc>
          <w:tcPr>
            <w:tcW w:w="2768" w:type="dxa"/>
            <w:tcBorders>
              <w:top w:val="nil"/>
            </w:tcBorders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9.6%</w:t>
            </w:r>
          </w:p>
        </w:tc>
        <w:tc>
          <w:tcPr>
            <w:tcW w:w="3686" w:type="dxa"/>
            <w:tcBorders>
              <w:top w:val="nil"/>
            </w:tcBorders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79.8%</w:t>
            </w:r>
          </w:p>
        </w:tc>
      </w:tr>
      <w:tr w:rsidR="000E53CF" w:rsidTr="005B4D73">
        <w:tc>
          <w:tcPr>
            <w:tcW w:w="2349" w:type="dxa"/>
          </w:tcPr>
          <w:p w:rsidR="000E53CF" w:rsidRPr="005B4D73" w:rsidRDefault="000E53CF" w:rsidP="005B4D73">
            <w:pPr>
              <w:spacing w:line="480" w:lineRule="auto"/>
              <w:ind w:left="318"/>
            </w:pPr>
            <w:r w:rsidRPr="005B4D73">
              <w:t>Visual</w:t>
            </w:r>
          </w:p>
        </w:tc>
        <w:tc>
          <w:tcPr>
            <w:tcW w:w="1803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45.0%</w:t>
            </w:r>
          </w:p>
        </w:tc>
        <w:tc>
          <w:tcPr>
            <w:tcW w:w="2768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24.3%</w:t>
            </w:r>
          </w:p>
        </w:tc>
        <w:tc>
          <w:tcPr>
            <w:tcW w:w="3686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30.7%</w:t>
            </w:r>
          </w:p>
        </w:tc>
      </w:tr>
      <w:tr w:rsidR="000E53CF" w:rsidTr="005B4D73">
        <w:tc>
          <w:tcPr>
            <w:tcW w:w="2349" w:type="dxa"/>
          </w:tcPr>
          <w:p w:rsidR="000E53CF" w:rsidRPr="005B4D73" w:rsidRDefault="000E53CF" w:rsidP="005B4D73">
            <w:pPr>
              <w:spacing w:line="480" w:lineRule="auto"/>
              <w:ind w:left="318"/>
            </w:pPr>
            <w:r w:rsidRPr="005B4D73">
              <w:t>Olfactory</w:t>
            </w:r>
          </w:p>
        </w:tc>
        <w:tc>
          <w:tcPr>
            <w:tcW w:w="1803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74.8%</w:t>
            </w:r>
          </w:p>
        </w:tc>
        <w:tc>
          <w:tcPr>
            <w:tcW w:w="2768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15.6%</w:t>
            </w:r>
          </w:p>
        </w:tc>
        <w:tc>
          <w:tcPr>
            <w:tcW w:w="3686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9.6%</w:t>
            </w:r>
          </w:p>
        </w:tc>
      </w:tr>
      <w:tr w:rsidR="000E53CF" w:rsidTr="005B4D73">
        <w:tc>
          <w:tcPr>
            <w:tcW w:w="2349" w:type="dxa"/>
          </w:tcPr>
          <w:p w:rsidR="000E53CF" w:rsidRPr="005B4D73" w:rsidRDefault="000E53CF" w:rsidP="005B4D73">
            <w:pPr>
              <w:spacing w:line="480" w:lineRule="auto"/>
              <w:ind w:left="318"/>
            </w:pPr>
            <w:r w:rsidRPr="005B4D73">
              <w:t>Tactile</w:t>
            </w:r>
          </w:p>
        </w:tc>
        <w:tc>
          <w:tcPr>
            <w:tcW w:w="1803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63.8%</w:t>
            </w:r>
          </w:p>
        </w:tc>
        <w:tc>
          <w:tcPr>
            <w:tcW w:w="2768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17.0%</w:t>
            </w:r>
          </w:p>
        </w:tc>
        <w:tc>
          <w:tcPr>
            <w:tcW w:w="3686" w:type="dxa"/>
          </w:tcPr>
          <w:p w:rsidR="000E53CF" w:rsidRPr="005B4D73" w:rsidRDefault="000E53CF" w:rsidP="005B4D73">
            <w:pPr>
              <w:spacing w:line="480" w:lineRule="auto"/>
              <w:jc w:val="center"/>
            </w:pPr>
            <w:r w:rsidRPr="005B4D73">
              <w:t>19.3%</w:t>
            </w:r>
          </w:p>
        </w:tc>
      </w:tr>
      <w:tr w:rsidR="005B4D73" w:rsidTr="005B4D73">
        <w:tc>
          <w:tcPr>
            <w:tcW w:w="2349" w:type="dxa"/>
          </w:tcPr>
          <w:p w:rsidR="005B4D73" w:rsidRPr="005B4D73" w:rsidRDefault="005B4D73" w:rsidP="005B4D73">
            <w:pPr>
              <w:spacing w:line="480" w:lineRule="auto"/>
            </w:pPr>
            <w:r>
              <w:t>Current (past month)</w:t>
            </w:r>
          </w:p>
        </w:tc>
        <w:tc>
          <w:tcPr>
            <w:tcW w:w="1803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  <w:tc>
          <w:tcPr>
            <w:tcW w:w="2768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  <w:tc>
          <w:tcPr>
            <w:tcW w:w="3686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</w:p>
        </w:tc>
      </w:tr>
      <w:tr w:rsidR="005B4D73" w:rsidTr="005B4D73">
        <w:tc>
          <w:tcPr>
            <w:tcW w:w="2349" w:type="dxa"/>
          </w:tcPr>
          <w:p w:rsidR="005B4D73" w:rsidRPr="005B4D73" w:rsidRDefault="005B4D73" w:rsidP="005B4D73">
            <w:pPr>
              <w:spacing w:line="480" w:lineRule="auto"/>
              <w:ind w:left="318"/>
            </w:pPr>
            <w:r w:rsidRPr="005B4D73">
              <w:t>Auditory</w:t>
            </w:r>
          </w:p>
        </w:tc>
        <w:tc>
          <w:tcPr>
            <w:tcW w:w="1803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58.3%</w:t>
            </w:r>
          </w:p>
        </w:tc>
        <w:tc>
          <w:tcPr>
            <w:tcW w:w="2768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14.7%</w:t>
            </w:r>
          </w:p>
        </w:tc>
        <w:tc>
          <w:tcPr>
            <w:tcW w:w="3686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27.1%</w:t>
            </w:r>
          </w:p>
        </w:tc>
      </w:tr>
      <w:tr w:rsidR="005B4D73" w:rsidTr="005B4D73">
        <w:tc>
          <w:tcPr>
            <w:tcW w:w="2349" w:type="dxa"/>
          </w:tcPr>
          <w:p w:rsidR="005B4D73" w:rsidRPr="005B4D73" w:rsidRDefault="005B4D73" w:rsidP="005B4D73">
            <w:pPr>
              <w:spacing w:line="480" w:lineRule="auto"/>
              <w:ind w:left="318"/>
            </w:pPr>
            <w:r w:rsidRPr="005B4D73">
              <w:t>Visual</w:t>
            </w:r>
          </w:p>
        </w:tc>
        <w:tc>
          <w:tcPr>
            <w:tcW w:w="1803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83.0%</w:t>
            </w:r>
          </w:p>
        </w:tc>
        <w:tc>
          <w:tcPr>
            <w:tcW w:w="2768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8.7%</w:t>
            </w:r>
          </w:p>
        </w:tc>
        <w:tc>
          <w:tcPr>
            <w:tcW w:w="3686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8.3%</w:t>
            </w:r>
          </w:p>
        </w:tc>
      </w:tr>
      <w:tr w:rsidR="005B4D73" w:rsidTr="005B4D73">
        <w:tc>
          <w:tcPr>
            <w:tcW w:w="2349" w:type="dxa"/>
          </w:tcPr>
          <w:p w:rsidR="005B4D73" w:rsidRPr="005B4D73" w:rsidRDefault="005B4D73" w:rsidP="005B4D73">
            <w:pPr>
              <w:spacing w:line="480" w:lineRule="auto"/>
              <w:ind w:left="318"/>
            </w:pPr>
            <w:r w:rsidRPr="005B4D73">
              <w:t>Olfactory</w:t>
            </w:r>
          </w:p>
        </w:tc>
        <w:tc>
          <w:tcPr>
            <w:tcW w:w="1803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93.1%</w:t>
            </w:r>
          </w:p>
        </w:tc>
        <w:tc>
          <w:tcPr>
            <w:tcW w:w="2768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4.6%</w:t>
            </w:r>
          </w:p>
        </w:tc>
        <w:tc>
          <w:tcPr>
            <w:tcW w:w="3686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2.3%</w:t>
            </w:r>
          </w:p>
        </w:tc>
      </w:tr>
      <w:tr w:rsidR="005B4D73" w:rsidTr="005B4D73">
        <w:tc>
          <w:tcPr>
            <w:tcW w:w="2349" w:type="dxa"/>
          </w:tcPr>
          <w:p w:rsidR="005B4D73" w:rsidRPr="005B4D73" w:rsidRDefault="005B4D73" w:rsidP="005B4D73">
            <w:pPr>
              <w:spacing w:line="480" w:lineRule="auto"/>
              <w:ind w:left="318"/>
            </w:pPr>
            <w:r w:rsidRPr="005B4D73">
              <w:t>Tactile</w:t>
            </w:r>
          </w:p>
        </w:tc>
        <w:tc>
          <w:tcPr>
            <w:tcW w:w="1803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87.2%</w:t>
            </w:r>
          </w:p>
        </w:tc>
        <w:tc>
          <w:tcPr>
            <w:tcW w:w="2768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6.0%</w:t>
            </w:r>
          </w:p>
        </w:tc>
        <w:tc>
          <w:tcPr>
            <w:tcW w:w="3686" w:type="dxa"/>
          </w:tcPr>
          <w:p w:rsidR="005B4D73" w:rsidRPr="005B4D73" w:rsidRDefault="005B4D73" w:rsidP="005B4D73">
            <w:pPr>
              <w:spacing w:line="480" w:lineRule="auto"/>
              <w:jc w:val="center"/>
            </w:pPr>
            <w:r w:rsidRPr="005B4D73">
              <w:t>6.9%</w:t>
            </w:r>
          </w:p>
        </w:tc>
      </w:tr>
    </w:tbl>
    <w:p w:rsidR="000E53CF" w:rsidRDefault="000E53CF"/>
    <w:p w:rsidR="005B4D73" w:rsidRDefault="005B4D73"/>
    <w:sectPr w:rsidR="005B4D73" w:rsidSect="00D9185D">
      <w:pgSz w:w="16838" w:h="11906" w:orient="landscape"/>
      <w:pgMar w:top="1440" w:right="1440" w:bottom="1276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3CF"/>
    <w:rsid w:val="000E53CF"/>
    <w:rsid w:val="001F78E7"/>
    <w:rsid w:val="00354839"/>
    <w:rsid w:val="005B4787"/>
    <w:rsid w:val="005B4D73"/>
    <w:rsid w:val="006B0075"/>
    <w:rsid w:val="007B2B40"/>
    <w:rsid w:val="00A0469D"/>
    <w:rsid w:val="00A4777A"/>
    <w:rsid w:val="00CE3C12"/>
    <w:rsid w:val="00D9185D"/>
    <w:rsid w:val="00E457B2"/>
    <w:rsid w:val="00ED2F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180BE5A-BD39-407B-B1C7-D45B60280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color w:val="222222"/>
        <w:sz w:val="24"/>
        <w:szCs w:val="24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E53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 = '1.0' encoding = 'UTF-8' standalone = 'yes'?>
<Relationships xmlns="http://schemas.openxmlformats.org/package/2006/relationships">
   <Relationship Id="rId1" Type="http://schemas.openxmlformats.org/officeDocument/2006/relationships/styles" Target="styles.xml"/>
   <Relationship Id="rId2" Type="http://schemas.openxmlformats.org/officeDocument/2006/relationships/settings" Target="settings.xml"/>
   <Relationship Id="rId3" Type="http://schemas.openxmlformats.org/officeDocument/2006/relationships/webSettings" Target="webSettings.xml"/>
   <Relationship Id="rId4" Type="http://schemas.openxmlformats.org/officeDocument/2006/relationships/fontTable" Target="fontTable.xml"/>
   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119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</CharactersWithSpaces>
  <SharedDoc>false</SharedDoc>
  <HyperlinksChanged>false</HyperlinksChanged>
  <AppVersion>15.0000</AppVersion>
  <Manager/>
  <HyperlinkBase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