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tabs>
          <w:tab w:val="left" w:pos="36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SUPPLEMENTARY MATERIAL</w:t>
      </w:r>
    </w:p>
    <w:p>
      <w:pPr>
        <w:suppressLineNumbers w:val="true"/>
        <w:tabs>
          <w:tab w:val="left" w:pos="36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Supplementary Material 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The Quick Mild Cognitive Impairment (Q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mci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screen: double sided score sheet.</w:t>
      </w:r>
    </w:p>
    <w:p>
      <w:pPr>
        <w:suppressLineNumbers w:val="true"/>
        <w:tabs>
          <w:tab w:val="left" w:pos="36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object w:dxaOrig="7967" w:dyaOrig="10539">
          <v:rect xmlns:o="urn:schemas-microsoft-com:office:office" xmlns:v="urn:schemas-microsoft-com:vml" id="rectole0000000000" style="width:398.350000pt;height:526.9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tabs>
          <w:tab w:val="left" w:pos="36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6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6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object w:dxaOrig="7968" w:dyaOrig="11271">
          <v:rect xmlns:o="urn:schemas-microsoft-com:office:office" xmlns:v="urn:schemas-microsoft-com:vml" id="rectole0000000001" style="width:398.400000pt;height:563.5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tabs>
          <w:tab w:val="left" w:pos="36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LineNumbers w:val="true"/>
        <w:tabs>
          <w:tab w:val="left" w:pos="36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Supplementary Material 2. Sensitivity, Specificity, Positive Predictive Value (PPV), and Negative Predictive Value (NPV), with 95% confidence intervals (CI), for different Quick Mild Cognitive Impairment (Q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mci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 screen and Montreal Cognitive Assessment (MoCA) cut-off scores for cognitive impairment (mild cognitive impairment and dementia), without adjustment for age or education, compared with patients diagnosed with subjective memory complaints.</w:t>
      </w:r>
    </w:p>
    <w:p>
      <w:pPr>
        <w:tabs>
          <w:tab w:val="left" w:pos="36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1795"/>
        <w:gridCol w:w="1382"/>
        <w:gridCol w:w="1359"/>
        <w:gridCol w:w="1237"/>
        <w:gridCol w:w="1272"/>
        <w:gridCol w:w="1274"/>
        <w:gridCol w:w="1320"/>
      </w:tblGrid>
      <w:tr>
        <w:trPr>
          <w:trHeight w:val="1" w:hRule="atLeast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Cognitive Screen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Cut-off score</w:t>
            </w: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Sensitivity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(95% CI)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Specificity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(95% CI)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PPV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(95% CI)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NPV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(95% CI)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False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Positive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(95% CI)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False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Negative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(95% CI)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0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Prevalence of cognitive impairment of 84%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045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Q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mci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&lt;65</w:t>
            </w: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(92-97)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(55-77)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93%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(89-95)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74%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(62-84)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7%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(5-11)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26%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(16-38)</w:t>
            </w:r>
          </w:p>
        </w:tc>
      </w:tr>
      <w:tr>
        <w:trPr>
          <w:trHeight w:val="1" w:hRule="atLeast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&lt;63</w:t>
            </w: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92%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(88-94)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77%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(66-85)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(91-97)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(57-77)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(3-8)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(26-46)</w:t>
            </w:r>
          </w:p>
        </w:tc>
      </w:tr>
      <w:tr>
        <w:trPr>
          <w:trHeight w:val="1" w:hRule="atLeast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&lt;62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†</w:t>
            </w: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90%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(86-93)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80%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(69-87)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(92-97)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(54-74)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(3-8)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36%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(27-47)</w:t>
            </w:r>
          </w:p>
        </w:tc>
      </w:tr>
      <w:tr>
        <w:trPr>
          <w:trHeight w:val="581" w:hRule="auto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&lt;60</w:t>
            </w: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88%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(84-91)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88%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(79-94)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97%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(94-99)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63%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(53-72)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(1-6)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37%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(28-47)</w:t>
            </w:r>
          </w:p>
        </w:tc>
      </w:tr>
      <w:tr>
        <w:trPr>
          <w:trHeight w:val="581" w:hRule="auto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&lt;58</w:t>
            </w: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(81-89)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92%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(83-97)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98%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(95-99)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59%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(49-67)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(1-5)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41%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(33-51)</w:t>
            </w:r>
          </w:p>
        </w:tc>
      </w:tr>
      <w:tr>
        <w:trPr>
          <w:trHeight w:val="581" w:hRule="auto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&lt;56</w:t>
            </w: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82%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(78-86)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94%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(85-98)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98%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(96-99)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(46-63)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(1-4)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(37-54)</w:t>
            </w:r>
          </w:p>
        </w:tc>
      </w:tr>
      <w:tr>
        <w:trPr>
          <w:trHeight w:val="1" w:hRule="atLeast"/>
          <w:jc w:val="left"/>
        </w:trPr>
        <w:tc>
          <w:tcPr>
            <w:tcW w:w="7045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MoCA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&lt;26*</w:t>
            </w: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96%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(93-98)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41%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(31-54)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88%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(84-91)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72%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(56-84)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12%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(9-16)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28%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(16-44)</w:t>
            </w:r>
          </w:p>
        </w:tc>
      </w:tr>
      <w:tr>
        <w:trPr>
          <w:trHeight w:val="1" w:hRule="atLeast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&lt;24**</w:t>
            </w: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90%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(86-93)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72%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(60-81)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93%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(90-96)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63%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(52-73)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7%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(4-10)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37%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(27-48)</w:t>
            </w:r>
          </w:p>
        </w:tc>
      </w:tr>
      <w:tr>
        <w:trPr>
          <w:trHeight w:val="1" w:hRule="atLeast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&lt;23***</w:t>
            </w: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(81-88)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82%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(71-89)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(92-97)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56%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(46-65)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(3-8)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44%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(35-54)</w:t>
            </w:r>
          </w:p>
        </w:tc>
      </w:tr>
      <w:tr>
        <w:trPr>
          <w:trHeight w:val="1" w:hRule="atLeast"/>
          <w:jc w:val="left"/>
        </w:trPr>
        <w:tc>
          <w:tcPr>
            <w:tcW w:w="17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&lt;22****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3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78%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(73-82)</w:t>
            </w:r>
          </w:p>
        </w:tc>
        <w:tc>
          <w:tcPr>
            <w:tcW w:w="1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87%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(77-93)</w:t>
            </w:r>
          </w:p>
        </w:tc>
        <w:tc>
          <w:tcPr>
            <w:tcW w:w="1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96%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(93-98)</w:t>
            </w:r>
          </w:p>
        </w:tc>
        <w:tc>
          <w:tcPr>
            <w:tcW w:w="12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48%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(39-56)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(2-7)</w:t>
            </w:r>
          </w:p>
        </w:tc>
        <w:tc>
          <w:tcPr>
            <w:tcW w:w="1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52%</w:t>
            </w:r>
          </w:p>
          <w:p>
            <w:pPr>
              <w:tabs>
                <w:tab w:val="left" w:pos="36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(44-61)</w:t>
            </w:r>
          </w:p>
        </w:tc>
      </w:tr>
    </w:tbl>
    <w:p>
      <w:pPr>
        <w:suppressLineNumbers w:val="true"/>
        <w:tabs>
          <w:tab w:val="left" w:pos="36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Cut-off for cognitive impairment selected from O’Caoimh et al. [1].</w:t>
      </w:r>
    </w:p>
    <w:p>
      <w:pPr>
        <w:suppressLineNumbers w:val="true"/>
        <w:tabs>
          <w:tab w:val="left" w:pos="36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* Cut-off for cognitive impairment selected from Nasreddine et al. [2].</w:t>
      </w:r>
    </w:p>
    <w:p>
      <w:pPr>
        <w:suppressLineNumbers w:val="true"/>
        <w:tabs>
          <w:tab w:val="left" w:pos="36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** Cut-off for cognitive impairment selected from Damian et al. [3].</w:t>
      </w:r>
    </w:p>
    <w:p>
      <w:pPr>
        <w:suppressLineNumbers w:val="true"/>
        <w:tabs>
          <w:tab w:val="left" w:pos="36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*** Cut-off for cognitive impairment selected from Luis et al. [4].</w:t>
      </w:r>
    </w:p>
    <w:p>
      <w:pPr>
        <w:suppressLineNumbers w:val="true"/>
        <w:tabs>
          <w:tab w:val="left" w:pos="36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**** Cut-off for mild cognitive impairment selected from Freitas et al. [5].</w:t>
      </w:r>
    </w:p>
    <w:p>
      <w:pPr>
        <w:tabs>
          <w:tab w:val="left" w:pos="36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6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6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Supplementary References</w:t>
      </w:r>
    </w:p>
    <w:p>
      <w:pPr>
        <w:tabs>
          <w:tab w:val="left" w:pos="72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[1] O’Caoimh R, Gao Y, Gallagher P, Eustace J, Molloy W (2014) Cognitive screening tests need to be adjusted for age and education in patients presenting with symptomatic memory loss.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Irish J Med Sci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183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314.</w:t>
      </w:r>
    </w:p>
    <w:p>
      <w:pPr>
        <w:tabs>
          <w:tab w:val="left" w:pos="72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[2] Nasreddine Z S, Phillips N A, Bédirian V, Charbonneau S, Whitehead V, Collin I, Cummings JL, Chertkow H (2005) The Montreal Cognitive Assessment, MoCA: a brief screening tool for mild cognitive impairment.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J Am Geriatr Soc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695–699.</w:t>
      </w:r>
    </w:p>
    <w:p>
      <w:pPr>
        <w:tabs>
          <w:tab w:val="left" w:pos="72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[3] Damian A, Jacobsen S, Hentz J, Belden C, Shill H, Sabbagh M, Caviness J, Adler C (2011) The Montreal Cognitive Assessment and the Mini-Mental State Examination as screening instruments for cognitive impairment: item analyses and threshold scores.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Dement Geriatr Cogn Disord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126–131.</w:t>
      </w:r>
    </w:p>
    <w:p>
      <w:pPr>
        <w:tabs>
          <w:tab w:val="left" w:pos="72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[4] Luis CA, Keegan AP, Mullan M (2009) Cross validation of the Montreal Cognitive Assessment in community dwelling older adults residing in the Southeastern US.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Int J Geriatr Psychiatry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197-201.</w:t>
      </w:r>
    </w:p>
    <w:p>
      <w:pPr>
        <w:tabs>
          <w:tab w:val="left" w:pos="720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[5] Freitas S, Simões MR, Alves L, Santana I (2013) Montreal cognitive assessment: validation study for mild cognitive impairment and Alzheimer disease.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Alzheimer Dis Assoc Disord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37-43.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styles.xml" Id="docRId5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numbering.xml" Id="docRId4" Type="http://schemas.openxmlformats.org/officeDocument/2006/relationships/numbering"/></Relationships>
</file>